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F579FF" w:rsidRDefault="000E391F" w:rsidP="000E391F">
      <w:pPr>
        <w:pStyle w:val="Header"/>
        <w:jc w:val="center"/>
        <w:rPr>
          <w:b/>
          <w:sz w:val="32"/>
        </w:rPr>
      </w:pPr>
      <w:r w:rsidRPr="00F579FF">
        <w:rPr>
          <w:b/>
          <w:sz w:val="32"/>
        </w:rPr>
        <w:t>Supreme Court of Canada / Cour suprême du Canada</w:t>
      </w:r>
    </w:p>
    <w:p w:rsidR="000E391F" w:rsidRPr="004B116F" w:rsidRDefault="000E391F" w:rsidP="000E391F">
      <w:pPr>
        <w:widowControl w:val="0"/>
      </w:pPr>
    </w:p>
    <w:p w:rsidR="000E391F" w:rsidRPr="004B116F" w:rsidRDefault="000E391F" w:rsidP="000E391F">
      <w:pPr>
        <w:widowControl w:val="0"/>
      </w:pPr>
    </w:p>
    <w:p w:rsidR="006F2579" w:rsidRPr="00F579FF" w:rsidRDefault="006F2579" w:rsidP="006F2579">
      <w:pPr>
        <w:widowControl w:val="0"/>
        <w:rPr>
          <w:i/>
          <w:sz w:val="20"/>
        </w:rPr>
      </w:pPr>
      <w:r w:rsidRPr="00F579FF">
        <w:rPr>
          <w:i/>
          <w:sz w:val="20"/>
        </w:rPr>
        <w:t>(</w:t>
      </w:r>
      <w:r w:rsidR="003240B6" w:rsidRPr="00F579FF">
        <w:rPr>
          <w:i/>
          <w:sz w:val="20"/>
        </w:rPr>
        <w:t>L</w:t>
      </w:r>
      <w:r w:rsidRPr="00F579FF">
        <w:rPr>
          <w:i/>
          <w:sz w:val="20"/>
        </w:rPr>
        <w:t>e français suit)</w:t>
      </w:r>
    </w:p>
    <w:p w:rsidR="006F2579" w:rsidRPr="00F579FF" w:rsidRDefault="006F2579" w:rsidP="006F2579">
      <w:pPr>
        <w:widowControl w:val="0"/>
      </w:pPr>
    </w:p>
    <w:p w:rsidR="006F2579" w:rsidRPr="00F579FF" w:rsidRDefault="00B07908" w:rsidP="006F2579">
      <w:pPr>
        <w:widowControl w:val="0"/>
        <w:jc w:val="center"/>
        <w:rPr>
          <w:b/>
        </w:rPr>
      </w:pPr>
      <w:r w:rsidRPr="00F579FF">
        <w:fldChar w:fldCharType="begin"/>
      </w:r>
      <w:r w:rsidR="006F2579" w:rsidRPr="00F579FF">
        <w:instrText xml:space="preserve"> SEQ CHAPTER \h \r 1</w:instrText>
      </w:r>
      <w:r w:rsidRPr="00F579FF">
        <w:fldChar w:fldCharType="end"/>
      </w:r>
      <w:r w:rsidR="006F2579" w:rsidRPr="00F579FF">
        <w:rPr>
          <w:b/>
        </w:rPr>
        <w:t>JUDGMENT</w:t>
      </w:r>
      <w:r w:rsidR="00B17AAC" w:rsidRPr="00F579FF">
        <w:rPr>
          <w:b/>
        </w:rPr>
        <w:t>S</w:t>
      </w:r>
      <w:r w:rsidR="006F2579" w:rsidRPr="00F579FF">
        <w:rPr>
          <w:b/>
        </w:rPr>
        <w:t xml:space="preserve"> TO B</w:t>
      </w:r>
      <w:r w:rsidR="00001846" w:rsidRPr="00F579FF">
        <w:rPr>
          <w:b/>
        </w:rPr>
        <w:t>E RENDERED IN LE</w:t>
      </w:r>
      <w:r w:rsidR="00A0288A" w:rsidRPr="00F579FF">
        <w:rPr>
          <w:b/>
        </w:rPr>
        <w:t>A</w:t>
      </w:r>
      <w:r w:rsidR="00001846" w:rsidRPr="00F579FF">
        <w:rPr>
          <w:b/>
        </w:rPr>
        <w:t>VE APPLICATION</w:t>
      </w:r>
      <w:r w:rsidR="00E94FDF" w:rsidRPr="00F579FF">
        <w:rPr>
          <w:b/>
        </w:rPr>
        <w:t>S</w:t>
      </w:r>
    </w:p>
    <w:p w:rsidR="006F2579" w:rsidRPr="00F579FF" w:rsidRDefault="006F2579" w:rsidP="006F2579">
      <w:pPr>
        <w:widowControl w:val="0"/>
      </w:pPr>
    </w:p>
    <w:p w:rsidR="006F2579" w:rsidRPr="00F579FF" w:rsidRDefault="00526754" w:rsidP="006F2579">
      <w:pPr>
        <w:widowControl w:val="0"/>
      </w:pPr>
      <w:r w:rsidRPr="00F579FF">
        <w:rPr>
          <w:b/>
        </w:rPr>
        <w:t>January</w:t>
      </w:r>
      <w:r w:rsidR="00A15B66" w:rsidRPr="00F579FF">
        <w:rPr>
          <w:b/>
        </w:rPr>
        <w:t xml:space="preserve"> </w:t>
      </w:r>
      <w:r w:rsidR="00BD4DE9">
        <w:rPr>
          <w:b/>
        </w:rPr>
        <w:t>13</w:t>
      </w:r>
      <w:r w:rsidR="004441C7" w:rsidRPr="00F579FF">
        <w:rPr>
          <w:b/>
        </w:rPr>
        <w:t>,</w:t>
      </w:r>
      <w:r w:rsidR="006F2579" w:rsidRPr="00F579FF">
        <w:rPr>
          <w:b/>
        </w:rPr>
        <w:t xml:space="preserve"> </w:t>
      </w:r>
      <w:r w:rsidR="0054689F" w:rsidRPr="00F579FF">
        <w:rPr>
          <w:b/>
        </w:rPr>
        <w:t>20</w:t>
      </w:r>
      <w:r w:rsidRPr="00F579FF">
        <w:rPr>
          <w:b/>
        </w:rPr>
        <w:t>20</w:t>
      </w:r>
    </w:p>
    <w:p w:rsidR="006F2579" w:rsidRPr="00F579FF" w:rsidRDefault="00674F39" w:rsidP="006F2579">
      <w:pPr>
        <w:widowControl w:val="0"/>
        <w:rPr>
          <w:b/>
        </w:rPr>
      </w:pPr>
      <w:r w:rsidRPr="00F579FF">
        <w:rPr>
          <w:b/>
        </w:rPr>
        <w:t>For immediate release</w:t>
      </w:r>
    </w:p>
    <w:p w:rsidR="006F2579" w:rsidRPr="00F579FF" w:rsidRDefault="006F2579" w:rsidP="006F2579">
      <w:pPr>
        <w:widowControl w:val="0"/>
      </w:pPr>
    </w:p>
    <w:p w:rsidR="006F2579" w:rsidRPr="00F579FF" w:rsidRDefault="006F2579" w:rsidP="006F2579">
      <w:pPr>
        <w:widowControl w:val="0"/>
        <w:rPr>
          <w:lang w:val="fr-CA"/>
        </w:rPr>
      </w:pPr>
      <w:r w:rsidRPr="00F579FF">
        <w:rPr>
          <w:b/>
        </w:rPr>
        <w:t>OTTAWA</w:t>
      </w:r>
      <w:r w:rsidRPr="00F579FF">
        <w:t xml:space="preserve"> – The Supreme Court of Canad</w:t>
      </w:r>
      <w:r w:rsidR="006246E4" w:rsidRPr="00F579FF">
        <w:t>a</w:t>
      </w:r>
      <w:r w:rsidRPr="00F579FF">
        <w:t xml:space="preserve"> announced today that judgment in the following </w:t>
      </w:r>
      <w:r w:rsidR="00DB6199" w:rsidRPr="00F579FF">
        <w:t xml:space="preserve">leave applications </w:t>
      </w:r>
      <w:r w:rsidRPr="00F579FF">
        <w:t xml:space="preserve">will be delivered at 9:45 a.m. </w:t>
      </w:r>
      <w:r w:rsidR="00E05816" w:rsidRPr="00F579FF">
        <w:t>E</w:t>
      </w:r>
      <w:r w:rsidR="000E391F" w:rsidRPr="00F579FF">
        <w:t>S</w:t>
      </w:r>
      <w:r w:rsidR="00E05816" w:rsidRPr="00F579FF">
        <w:t>T</w:t>
      </w:r>
      <w:r w:rsidRPr="00F579FF">
        <w:t xml:space="preserve"> on Thursday, </w:t>
      </w:r>
      <w:r w:rsidR="00526754" w:rsidRPr="00F579FF">
        <w:t>January</w:t>
      </w:r>
      <w:r w:rsidR="00455912" w:rsidRPr="00F579FF">
        <w:t xml:space="preserve"> </w:t>
      </w:r>
      <w:r w:rsidR="00BD4DE9">
        <w:t>16</w:t>
      </w:r>
      <w:r w:rsidR="007E112F" w:rsidRPr="00F579FF">
        <w:t>,</w:t>
      </w:r>
      <w:r w:rsidR="002F38D7" w:rsidRPr="00F579FF">
        <w:t xml:space="preserve"> </w:t>
      </w:r>
      <w:r w:rsidR="006648D1" w:rsidRPr="00F579FF">
        <w:t>20</w:t>
      </w:r>
      <w:r w:rsidR="00526754" w:rsidRPr="00F579FF">
        <w:t>20</w:t>
      </w:r>
      <w:r w:rsidRPr="00F579FF">
        <w:t xml:space="preserve">. </w:t>
      </w:r>
      <w:r w:rsidRPr="00F579FF">
        <w:rPr>
          <w:lang w:val="fr-CA"/>
        </w:rPr>
        <w:t>This list is subject to chang</w:t>
      </w:r>
      <w:r w:rsidR="00192F7F" w:rsidRPr="00F579FF">
        <w:rPr>
          <w:lang w:val="fr-CA"/>
        </w:rPr>
        <w:t>e</w:t>
      </w:r>
      <w:r w:rsidRPr="00F579FF">
        <w:rPr>
          <w:lang w:val="fr-CA"/>
        </w:rPr>
        <w:t>.</w:t>
      </w:r>
    </w:p>
    <w:p w:rsidR="00FF5AA4" w:rsidRPr="00F579FF" w:rsidRDefault="00FF5AA4" w:rsidP="006F2579">
      <w:pPr>
        <w:widowControl w:val="0"/>
        <w:rPr>
          <w:lang w:val="fr-CA"/>
        </w:rPr>
      </w:pPr>
    </w:p>
    <w:p w:rsidR="00B43418" w:rsidRPr="00F579FF" w:rsidRDefault="00B43418" w:rsidP="006F2579">
      <w:pPr>
        <w:widowControl w:val="0"/>
        <w:rPr>
          <w:lang w:val="fr-CA"/>
        </w:rPr>
      </w:pPr>
    </w:p>
    <w:p w:rsidR="006F2579" w:rsidRPr="00F579FF" w:rsidRDefault="006F2579" w:rsidP="006F2579">
      <w:pPr>
        <w:widowControl w:val="0"/>
        <w:jc w:val="center"/>
        <w:rPr>
          <w:lang w:val="fr-CA"/>
        </w:rPr>
      </w:pPr>
      <w:r w:rsidRPr="00F579FF">
        <w:rPr>
          <w:b/>
          <w:lang w:val="fr-CA"/>
        </w:rPr>
        <w:t>PROCHAIN</w:t>
      </w:r>
      <w:r w:rsidR="00B17AAC" w:rsidRPr="00F579FF">
        <w:rPr>
          <w:b/>
          <w:lang w:val="fr-CA"/>
        </w:rPr>
        <w:t>S</w:t>
      </w:r>
      <w:r w:rsidRPr="00F579FF">
        <w:rPr>
          <w:b/>
          <w:lang w:val="fr-CA"/>
        </w:rPr>
        <w:t xml:space="preserve"> JUGEMENT</w:t>
      </w:r>
      <w:r w:rsidR="00B17AAC" w:rsidRPr="00F579FF">
        <w:rPr>
          <w:b/>
          <w:lang w:val="fr-CA"/>
        </w:rPr>
        <w:t>S</w:t>
      </w:r>
      <w:r w:rsidR="00001846" w:rsidRPr="00F579FF">
        <w:rPr>
          <w:b/>
          <w:lang w:val="fr-CA"/>
        </w:rPr>
        <w:t xml:space="preserve"> SUR DEMANDE</w:t>
      </w:r>
      <w:r w:rsidR="00B17AAC" w:rsidRPr="00F579FF">
        <w:rPr>
          <w:b/>
          <w:lang w:val="fr-CA"/>
        </w:rPr>
        <w:t>S</w:t>
      </w:r>
      <w:r w:rsidRPr="00F579FF">
        <w:rPr>
          <w:b/>
          <w:lang w:val="fr-CA"/>
        </w:rPr>
        <w:t xml:space="preserve"> D’AUTORISATION</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Le</w:t>
      </w:r>
      <w:r w:rsidR="00957A76" w:rsidRPr="00F579FF">
        <w:rPr>
          <w:b/>
          <w:lang w:val="fr-CA"/>
        </w:rPr>
        <w:t xml:space="preserve"> </w:t>
      </w:r>
      <w:r w:rsidR="00BD4DE9">
        <w:rPr>
          <w:b/>
          <w:lang w:val="fr-CA"/>
        </w:rPr>
        <w:t>13</w:t>
      </w:r>
      <w:r w:rsidR="00A15B66" w:rsidRPr="00F579FF">
        <w:rPr>
          <w:b/>
          <w:lang w:val="fr-CA"/>
        </w:rPr>
        <w:t xml:space="preserve"> </w:t>
      </w:r>
      <w:r w:rsidR="00526754" w:rsidRPr="00F579FF">
        <w:rPr>
          <w:b/>
          <w:lang w:val="fr-CA"/>
        </w:rPr>
        <w:t>janvier</w:t>
      </w:r>
      <w:r w:rsidR="00A151D1" w:rsidRPr="00F579FF">
        <w:rPr>
          <w:b/>
          <w:lang w:val="fr-CA"/>
        </w:rPr>
        <w:t xml:space="preserve"> 20</w:t>
      </w:r>
      <w:r w:rsidR="00526754" w:rsidRPr="00F579FF">
        <w:rPr>
          <w:b/>
          <w:lang w:val="fr-CA"/>
        </w:rPr>
        <w:t>20</w:t>
      </w:r>
    </w:p>
    <w:p w:rsidR="006F2579" w:rsidRPr="00F579FF" w:rsidRDefault="006F2579" w:rsidP="006F2579">
      <w:pPr>
        <w:widowControl w:val="0"/>
        <w:rPr>
          <w:b/>
          <w:lang w:val="fr-CA"/>
        </w:rPr>
      </w:pPr>
      <w:r w:rsidRPr="00F579FF">
        <w:rPr>
          <w:b/>
          <w:lang w:val="fr-CA"/>
        </w:rPr>
        <w:t>Pour diffusion immédiate</w:t>
      </w:r>
    </w:p>
    <w:p w:rsidR="006F2579" w:rsidRPr="00F579FF" w:rsidRDefault="006F2579" w:rsidP="006F2579">
      <w:pPr>
        <w:widowControl w:val="0"/>
        <w:rPr>
          <w:lang w:val="fr-CA"/>
        </w:rPr>
      </w:pPr>
    </w:p>
    <w:p w:rsidR="006F2579" w:rsidRPr="00F579FF" w:rsidRDefault="006F2579" w:rsidP="006F2579">
      <w:pPr>
        <w:widowControl w:val="0"/>
        <w:rPr>
          <w:lang w:val="fr-CA"/>
        </w:rPr>
      </w:pPr>
      <w:r w:rsidRPr="00F579FF">
        <w:rPr>
          <w:b/>
          <w:lang w:val="fr-CA"/>
        </w:rPr>
        <w:t>OTTAWA</w:t>
      </w:r>
      <w:r w:rsidRPr="00F579FF">
        <w:rPr>
          <w:lang w:val="fr-CA"/>
        </w:rPr>
        <w:t xml:space="preserve"> – La Cour suprême du Canada annonce que jugement ser</w:t>
      </w:r>
      <w:r w:rsidR="004259F9" w:rsidRPr="00F579FF">
        <w:rPr>
          <w:lang w:val="fr-CA"/>
        </w:rPr>
        <w:t>a</w:t>
      </w:r>
      <w:r w:rsidRPr="00F579FF">
        <w:rPr>
          <w:lang w:val="fr-CA"/>
        </w:rPr>
        <w:t xml:space="preserve"> rendu dans l</w:t>
      </w:r>
      <w:r w:rsidR="008600ED" w:rsidRPr="00F579FF">
        <w:rPr>
          <w:lang w:val="fr-CA"/>
        </w:rPr>
        <w:t>es</w:t>
      </w:r>
      <w:r w:rsidRPr="00F579FF">
        <w:rPr>
          <w:lang w:val="fr-CA"/>
        </w:rPr>
        <w:t xml:space="preserve"> demande</w:t>
      </w:r>
      <w:r w:rsidR="008600ED" w:rsidRPr="00F579FF">
        <w:rPr>
          <w:lang w:val="fr-CA"/>
        </w:rPr>
        <w:t>s</w:t>
      </w:r>
      <w:r w:rsidRPr="00F579FF">
        <w:rPr>
          <w:lang w:val="fr-CA"/>
        </w:rPr>
        <w:t xml:space="preserve"> d</w:t>
      </w:r>
      <w:r w:rsidR="00001846" w:rsidRPr="00F579FF">
        <w:rPr>
          <w:lang w:val="fr-CA"/>
        </w:rPr>
        <w:t>’autorisation suivante</w:t>
      </w:r>
      <w:r w:rsidR="008600ED" w:rsidRPr="00F579FF">
        <w:rPr>
          <w:lang w:val="fr-CA"/>
        </w:rPr>
        <w:t>s</w:t>
      </w:r>
      <w:r w:rsidRPr="00F579FF">
        <w:rPr>
          <w:lang w:val="fr-CA"/>
        </w:rPr>
        <w:t xml:space="preserve"> le jeudi </w:t>
      </w:r>
      <w:r w:rsidR="00BD4DE9">
        <w:rPr>
          <w:lang w:val="fr-CA"/>
        </w:rPr>
        <w:t>16</w:t>
      </w:r>
      <w:r w:rsidR="00780317" w:rsidRPr="00F579FF">
        <w:rPr>
          <w:lang w:val="fr-CA"/>
        </w:rPr>
        <w:t xml:space="preserve"> </w:t>
      </w:r>
      <w:r w:rsidR="00526754" w:rsidRPr="00F579FF">
        <w:rPr>
          <w:lang w:val="fr-CA"/>
        </w:rPr>
        <w:t>janvier</w:t>
      </w:r>
      <w:r w:rsidR="00694391" w:rsidRPr="00F579FF">
        <w:rPr>
          <w:lang w:val="fr-CA"/>
        </w:rPr>
        <w:t xml:space="preserve"> 2</w:t>
      </w:r>
      <w:r w:rsidR="006648D1" w:rsidRPr="00F579FF">
        <w:rPr>
          <w:lang w:val="fr-CA"/>
        </w:rPr>
        <w:t>0</w:t>
      </w:r>
      <w:r w:rsidR="00526754" w:rsidRPr="00F579FF">
        <w:rPr>
          <w:lang w:val="fr-CA"/>
        </w:rPr>
        <w:t>20</w:t>
      </w:r>
      <w:r w:rsidRPr="00F579FF">
        <w:rPr>
          <w:lang w:val="fr-CA"/>
        </w:rPr>
        <w:t xml:space="preserve">, à 9 h 45 </w:t>
      </w:r>
      <w:r w:rsidR="000627A2" w:rsidRPr="00F579FF">
        <w:rPr>
          <w:lang w:val="fr-CA"/>
        </w:rPr>
        <w:t>H</w:t>
      </w:r>
      <w:r w:rsidR="000E391F" w:rsidRPr="00F579FF">
        <w:rPr>
          <w:lang w:val="fr-CA"/>
        </w:rPr>
        <w:t>N</w:t>
      </w:r>
      <w:r w:rsidRPr="00F579FF">
        <w:rPr>
          <w:lang w:val="fr-CA"/>
        </w:rPr>
        <w:t>E. Cette liste est sujette à modifications.</w:t>
      </w:r>
    </w:p>
    <w:p w:rsidR="0080556B" w:rsidRDefault="0080556B" w:rsidP="009B14F4">
      <w:pPr>
        <w:widowControl w:val="0"/>
        <w:jc w:val="both"/>
        <w:rPr>
          <w:sz w:val="20"/>
          <w:lang w:val="fr-CA"/>
        </w:rPr>
      </w:pPr>
    </w:p>
    <w:p w:rsidR="00A37BE5" w:rsidRPr="00BF6E43" w:rsidRDefault="00F37A97" w:rsidP="009B14F4">
      <w:pPr>
        <w:widowControl w:val="0"/>
        <w:jc w:val="both"/>
        <w:rPr>
          <w:sz w:val="20"/>
          <w:lang w:val="fr-CA"/>
        </w:rPr>
      </w:pPr>
      <w:r>
        <w:rPr>
          <w:sz w:val="20"/>
        </w:rPr>
        <w:pict>
          <v:rect id="_x0000_i1026" style="width:2in;height:1pt" o:hrpct="0" o:hralign="center" o:hrstd="t" o:hrnoshade="t" o:hr="t" fillcolor="black [3213]" stroked="f"/>
        </w:pict>
      </w:r>
    </w:p>
    <w:p w:rsidR="00774C10" w:rsidRDefault="00774C10" w:rsidP="009B14F4">
      <w:pPr>
        <w:widowControl w:val="0"/>
        <w:jc w:val="both"/>
        <w:rPr>
          <w:sz w:val="20"/>
          <w:lang w:val="fr-CA"/>
        </w:rPr>
      </w:pPr>
    </w:p>
    <w:p w:rsidR="006E1F5A" w:rsidRPr="00467616" w:rsidRDefault="006E1F5A" w:rsidP="00467616">
      <w:pPr>
        <w:pStyle w:val="ListParagraph"/>
        <w:numPr>
          <w:ilvl w:val="0"/>
          <w:numId w:val="25"/>
        </w:numPr>
        <w:ind w:left="357" w:hanging="357"/>
        <w:rPr>
          <w:sz w:val="20"/>
          <w:szCs w:val="20"/>
        </w:rPr>
      </w:pPr>
      <w:r w:rsidRPr="00467616">
        <w:rPr>
          <w:i/>
          <w:sz w:val="20"/>
          <w:szCs w:val="20"/>
        </w:rPr>
        <w:t>Her Majesty the Queen v. Michael Philip Simard</w:t>
      </w:r>
      <w:r w:rsidRPr="00467616">
        <w:rPr>
          <w:sz w:val="20"/>
          <w:szCs w:val="20"/>
        </w:rPr>
        <w:t xml:space="preserve"> (B.C.) (Criminal) (By Leave)</w:t>
      </w:r>
      <w:r w:rsidRPr="00467616">
        <w:rPr>
          <w:sz w:val="20"/>
        </w:rPr>
        <w:t xml:space="preserve"> </w:t>
      </w:r>
      <w:r w:rsidRPr="00467616">
        <w:rPr>
          <w:sz w:val="20"/>
          <w:lang w:val="fr-CA"/>
        </w:rPr>
        <w:t>(</w:t>
      </w:r>
      <w:hyperlink r:id="rId8" w:history="1">
        <w:r w:rsidRPr="00467616">
          <w:rPr>
            <w:rStyle w:val="Hyperlink"/>
            <w:sz w:val="20"/>
            <w:szCs w:val="20"/>
            <w:lang w:val="fr-CA"/>
          </w:rPr>
          <w:t>38</w:t>
        </w:r>
        <w:r w:rsidRPr="00467616">
          <w:rPr>
            <w:rStyle w:val="Hyperlink"/>
            <w:sz w:val="20"/>
            <w:lang w:val="fr-CA"/>
          </w:rPr>
          <w:t>6</w:t>
        </w:r>
        <w:r w:rsidRPr="00467616">
          <w:rPr>
            <w:rStyle w:val="Hyperlink"/>
            <w:sz w:val="20"/>
            <w:szCs w:val="20"/>
            <w:lang w:val="fr-CA"/>
          </w:rPr>
          <w:t>7</w:t>
        </w:r>
        <w:r w:rsidRPr="00467616">
          <w:rPr>
            <w:rStyle w:val="Hyperlink"/>
            <w:sz w:val="20"/>
            <w:lang w:val="fr-CA"/>
          </w:rPr>
          <w:t>2</w:t>
        </w:r>
      </w:hyperlink>
      <w:r w:rsidRPr="00467616">
        <w:rPr>
          <w:sz w:val="20"/>
          <w:lang w:val="fr-CA"/>
        </w:rPr>
        <w:t>)</w:t>
      </w:r>
    </w:p>
    <w:p w:rsidR="006E1F5A" w:rsidRPr="006E1F5A" w:rsidRDefault="006E1F5A" w:rsidP="00467616">
      <w:pPr>
        <w:widowControl w:val="0"/>
        <w:ind w:left="357" w:hanging="357"/>
        <w:rPr>
          <w:sz w:val="20"/>
        </w:rPr>
      </w:pPr>
    </w:p>
    <w:p w:rsidR="00441EE6" w:rsidRPr="00467616" w:rsidRDefault="00441EE6" w:rsidP="00467616">
      <w:pPr>
        <w:pStyle w:val="ListParagraph"/>
        <w:numPr>
          <w:ilvl w:val="0"/>
          <w:numId w:val="25"/>
        </w:numPr>
        <w:ind w:left="357" w:hanging="357"/>
        <w:rPr>
          <w:sz w:val="20"/>
          <w:lang w:val="fr-FR"/>
        </w:rPr>
      </w:pPr>
      <w:r w:rsidRPr="00467616">
        <w:rPr>
          <w:i/>
          <w:sz w:val="20"/>
          <w:lang w:val="fr-FR"/>
        </w:rPr>
        <w:t>Les Placements Antis inc., et al. c. Raymond Chabot inc.</w:t>
      </w:r>
      <w:r w:rsidR="00F95724" w:rsidRPr="00467616">
        <w:rPr>
          <w:sz w:val="20"/>
          <w:lang w:val="fr-FR"/>
        </w:rPr>
        <w:t xml:space="preserve"> (Qc) (Civile) (Autorisation)</w:t>
      </w:r>
      <w:r w:rsidRPr="00467616">
        <w:rPr>
          <w:sz w:val="20"/>
          <w:lang w:val="fr-FR"/>
        </w:rPr>
        <w:t xml:space="preserve"> </w:t>
      </w:r>
      <w:r w:rsidRPr="00467616">
        <w:rPr>
          <w:sz w:val="20"/>
          <w:lang w:val="fr-CA"/>
        </w:rPr>
        <w:t>(</w:t>
      </w:r>
      <w:hyperlink r:id="rId9" w:history="1">
        <w:r w:rsidRPr="00467616">
          <w:rPr>
            <w:rStyle w:val="Hyperlink"/>
            <w:sz w:val="20"/>
            <w:szCs w:val="20"/>
            <w:lang w:val="fr-CA"/>
          </w:rPr>
          <w:t>38</w:t>
        </w:r>
        <w:r w:rsidR="00F95724" w:rsidRPr="00467616">
          <w:rPr>
            <w:rStyle w:val="Hyperlink"/>
            <w:sz w:val="20"/>
            <w:szCs w:val="20"/>
            <w:lang w:val="fr-CA"/>
          </w:rPr>
          <w:t>769</w:t>
        </w:r>
      </w:hyperlink>
      <w:r w:rsidRPr="00467616">
        <w:rPr>
          <w:sz w:val="20"/>
          <w:lang w:val="fr-CA"/>
        </w:rPr>
        <w:t>)</w:t>
      </w:r>
    </w:p>
    <w:p w:rsidR="00441EE6" w:rsidRPr="00441EE6" w:rsidRDefault="00441EE6" w:rsidP="00467616">
      <w:pPr>
        <w:ind w:left="357" w:hanging="357"/>
        <w:rPr>
          <w:sz w:val="20"/>
          <w:lang w:val="fr-FR"/>
        </w:rPr>
      </w:pPr>
    </w:p>
    <w:p w:rsidR="00441EE6" w:rsidRPr="00467616" w:rsidRDefault="00441EE6" w:rsidP="00467616">
      <w:pPr>
        <w:pStyle w:val="ListParagraph"/>
        <w:numPr>
          <w:ilvl w:val="0"/>
          <w:numId w:val="25"/>
        </w:numPr>
        <w:ind w:left="357" w:hanging="357"/>
        <w:rPr>
          <w:sz w:val="20"/>
        </w:rPr>
      </w:pPr>
      <w:r w:rsidRPr="004B116F">
        <w:rPr>
          <w:i/>
          <w:sz w:val="20"/>
          <w:lang w:val="fr-CA"/>
        </w:rPr>
        <w:t>Cadine Boechler, et al. v. Regina</w:t>
      </w:r>
      <w:r w:rsidRPr="004B116F">
        <w:rPr>
          <w:sz w:val="20"/>
          <w:lang w:val="fr-CA"/>
        </w:rPr>
        <w:t xml:space="preserve"> (B.C.) </w:t>
      </w:r>
      <w:r w:rsidRPr="00467616">
        <w:rPr>
          <w:sz w:val="20"/>
        </w:rPr>
        <w:t>(Criminal) (By Leave) (</w:t>
      </w:r>
      <w:hyperlink r:id="rId10" w:history="1">
        <w:r w:rsidRPr="00467616">
          <w:rPr>
            <w:rStyle w:val="Hyperlink"/>
            <w:sz w:val="20"/>
            <w:szCs w:val="20"/>
          </w:rPr>
          <w:t>388</w:t>
        </w:r>
        <w:r w:rsidR="00137CFA" w:rsidRPr="00467616">
          <w:rPr>
            <w:rStyle w:val="Hyperlink"/>
            <w:sz w:val="20"/>
            <w:szCs w:val="20"/>
          </w:rPr>
          <w:t>41</w:t>
        </w:r>
      </w:hyperlink>
      <w:r w:rsidRPr="00467616">
        <w:rPr>
          <w:sz w:val="20"/>
        </w:rPr>
        <w:t>)</w:t>
      </w:r>
    </w:p>
    <w:p w:rsidR="00441EE6" w:rsidRPr="00441EE6" w:rsidRDefault="00441EE6" w:rsidP="00467616">
      <w:pPr>
        <w:ind w:left="357" w:hanging="357"/>
        <w:rPr>
          <w:sz w:val="20"/>
        </w:rPr>
      </w:pPr>
    </w:p>
    <w:p w:rsidR="00441EE6" w:rsidRPr="00467616" w:rsidRDefault="00441EE6" w:rsidP="00467616">
      <w:pPr>
        <w:pStyle w:val="ListParagraph"/>
        <w:numPr>
          <w:ilvl w:val="0"/>
          <w:numId w:val="25"/>
        </w:numPr>
        <w:ind w:left="357" w:hanging="357"/>
        <w:rPr>
          <w:sz w:val="20"/>
          <w:lang w:val="fr-FR"/>
        </w:rPr>
      </w:pPr>
      <w:r w:rsidRPr="00467616">
        <w:rPr>
          <w:i/>
          <w:sz w:val="20"/>
          <w:lang w:val="fr-FR"/>
        </w:rPr>
        <w:t xml:space="preserve">Marc Bibeau c. La Presse Ltée, </w:t>
      </w:r>
      <w:r w:rsidR="007A5090" w:rsidRPr="00467616">
        <w:rPr>
          <w:i/>
          <w:sz w:val="20"/>
          <w:lang w:val="fr-FR"/>
        </w:rPr>
        <w:t>e</w:t>
      </w:r>
      <w:r w:rsidRPr="00467616">
        <w:rPr>
          <w:i/>
          <w:sz w:val="20"/>
          <w:lang w:val="fr-FR"/>
        </w:rPr>
        <w:t>t al.</w:t>
      </w:r>
      <w:r w:rsidR="007A5090" w:rsidRPr="00467616">
        <w:rPr>
          <w:sz w:val="20"/>
          <w:lang w:val="fr-FR"/>
        </w:rPr>
        <w:t xml:space="preserve"> (Qc) (Civile)</w:t>
      </w:r>
      <w:r w:rsidR="00495CAA">
        <w:rPr>
          <w:sz w:val="20"/>
          <w:lang w:val="fr-FR"/>
        </w:rPr>
        <w:t xml:space="preserve"> (Autorisation)</w:t>
      </w:r>
      <w:r w:rsidRPr="00467616">
        <w:rPr>
          <w:sz w:val="20"/>
          <w:lang w:val="fr-FR"/>
        </w:rPr>
        <w:t xml:space="preserve"> </w:t>
      </w:r>
      <w:r w:rsidRPr="00467616">
        <w:rPr>
          <w:sz w:val="20"/>
          <w:lang w:val="fr-CA"/>
        </w:rPr>
        <w:t>(</w:t>
      </w:r>
      <w:hyperlink r:id="rId11" w:history="1">
        <w:r w:rsidRPr="00467616">
          <w:rPr>
            <w:rStyle w:val="Hyperlink"/>
            <w:sz w:val="20"/>
            <w:szCs w:val="20"/>
            <w:lang w:val="fr-CA"/>
          </w:rPr>
          <w:t>38</w:t>
        </w:r>
        <w:r w:rsidR="007A5090" w:rsidRPr="00467616">
          <w:rPr>
            <w:rStyle w:val="Hyperlink"/>
            <w:sz w:val="20"/>
            <w:szCs w:val="20"/>
            <w:lang w:val="fr-CA"/>
          </w:rPr>
          <w:t>742</w:t>
        </w:r>
      </w:hyperlink>
      <w:r w:rsidRPr="00467616">
        <w:rPr>
          <w:sz w:val="20"/>
          <w:lang w:val="fr-CA"/>
        </w:rPr>
        <w:t>)</w:t>
      </w:r>
    </w:p>
    <w:p w:rsidR="002B7AFC" w:rsidRDefault="002B7AFC" w:rsidP="00467616">
      <w:pPr>
        <w:widowControl w:val="0"/>
        <w:ind w:left="357" w:hanging="357"/>
        <w:rPr>
          <w:sz w:val="20"/>
          <w:lang w:val="fr-CA"/>
        </w:rPr>
      </w:pPr>
    </w:p>
    <w:p w:rsidR="00441EE6" w:rsidRPr="00441EE6" w:rsidRDefault="00441EE6" w:rsidP="00467616">
      <w:pPr>
        <w:pStyle w:val="SCCAppellantInfoAppellantInfo"/>
        <w:numPr>
          <w:ilvl w:val="0"/>
          <w:numId w:val="25"/>
        </w:numPr>
        <w:ind w:left="357" w:hanging="357"/>
        <w:rPr>
          <w:sz w:val="20"/>
          <w:szCs w:val="20"/>
        </w:rPr>
      </w:pPr>
      <w:r w:rsidRPr="00441EE6">
        <w:rPr>
          <w:rFonts w:eastAsia="Times New Roman"/>
          <w:i/>
          <w:sz w:val="20"/>
          <w:szCs w:val="20"/>
          <w:lang w:val="en-US"/>
        </w:rPr>
        <w:t xml:space="preserve">Betty Ann Wasylynuk v. </w:t>
      </w:r>
      <w:r w:rsidRPr="00441EE6">
        <w:rPr>
          <w:i/>
          <w:sz w:val="20"/>
          <w:szCs w:val="20"/>
        </w:rPr>
        <w:t xml:space="preserve">Bernie Bouma, et al. </w:t>
      </w:r>
      <w:r w:rsidRPr="00441EE6">
        <w:rPr>
          <w:rFonts w:eastAsia="Times New Roman"/>
          <w:sz w:val="20"/>
          <w:szCs w:val="20"/>
          <w:lang w:val="en-US"/>
        </w:rPr>
        <w:t>(Alta.) (Civil) (By Leave)</w:t>
      </w:r>
      <w:r>
        <w:rPr>
          <w:sz w:val="20"/>
          <w:szCs w:val="20"/>
        </w:rPr>
        <w:t xml:space="preserve"> </w:t>
      </w:r>
      <w:r w:rsidRPr="00441EE6">
        <w:rPr>
          <w:sz w:val="20"/>
        </w:rPr>
        <w:t>(</w:t>
      </w:r>
      <w:hyperlink r:id="rId12" w:history="1">
        <w:r w:rsidRPr="00441EE6">
          <w:rPr>
            <w:rStyle w:val="Hyperlink"/>
            <w:sz w:val="20"/>
            <w:szCs w:val="20"/>
          </w:rPr>
          <w:t>38</w:t>
        </w:r>
        <w:r w:rsidR="00263AF2">
          <w:rPr>
            <w:rStyle w:val="Hyperlink"/>
            <w:sz w:val="20"/>
            <w:szCs w:val="20"/>
          </w:rPr>
          <w:t>793</w:t>
        </w:r>
      </w:hyperlink>
      <w:r w:rsidRPr="00441EE6">
        <w:rPr>
          <w:sz w:val="20"/>
        </w:rPr>
        <w:t>)</w:t>
      </w:r>
    </w:p>
    <w:p w:rsidR="00441EE6" w:rsidRPr="00441EE6" w:rsidRDefault="00441EE6" w:rsidP="00467616">
      <w:pPr>
        <w:ind w:left="357" w:hanging="357"/>
        <w:rPr>
          <w:sz w:val="20"/>
          <w:lang w:val="en-CA"/>
        </w:rPr>
      </w:pPr>
    </w:p>
    <w:p w:rsidR="00441EE6" w:rsidRPr="00441EE6" w:rsidRDefault="00441EE6" w:rsidP="00467616">
      <w:pPr>
        <w:pStyle w:val="SCCAppellantInfoAppellantInfo"/>
        <w:numPr>
          <w:ilvl w:val="0"/>
          <w:numId w:val="25"/>
        </w:numPr>
        <w:ind w:left="357" w:hanging="357"/>
        <w:rPr>
          <w:sz w:val="20"/>
          <w:szCs w:val="20"/>
        </w:rPr>
      </w:pPr>
      <w:r w:rsidRPr="00441EE6">
        <w:rPr>
          <w:i/>
          <w:sz w:val="20"/>
          <w:szCs w:val="20"/>
        </w:rPr>
        <w:t>Michael Davies v. Her Majesty the Queen</w:t>
      </w:r>
      <w:r w:rsidRPr="00441EE6">
        <w:rPr>
          <w:sz w:val="20"/>
          <w:szCs w:val="20"/>
        </w:rPr>
        <w:t xml:space="preserve"> (F</w:t>
      </w:r>
      <w:r w:rsidR="006E1E87">
        <w:rPr>
          <w:sz w:val="20"/>
          <w:szCs w:val="20"/>
        </w:rPr>
        <w:t>.</w:t>
      </w:r>
      <w:r w:rsidRPr="00441EE6">
        <w:rPr>
          <w:sz w:val="20"/>
          <w:szCs w:val="20"/>
        </w:rPr>
        <w:t>C</w:t>
      </w:r>
      <w:r w:rsidR="006E1E87">
        <w:rPr>
          <w:sz w:val="20"/>
          <w:szCs w:val="20"/>
        </w:rPr>
        <w:t>.</w:t>
      </w:r>
      <w:r w:rsidR="00D46632">
        <w:rPr>
          <w:sz w:val="20"/>
          <w:szCs w:val="20"/>
        </w:rPr>
        <w:t>) (Civil) (By Leave)</w:t>
      </w:r>
      <w:r>
        <w:rPr>
          <w:sz w:val="20"/>
          <w:szCs w:val="20"/>
        </w:rPr>
        <w:t xml:space="preserve"> </w:t>
      </w:r>
      <w:r w:rsidRPr="00441EE6">
        <w:rPr>
          <w:sz w:val="20"/>
        </w:rPr>
        <w:t>(</w:t>
      </w:r>
      <w:hyperlink r:id="rId13" w:history="1">
        <w:r w:rsidRPr="00441EE6">
          <w:rPr>
            <w:rStyle w:val="Hyperlink"/>
            <w:sz w:val="20"/>
            <w:szCs w:val="20"/>
          </w:rPr>
          <w:t>388</w:t>
        </w:r>
        <w:r w:rsidR="00D46632">
          <w:rPr>
            <w:rStyle w:val="Hyperlink"/>
            <w:sz w:val="20"/>
            <w:szCs w:val="20"/>
          </w:rPr>
          <w:t>1</w:t>
        </w:r>
        <w:r w:rsidRPr="00441EE6">
          <w:rPr>
            <w:rStyle w:val="Hyperlink"/>
            <w:sz w:val="20"/>
            <w:szCs w:val="20"/>
          </w:rPr>
          <w:t>0</w:t>
        </w:r>
      </w:hyperlink>
      <w:r w:rsidRPr="00441EE6">
        <w:rPr>
          <w:sz w:val="20"/>
        </w:rPr>
        <w:t>)</w:t>
      </w:r>
    </w:p>
    <w:p w:rsidR="00441EE6" w:rsidRPr="00441EE6" w:rsidRDefault="00441EE6" w:rsidP="00467616">
      <w:pPr>
        <w:ind w:left="357" w:hanging="357"/>
        <w:rPr>
          <w:sz w:val="20"/>
          <w:lang w:val="en-CA"/>
        </w:rPr>
      </w:pPr>
    </w:p>
    <w:p w:rsidR="00441EE6" w:rsidRPr="00441EE6" w:rsidRDefault="00441EE6" w:rsidP="00467616">
      <w:pPr>
        <w:pStyle w:val="SCCAppellantInfoAppellantInfo"/>
        <w:numPr>
          <w:ilvl w:val="0"/>
          <w:numId w:val="25"/>
        </w:numPr>
        <w:ind w:left="357" w:hanging="357"/>
        <w:rPr>
          <w:sz w:val="20"/>
          <w:szCs w:val="20"/>
        </w:rPr>
      </w:pPr>
      <w:r w:rsidRPr="00441EE6">
        <w:rPr>
          <w:i/>
          <w:sz w:val="20"/>
          <w:szCs w:val="20"/>
          <w:lang w:val="en-US"/>
        </w:rPr>
        <w:t>Tonu Elmar Petersoo v. Karinna Margaret Gerda Petersoo</w:t>
      </w:r>
      <w:r w:rsidRPr="00441EE6">
        <w:rPr>
          <w:sz w:val="20"/>
          <w:szCs w:val="20"/>
        </w:rPr>
        <w:t xml:space="preserve"> (Ont.) (Civil) (By Leave)</w:t>
      </w:r>
      <w:r>
        <w:rPr>
          <w:sz w:val="20"/>
          <w:szCs w:val="20"/>
        </w:rPr>
        <w:t xml:space="preserve"> </w:t>
      </w:r>
      <w:r w:rsidRPr="00441EE6">
        <w:rPr>
          <w:sz w:val="20"/>
        </w:rPr>
        <w:t>(</w:t>
      </w:r>
      <w:hyperlink r:id="rId14" w:history="1">
        <w:r w:rsidRPr="00441EE6">
          <w:rPr>
            <w:rStyle w:val="Hyperlink"/>
            <w:sz w:val="20"/>
            <w:szCs w:val="20"/>
          </w:rPr>
          <w:t>388</w:t>
        </w:r>
        <w:r w:rsidR="000B5E52">
          <w:rPr>
            <w:rStyle w:val="Hyperlink"/>
            <w:sz w:val="20"/>
            <w:szCs w:val="20"/>
          </w:rPr>
          <w:t>43</w:t>
        </w:r>
      </w:hyperlink>
      <w:r w:rsidRPr="00441EE6">
        <w:rPr>
          <w:sz w:val="20"/>
        </w:rPr>
        <w:t>)</w:t>
      </w:r>
    </w:p>
    <w:p w:rsidR="00441EE6" w:rsidRPr="00441EE6" w:rsidRDefault="00441EE6" w:rsidP="00467616">
      <w:pPr>
        <w:ind w:left="357" w:hanging="357"/>
        <w:rPr>
          <w:sz w:val="20"/>
          <w:lang w:val="en-CA"/>
        </w:rPr>
      </w:pPr>
    </w:p>
    <w:p w:rsidR="00441EE6" w:rsidRPr="00441EE6" w:rsidRDefault="00441EE6" w:rsidP="00467616">
      <w:pPr>
        <w:pStyle w:val="SCCAppellantInfoAppellantInfo"/>
        <w:numPr>
          <w:ilvl w:val="0"/>
          <w:numId w:val="25"/>
        </w:numPr>
        <w:ind w:left="357" w:hanging="357"/>
        <w:rPr>
          <w:sz w:val="20"/>
          <w:szCs w:val="20"/>
          <w:lang w:val="en-US"/>
        </w:rPr>
      </w:pPr>
      <w:r w:rsidRPr="00441EE6">
        <w:rPr>
          <w:i/>
          <w:sz w:val="20"/>
          <w:szCs w:val="20"/>
          <w:lang w:val="en-US"/>
        </w:rPr>
        <w:t>Kenneth Hill v. Brittany Beaver</w:t>
      </w:r>
      <w:r w:rsidRPr="00441EE6">
        <w:rPr>
          <w:sz w:val="20"/>
          <w:szCs w:val="20"/>
        </w:rPr>
        <w:t xml:space="preserve"> (Ont.) (Civil) (By Leave)</w:t>
      </w:r>
      <w:r>
        <w:rPr>
          <w:sz w:val="20"/>
          <w:szCs w:val="20"/>
        </w:rPr>
        <w:t xml:space="preserve"> </w:t>
      </w:r>
      <w:r w:rsidRPr="00441EE6">
        <w:rPr>
          <w:sz w:val="20"/>
        </w:rPr>
        <w:t>(</w:t>
      </w:r>
      <w:hyperlink r:id="rId15" w:history="1">
        <w:r w:rsidRPr="00441EE6">
          <w:rPr>
            <w:rStyle w:val="Hyperlink"/>
            <w:sz w:val="20"/>
            <w:szCs w:val="20"/>
          </w:rPr>
          <w:t>38</w:t>
        </w:r>
        <w:r w:rsidR="00E13649">
          <w:rPr>
            <w:rStyle w:val="Hyperlink"/>
            <w:sz w:val="20"/>
            <w:szCs w:val="20"/>
          </w:rPr>
          <w:t>792</w:t>
        </w:r>
      </w:hyperlink>
      <w:r w:rsidRPr="00441EE6">
        <w:rPr>
          <w:sz w:val="20"/>
        </w:rPr>
        <w:t>)</w:t>
      </w:r>
    </w:p>
    <w:p w:rsidR="001C4E12" w:rsidRDefault="001C4E12" w:rsidP="00467616">
      <w:pPr>
        <w:widowControl w:val="0"/>
        <w:ind w:left="357" w:hanging="357"/>
        <w:rPr>
          <w:sz w:val="20"/>
        </w:rPr>
      </w:pPr>
    </w:p>
    <w:p w:rsidR="003219B1" w:rsidRPr="00467616" w:rsidRDefault="003219B1" w:rsidP="00467616">
      <w:pPr>
        <w:pStyle w:val="ListParagraph"/>
        <w:numPr>
          <w:ilvl w:val="0"/>
          <w:numId w:val="25"/>
        </w:numPr>
        <w:ind w:left="357" w:hanging="357"/>
        <w:rPr>
          <w:sz w:val="20"/>
        </w:rPr>
      </w:pPr>
      <w:r w:rsidRPr="00467616">
        <w:rPr>
          <w:i/>
          <w:sz w:val="20"/>
        </w:rPr>
        <w:t>Roger Townsend v. Her Majesty the Queen</w:t>
      </w:r>
      <w:r w:rsidRPr="00467616">
        <w:rPr>
          <w:sz w:val="20"/>
        </w:rPr>
        <w:t xml:space="preserve"> (Ont.) (Criminal) (By Leave)</w:t>
      </w:r>
      <w:r w:rsidR="00C54B57" w:rsidRPr="00467616">
        <w:rPr>
          <w:sz w:val="20"/>
        </w:rPr>
        <w:t xml:space="preserve"> (</w:t>
      </w:r>
      <w:hyperlink r:id="rId16" w:history="1">
        <w:r w:rsidR="00C54B57" w:rsidRPr="00467616">
          <w:rPr>
            <w:rStyle w:val="Hyperlink"/>
            <w:sz w:val="20"/>
            <w:szCs w:val="20"/>
          </w:rPr>
          <w:t>38706</w:t>
        </w:r>
      </w:hyperlink>
      <w:r w:rsidR="00C54B57" w:rsidRPr="00467616">
        <w:rPr>
          <w:sz w:val="20"/>
        </w:rPr>
        <w:t>)</w:t>
      </w:r>
    </w:p>
    <w:p w:rsidR="003219B1" w:rsidRPr="00441EE6" w:rsidRDefault="003219B1" w:rsidP="00467616">
      <w:pPr>
        <w:widowControl w:val="0"/>
        <w:ind w:left="357" w:hanging="357"/>
        <w:rPr>
          <w:sz w:val="20"/>
        </w:rPr>
      </w:pPr>
    </w:p>
    <w:p w:rsidR="00B226F3" w:rsidRPr="00467616" w:rsidRDefault="00B226F3" w:rsidP="00467616">
      <w:pPr>
        <w:pStyle w:val="ListParagraph"/>
        <w:numPr>
          <w:ilvl w:val="0"/>
          <w:numId w:val="25"/>
        </w:numPr>
        <w:ind w:left="357" w:hanging="357"/>
        <w:rPr>
          <w:sz w:val="20"/>
          <w:lang w:val="en-CA"/>
        </w:rPr>
      </w:pPr>
      <w:r w:rsidRPr="00467616">
        <w:rPr>
          <w:i/>
          <w:sz w:val="20"/>
          <w:lang w:val="en-CA"/>
        </w:rPr>
        <w:t>Sean Lyndon Horse v. Her Majesty the Queen</w:t>
      </w:r>
      <w:r w:rsidRPr="00467616">
        <w:rPr>
          <w:i/>
          <w:sz w:val="20"/>
        </w:rPr>
        <w:t xml:space="preserve"> </w:t>
      </w:r>
      <w:r w:rsidR="00173064" w:rsidRPr="00467616">
        <w:rPr>
          <w:sz w:val="20"/>
        </w:rPr>
        <w:t>(Sask.) (Criminal) (By Leave)</w:t>
      </w:r>
      <w:r w:rsidRPr="00467616">
        <w:rPr>
          <w:sz w:val="20"/>
        </w:rPr>
        <w:t xml:space="preserve"> (</w:t>
      </w:r>
      <w:hyperlink r:id="rId17" w:history="1">
        <w:r w:rsidRPr="00467616">
          <w:rPr>
            <w:rStyle w:val="Hyperlink"/>
            <w:sz w:val="20"/>
            <w:szCs w:val="20"/>
          </w:rPr>
          <w:t>3880</w:t>
        </w:r>
        <w:r w:rsidR="00173064" w:rsidRPr="00467616">
          <w:rPr>
            <w:rStyle w:val="Hyperlink"/>
            <w:sz w:val="20"/>
            <w:szCs w:val="20"/>
          </w:rPr>
          <w:t>9</w:t>
        </w:r>
      </w:hyperlink>
      <w:r w:rsidRPr="00467616">
        <w:rPr>
          <w:sz w:val="20"/>
        </w:rPr>
        <w:t>)</w:t>
      </w:r>
    </w:p>
    <w:p w:rsidR="00B226F3" w:rsidRPr="00B226F3" w:rsidRDefault="00B226F3" w:rsidP="00467616">
      <w:pPr>
        <w:widowControl w:val="0"/>
        <w:autoSpaceDE w:val="0"/>
        <w:autoSpaceDN w:val="0"/>
        <w:adjustRightInd w:val="0"/>
        <w:ind w:left="357" w:hanging="357"/>
        <w:rPr>
          <w:sz w:val="20"/>
          <w:lang w:val="en-CA"/>
        </w:rPr>
      </w:pPr>
    </w:p>
    <w:p w:rsidR="00B226F3" w:rsidRPr="00467616" w:rsidRDefault="00B226F3" w:rsidP="00467616">
      <w:pPr>
        <w:pStyle w:val="ListParagraph"/>
        <w:numPr>
          <w:ilvl w:val="0"/>
          <w:numId w:val="25"/>
        </w:numPr>
        <w:ind w:left="357" w:hanging="357"/>
        <w:rPr>
          <w:sz w:val="20"/>
        </w:rPr>
      </w:pPr>
      <w:r w:rsidRPr="00467616">
        <w:rPr>
          <w:i/>
          <w:sz w:val="20"/>
          <w:lang w:val="en-CA"/>
        </w:rPr>
        <w:t xml:space="preserve">Many Mansions Spiritual Center, Inc. </w:t>
      </w:r>
      <w:r w:rsidRPr="00467616">
        <w:rPr>
          <w:i/>
          <w:sz w:val="20"/>
        </w:rPr>
        <w:t xml:space="preserve">v. </w:t>
      </w:r>
      <w:r w:rsidRPr="00467616">
        <w:rPr>
          <w:i/>
          <w:sz w:val="20"/>
          <w:lang w:val="en-CA"/>
        </w:rPr>
        <w:t>Minister of National Revenue</w:t>
      </w:r>
      <w:r w:rsidRPr="00467616">
        <w:rPr>
          <w:i/>
          <w:sz w:val="20"/>
        </w:rPr>
        <w:t xml:space="preserve"> </w:t>
      </w:r>
      <w:r w:rsidRPr="00467616">
        <w:rPr>
          <w:sz w:val="20"/>
        </w:rPr>
        <w:t>(F</w:t>
      </w:r>
      <w:r w:rsidR="006E1E87" w:rsidRPr="00467616">
        <w:rPr>
          <w:sz w:val="20"/>
        </w:rPr>
        <w:t>.</w:t>
      </w:r>
      <w:r w:rsidRPr="00467616">
        <w:rPr>
          <w:sz w:val="20"/>
        </w:rPr>
        <w:t>C</w:t>
      </w:r>
      <w:r w:rsidR="006E1E87" w:rsidRPr="00467616">
        <w:rPr>
          <w:sz w:val="20"/>
        </w:rPr>
        <w:t>.</w:t>
      </w:r>
      <w:r w:rsidR="007E7F06" w:rsidRPr="00467616">
        <w:rPr>
          <w:sz w:val="20"/>
        </w:rPr>
        <w:t>) (Civil) (By Leave)</w:t>
      </w:r>
      <w:r w:rsidRPr="00467616">
        <w:rPr>
          <w:sz w:val="20"/>
        </w:rPr>
        <w:t xml:space="preserve"> (</w:t>
      </w:r>
      <w:hyperlink r:id="rId18" w:history="1">
        <w:r w:rsidRPr="00467616">
          <w:rPr>
            <w:rStyle w:val="Hyperlink"/>
            <w:sz w:val="20"/>
            <w:szCs w:val="20"/>
          </w:rPr>
          <w:t>388</w:t>
        </w:r>
        <w:r w:rsidR="007E7F06" w:rsidRPr="00467616">
          <w:rPr>
            <w:rStyle w:val="Hyperlink"/>
            <w:sz w:val="20"/>
            <w:szCs w:val="20"/>
          </w:rPr>
          <w:t>1</w:t>
        </w:r>
        <w:r w:rsidRPr="00467616">
          <w:rPr>
            <w:rStyle w:val="Hyperlink"/>
            <w:sz w:val="20"/>
            <w:szCs w:val="20"/>
          </w:rPr>
          <w:t>5</w:t>
        </w:r>
      </w:hyperlink>
      <w:r w:rsidRPr="00467616">
        <w:rPr>
          <w:sz w:val="20"/>
        </w:rPr>
        <w:t>)</w:t>
      </w:r>
    </w:p>
    <w:p w:rsidR="00B226F3" w:rsidRPr="00B226F3" w:rsidRDefault="00B226F3" w:rsidP="00467616">
      <w:pPr>
        <w:widowControl w:val="0"/>
        <w:autoSpaceDE w:val="0"/>
        <w:autoSpaceDN w:val="0"/>
        <w:adjustRightInd w:val="0"/>
        <w:ind w:left="357" w:hanging="357"/>
        <w:rPr>
          <w:sz w:val="20"/>
          <w:lang w:val="en-CA"/>
        </w:rPr>
      </w:pPr>
    </w:p>
    <w:p w:rsidR="00B226F3" w:rsidRPr="00467616" w:rsidRDefault="00B226F3" w:rsidP="00467616">
      <w:pPr>
        <w:pStyle w:val="ListParagraph"/>
        <w:numPr>
          <w:ilvl w:val="0"/>
          <w:numId w:val="25"/>
        </w:numPr>
        <w:ind w:left="357" w:hanging="357"/>
        <w:rPr>
          <w:sz w:val="20"/>
        </w:rPr>
      </w:pPr>
      <w:r w:rsidRPr="00467616">
        <w:rPr>
          <w:i/>
          <w:sz w:val="20"/>
          <w:lang w:val="en-CA"/>
        </w:rPr>
        <w:t xml:space="preserve">Her Majesty the Queen in Right of the Province of British Columbia </w:t>
      </w:r>
      <w:r w:rsidRPr="00467616">
        <w:rPr>
          <w:i/>
          <w:sz w:val="20"/>
        </w:rPr>
        <w:t xml:space="preserve">v. </w:t>
      </w:r>
      <w:r w:rsidRPr="00467616">
        <w:rPr>
          <w:i/>
          <w:sz w:val="20"/>
          <w:lang w:val="en-CA"/>
        </w:rPr>
        <w:t xml:space="preserve">Teal Cedar Products Ltd. </w:t>
      </w:r>
      <w:r w:rsidRPr="00467616">
        <w:rPr>
          <w:sz w:val="20"/>
          <w:lang w:val="en-CA"/>
        </w:rPr>
        <w:t>(B.C.) (Civil) (By Leave)</w:t>
      </w:r>
      <w:r w:rsidRPr="00467616">
        <w:rPr>
          <w:sz w:val="20"/>
        </w:rPr>
        <w:t xml:space="preserve"> (</w:t>
      </w:r>
      <w:hyperlink r:id="rId19" w:history="1">
        <w:r w:rsidRPr="00467616">
          <w:rPr>
            <w:rStyle w:val="Hyperlink"/>
            <w:sz w:val="20"/>
            <w:szCs w:val="20"/>
          </w:rPr>
          <w:t>38</w:t>
        </w:r>
        <w:r w:rsidR="00FE6DE2" w:rsidRPr="00467616">
          <w:rPr>
            <w:rStyle w:val="Hyperlink"/>
            <w:sz w:val="20"/>
            <w:szCs w:val="20"/>
          </w:rPr>
          <w:t>7</w:t>
        </w:r>
        <w:r w:rsidRPr="00467616">
          <w:rPr>
            <w:rStyle w:val="Hyperlink"/>
            <w:sz w:val="20"/>
            <w:szCs w:val="20"/>
          </w:rPr>
          <w:t>8</w:t>
        </w:r>
        <w:r w:rsidR="00FE6DE2" w:rsidRPr="00467616">
          <w:rPr>
            <w:rStyle w:val="Hyperlink"/>
            <w:sz w:val="20"/>
            <w:szCs w:val="20"/>
          </w:rPr>
          <w:t>9</w:t>
        </w:r>
      </w:hyperlink>
      <w:r w:rsidRPr="00467616">
        <w:rPr>
          <w:sz w:val="20"/>
        </w:rPr>
        <w:t>)</w:t>
      </w:r>
    </w:p>
    <w:p w:rsidR="00B226F3" w:rsidRPr="00B226F3" w:rsidRDefault="00B226F3" w:rsidP="00467616">
      <w:pPr>
        <w:widowControl w:val="0"/>
        <w:autoSpaceDE w:val="0"/>
        <w:autoSpaceDN w:val="0"/>
        <w:adjustRightInd w:val="0"/>
        <w:ind w:left="357" w:hanging="357"/>
        <w:rPr>
          <w:sz w:val="20"/>
          <w:lang w:val="en-CA"/>
        </w:rPr>
      </w:pPr>
    </w:p>
    <w:p w:rsidR="00B226F3" w:rsidRPr="00467616" w:rsidRDefault="00B226F3" w:rsidP="00467616">
      <w:pPr>
        <w:pStyle w:val="ListParagraph"/>
        <w:numPr>
          <w:ilvl w:val="0"/>
          <w:numId w:val="25"/>
        </w:numPr>
        <w:ind w:left="357" w:hanging="357"/>
        <w:rPr>
          <w:sz w:val="20"/>
        </w:rPr>
      </w:pPr>
      <w:r w:rsidRPr="00467616">
        <w:rPr>
          <w:i/>
          <w:sz w:val="20"/>
          <w:lang w:val="en-CA"/>
        </w:rPr>
        <w:t xml:space="preserve">Susan Leah Santics </w:t>
      </w:r>
      <w:r w:rsidRPr="00467616">
        <w:rPr>
          <w:i/>
          <w:sz w:val="20"/>
        </w:rPr>
        <w:t xml:space="preserve">v. </w:t>
      </w:r>
      <w:r w:rsidRPr="00467616">
        <w:rPr>
          <w:i/>
          <w:sz w:val="20"/>
          <w:lang w:val="en-CA"/>
        </w:rPr>
        <w:t>Bob Cristofoli, Animal Control Officer for the City of Vancouver</w:t>
      </w:r>
      <w:r w:rsidRPr="00467616">
        <w:rPr>
          <w:i/>
          <w:sz w:val="20"/>
        </w:rPr>
        <w:t xml:space="preserve"> </w:t>
      </w:r>
      <w:r w:rsidRPr="00467616">
        <w:rPr>
          <w:sz w:val="20"/>
        </w:rPr>
        <w:t>(B.C.) (Civil) (By Leave) (</w:t>
      </w:r>
      <w:hyperlink r:id="rId20" w:history="1">
        <w:r w:rsidRPr="00467616">
          <w:rPr>
            <w:rStyle w:val="Hyperlink"/>
            <w:sz w:val="20"/>
            <w:szCs w:val="20"/>
          </w:rPr>
          <w:t>388</w:t>
        </w:r>
        <w:r w:rsidR="00A964C7" w:rsidRPr="00467616">
          <w:rPr>
            <w:rStyle w:val="Hyperlink"/>
            <w:sz w:val="20"/>
            <w:szCs w:val="20"/>
          </w:rPr>
          <w:t>16</w:t>
        </w:r>
      </w:hyperlink>
      <w:r w:rsidRPr="00467616">
        <w:rPr>
          <w:sz w:val="20"/>
        </w:rPr>
        <w:t>)</w:t>
      </w:r>
    </w:p>
    <w:p w:rsidR="00B226F3" w:rsidRPr="00B226F3" w:rsidRDefault="00B226F3" w:rsidP="00467616">
      <w:pPr>
        <w:widowControl w:val="0"/>
        <w:autoSpaceDE w:val="0"/>
        <w:autoSpaceDN w:val="0"/>
        <w:adjustRightInd w:val="0"/>
        <w:ind w:left="357" w:hanging="357"/>
        <w:rPr>
          <w:sz w:val="20"/>
          <w:lang w:val="en-CA"/>
        </w:rPr>
      </w:pPr>
    </w:p>
    <w:p w:rsidR="00B226F3" w:rsidRPr="00467616" w:rsidRDefault="00B226F3" w:rsidP="00467616">
      <w:pPr>
        <w:pStyle w:val="ListParagraph"/>
        <w:numPr>
          <w:ilvl w:val="0"/>
          <w:numId w:val="25"/>
        </w:numPr>
        <w:ind w:left="357" w:hanging="357"/>
        <w:rPr>
          <w:sz w:val="20"/>
        </w:rPr>
      </w:pPr>
      <w:r w:rsidRPr="00467616">
        <w:rPr>
          <w:i/>
          <w:sz w:val="20"/>
          <w:lang w:val="en-CA"/>
        </w:rPr>
        <w:t xml:space="preserve">Rain Coast Water Corp. </w:t>
      </w:r>
      <w:r w:rsidRPr="00467616">
        <w:rPr>
          <w:i/>
          <w:sz w:val="20"/>
        </w:rPr>
        <w:t xml:space="preserve">v. </w:t>
      </w:r>
      <w:r w:rsidRPr="00467616">
        <w:rPr>
          <w:i/>
          <w:sz w:val="20"/>
          <w:lang w:val="en-CA"/>
        </w:rPr>
        <w:t xml:space="preserve">Her Majesty the Queen in </w:t>
      </w:r>
      <w:r w:rsidR="0052266F" w:rsidRPr="00467616">
        <w:rPr>
          <w:i/>
          <w:sz w:val="20"/>
          <w:lang w:val="en-CA"/>
        </w:rPr>
        <w:t>R</w:t>
      </w:r>
      <w:r w:rsidRPr="00467616">
        <w:rPr>
          <w:i/>
          <w:sz w:val="20"/>
          <w:lang w:val="en-CA"/>
        </w:rPr>
        <w:t xml:space="preserve">ight of the Province of British Columbia, et al. </w:t>
      </w:r>
      <w:r w:rsidRPr="00467616">
        <w:rPr>
          <w:sz w:val="20"/>
          <w:lang w:val="en-CA"/>
        </w:rPr>
        <w:t>(B.C.) (Civil) (By Leave)</w:t>
      </w:r>
      <w:r w:rsidRPr="00467616">
        <w:rPr>
          <w:sz w:val="20"/>
        </w:rPr>
        <w:t xml:space="preserve"> (</w:t>
      </w:r>
      <w:hyperlink r:id="rId21" w:history="1">
        <w:r w:rsidRPr="00467616">
          <w:rPr>
            <w:rStyle w:val="Hyperlink"/>
            <w:sz w:val="20"/>
            <w:szCs w:val="20"/>
          </w:rPr>
          <w:t>38</w:t>
        </w:r>
        <w:r w:rsidR="00830846" w:rsidRPr="00467616">
          <w:rPr>
            <w:rStyle w:val="Hyperlink"/>
            <w:sz w:val="20"/>
            <w:szCs w:val="20"/>
          </w:rPr>
          <w:t>791</w:t>
        </w:r>
      </w:hyperlink>
      <w:r w:rsidRPr="00467616">
        <w:rPr>
          <w:sz w:val="20"/>
        </w:rPr>
        <w:t>)</w:t>
      </w:r>
    </w:p>
    <w:p w:rsidR="00B226F3" w:rsidRPr="00B226F3" w:rsidRDefault="00B226F3" w:rsidP="00467616">
      <w:pPr>
        <w:widowControl w:val="0"/>
        <w:autoSpaceDE w:val="0"/>
        <w:autoSpaceDN w:val="0"/>
        <w:adjustRightInd w:val="0"/>
        <w:ind w:left="357" w:hanging="357"/>
        <w:rPr>
          <w:sz w:val="20"/>
          <w:lang w:val="en-CA"/>
        </w:rPr>
      </w:pPr>
    </w:p>
    <w:p w:rsidR="00B226F3" w:rsidRPr="00467616" w:rsidRDefault="00B226F3" w:rsidP="00467616">
      <w:pPr>
        <w:pStyle w:val="ListParagraph"/>
        <w:numPr>
          <w:ilvl w:val="0"/>
          <w:numId w:val="25"/>
        </w:numPr>
        <w:ind w:left="357" w:hanging="357"/>
        <w:rPr>
          <w:sz w:val="20"/>
          <w:lang w:val="en-CA"/>
        </w:rPr>
      </w:pPr>
      <w:r w:rsidRPr="00467616">
        <w:rPr>
          <w:i/>
          <w:sz w:val="20"/>
          <w:lang w:val="en-CA"/>
        </w:rPr>
        <w:t>West Van Holdings Ltd., et al. v. Economical Mutual Insurance Company, et al.</w:t>
      </w:r>
      <w:r w:rsidRPr="00467616">
        <w:rPr>
          <w:i/>
          <w:sz w:val="20"/>
        </w:rPr>
        <w:t xml:space="preserve"> </w:t>
      </w:r>
      <w:r w:rsidRPr="00467616">
        <w:rPr>
          <w:sz w:val="20"/>
        </w:rPr>
        <w:t>(</w:t>
      </w:r>
      <w:r w:rsidRPr="00467616">
        <w:rPr>
          <w:sz w:val="20"/>
          <w:lang w:val="en-CA"/>
        </w:rPr>
        <w:t xml:space="preserve">B.C.) (Civil) (By Leave) </w:t>
      </w:r>
      <w:r w:rsidRPr="00467616">
        <w:rPr>
          <w:sz w:val="20"/>
        </w:rPr>
        <w:t>(</w:t>
      </w:r>
      <w:hyperlink r:id="rId22" w:history="1">
        <w:r w:rsidRPr="00467616">
          <w:rPr>
            <w:rStyle w:val="Hyperlink"/>
            <w:sz w:val="20"/>
            <w:szCs w:val="20"/>
          </w:rPr>
          <w:t>38</w:t>
        </w:r>
        <w:r w:rsidR="00AD23F3" w:rsidRPr="00467616">
          <w:rPr>
            <w:rStyle w:val="Hyperlink"/>
            <w:sz w:val="20"/>
            <w:szCs w:val="20"/>
          </w:rPr>
          <w:t>711</w:t>
        </w:r>
      </w:hyperlink>
      <w:r w:rsidRPr="00467616">
        <w:rPr>
          <w:sz w:val="20"/>
        </w:rPr>
        <w:t>)</w:t>
      </w:r>
    </w:p>
    <w:p w:rsidR="002866D9" w:rsidRDefault="002866D9" w:rsidP="006A22CA">
      <w:pPr>
        <w:ind w:left="142" w:hanging="142"/>
        <w:jc w:val="both"/>
        <w:rPr>
          <w:sz w:val="20"/>
        </w:rPr>
      </w:pPr>
    </w:p>
    <w:p w:rsidR="00A37BE5" w:rsidRPr="007C110A" w:rsidRDefault="00F37A97" w:rsidP="001569CE">
      <w:pPr>
        <w:jc w:val="both"/>
        <w:rPr>
          <w:sz w:val="20"/>
        </w:rPr>
      </w:pPr>
      <w:r w:rsidRPr="007C110A">
        <w:rPr>
          <w:sz w:val="20"/>
        </w:rPr>
        <w:pict>
          <v:rect id="_x0000_i1027" style="width:2in;height:1pt" o:hrpct="0" o:hralign="center" o:hrstd="t" o:hrnoshade="t" o:hr="t" fillcolor="black [3213]" stroked="f"/>
        </w:pict>
      </w:r>
    </w:p>
    <w:p w:rsidR="00CC10A8" w:rsidRPr="007C110A" w:rsidRDefault="00CC10A8" w:rsidP="0046761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7616" w:rsidRPr="007C110A" w:rsidTr="002B11AE">
        <w:tc>
          <w:tcPr>
            <w:tcW w:w="543" w:type="pct"/>
          </w:tcPr>
          <w:p w:rsidR="00467616" w:rsidRPr="007C110A" w:rsidRDefault="00467616" w:rsidP="002B11AE">
            <w:pPr>
              <w:jc w:val="both"/>
              <w:rPr>
                <w:sz w:val="20"/>
              </w:rPr>
            </w:pPr>
            <w:r w:rsidRPr="007C110A">
              <w:rPr>
                <w:rStyle w:val="SCCFileNumberChar"/>
                <w:sz w:val="20"/>
                <w:szCs w:val="20"/>
              </w:rPr>
              <w:t>38672</w:t>
            </w:r>
          </w:p>
        </w:tc>
        <w:tc>
          <w:tcPr>
            <w:tcW w:w="4457" w:type="pct"/>
            <w:gridSpan w:val="3"/>
          </w:tcPr>
          <w:p w:rsidR="00467616" w:rsidRPr="007C110A" w:rsidRDefault="00467616" w:rsidP="002B11AE">
            <w:pPr>
              <w:pStyle w:val="SCCLsocParty"/>
              <w:jc w:val="both"/>
              <w:rPr>
                <w:b/>
                <w:sz w:val="20"/>
                <w:szCs w:val="20"/>
                <w:lang w:val="en-US"/>
              </w:rPr>
            </w:pPr>
            <w:r w:rsidRPr="007C110A">
              <w:rPr>
                <w:b/>
                <w:sz w:val="20"/>
                <w:szCs w:val="20"/>
                <w:lang w:val="en-US"/>
              </w:rPr>
              <w:t>Her Majesty the Queen v. Michael Philip Simard</w:t>
            </w:r>
          </w:p>
          <w:p w:rsidR="00467616" w:rsidRPr="007C110A" w:rsidRDefault="00467616" w:rsidP="002B11AE">
            <w:pPr>
              <w:jc w:val="both"/>
              <w:rPr>
                <w:sz w:val="20"/>
              </w:rPr>
            </w:pPr>
            <w:r w:rsidRPr="007C110A">
              <w:rPr>
                <w:sz w:val="20"/>
              </w:rPr>
              <w:t>(B.C.) (Criminal) (By Leave)</w:t>
            </w:r>
          </w:p>
        </w:tc>
      </w:tr>
      <w:tr w:rsidR="00467616" w:rsidRPr="007C110A" w:rsidTr="002B11AE">
        <w:tc>
          <w:tcPr>
            <w:tcW w:w="5000" w:type="pct"/>
            <w:gridSpan w:val="4"/>
          </w:tcPr>
          <w:p w:rsidR="00467616" w:rsidRPr="007C110A" w:rsidRDefault="00467616" w:rsidP="002B11AE">
            <w:pPr>
              <w:jc w:val="both"/>
              <w:rPr>
                <w:sz w:val="20"/>
              </w:rPr>
            </w:pPr>
            <w:r w:rsidRPr="007C110A">
              <w:rPr>
                <w:i/>
                <w:sz w:val="20"/>
              </w:rPr>
              <w:t xml:space="preserve">Charter of Rights and Freedoms </w:t>
            </w:r>
            <w:r w:rsidRPr="007C110A">
              <w:rPr>
                <w:sz w:val="20"/>
              </w:rPr>
              <w:t xml:space="preserve">— Right to liberty — Criminal law — Provocation — Definition of provocation — Whether amendments to </w:t>
            </w:r>
            <w:r w:rsidRPr="007C110A">
              <w:rPr>
                <w:i/>
                <w:sz w:val="20"/>
              </w:rPr>
              <w:t xml:space="preserve">Criminal Code </w:t>
            </w:r>
            <w:r w:rsidRPr="007C110A">
              <w:rPr>
                <w:sz w:val="20"/>
              </w:rPr>
              <w:t xml:space="preserve">limiting provocation provision to conduct by the victim that would constitute an indictable offence punishable by five or more years of imprisonment is contrary to s. 7 of the </w:t>
            </w:r>
            <w:r w:rsidRPr="007C110A">
              <w:rPr>
                <w:i/>
                <w:sz w:val="20"/>
              </w:rPr>
              <w:t>Charter</w:t>
            </w:r>
            <w:r w:rsidRPr="007C110A">
              <w:rPr>
                <w:sz w:val="20"/>
              </w:rPr>
              <w:t xml:space="preserve"> — Whether limit is overbroad, arbitrary and grossly disproportionate — Whether limit violates principle of fundamental justice that an act must be voluntary to attract criminal liability — </w:t>
            </w:r>
            <w:r w:rsidRPr="007C110A">
              <w:rPr>
                <w:i/>
                <w:sz w:val="20"/>
              </w:rPr>
              <w:t>Criminal Code</w:t>
            </w:r>
            <w:r w:rsidRPr="007C110A">
              <w:rPr>
                <w:sz w:val="20"/>
              </w:rPr>
              <w:t>, s. 232(2)</w:t>
            </w:r>
          </w:p>
        </w:tc>
      </w:tr>
      <w:tr w:rsidR="00467616" w:rsidRPr="007C110A" w:rsidTr="002B11AE">
        <w:tc>
          <w:tcPr>
            <w:tcW w:w="5000" w:type="pct"/>
            <w:gridSpan w:val="4"/>
          </w:tcPr>
          <w:p w:rsidR="00467616" w:rsidRPr="007C110A" w:rsidRDefault="00467616" w:rsidP="002B11AE">
            <w:pPr>
              <w:jc w:val="both"/>
              <w:rPr>
                <w:sz w:val="20"/>
              </w:rPr>
            </w:pPr>
          </w:p>
        </w:tc>
      </w:tr>
      <w:tr w:rsidR="00467616" w:rsidRPr="007C110A" w:rsidTr="002B11AE">
        <w:tc>
          <w:tcPr>
            <w:tcW w:w="5000" w:type="pct"/>
            <w:gridSpan w:val="4"/>
          </w:tcPr>
          <w:p w:rsidR="00467616" w:rsidRPr="007C110A" w:rsidRDefault="00467616" w:rsidP="002B11AE">
            <w:pPr>
              <w:pStyle w:val="subsection"/>
              <w:numPr>
                <w:ilvl w:val="0"/>
                <w:numId w:val="26"/>
              </w:numPr>
              <w:spacing w:before="0" w:after="0"/>
              <w:ind w:left="0"/>
              <w:jc w:val="both"/>
              <w:rPr>
                <w:sz w:val="20"/>
                <w:szCs w:val="20"/>
              </w:rPr>
            </w:pPr>
            <w:r w:rsidRPr="007C110A">
              <w:rPr>
                <w:sz w:val="20"/>
                <w:szCs w:val="20"/>
              </w:rPr>
              <w:t xml:space="preserve">Mr. Simard fatally shot his girlfriend and her former boyfriend after she cancelled weekend plans with him so that she could spend the weekend with her former boyfriend. At his trial on two counts of second degree murder, Mr. Simard claimed provocation. Section 232 of the </w:t>
            </w:r>
            <w:r w:rsidRPr="007C110A">
              <w:rPr>
                <w:i/>
                <w:sz w:val="20"/>
                <w:szCs w:val="20"/>
              </w:rPr>
              <w:t xml:space="preserve">Criminal Code </w:t>
            </w:r>
            <w:r w:rsidRPr="007C110A">
              <w:rPr>
                <w:sz w:val="20"/>
                <w:szCs w:val="20"/>
              </w:rPr>
              <w:t>sets out that c</w:t>
            </w:r>
            <w:proofErr w:type="spellStart"/>
            <w:r w:rsidRPr="007C110A">
              <w:rPr>
                <w:sz w:val="20"/>
                <w:szCs w:val="20"/>
                <w:lang w:val="en"/>
              </w:rPr>
              <w:t>ulpable</w:t>
            </w:r>
            <w:proofErr w:type="spellEnd"/>
            <w:r w:rsidRPr="007C110A">
              <w:rPr>
                <w:sz w:val="20"/>
                <w:szCs w:val="20"/>
                <w:lang w:val="en"/>
              </w:rPr>
              <w:t xml:space="preserve"> homicide that otherwise would be murder may be reduced to manslaughter if the person who committed it did so in the heat of passion caused by sudden provocation.</w:t>
            </w:r>
            <w:r w:rsidRPr="007C110A">
              <w:rPr>
                <w:rFonts w:eastAsiaTheme="minorHAnsi" w:cstheme="minorBidi"/>
                <w:sz w:val="20"/>
                <w:szCs w:val="20"/>
                <w:lang w:val="en-CA"/>
              </w:rPr>
              <w:t xml:space="preserve"> However, </w:t>
            </w:r>
            <w:r w:rsidRPr="007C110A">
              <w:rPr>
                <w:sz w:val="20"/>
                <w:szCs w:val="20"/>
              </w:rPr>
              <w:t xml:space="preserve">s. 232(2) of the </w:t>
            </w:r>
            <w:r w:rsidRPr="007C110A">
              <w:rPr>
                <w:i/>
                <w:sz w:val="20"/>
                <w:szCs w:val="20"/>
              </w:rPr>
              <w:t xml:space="preserve">Criminal Code </w:t>
            </w:r>
            <w:r w:rsidRPr="007C110A">
              <w:rPr>
                <w:sz w:val="20"/>
                <w:szCs w:val="20"/>
              </w:rPr>
              <w:t xml:space="preserve">in part limits provocation to </w:t>
            </w:r>
            <w:r w:rsidRPr="007C110A">
              <w:rPr>
                <w:sz w:val="20"/>
                <w:szCs w:val="20"/>
                <w:lang w:val="en"/>
              </w:rPr>
              <w:t>conduct of the victim that would constitute an indictable offence punishable by five or more years of imprisonment</w:t>
            </w:r>
            <w:r w:rsidRPr="007C110A">
              <w:rPr>
                <w:sz w:val="20"/>
                <w:szCs w:val="20"/>
              </w:rPr>
              <w:t xml:space="preserve">. Mr. Simard applied for a declaration that this limitation breaches s. 7 of the </w:t>
            </w:r>
            <w:r w:rsidRPr="007C110A">
              <w:rPr>
                <w:i/>
                <w:sz w:val="20"/>
                <w:szCs w:val="20"/>
              </w:rPr>
              <w:t>Charter of Rights and Freedoms</w:t>
            </w:r>
            <w:r w:rsidRPr="007C110A">
              <w:rPr>
                <w:sz w:val="20"/>
                <w:szCs w:val="20"/>
              </w:rPr>
              <w:t xml:space="preserve"> and a constitutional remedy. The trial judge granted the motion and severed the words that set out the limitation. The trial judge rejected Mr. Simard’s claim of provocation and convicted Mr. Simard as charged on both counts of second degree murder. Mr. Simard did not appeal the convictions. Crown counsel seeks leave to appeal from the constitutional decision.</w:t>
            </w:r>
          </w:p>
          <w:p w:rsidR="00467616" w:rsidRPr="007C110A" w:rsidRDefault="00467616" w:rsidP="002B11AE">
            <w:pPr>
              <w:jc w:val="both"/>
              <w:rPr>
                <w:sz w:val="20"/>
              </w:rPr>
            </w:pPr>
          </w:p>
        </w:tc>
      </w:tr>
      <w:tr w:rsidR="00467616" w:rsidRPr="007C110A" w:rsidTr="002B11AE">
        <w:tc>
          <w:tcPr>
            <w:tcW w:w="2427" w:type="pct"/>
            <w:gridSpan w:val="2"/>
          </w:tcPr>
          <w:p w:rsidR="00467616" w:rsidRPr="007C110A" w:rsidRDefault="00467616" w:rsidP="002B11AE">
            <w:pPr>
              <w:jc w:val="both"/>
              <w:rPr>
                <w:sz w:val="20"/>
              </w:rPr>
            </w:pPr>
            <w:r w:rsidRPr="007C110A">
              <w:rPr>
                <w:sz w:val="20"/>
              </w:rPr>
              <w:t>December 28, 2018</w:t>
            </w:r>
          </w:p>
          <w:p w:rsidR="00467616" w:rsidRPr="007C110A" w:rsidRDefault="00467616" w:rsidP="002B11AE">
            <w:pPr>
              <w:jc w:val="both"/>
              <w:rPr>
                <w:sz w:val="20"/>
              </w:rPr>
            </w:pPr>
            <w:r w:rsidRPr="007C110A">
              <w:rPr>
                <w:sz w:val="20"/>
              </w:rPr>
              <w:t xml:space="preserve">Supreme Court of British Columbia </w:t>
            </w:r>
          </w:p>
          <w:p w:rsidR="00467616" w:rsidRPr="007C110A" w:rsidRDefault="00467616" w:rsidP="002B11AE">
            <w:pPr>
              <w:jc w:val="both"/>
              <w:rPr>
                <w:sz w:val="20"/>
              </w:rPr>
            </w:pPr>
            <w:r w:rsidRPr="007C110A">
              <w:rPr>
                <w:sz w:val="20"/>
              </w:rPr>
              <w:t>(Courtenay)</w:t>
            </w:r>
          </w:p>
          <w:p w:rsidR="00467616" w:rsidRPr="007C110A" w:rsidRDefault="00467616" w:rsidP="002B11AE">
            <w:pPr>
              <w:jc w:val="both"/>
              <w:rPr>
                <w:sz w:val="20"/>
              </w:rPr>
            </w:pPr>
            <w:r w:rsidRPr="007C110A">
              <w:rPr>
                <w:sz w:val="20"/>
              </w:rPr>
              <w:t xml:space="preserve">(Thompson J.) </w:t>
            </w:r>
          </w:p>
          <w:p w:rsidR="00467616" w:rsidRPr="007C110A" w:rsidRDefault="00F37A97" w:rsidP="002B11AE">
            <w:pPr>
              <w:jc w:val="both"/>
              <w:rPr>
                <w:sz w:val="20"/>
              </w:rPr>
            </w:pPr>
            <w:hyperlink r:id="rId23" w:history="1">
              <w:r w:rsidR="00467616" w:rsidRPr="007C110A">
                <w:rPr>
                  <w:rStyle w:val="Hyperlink"/>
                  <w:sz w:val="20"/>
                </w:rPr>
                <w:t>2019 BCSC 531</w:t>
              </w:r>
            </w:hyperlink>
            <w:r w:rsidR="00467616" w:rsidRPr="007C110A">
              <w:rPr>
                <w:sz w:val="20"/>
              </w:rPr>
              <w:t>; 40400</w:t>
            </w:r>
            <w:r w:rsidR="00467616" w:rsidRPr="007C110A">
              <w:rPr>
                <w:sz w:val="20"/>
              </w:rPr>
              <w:noBreakHyphen/>
              <w:t>2</w:t>
            </w:r>
          </w:p>
          <w:p w:rsidR="00467616" w:rsidRPr="007C110A" w:rsidRDefault="00467616" w:rsidP="002B11AE">
            <w:pPr>
              <w:jc w:val="both"/>
              <w:rPr>
                <w:sz w:val="20"/>
              </w:rPr>
            </w:pPr>
          </w:p>
        </w:tc>
        <w:tc>
          <w:tcPr>
            <w:tcW w:w="243" w:type="pct"/>
          </w:tcPr>
          <w:p w:rsidR="00467616" w:rsidRPr="007C110A" w:rsidRDefault="00467616" w:rsidP="002B11AE">
            <w:pPr>
              <w:jc w:val="both"/>
              <w:rPr>
                <w:sz w:val="20"/>
              </w:rPr>
            </w:pPr>
          </w:p>
        </w:tc>
        <w:tc>
          <w:tcPr>
            <w:tcW w:w="2330" w:type="pct"/>
          </w:tcPr>
          <w:p w:rsidR="00467616" w:rsidRPr="007C110A" w:rsidRDefault="00467616" w:rsidP="002B11AE">
            <w:pPr>
              <w:jc w:val="both"/>
              <w:rPr>
                <w:sz w:val="20"/>
              </w:rPr>
            </w:pPr>
            <w:r w:rsidRPr="007C110A">
              <w:rPr>
                <w:sz w:val="20"/>
              </w:rPr>
              <w:t xml:space="preserve">Ruling that amendments to s. 232(2) of </w:t>
            </w:r>
            <w:r w:rsidRPr="007C110A">
              <w:rPr>
                <w:i/>
                <w:sz w:val="20"/>
              </w:rPr>
              <w:t>Criminal Code</w:t>
            </w:r>
            <w:r w:rsidRPr="007C110A">
              <w:rPr>
                <w:sz w:val="20"/>
              </w:rPr>
              <w:t xml:space="preserve"> infringe s. 7 of </w:t>
            </w:r>
            <w:r w:rsidRPr="007C110A">
              <w:rPr>
                <w:i/>
                <w:sz w:val="20"/>
              </w:rPr>
              <w:t>Charter</w:t>
            </w:r>
            <w:r w:rsidRPr="007C110A">
              <w:rPr>
                <w:sz w:val="20"/>
              </w:rPr>
              <w:t xml:space="preserve"> and words severed from s. 232(2)</w:t>
            </w:r>
          </w:p>
          <w:p w:rsidR="00467616" w:rsidRPr="007C110A" w:rsidRDefault="00467616" w:rsidP="002B11AE">
            <w:pPr>
              <w:jc w:val="both"/>
              <w:rPr>
                <w:sz w:val="20"/>
              </w:rPr>
            </w:pPr>
          </w:p>
        </w:tc>
      </w:tr>
      <w:tr w:rsidR="00467616" w:rsidRPr="007C110A" w:rsidTr="002B11AE">
        <w:tc>
          <w:tcPr>
            <w:tcW w:w="2427" w:type="pct"/>
            <w:gridSpan w:val="2"/>
          </w:tcPr>
          <w:p w:rsidR="00467616" w:rsidRPr="007C110A" w:rsidRDefault="00467616" w:rsidP="002B11AE">
            <w:pPr>
              <w:jc w:val="both"/>
              <w:rPr>
                <w:sz w:val="20"/>
              </w:rPr>
            </w:pPr>
            <w:r w:rsidRPr="007C110A">
              <w:rPr>
                <w:sz w:val="20"/>
              </w:rPr>
              <w:t>March 18, 2019</w:t>
            </w:r>
          </w:p>
          <w:p w:rsidR="00467616" w:rsidRPr="007C110A" w:rsidRDefault="00467616" w:rsidP="002B11AE">
            <w:pPr>
              <w:jc w:val="both"/>
              <w:rPr>
                <w:sz w:val="20"/>
              </w:rPr>
            </w:pPr>
            <w:r w:rsidRPr="007C110A">
              <w:rPr>
                <w:sz w:val="20"/>
              </w:rPr>
              <w:t>Supreme Court of British Columbia</w:t>
            </w:r>
          </w:p>
          <w:p w:rsidR="00467616" w:rsidRPr="007C110A" w:rsidRDefault="00467616" w:rsidP="002B11AE">
            <w:pPr>
              <w:jc w:val="both"/>
              <w:rPr>
                <w:sz w:val="20"/>
              </w:rPr>
            </w:pPr>
            <w:r w:rsidRPr="007C110A">
              <w:rPr>
                <w:sz w:val="20"/>
              </w:rPr>
              <w:t>(Courtenay)</w:t>
            </w:r>
          </w:p>
          <w:p w:rsidR="00467616" w:rsidRPr="007C110A" w:rsidRDefault="00467616" w:rsidP="002B11AE">
            <w:pPr>
              <w:jc w:val="both"/>
              <w:rPr>
                <w:sz w:val="20"/>
              </w:rPr>
            </w:pPr>
            <w:r w:rsidRPr="007C110A">
              <w:rPr>
                <w:sz w:val="20"/>
              </w:rPr>
              <w:t>(Thompson J.)</w:t>
            </w:r>
          </w:p>
          <w:p w:rsidR="00467616" w:rsidRPr="007C110A" w:rsidRDefault="00F37A97" w:rsidP="002B11AE">
            <w:pPr>
              <w:jc w:val="both"/>
              <w:rPr>
                <w:sz w:val="20"/>
              </w:rPr>
            </w:pPr>
            <w:hyperlink r:id="rId24" w:history="1">
              <w:r w:rsidR="00467616" w:rsidRPr="007C110A">
                <w:rPr>
                  <w:rStyle w:val="Hyperlink"/>
                  <w:sz w:val="20"/>
                </w:rPr>
                <w:t>2019 BCSC 532</w:t>
              </w:r>
            </w:hyperlink>
            <w:r w:rsidR="00467616" w:rsidRPr="007C110A">
              <w:rPr>
                <w:sz w:val="20"/>
              </w:rPr>
              <w:t xml:space="preserve">; </w:t>
            </w:r>
            <w:r w:rsidR="00467616" w:rsidRPr="007C110A">
              <w:rPr>
                <w:color w:val="000000"/>
                <w:sz w:val="20"/>
                <w:lang w:val="en"/>
              </w:rPr>
              <w:t>40400</w:t>
            </w:r>
            <w:r w:rsidR="00467616" w:rsidRPr="007C110A">
              <w:rPr>
                <w:color w:val="000000"/>
                <w:sz w:val="20"/>
                <w:lang w:val="en"/>
              </w:rPr>
              <w:noBreakHyphen/>
              <w:t>2</w:t>
            </w:r>
          </w:p>
          <w:p w:rsidR="00467616" w:rsidRPr="007C110A" w:rsidRDefault="00467616" w:rsidP="002B11AE">
            <w:pPr>
              <w:jc w:val="both"/>
              <w:rPr>
                <w:sz w:val="20"/>
              </w:rPr>
            </w:pPr>
          </w:p>
        </w:tc>
        <w:tc>
          <w:tcPr>
            <w:tcW w:w="243" w:type="pct"/>
          </w:tcPr>
          <w:p w:rsidR="00467616" w:rsidRPr="007C110A" w:rsidRDefault="00467616" w:rsidP="002B11AE">
            <w:pPr>
              <w:jc w:val="both"/>
              <w:rPr>
                <w:sz w:val="20"/>
              </w:rPr>
            </w:pPr>
          </w:p>
        </w:tc>
        <w:tc>
          <w:tcPr>
            <w:tcW w:w="2330" w:type="pct"/>
          </w:tcPr>
          <w:p w:rsidR="00467616" w:rsidRPr="007C110A" w:rsidRDefault="00467616" w:rsidP="002B11AE">
            <w:pPr>
              <w:jc w:val="both"/>
              <w:rPr>
                <w:sz w:val="20"/>
              </w:rPr>
            </w:pPr>
            <w:r w:rsidRPr="007C110A">
              <w:rPr>
                <w:sz w:val="20"/>
              </w:rPr>
              <w:t>Convictions on two counts second degree murder</w:t>
            </w:r>
          </w:p>
        </w:tc>
      </w:tr>
      <w:tr w:rsidR="00467616" w:rsidRPr="007C110A" w:rsidTr="002B11AE">
        <w:tc>
          <w:tcPr>
            <w:tcW w:w="2427" w:type="pct"/>
            <w:gridSpan w:val="2"/>
          </w:tcPr>
          <w:p w:rsidR="00467616" w:rsidRPr="007C110A" w:rsidRDefault="00467616" w:rsidP="002B11AE">
            <w:pPr>
              <w:jc w:val="both"/>
              <w:rPr>
                <w:sz w:val="20"/>
              </w:rPr>
            </w:pPr>
            <w:r w:rsidRPr="007C110A">
              <w:rPr>
                <w:sz w:val="20"/>
              </w:rPr>
              <w:t>May 31, 2019</w:t>
            </w:r>
          </w:p>
          <w:p w:rsidR="00467616" w:rsidRPr="007C110A" w:rsidRDefault="00467616" w:rsidP="002B11AE">
            <w:pPr>
              <w:jc w:val="both"/>
              <w:rPr>
                <w:sz w:val="20"/>
              </w:rPr>
            </w:pPr>
            <w:r w:rsidRPr="007C110A">
              <w:rPr>
                <w:sz w:val="20"/>
              </w:rPr>
              <w:t>Supreme Court of Canada</w:t>
            </w:r>
          </w:p>
        </w:tc>
        <w:tc>
          <w:tcPr>
            <w:tcW w:w="243" w:type="pct"/>
          </w:tcPr>
          <w:p w:rsidR="00467616" w:rsidRPr="007C110A" w:rsidRDefault="00467616" w:rsidP="002B11AE">
            <w:pPr>
              <w:jc w:val="both"/>
              <w:rPr>
                <w:sz w:val="20"/>
              </w:rPr>
            </w:pPr>
          </w:p>
        </w:tc>
        <w:tc>
          <w:tcPr>
            <w:tcW w:w="2330" w:type="pct"/>
          </w:tcPr>
          <w:p w:rsidR="00467616" w:rsidRPr="007C110A" w:rsidRDefault="00467616" w:rsidP="002B11AE">
            <w:pPr>
              <w:jc w:val="both"/>
              <w:rPr>
                <w:sz w:val="20"/>
              </w:rPr>
            </w:pPr>
            <w:r w:rsidRPr="007C110A">
              <w:rPr>
                <w:sz w:val="20"/>
              </w:rPr>
              <w:t>Motion to extend time to serve and file application for leave to appeal and Application for leave to appeal filed</w:t>
            </w:r>
          </w:p>
        </w:tc>
      </w:tr>
    </w:tbl>
    <w:p w:rsidR="00467616" w:rsidRPr="007C110A" w:rsidRDefault="00467616" w:rsidP="00467616">
      <w:pPr>
        <w:ind w:left="142" w:hanging="142"/>
        <w:jc w:val="both"/>
        <w:rPr>
          <w:sz w:val="20"/>
        </w:rPr>
      </w:pPr>
    </w:p>
    <w:p w:rsidR="00467616" w:rsidRPr="007C110A" w:rsidRDefault="00F37A97" w:rsidP="00467616">
      <w:pPr>
        <w:ind w:left="142" w:hanging="142"/>
        <w:jc w:val="both"/>
        <w:rPr>
          <w:sz w:val="20"/>
        </w:rPr>
      </w:pPr>
      <w:r w:rsidRPr="007C110A">
        <w:rPr>
          <w:sz w:val="20"/>
        </w:rPr>
        <w:pict>
          <v:rect id="_x0000_i1028" style="width:2in;height:1pt" o:hrpct="0" o:hralign="center" o:hrstd="t" o:hrnoshade="t" o:hr="t" fillcolor="black [3213]" stroked="f"/>
        </w:pict>
      </w:r>
    </w:p>
    <w:p w:rsidR="00467616" w:rsidRPr="007C110A" w:rsidRDefault="00467616" w:rsidP="0046761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7616" w:rsidRPr="007C110A" w:rsidTr="00E95A6A">
        <w:tc>
          <w:tcPr>
            <w:tcW w:w="543" w:type="pct"/>
          </w:tcPr>
          <w:p w:rsidR="00467616" w:rsidRPr="007C110A" w:rsidRDefault="00467616" w:rsidP="00467616">
            <w:pPr>
              <w:jc w:val="both"/>
              <w:rPr>
                <w:sz w:val="20"/>
                <w:lang w:val="fr-CA"/>
              </w:rPr>
            </w:pPr>
            <w:r w:rsidRPr="007C110A">
              <w:rPr>
                <w:rStyle w:val="SCCFileNumberChar"/>
                <w:sz w:val="20"/>
                <w:szCs w:val="20"/>
                <w:lang w:val="fr-CA"/>
              </w:rPr>
              <w:t>38672</w:t>
            </w:r>
          </w:p>
        </w:tc>
        <w:tc>
          <w:tcPr>
            <w:tcW w:w="4457" w:type="pct"/>
            <w:gridSpan w:val="3"/>
          </w:tcPr>
          <w:p w:rsidR="00467616" w:rsidRPr="007C110A" w:rsidRDefault="00467616" w:rsidP="00467616">
            <w:pPr>
              <w:pStyle w:val="SCCLsocParty"/>
              <w:jc w:val="both"/>
              <w:rPr>
                <w:b/>
                <w:sz w:val="20"/>
                <w:szCs w:val="20"/>
              </w:rPr>
            </w:pPr>
            <w:r w:rsidRPr="007C110A">
              <w:rPr>
                <w:b/>
                <w:sz w:val="20"/>
                <w:szCs w:val="20"/>
              </w:rPr>
              <w:t>Sa Majesté la Reine c. Michael Philip Simard</w:t>
            </w:r>
          </w:p>
          <w:p w:rsidR="00467616" w:rsidRPr="007C110A" w:rsidRDefault="00467616" w:rsidP="00467616">
            <w:pPr>
              <w:jc w:val="both"/>
              <w:rPr>
                <w:sz w:val="20"/>
                <w:lang w:val="fr-CA"/>
              </w:rPr>
            </w:pPr>
            <w:r w:rsidRPr="007C110A">
              <w:rPr>
                <w:sz w:val="20"/>
                <w:lang w:val="fr-CA"/>
              </w:rPr>
              <w:t>(C.</w:t>
            </w:r>
            <w:r w:rsidRPr="007C110A">
              <w:rPr>
                <w:sz w:val="20"/>
                <w:lang w:val="fr-CA"/>
              </w:rPr>
              <w:noBreakHyphen/>
              <w:t>B.) (Criminelle) (Autorisation)</w:t>
            </w:r>
          </w:p>
        </w:tc>
      </w:tr>
      <w:tr w:rsidR="00467616" w:rsidRPr="007C110A" w:rsidTr="00E95A6A">
        <w:tc>
          <w:tcPr>
            <w:tcW w:w="5000" w:type="pct"/>
            <w:gridSpan w:val="4"/>
          </w:tcPr>
          <w:p w:rsidR="00467616" w:rsidRPr="007C110A" w:rsidRDefault="00467616" w:rsidP="00467616">
            <w:pPr>
              <w:jc w:val="both"/>
              <w:rPr>
                <w:sz w:val="20"/>
                <w:lang w:val="fr-CA"/>
              </w:rPr>
            </w:pPr>
            <w:r w:rsidRPr="007C110A">
              <w:rPr>
                <w:i/>
                <w:sz w:val="20"/>
                <w:lang w:val="fr-CA"/>
              </w:rPr>
              <w:t xml:space="preserve">Charte des droits et libertés </w:t>
            </w:r>
            <w:r w:rsidRPr="007C110A">
              <w:rPr>
                <w:sz w:val="20"/>
                <w:lang w:val="fr-CA"/>
              </w:rPr>
              <w:t xml:space="preserve">— Droit à la liberté — Droit criminel — Provocation — Définition de la provocation — Les modifications apportées au </w:t>
            </w:r>
            <w:r w:rsidRPr="007C110A">
              <w:rPr>
                <w:i/>
                <w:sz w:val="20"/>
                <w:lang w:val="fr-CA"/>
              </w:rPr>
              <w:t xml:space="preserve">Code criminel </w:t>
            </w:r>
            <w:r w:rsidRPr="007C110A">
              <w:rPr>
                <w:sz w:val="20"/>
                <w:lang w:val="fr-CA"/>
              </w:rPr>
              <w:t>limitant la disposition sur la provocation à la conduite de la victime, qui constituerait un acte criminel passible d’un emprisonnement de cinq ans ou plus, sont</w:t>
            </w:r>
            <w:r w:rsidRPr="007C110A">
              <w:rPr>
                <w:sz w:val="20"/>
                <w:lang w:val="fr-CA"/>
              </w:rPr>
              <w:noBreakHyphen/>
              <w:t xml:space="preserve">elles contraires à l’art. 7 de la </w:t>
            </w:r>
            <w:r w:rsidRPr="007C110A">
              <w:rPr>
                <w:i/>
                <w:sz w:val="20"/>
                <w:lang w:val="fr-CA"/>
              </w:rPr>
              <w:t>Charte</w:t>
            </w:r>
            <w:r w:rsidRPr="007C110A">
              <w:rPr>
                <w:sz w:val="20"/>
                <w:lang w:val="fr-CA"/>
              </w:rPr>
              <w:t>? — La limite est</w:t>
            </w:r>
            <w:r w:rsidRPr="007C110A">
              <w:rPr>
                <w:sz w:val="20"/>
                <w:lang w:val="fr-CA"/>
              </w:rPr>
              <w:noBreakHyphen/>
              <w:t xml:space="preserve">elle de portée excessive, arbitraire et exagérément disproportionnée? — La limite </w:t>
            </w:r>
            <w:r w:rsidRPr="007C110A">
              <w:rPr>
                <w:sz w:val="20"/>
                <w:lang w:val="fr-CA"/>
              </w:rPr>
              <w:lastRenderedPageBreak/>
              <w:t>viole</w:t>
            </w:r>
            <w:r w:rsidRPr="007C110A">
              <w:rPr>
                <w:sz w:val="20"/>
                <w:lang w:val="fr-CA"/>
              </w:rPr>
              <w:noBreakHyphen/>
              <w:t>t</w:t>
            </w:r>
            <w:r w:rsidRPr="007C110A">
              <w:rPr>
                <w:sz w:val="20"/>
                <w:lang w:val="fr-CA"/>
              </w:rPr>
              <w:noBreakHyphen/>
              <w:t xml:space="preserve">elle le principe de justice fondamentale voulant qu’un acte doive être volontaire pour engager la responsabilité criminelle? — </w:t>
            </w:r>
            <w:r w:rsidRPr="007C110A">
              <w:rPr>
                <w:i/>
                <w:sz w:val="20"/>
                <w:lang w:val="fr-CA"/>
              </w:rPr>
              <w:t>Code criminel</w:t>
            </w:r>
            <w:r w:rsidRPr="007C110A">
              <w:rPr>
                <w:sz w:val="20"/>
                <w:lang w:val="fr-CA"/>
              </w:rPr>
              <w:t>, par. 232(2)</w:t>
            </w:r>
          </w:p>
        </w:tc>
      </w:tr>
      <w:tr w:rsidR="00467616" w:rsidRPr="007C110A" w:rsidTr="00E95A6A">
        <w:tc>
          <w:tcPr>
            <w:tcW w:w="5000" w:type="pct"/>
            <w:gridSpan w:val="4"/>
          </w:tcPr>
          <w:p w:rsidR="00467616" w:rsidRPr="007C110A" w:rsidRDefault="00467616" w:rsidP="00467616">
            <w:pPr>
              <w:jc w:val="both"/>
              <w:rPr>
                <w:sz w:val="20"/>
                <w:lang w:val="fr-CA"/>
              </w:rPr>
            </w:pPr>
          </w:p>
        </w:tc>
      </w:tr>
      <w:tr w:rsidR="00467616" w:rsidRPr="007C110A" w:rsidTr="00E95A6A">
        <w:tc>
          <w:tcPr>
            <w:tcW w:w="5000" w:type="pct"/>
            <w:gridSpan w:val="4"/>
          </w:tcPr>
          <w:p w:rsidR="00467616" w:rsidRPr="007C110A" w:rsidRDefault="00467616" w:rsidP="00467616">
            <w:pPr>
              <w:pStyle w:val="subsection"/>
              <w:numPr>
                <w:ilvl w:val="0"/>
                <w:numId w:val="26"/>
              </w:numPr>
              <w:spacing w:before="0" w:after="0"/>
              <w:ind w:left="0"/>
              <w:jc w:val="both"/>
              <w:rPr>
                <w:sz w:val="20"/>
                <w:szCs w:val="20"/>
                <w:lang w:val="fr-CA"/>
              </w:rPr>
            </w:pPr>
            <w:r w:rsidRPr="007C110A">
              <w:rPr>
                <w:sz w:val="20"/>
                <w:szCs w:val="20"/>
                <w:lang w:val="fr-CA"/>
              </w:rPr>
              <w:t xml:space="preserve">Monsieur Simard a mortellement abattu sa petite amie et l’ancien petit ami de cette dernière après qu’elle eut annulé des projets de fin de semaine avec lui pour qu’elle puisse passer la fin de semaine avec son ancien petit ami. À son procès pour répondre à deux chefs de meurtre au deuxième degré, M. Simard a invoqué la provocation. L’article 232 du </w:t>
            </w:r>
            <w:r w:rsidRPr="007C110A">
              <w:rPr>
                <w:i/>
                <w:sz w:val="20"/>
                <w:szCs w:val="20"/>
                <w:lang w:val="fr-CA"/>
              </w:rPr>
              <w:t xml:space="preserve">Code criminel </w:t>
            </w:r>
            <w:r w:rsidRPr="007C110A">
              <w:rPr>
                <w:sz w:val="20"/>
                <w:szCs w:val="20"/>
                <w:lang w:val="fr-CA"/>
              </w:rPr>
              <w:t>prévoit qu’un homicide coupable qui autrement serait un meurtre peut être réduit à un homicide involontaire coupable si la personne qui l’a commis a ainsi agi dans un accès de colère causé par une provocation soudaine.</w:t>
            </w:r>
            <w:r w:rsidRPr="007C110A">
              <w:rPr>
                <w:rFonts w:eastAsiaTheme="minorHAnsi" w:cstheme="minorBidi"/>
                <w:sz w:val="20"/>
                <w:szCs w:val="20"/>
                <w:lang w:val="fr-CA"/>
              </w:rPr>
              <w:t xml:space="preserve"> Toutefois, </w:t>
            </w:r>
            <w:r w:rsidRPr="007C110A">
              <w:rPr>
                <w:sz w:val="20"/>
                <w:szCs w:val="20"/>
                <w:lang w:val="fr-CA"/>
              </w:rPr>
              <w:t xml:space="preserve">le par. 232(2) du </w:t>
            </w:r>
            <w:r w:rsidRPr="007C110A">
              <w:rPr>
                <w:i/>
                <w:sz w:val="20"/>
                <w:szCs w:val="20"/>
                <w:lang w:val="fr-CA"/>
              </w:rPr>
              <w:t xml:space="preserve">Code criminel </w:t>
            </w:r>
            <w:r w:rsidRPr="007C110A">
              <w:rPr>
                <w:sz w:val="20"/>
                <w:szCs w:val="20"/>
                <w:lang w:val="fr-CA"/>
              </w:rPr>
              <w:t xml:space="preserve">limite la provocation à une conduite de la victime, qui constituerait un acte criminel passible d’un emprisonnement de cinq ans ou plus. Monsieur Simard a demandé un jugement déclarant que cette restriction viole l’art. 7 de la </w:t>
            </w:r>
            <w:r w:rsidRPr="007C110A">
              <w:rPr>
                <w:i/>
                <w:sz w:val="20"/>
                <w:szCs w:val="20"/>
                <w:lang w:val="fr-CA"/>
              </w:rPr>
              <w:t>Charte des droits et libertés</w:t>
            </w:r>
            <w:r w:rsidRPr="007C110A">
              <w:rPr>
                <w:sz w:val="20"/>
                <w:szCs w:val="20"/>
                <w:lang w:val="fr-CA"/>
              </w:rPr>
              <w:t xml:space="preserve"> et une réparation d’ordre constitutionnel. Le juge du procès a accueilli la requête et a retranché les mots qui prévoyaient la restriction. Le juge du procès a rejeté l’allégation de provocation faite par M. Simard et a déclaré coupable M. Simard des accusations portées contre lui, à savoir deux chefs de meurtre au deuxième degré. Monsieur Simard n’a pas interjeté appel des déclarations de culpabilité. L’avocat de la Couronne demande l’autorisation d’appel de la décision en matière constitutionnelle.</w:t>
            </w:r>
          </w:p>
          <w:p w:rsidR="00467616" w:rsidRPr="007C110A" w:rsidRDefault="00467616" w:rsidP="00467616">
            <w:pPr>
              <w:jc w:val="both"/>
              <w:rPr>
                <w:sz w:val="20"/>
                <w:lang w:val="fr-CA"/>
              </w:rPr>
            </w:pPr>
          </w:p>
        </w:tc>
      </w:tr>
      <w:tr w:rsidR="00467616" w:rsidRPr="007C110A" w:rsidTr="00E95A6A">
        <w:tc>
          <w:tcPr>
            <w:tcW w:w="2427" w:type="pct"/>
            <w:gridSpan w:val="2"/>
          </w:tcPr>
          <w:p w:rsidR="00467616" w:rsidRPr="007C110A" w:rsidRDefault="00467616" w:rsidP="00467616">
            <w:pPr>
              <w:jc w:val="both"/>
              <w:rPr>
                <w:sz w:val="20"/>
                <w:lang w:val="fr-CA"/>
              </w:rPr>
            </w:pPr>
            <w:r w:rsidRPr="007C110A">
              <w:rPr>
                <w:sz w:val="20"/>
                <w:lang w:val="fr-CA"/>
              </w:rPr>
              <w:t>28 décembre 2018</w:t>
            </w:r>
          </w:p>
          <w:p w:rsidR="00467616" w:rsidRPr="007C110A" w:rsidRDefault="00467616" w:rsidP="00467616">
            <w:pPr>
              <w:jc w:val="both"/>
              <w:rPr>
                <w:sz w:val="20"/>
                <w:lang w:val="fr-CA"/>
              </w:rPr>
            </w:pPr>
            <w:r w:rsidRPr="007C110A">
              <w:rPr>
                <w:sz w:val="20"/>
                <w:lang w:val="fr-CA"/>
              </w:rPr>
              <w:t>Cour suprême de la Colombie</w:t>
            </w:r>
            <w:r w:rsidRPr="007C110A">
              <w:rPr>
                <w:sz w:val="20"/>
                <w:lang w:val="fr-CA"/>
              </w:rPr>
              <w:noBreakHyphen/>
              <w:t>Britannique</w:t>
            </w:r>
          </w:p>
          <w:p w:rsidR="00467616" w:rsidRPr="007C110A" w:rsidRDefault="00467616" w:rsidP="00467616">
            <w:pPr>
              <w:jc w:val="both"/>
              <w:rPr>
                <w:sz w:val="20"/>
                <w:lang w:val="fr-CA"/>
              </w:rPr>
            </w:pPr>
            <w:r w:rsidRPr="007C110A">
              <w:rPr>
                <w:sz w:val="20"/>
                <w:lang w:val="fr-CA"/>
              </w:rPr>
              <w:t>(Courtenay)</w:t>
            </w:r>
          </w:p>
          <w:p w:rsidR="00467616" w:rsidRPr="007C110A" w:rsidRDefault="00467616" w:rsidP="00467616">
            <w:pPr>
              <w:jc w:val="both"/>
              <w:rPr>
                <w:sz w:val="20"/>
                <w:lang w:val="fr-CA"/>
              </w:rPr>
            </w:pPr>
            <w:r w:rsidRPr="007C110A">
              <w:rPr>
                <w:sz w:val="20"/>
                <w:lang w:val="fr-CA"/>
              </w:rPr>
              <w:t xml:space="preserve">(Juge Thompson) </w:t>
            </w:r>
          </w:p>
          <w:p w:rsidR="00467616" w:rsidRPr="007C110A" w:rsidRDefault="00F37A97" w:rsidP="00467616">
            <w:pPr>
              <w:jc w:val="both"/>
              <w:rPr>
                <w:sz w:val="20"/>
                <w:lang w:val="fr-CA"/>
              </w:rPr>
            </w:pPr>
            <w:hyperlink r:id="rId25" w:history="1">
              <w:r w:rsidR="00467616" w:rsidRPr="007C110A">
                <w:rPr>
                  <w:rStyle w:val="Hyperlink"/>
                  <w:sz w:val="20"/>
                  <w:lang w:val="fr-CA"/>
                </w:rPr>
                <w:t>2019 BCSC 531</w:t>
              </w:r>
            </w:hyperlink>
            <w:r w:rsidR="00467616" w:rsidRPr="007C110A">
              <w:rPr>
                <w:sz w:val="20"/>
                <w:lang w:val="fr-CA"/>
              </w:rPr>
              <w:t>; 40400</w:t>
            </w:r>
            <w:r w:rsidR="00467616" w:rsidRPr="007C110A">
              <w:rPr>
                <w:sz w:val="20"/>
                <w:lang w:val="fr-CA"/>
              </w:rPr>
              <w:noBreakHyphen/>
              <w:t>2</w:t>
            </w:r>
          </w:p>
          <w:p w:rsidR="00467616" w:rsidRPr="007C110A" w:rsidRDefault="00467616" w:rsidP="00467616">
            <w:pPr>
              <w:jc w:val="both"/>
              <w:rPr>
                <w:sz w:val="20"/>
                <w:lang w:val="fr-CA"/>
              </w:rPr>
            </w:pPr>
          </w:p>
        </w:tc>
        <w:tc>
          <w:tcPr>
            <w:tcW w:w="243" w:type="pct"/>
          </w:tcPr>
          <w:p w:rsidR="00467616" w:rsidRPr="007C110A" w:rsidRDefault="00467616" w:rsidP="00467616">
            <w:pPr>
              <w:jc w:val="both"/>
              <w:rPr>
                <w:sz w:val="20"/>
                <w:lang w:val="fr-CA"/>
              </w:rPr>
            </w:pPr>
          </w:p>
        </w:tc>
        <w:tc>
          <w:tcPr>
            <w:tcW w:w="2330" w:type="pct"/>
          </w:tcPr>
          <w:p w:rsidR="00467616" w:rsidRPr="007C110A" w:rsidRDefault="00467616" w:rsidP="00467616">
            <w:pPr>
              <w:jc w:val="both"/>
              <w:rPr>
                <w:sz w:val="20"/>
                <w:lang w:val="fr-CA"/>
              </w:rPr>
            </w:pPr>
            <w:r w:rsidRPr="007C110A">
              <w:rPr>
                <w:sz w:val="20"/>
                <w:lang w:val="fr-CA"/>
              </w:rPr>
              <w:t xml:space="preserve">Jugement déclarant que les modifications apportées au par. 232(2) du </w:t>
            </w:r>
            <w:r w:rsidRPr="007C110A">
              <w:rPr>
                <w:i/>
                <w:sz w:val="20"/>
                <w:lang w:val="fr-CA"/>
              </w:rPr>
              <w:t>Code criminel</w:t>
            </w:r>
            <w:r w:rsidRPr="007C110A">
              <w:rPr>
                <w:sz w:val="20"/>
                <w:lang w:val="fr-CA"/>
              </w:rPr>
              <w:t xml:space="preserve"> violent l’art. 7 de la </w:t>
            </w:r>
            <w:r w:rsidRPr="007C110A">
              <w:rPr>
                <w:i/>
                <w:sz w:val="20"/>
                <w:lang w:val="fr-CA"/>
              </w:rPr>
              <w:t>Charte</w:t>
            </w:r>
            <w:r w:rsidRPr="007C110A">
              <w:rPr>
                <w:sz w:val="20"/>
                <w:lang w:val="fr-CA"/>
              </w:rPr>
              <w:t xml:space="preserve"> et retranchant des mots du par. 232(2)</w:t>
            </w:r>
          </w:p>
          <w:p w:rsidR="00467616" w:rsidRPr="007C110A" w:rsidRDefault="00467616" w:rsidP="00467616">
            <w:pPr>
              <w:jc w:val="both"/>
              <w:rPr>
                <w:sz w:val="20"/>
                <w:lang w:val="fr-CA"/>
              </w:rPr>
            </w:pPr>
          </w:p>
        </w:tc>
      </w:tr>
      <w:tr w:rsidR="00467616" w:rsidRPr="007C110A" w:rsidTr="00E95A6A">
        <w:tc>
          <w:tcPr>
            <w:tcW w:w="2427" w:type="pct"/>
            <w:gridSpan w:val="2"/>
          </w:tcPr>
          <w:p w:rsidR="00467616" w:rsidRPr="007C110A" w:rsidRDefault="00467616" w:rsidP="00467616">
            <w:pPr>
              <w:jc w:val="both"/>
              <w:rPr>
                <w:sz w:val="20"/>
                <w:lang w:val="fr-CA"/>
              </w:rPr>
            </w:pPr>
            <w:r w:rsidRPr="007C110A">
              <w:rPr>
                <w:sz w:val="20"/>
                <w:lang w:val="fr-CA"/>
              </w:rPr>
              <w:t>18 mars 2019</w:t>
            </w:r>
          </w:p>
          <w:p w:rsidR="00467616" w:rsidRPr="007C110A" w:rsidRDefault="00467616" w:rsidP="00467616">
            <w:pPr>
              <w:jc w:val="both"/>
              <w:rPr>
                <w:sz w:val="20"/>
                <w:lang w:val="fr-CA"/>
              </w:rPr>
            </w:pPr>
            <w:r w:rsidRPr="007C110A">
              <w:rPr>
                <w:sz w:val="20"/>
                <w:lang w:val="fr-CA"/>
              </w:rPr>
              <w:t>Cour suprême de la Colombie</w:t>
            </w:r>
            <w:r w:rsidRPr="007C110A">
              <w:rPr>
                <w:sz w:val="20"/>
                <w:lang w:val="fr-CA"/>
              </w:rPr>
              <w:noBreakHyphen/>
              <w:t>Britannique</w:t>
            </w:r>
          </w:p>
          <w:p w:rsidR="00467616" w:rsidRPr="007C110A" w:rsidRDefault="00467616" w:rsidP="00467616">
            <w:pPr>
              <w:jc w:val="both"/>
              <w:rPr>
                <w:sz w:val="20"/>
                <w:lang w:val="fr-CA"/>
              </w:rPr>
            </w:pPr>
            <w:r w:rsidRPr="007C110A">
              <w:rPr>
                <w:sz w:val="20"/>
                <w:lang w:val="fr-CA"/>
              </w:rPr>
              <w:t>(Courtenay)</w:t>
            </w:r>
          </w:p>
          <w:p w:rsidR="00467616" w:rsidRPr="007C110A" w:rsidRDefault="00467616" w:rsidP="00467616">
            <w:pPr>
              <w:jc w:val="both"/>
              <w:rPr>
                <w:sz w:val="20"/>
                <w:lang w:val="fr-CA"/>
              </w:rPr>
            </w:pPr>
            <w:r w:rsidRPr="007C110A">
              <w:rPr>
                <w:sz w:val="20"/>
                <w:lang w:val="fr-CA"/>
              </w:rPr>
              <w:t>(Juge Thompson)</w:t>
            </w:r>
          </w:p>
          <w:p w:rsidR="00467616" w:rsidRPr="007C110A" w:rsidRDefault="00F37A97" w:rsidP="00467616">
            <w:pPr>
              <w:jc w:val="both"/>
              <w:rPr>
                <w:sz w:val="20"/>
                <w:lang w:val="fr-CA"/>
              </w:rPr>
            </w:pPr>
            <w:hyperlink r:id="rId26" w:history="1">
              <w:r w:rsidR="00467616" w:rsidRPr="007C110A">
                <w:rPr>
                  <w:rStyle w:val="Hyperlink"/>
                  <w:sz w:val="20"/>
                  <w:lang w:val="fr-CA"/>
                </w:rPr>
                <w:t>2019 BCSC 532</w:t>
              </w:r>
            </w:hyperlink>
            <w:r w:rsidR="00467616" w:rsidRPr="007C110A">
              <w:rPr>
                <w:sz w:val="20"/>
                <w:lang w:val="fr-CA"/>
              </w:rPr>
              <w:t xml:space="preserve">; </w:t>
            </w:r>
            <w:r w:rsidR="00467616" w:rsidRPr="007C110A">
              <w:rPr>
                <w:color w:val="000000"/>
                <w:sz w:val="20"/>
                <w:lang w:val="fr-CA"/>
              </w:rPr>
              <w:t>40400</w:t>
            </w:r>
            <w:r w:rsidR="00467616" w:rsidRPr="007C110A">
              <w:rPr>
                <w:color w:val="000000"/>
                <w:sz w:val="20"/>
                <w:lang w:val="fr-CA"/>
              </w:rPr>
              <w:noBreakHyphen/>
              <w:t>2</w:t>
            </w:r>
          </w:p>
          <w:p w:rsidR="00467616" w:rsidRPr="007C110A" w:rsidRDefault="00467616" w:rsidP="00467616">
            <w:pPr>
              <w:jc w:val="both"/>
              <w:rPr>
                <w:sz w:val="20"/>
                <w:lang w:val="fr-CA"/>
              </w:rPr>
            </w:pPr>
          </w:p>
        </w:tc>
        <w:tc>
          <w:tcPr>
            <w:tcW w:w="243" w:type="pct"/>
          </w:tcPr>
          <w:p w:rsidR="00467616" w:rsidRPr="007C110A" w:rsidRDefault="00467616" w:rsidP="00467616">
            <w:pPr>
              <w:jc w:val="both"/>
              <w:rPr>
                <w:sz w:val="20"/>
                <w:lang w:val="fr-CA"/>
              </w:rPr>
            </w:pPr>
          </w:p>
        </w:tc>
        <w:tc>
          <w:tcPr>
            <w:tcW w:w="2330" w:type="pct"/>
          </w:tcPr>
          <w:p w:rsidR="00467616" w:rsidRPr="007C110A" w:rsidRDefault="00467616" w:rsidP="00467616">
            <w:pPr>
              <w:jc w:val="both"/>
              <w:rPr>
                <w:sz w:val="20"/>
                <w:lang w:val="fr-CA"/>
              </w:rPr>
            </w:pPr>
            <w:r w:rsidRPr="007C110A">
              <w:rPr>
                <w:sz w:val="20"/>
                <w:lang w:val="fr-CA"/>
              </w:rPr>
              <w:t>Déclarations de culpabilité relativement à deux chefs de meurtre au deuxième degré</w:t>
            </w:r>
          </w:p>
        </w:tc>
      </w:tr>
      <w:tr w:rsidR="00467616" w:rsidRPr="007C110A" w:rsidTr="00E95A6A">
        <w:tc>
          <w:tcPr>
            <w:tcW w:w="2427" w:type="pct"/>
            <w:gridSpan w:val="2"/>
          </w:tcPr>
          <w:p w:rsidR="00467616" w:rsidRPr="007C110A" w:rsidRDefault="00467616" w:rsidP="00467616">
            <w:pPr>
              <w:jc w:val="both"/>
              <w:rPr>
                <w:sz w:val="20"/>
                <w:lang w:val="fr-CA"/>
              </w:rPr>
            </w:pPr>
            <w:r w:rsidRPr="007C110A">
              <w:rPr>
                <w:sz w:val="20"/>
                <w:lang w:val="fr-CA"/>
              </w:rPr>
              <w:t>31 mai 2019</w:t>
            </w:r>
          </w:p>
          <w:p w:rsidR="00467616" w:rsidRPr="007C110A" w:rsidRDefault="00467616" w:rsidP="00467616">
            <w:pPr>
              <w:jc w:val="both"/>
              <w:rPr>
                <w:sz w:val="20"/>
                <w:lang w:val="fr-CA"/>
              </w:rPr>
            </w:pPr>
            <w:r w:rsidRPr="007C110A">
              <w:rPr>
                <w:sz w:val="20"/>
                <w:lang w:val="fr-CA"/>
              </w:rPr>
              <w:t>Cour suprême du Canada</w:t>
            </w:r>
          </w:p>
        </w:tc>
        <w:tc>
          <w:tcPr>
            <w:tcW w:w="243" w:type="pct"/>
          </w:tcPr>
          <w:p w:rsidR="00467616" w:rsidRPr="007C110A" w:rsidRDefault="00467616" w:rsidP="00467616">
            <w:pPr>
              <w:jc w:val="both"/>
              <w:rPr>
                <w:sz w:val="20"/>
                <w:lang w:val="fr-CA"/>
              </w:rPr>
            </w:pPr>
          </w:p>
        </w:tc>
        <w:tc>
          <w:tcPr>
            <w:tcW w:w="2330" w:type="pct"/>
          </w:tcPr>
          <w:p w:rsidR="00467616" w:rsidRPr="007C110A" w:rsidRDefault="00467616" w:rsidP="00467616">
            <w:pPr>
              <w:jc w:val="both"/>
              <w:rPr>
                <w:sz w:val="20"/>
                <w:lang w:val="fr-CA"/>
              </w:rPr>
            </w:pPr>
            <w:r w:rsidRPr="007C110A">
              <w:rPr>
                <w:sz w:val="20"/>
                <w:lang w:val="fr-CA"/>
              </w:rPr>
              <w:t>Dépôt de la requête en prorogation du délai de signification et de dépôt de la demande d’autorisation d’appel et de la demande d’autorisation d’appel</w:t>
            </w:r>
          </w:p>
        </w:tc>
      </w:tr>
    </w:tbl>
    <w:p w:rsidR="00467616" w:rsidRPr="007C110A" w:rsidRDefault="00467616" w:rsidP="00467616">
      <w:pPr>
        <w:jc w:val="both"/>
        <w:rPr>
          <w:sz w:val="20"/>
          <w:lang w:val="fr-CA"/>
        </w:rPr>
      </w:pPr>
    </w:p>
    <w:p w:rsidR="00467616" w:rsidRPr="00467616" w:rsidRDefault="00F37A97" w:rsidP="00FE413B">
      <w:pPr>
        <w:ind w:left="142" w:hanging="142"/>
        <w:jc w:val="both"/>
        <w:rPr>
          <w:sz w:val="20"/>
        </w:rPr>
      </w:pPr>
      <w:r w:rsidRPr="007C110A">
        <w:rPr>
          <w:sz w:val="20"/>
        </w:rPr>
        <w:pict>
          <v:rect id="_x0000_i1029" style="width:2in;height:1pt" o:hrpct="0" o:hralign="center" o:hrstd="t" o:hrnoshade="t" o:hr="t" fillcolor="black [3213]" stroked="f"/>
        </w:pict>
      </w:r>
    </w:p>
    <w:p w:rsidR="00467616" w:rsidRDefault="00467616" w:rsidP="00FE413B">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lang w:val="en-CA"/>
              </w:rPr>
            </w:pPr>
            <w:r w:rsidRPr="007C110A">
              <w:rPr>
                <w:rStyle w:val="SCCFileNumberChar"/>
                <w:sz w:val="20"/>
                <w:szCs w:val="20"/>
              </w:rPr>
              <w:t>38769</w:t>
            </w:r>
          </w:p>
        </w:tc>
        <w:tc>
          <w:tcPr>
            <w:tcW w:w="4457" w:type="pct"/>
            <w:gridSpan w:val="3"/>
          </w:tcPr>
          <w:p w:rsidR="005221C4" w:rsidRPr="007C110A" w:rsidRDefault="005221C4" w:rsidP="00A866C4">
            <w:pPr>
              <w:pStyle w:val="SCCLsocParty"/>
              <w:jc w:val="both"/>
              <w:rPr>
                <w:b/>
                <w:sz w:val="20"/>
                <w:szCs w:val="20"/>
                <w:lang w:val="en-CA"/>
              </w:rPr>
            </w:pPr>
            <w:r w:rsidRPr="007C110A">
              <w:rPr>
                <w:b/>
                <w:sz w:val="20"/>
                <w:szCs w:val="20"/>
                <w:lang w:val="en-CA"/>
              </w:rPr>
              <w:t>Les Placements Antis inc. and Claudia Russo v. Raymond Chabot inc.</w:t>
            </w:r>
          </w:p>
          <w:p w:rsidR="005221C4" w:rsidRPr="007C110A" w:rsidRDefault="005221C4" w:rsidP="00A866C4">
            <w:pPr>
              <w:pStyle w:val="SCCLsocOtherPartySeparator"/>
              <w:rPr>
                <w:sz w:val="20"/>
                <w:szCs w:val="20"/>
                <w:lang w:val="en-CA"/>
              </w:rPr>
            </w:pPr>
            <w:r w:rsidRPr="007C110A">
              <w:rPr>
                <w:sz w:val="20"/>
                <w:szCs w:val="20"/>
                <w:lang w:val="en-CA"/>
              </w:rPr>
              <w:t>- and -</w:t>
            </w:r>
          </w:p>
          <w:p w:rsidR="005221C4" w:rsidRPr="007C110A" w:rsidRDefault="005221C4" w:rsidP="00A866C4">
            <w:pPr>
              <w:pStyle w:val="SCCLsocParty"/>
              <w:jc w:val="both"/>
              <w:rPr>
                <w:b/>
                <w:sz w:val="20"/>
                <w:szCs w:val="20"/>
                <w:lang w:val="en-CA"/>
              </w:rPr>
            </w:pPr>
            <w:r w:rsidRPr="007C110A">
              <w:rPr>
                <w:b/>
                <w:sz w:val="20"/>
                <w:szCs w:val="20"/>
                <w:lang w:val="en-CA"/>
              </w:rPr>
              <w:t>Royal Bank of Canada, Toronto-Dominion Bank</w:t>
            </w:r>
          </w:p>
          <w:p w:rsidR="005221C4" w:rsidRPr="007C110A" w:rsidRDefault="005221C4" w:rsidP="00A866C4">
            <w:pPr>
              <w:jc w:val="both"/>
              <w:rPr>
                <w:sz w:val="20"/>
                <w:lang w:val="en-CA"/>
              </w:rPr>
            </w:pPr>
            <w:r w:rsidRPr="007C110A">
              <w:rPr>
                <w:sz w:val="20"/>
                <w:lang w:val="en-CA"/>
              </w:rPr>
              <w:t>(Que.) (Civil) (By Leave)</w:t>
            </w:r>
          </w:p>
        </w:tc>
      </w:tr>
      <w:tr w:rsidR="005221C4" w:rsidRPr="007C110A" w:rsidTr="00E95A6A">
        <w:tc>
          <w:tcPr>
            <w:tcW w:w="5000" w:type="pct"/>
            <w:gridSpan w:val="4"/>
          </w:tcPr>
          <w:p w:rsidR="005221C4" w:rsidRPr="007C110A" w:rsidRDefault="005221C4" w:rsidP="00A866C4">
            <w:pPr>
              <w:jc w:val="both"/>
              <w:rPr>
                <w:sz w:val="20"/>
                <w:lang w:val="en-CA"/>
              </w:rPr>
            </w:pPr>
            <w:r w:rsidRPr="007C110A">
              <w:rPr>
                <w:sz w:val="20"/>
                <w:lang w:val="en-CA"/>
              </w:rPr>
              <w:t xml:space="preserve">Bankruptcy and insolvency ⸺ Trustee ⸺ Bankrupt granting hypothecs in year preceding bankruptcy ⸺ Trustee applying for declaration that hypothecs could not be set up against it ⸺ Preference ⸺ Whether Court of Appeal erred in concluding that bankrupt became solidary debtor of Les Placements Antis inc. once promissory notes were signed ⸺ Whether Court of Appeal erred in concluding that hypothecs granted to Les Placements Antis inc. at same time that promissory notes were signed constituted preference within meaning of s. 95(1)(b) of </w:t>
            </w:r>
            <w:r w:rsidRPr="007C110A">
              <w:rPr>
                <w:i/>
                <w:sz w:val="20"/>
                <w:lang w:val="en-CA"/>
              </w:rPr>
              <w:t>Bankruptcy and Insolvency Act</w:t>
            </w:r>
            <w:r w:rsidRPr="007C110A">
              <w:rPr>
                <w:sz w:val="20"/>
                <w:lang w:val="en-CA"/>
              </w:rPr>
              <w:t>, R.S.C. 1985, c. B</w:t>
            </w:r>
            <w:r w:rsidRPr="007C110A">
              <w:rPr>
                <w:sz w:val="20"/>
                <w:lang w:val="en-CA"/>
              </w:rPr>
              <w:noBreakHyphen/>
              <w:t xml:space="preserve">3 ⸺ Sections 2, 4, 95 and 121 of </w:t>
            </w:r>
            <w:r w:rsidRPr="007C110A">
              <w:rPr>
                <w:i/>
                <w:sz w:val="20"/>
                <w:lang w:val="en-CA"/>
              </w:rPr>
              <w:t>Bankruptcy and Insolvency Act</w:t>
            </w:r>
            <w:r w:rsidRPr="007C110A">
              <w:rPr>
                <w:sz w:val="20"/>
                <w:lang w:val="en-CA"/>
              </w:rPr>
              <w:t>, R.S.C. 1985, c. B</w:t>
            </w:r>
            <w:r w:rsidRPr="007C110A">
              <w:rPr>
                <w:sz w:val="20"/>
                <w:lang w:val="en-CA"/>
              </w:rPr>
              <w:noBreakHyphen/>
              <w:t>3.</w:t>
            </w:r>
          </w:p>
        </w:tc>
      </w:tr>
      <w:tr w:rsidR="005221C4" w:rsidRPr="007C110A" w:rsidTr="00E95A6A">
        <w:tc>
          <w:tcPr>
            <w:tcW w:w="5000" w:type="pct"/>
            <w:gridSpan w:val="4"/>
          </w:tcPr>
          <w:p w:rsidR="005221C4" w:rsidRPr="007C110A" w:rsidRDefault="005221C4" w:rsidP="00A866C4">
            <w:pPr>
              <w:jc w:val="both"/>
              <w:rPr>
                <w:sz w:val="20"/>
                <w:lang w:val="en-CA"/>
              </w:rPr>
            </w:pPr>
          </w:p>
        </w:tc>
      </w:tr>
      <w:tr w:rsidR="005221C4" w:rsidRPr="007C110A" w:rsidTr="00E95A6A">
        <w:tc>
          <w:tcPr>
            <w:tcW w:w="5000" w:type="pct"/>
            <w:gridSpan w:val="4"/>
          </w:tcPr>
          <w:p w:rsidR="005221C4" w:rsidRPr="007C110A" w:rsidRDefault="005221C4" w:rsidP="00A866C4">
            <w:pPr>
              <w:jc w:val="both"/>
              <w:rPr>
                <w:sz w:val="20"/>
                <w:lang w:val="en-CA"/>
              </w:rPr>
            </w:pPr>
            <w:r w:rsidRPr="007C110A">
              <w:rPr>
                <w:sz w:val="20"/>
                <w:lang w:val="en-CA"/>
              </w:rPr>
              <w:t xml:space="preserve">Michael Mazzaferro, the bankrupt debtor in this case, was the principal shareholder and director of three companies specializing in the preparation of frozen pizza, which </w:t>
            </w:r>
            <w:proofErr w:type="gramStart"/>
            <w:r w:rsidRPr="007C110A">
              <w:rPr>
                <w:sz w:val="20"/>
                <w:lang w:val="en-CA"/>
              </w:rPr>
              <w:t>were declared</w:t>
            </w:r>
            <w:proofErr w:type="gramEnd"/>
            <w:r w:rsidRPr="007C110A">
              <w:rPr>
                <w:sz w:val="20"/>
                <w:lang w:val="en-CA"/>
              </w:rPr>
              <w:t xml:space="preserve"> bankrupt by judgment dated December 22, 2015. In December 2014, when the companies had already obtained, with their principal shareholder, several agreements for an extension of time in order to remedy defaults in payment, and when an application to appoint a receiver was pending before the courts, Mr. Mazzaferro was replaced as the president of the companies. At the same time, the applicant Les Placements Antis inc., which was controlled by the parents of Mr. Mazzaferro’s spouse, the applicant Claudia Russo, obtained two promissory notes: one for $5,656,255 issued by Les Placements Letizia inc. (a company controlled by Ms. Russo) and a second for $3,500,000 issued by Mazzaruss inc. (a company controlled by Mr. Mazzaferro). </w:t>
            </w:r>
            <w:proofErr w:type="gramStart"/>
            <w:r w:rsidRPr="007C110A">
              <w:rPr>
                <w:sz w:val="20"/>
                <w:lang w:val="en-CA"/>
              </w:rPr>
              <w:t>The two promissory notes were guaranteed personally by Mr. Mazzaferro and Ms. Russo, who agreed the same day to grant hypothecs on their properties in Senneville and Florida</w:t>
            </w:r>
            <w:proofErr w:type="gramEnd"/>
            <w:r w:rsidRPr="007C110A">
              <w:rPr>
                <w:sz w:val="20"/>
                <w:lang w:val="en-CA"/>
              </w:rPr>
              <w:t xml:space="preserve">. The purpose of the notes was allegedly to safeguard advances of funds made to Les Placements Letizia inc. and Mazzaruss inc. On November 30, 2015, Mr. Mazzaferro declared bankruptcy and the respondent Raymond Chabot inc. </w:t>
            </w:r>
            <w:proofErr w:type="gramStart"/>
            <w:r w:rsidRPr="007C110A">
              <w:rPr>
                <w:sz w:val="20"/>
                <w:lang w:val="en-CA"/>
              </w:rPr>
              <w:t>was appointed</w:t>
            </w:r>
            <w:proofErr w:type="gramEnd"/>
            <w:r w:rsidRPr="007C110A">
              <w:rPr>
                <w:sz w:val="20"/>
                <w:lang w:val="en-CA"/>
              </w:rPr>
              <w:t xml:space="preserve"> trustee. The trustee then sought to exercise its seisin of Mr. Mazzaferro’s undivided share of the properties in Senneville and Florida. It applied for a declaration that the hypothecs granted by Mr. Mazzaferro to Les Placements Antis inc. could not be set up against it because they constituted a preference given to related persons pursuant to s. 95(1</w:t>
            </w:r>
            <w:proofErr w:type="gramStart"/>
            <w:r w:rsidRPr="007C110A">
              <w:rPr>
                <w:sz w:val="20"/>
                <w:lang w:val="en-CA"/>
              </w:rPr>
              <w:t>)(</w:t>
            </w:r>
            <w:proofErr w:type="gramEnd"/>
            <w:r w:rsidRPr="007C110A">
              <w:rPr>
                <w:sz w:val="20"/>
                <w:lang w:val="en-CA"/>
              </w:rPr>
              <w:t xml:space="preserve">b) of the </w:t>
            </w:r>
            <w:r w:rsidRPr="007C110A">
              <w:rPr>
                <w:i/>
                <w:sz w:val="20"/>
                <w:lang w:val="en-CA"/>
              </w:rPr>
              <w:t>Bankruptcy and Insolvency Act</w:t>
            </w:r>
            <w:r w:rsidRPr="007C110A">
              <w:rPr>
                <w:sz w:val="20"/>
                <w:lang w:val="en-CA"/>
              </w:rPr>
              <w:t>, R.S.C. 1985, c. B</w:t>
            </w:r>
            <w:r w:rsidRPr="007C110A">
              <w:rPr>
                <w:sz w:val="20"/>
                <w:lang w:val="en-CA"/>
              </w:rPr>
              <w:noBreakHyphen/>
              <w:t>3. The Superior Court dismissed the trustee’s application. The Court of Appeal allowed the appeal, set aside the trial decision and declared that the two deeds of hypothec on Mr. Mazzaferro’s properties could not be set up against the trustee.</w:t>
            </w:r>
          </w:p>
          <w:p w:rsidR="005221C4" w:rsidRPr="007C110A" w:rsidRDefault="005221C4" w:rsidP="00A866C4">
            <w:pPr>
              <w:jc w:val="both"/>
              <w:rPr>
                <w:sz w:val="20"/>
                <w:lang w:val="en-CA"/>
              </w:rPr>
            </w:pP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November 20, 2017</w:t>
            </w:r>
          </w:p>
          <w:p w:rsidR="005221C4" w:rsidRPr="007C110A" w:rsidRDefault="005221C4" w:rsidP="00A866C4">
            <w:pPr>
              <w:jc w:val="both"/>
              <w:rPr>
                <w:sz w:val="20"/>
                <w:lang w:val="en-CA"/>
              </w:rPr>
            </w:pPr>
            <w:r w:rsidRPr="007C110A">
              <w:rPr>
                <w:sz w:val="20"/>
                <w:lang w:val="en-CA"/>
              </w:rPr>
              <w:t>Quebec Superior Court</w:t>
            </w:r>
          </w:p>
          <w:p w:rsidR="005221C4" w:rsidRPr="007C110A" w:rsidRDefault="005221C4" w:rsidP="00A866C4">
            <w:pPr>
              <w:jc w:val="both"/>
              <w:rPr>
                <w:sz w:val="20"/>
                <w:lang w:val="en-CA"/>
              </w:rPr>
            </w:pPr>
            <w:r w:rsidRPr="007C110A">
              <w:rPr>
                <w:sz w:val="20"/>
                <w:lang w:val="en-CA"/>
              </w:rPr>
              <w:t>(Michaud J.)</w:t>
            </w:r>
          </w:p>
          <w:p w:rsidR="005221C4" w:rsidRPr="007C110A" w:rsidRDefault="00F37A97" w:rsidP="00A866C4">
            <w:pPr>
              <w:jc w:val="both"/>
              <w:rPr>
                <w:sz w:val="20"/>
                <w:lang w:val="en-CA"/>
              </w:rPr>
            </w:pPr>
            <w:hyperlink r:id="rId27" w:history="1">
              <w:r w:rsidR="005221C4" w:rsidRPr="007C110A">
                <w:rPr>
                  <w:rStyle w:val="Hyperlink"/>
                  <w:sz w:val="20"/>
                  <w:lang w:val="en-CA"/>
                </w:rPr>
                <w:t>2017 QCCS 5250</w:t>
              </w:r>
            </w:hyperlink>
          </w:p>
          <w:p w:rsidR="005221C4" w:rsidRPr="007C110A" w:rsidRDefault="005221C4" w:rsidP="00A866C4">
            <w:pPr>
              <w:jc w:val="both"/>
              <w:rPr>
                <w:sz w:val="20"/>
                <w:lang w:val="en-CA"/>
              </w:rPr>
            </w:pPr>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Application for declaration that preference could not be set up against trustee and for order for partition of undivided immovable dismissed</w:t>
            </w: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June 4, 2019</w:t>
            </w:r>
          </w:p>
          <w:p w:rsidR="005221C4" w:rsidRPr="007C110A" w:rsidRDefault="005221C4" w:rsidP="00A866C4">
            <w:pPr>
              <w:jc w:val="both"/>
              <w:rPr>
                <w:sz w:val="20"/>
                <w:lang w:val="en-CA"/>
              </w:rPr>
            </w:pPr>
            <w:r w:rsidRPr="007C110A">
              <w:rPr>
                <w:sz w:val="20"/>
                <w:lang w:val="en-CA"/>
              </w:rPr>
              <w:t>Quebec Court of Appeal (Montréal)</w:t>
            </w:r>
          </w:p>
          <w:p w:rsidR="005221C4" w:rsidRPr="007C110A" w:rsidRDefault="005221C4" w:rsidP="00A866C4">
            <w:pPr>
              <w:jc w:val="both"/>
              <w:rPr>
                <w:sz w:val="20"/>
                <w:lang w:val="en-CA"/>
              </w:rPr>
            </w:pPr>
            <w:r w:rsidRPr="007C110A">
              <w:rPr>
                <w:sz w:val="20"/>
                <w:lang w:val="en-CA"/>
              </w:rPr>
              <w:t>(Bélanger, Vauclair and Hamilton JJ.A.)</w:t>
            </w:r>
          </w:p>
          <w:p w:rsidR="005221C4" w:rsidRPr="007C110A" w:rsidRDefault="00F37A97" w:rsidP="00A866C4">
            <w:pPr>
              <w:jc w:val="both"/>
              <w:rPr>
                <w:sz w:val="20"/>
                <w:lang w:val="en-CA"/>
              </w:rPr>
            </w:pPr>
            <w:hyperlink r:id="rId28" w:history="1">
              <w:r w:rsidR="005221C4" w:rsidRPr="007C110A">
                <w:rPr>
                  <w:rStyle w:val="Hyperlink"/>
                  <w:sz w:val="20"/>
                  <w:lang w:val="en-CA"/>
                </w:rPr>
                <w:t>2019 QCCA 963</w:t>
              </w:r>
            </w:hyperlink>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Appeal allowed</w:t>
            </w:r>
          </w:p>
          <w:p w:rsidR="005221C4" w:rsidRPr="007C110A" w:rsidRDefault="005221C4" w:rsidP="00A866C4">
            <w:pPr>
              <w:jc w:val="both"/>
              <w:rPr>
                <w:sz w:val="20"/>
                <w:lang w:val="en-CA"/>
              </w:rPr>
            </w:pP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August 19, 2019</w:t>
            </w:r>
          </w:p>
          <w:p w:rsidR="005221C4" w:rsidRPr="007C110A" w:rsidRDefault="005221C4" w:rsidP="00A866C4">
            <w:pPr>
              <w:jc w:val="both"/>
              <w:rPr>
                <w:sz w:val="20"/>
                <w:lang w:val="en-CA"/>
              </w:rPr>
            </w:pPr>
            <w:r w:rsidRPr="007C110A">
              <w:rPr>
                <w:sz w:val="20"/>
                <w:lang w:val="en-CA"/>
              </w:rPr>
              <w:t>Supreme Court of Canada</w:t>
            </w:r>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Application for leave to appeal filed</w:t>
            </w:r>
          </w:p>
          <w:p w:rsidR="005221C4" w:rsidRPr="007C110A" w:rsidRDefault="005221C4" w:rsidP="00A866C4">
            <w:pPr>
              <w:jc w:val="both"/>
              <w:rPr>
                <w:sz w:val="20"/>
                <w:lang w:val="en-CA"/>
              </w:rPr>
            </w:pPr>
          </w:p>
        </w:tc>
      </w:tr>
    </w:tbl>
    <w:p w:rsidR="005221C4" w:rsidRPr="007C110A" w:rsidRDefault="005221C4" w:rsidP="00A866C4">
      <w:pPr>
        <w:jc w:val="both"/>
        <w:rPr>
          <w:sz w:val="20"/>
          <w:lang w:val="en-CA"/>
        </w:rPr>
      </w:pPr>
    </w:p>
    <w:p w:rsidR="00A37BE5" w:rsidRPr="007C110A" w:rsidRDefault="00F37A97" w:rsidP="00A866C4">
      <w:pPr>
        <w:jc w:val="both"/>
        <w:rPr>
          <w:sz w:val="20"/>
          <w:lang w:val="en-CA"/>
        </w:rPr>
      </w:pPr>
      <w:r w:rsidRPr="007C110A">
        <w:rPr>
          <w:sz w:val="20"/>
        </w:rPr>
        <w:pict>
          <v:rect id="_x0000_i1030" style="width:2in;height:1pt" o:hrpct="0" o:hralign="center" o:hrstd="t" o:hrnoshade="t" o:hr="t" fillcolor="black [3213]" stroked="f"/>
        </w:pict>
      </w:r>
    </w:p>
    <w:p w:rsidR="005221C4" w:rsidRPr="007C110A" w:rsidRDefault="005221C4" w:rsidP="00A866C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rPr>
            </w:pPr>
            <w:r w:rsidRPr="007C110A">
              <w:rPr>
                <w:rStyle w:val="SCCFileNumberChar"/>
                <w:sz w:val="20"/>
                <w:szCs w:val="20"/>
              </w:rPr>
              <w:t>38769</w:t>
            </w:r>
          </w:p>
        </w:tc>
        <w:tc>
          <w:tcPr>
            <w:tcW w:w="4457" w:type="pct"/>
            <w:gridSpan w:val="3"/>
          </w:tcPr>
          <w:p w:rsidR="005221C4" w:rsidRPr="007C110A" w:rsidRDefault="005221C4" w:rsidP="00A866C4">
            <w:pPr>
              <w:pStyle w:val="SCCLsocParty"/>
              <w:jc w:val="both"/>
              <w:rPr>
                <w:b/>
                <w:sz w:val="20"/>
                <w:szCs w:val="20"/>
              </w:rPr>
            </w:pPr>
            <w:r w:rsidRPr="007C110A">
              <w:rPr>
                <w:b/>
                <w:sz w:val="20"/>
                <w:szCs w:val="20"/>
              </w:rPr>
              <w:t>Les Placements Antis inc. et Claudia Russo c. Raymond Chabot inc.</w:t>
            </w:r>
          </w:p>
          <w:p w:rsidR="005221C4" w:rsidRPr="007C110A" w:rsidRDefault="005221C4" w:rsidP="00A866C4">
            <w:pPr>
              <w:pStyle w:val="SCCLsocOtherPartySeparator"/>
              <w:rPr>
                <w:sz w:val="20"/>
                <w:szCs w:val="20"/>
              </w:rPr>
            </w:pPr>
            <w:r w:rsidRPr="007C110A">
              <w:rPr>
                <w:sz w:val="20"/>
                <w:szCs w:val="20"/>
              </w:rPr>
              <w:t>- et -</w:t>
            </w:r>
          </w:p>
          <w:p w:rsidR="005221C4" w:rsidRPr="007C110A" w:rsidRDefault="005221C4" w:rsidP="00A866C4">
            <w:pPr>
              <w:pStyle w:val="SCCLsocParty"/>
              <w:jc w:val="both"/>
              <w:rPr>
                <w:b/>
                <w:sz w:val="20"/>
                <w:szCs w:val="20"/>
              </w:rPr>
            </w:pPr>
            <w:r w:rsidRPr="007C110A">
              <w:rPr>
                <w:b/>
                <w:sz w:val="20"/>
                <w:szCs w:val="20"/>
              </w:rPr>
              <w:t>Banque Royale du Canada, Banque Toronto</w:t>
            </w:r>
            <w:r w:rsidR="00F2115A" w:rsidRPr="007C110A">
              <w:rPr>
                <w:b/>
                <w:sz w:val="20"/>
                <w:szCs w:val="20"/>
              </w:rPr>
              <w:t>-</w:t>
            </w:r>
            <w:r w:rsidRPr="007C110A">
              <w:rPr>
                <w:b/>
                <w:sz w:val="20"/>
                <w:szCs w:val="20"/>
              </w:rPr>
              <w:t>Dominion</w:t>
            </w:r>
          </w:p>
          <w:p w:rsidR="005221C4" w:rsidRPr="007C110A" w:rsidRDefault="005221C4" w:rsidP="00A866C4">
            <w:pPr>
              <w:jc w:val="both"/>
              <w:rPr>
                <w:sz w:val="20"/>
              </w:rPr>
            </w:pPr>
            <w:r w:rsidRPr="007C110A">
              <w:rPr>
                <w:sz w:val="20"/>
              </w:rPr>
              <w:t>(Qc) (Civile) (Autorisation)</w:t>
            </w:r>
          </w:p>
        </w:tc>
      </w:tr>
      <w:tr w:rsidR="005221C4" w:rsidRPr="007C110A" w:rsidTr="00E95A6A">
        <w:tc>
          <w:tcPr>
            <w:tcW w:w="5000" w:type="pct"/>
            <w:gridSpan w:val="4"/>
          </w:tcPr>
          <w:p w:rsidR="005221C4" w:rsidRPr="007C110A" w:rsidRDefault="005221C4" w:rsidP="00A866C4">
            <w:pPr>
              <w:jc w:val="both"/>
              <w:rPr>
                <w:sz w:val="20"/>
                <w:lang w:val="fr-CA"/>
              </w:rPr>
            </w:pPr>
            <w:r w:rsidRPr="007C110A">
              <w:rPr>
                <w:sz w:val="20"/>
                <w:lang w:val="fr-CA"/>
              </w:rPr>
              <w:t xml:space="preserve">Faillite et insolvabilité </w:t>
            </w:r>
            <w:r w:rsidRPr="007C110A">
              <w:rPr>
                <w:sz w:val="20"/>
              </w:rPr>
              <w:t>⸺</w:t>
            </w:r>
            <w:r w:rsidRPr="007C110A">
              <w:rPr>
                <w:sz w:val="20"/>
                <w:lang w:val="fr-CA"/>
              </w:rPr>
              <w:t xml:space="preserve"> Syndic </w:t>
            </w:r>
            <w:r w:rsidRPr="007C110A">
              <w:rPr>
                <w:sz w:val="20"/>
              </w:rPr>
              <w:t>⸺</w:t>
            </w:r>
            <w:r w:rsidRPr="007C110A">
              <w:rPr>
                <w:sz w:val="20"/>
                <w:lang w:val="fr-CA"/>
              </w:rPr>
              <w:t xml:space="preserve"> Hypothèques consenties par le failli dans l’année précédant sa faillite </w:t>
            </w:r>
            <w:r w:rsidRPr="007C110A">
              <w:rPr>
                <w:sz w:val="20"/>
              </w:rPr>
              <w:t>⸺</w:t>
            </w:r>
            <w:r w:rsidRPr="007C110A">
              <w:rPr>
                <w:sz w:val="20"/>
                <w:lang w:val="fr-CA"/>
              </w:rPr>
              <w:t xml:space="preserve"> Syndic demandant que ces hypothèques lui soient déclarées inopposables </w:t>
            </w:r>
            <w:r w:rsidRPr="007C110A">
              <w:rPr>
                <w:sz w:val="20"/>
              </w:rPr>
              <w:t>⸺</w:t>
            </w:r>
            <w:r w:rsidRPr="007C110A">
              <w:rPr>
                <w:sz w:val="20"/>
                <w:lang w:val="fr-CA"/>
              </w:rPr>
              <w:t xml:space="preserve"> Traitement préférentiel </w:t>
            </w:r>
            <w:r w:rsidRPr="007C110A">
              <w:rPr>
                <w:sz w:val="20"/>
              </w:rPr>
              <w:t>⸺</w:t>
            </w:r>
            <w:r w:rsidRPr="007C110A">
              <w:rPr>
                <w:sz w:val="20"/>
                <w:lang w:val="fr-CA"/>
              </w:rPr>
              <w:t xml:space="preserve"> La Cour d’appel a</w:t>
            </w:r>
            <w:r w:rsidRPr="007C110A">
              <w:rPr>
                <w:sz w:val="20"/>
                <w:lang w:val="fr-CA"/>
              </w:rPr>
              <w:noBreakHyphen/>
              <w:t>t</w:t>
            </w:r>
            <w:r w:rsidRPr="007C110A">
              <w:rPr>
                <w:sz w:val="20"/>
                <w:lang w:val="fr-CA"/>
              </w:rPr>
              <w:noBreakHyphen/>
              <w:t xml:space="preserve">elle erré en concluant que le failli est devenu débiteur solidaire de Les Placements Antis inc. dès la souscription des billets promissoires? </w:t>
            </w:r>
            <w:r w:rsidRPr="007C110A">
              <w:rPr>
                <w:sz w:val="20"/>
              </w:rPr>
              <w:t>⸺</w:t>
            </w:r>
            <w:r w:rsidRPr="007C110A">
              <w:rPr>
                <w:sz w:val="20"/>
                <w:lang w:val="fr-CA"/>
              </w:rPr>
              <w:t xml:space="preserve"> La Cour d’appel a</w:t>
            </w:r>
            <w:r w:rsidRPr="007C110A">
              <w:rPr>
                <w:sz w:val="20"/>
                <w:lang w:val="fr-CA"/>
              </w:rPr>
              <w:noBreakHyphen/>
              <w:t>t</w:t>
            </w:r>
            <w:r w:rsidRPr="007C110A">
              <w:rPr>
                <w:sz w:val="20"/>
                <w:lang w:val="fr-CA"/>
              </w:rPr>
              <w:noBreakHyphen/>
              <w:t xml:space="preserve">elle erré en concluant que les hypothèques consenties en faveur de Les Placements Antis inc. de façon contemporaine à la souscription des billets promissoires constituent un traitement préférentiel au sens de l’art. 95(1)b) de la </w:t>
            </w:r>
            <w:r w:rsidRPr="007C110A">
              <w:rPr>
                <w:i/>
                <w:sz w:val="20"/>
                <w:lang w:val="fr-CA"/>
              </w:rPr>
              <w:t>Loi sur la faillite et l'insolvabilité</w:t>
            </w:r>
            <w:r w:rsidRPr="007C110A">
              <w:rPr>
                <w:sz w:val="20"/>
                <w:lang w:val="fr-CA"/>
              </w:rPr>
              <w:t>, L.R.C. 1985, c B</w:t>
            </w:r>
            <w:r w:rsidRPr="007C110A">
              <w:rPr>
                <w:sz w:val="20"/>
                <w:lang w:val="fr-CA"/>
              </w:rPr>
              <w:noBreakHyphen/>
              <w:t xml:space="preserve">3? </w:t>
            </w:r>
            <w:r w:rsidRPr="007C110A">
              <w:rPr>
                <w:sz w:val="20"/>
              </w:rPr>
              <w:t>⸺</w:t>
            </w:r>
            <w:r w:rsidRPr="007C110A">
              <w:rPr>
                <w:sz w:val="20"/>
                <w:lang w:val="fr-CA"/>
              </w:rPr>
              <w:t xml:space="preserve"> Art. 2, 4, 95 et 121, </w:t>
            </w:r>
            <w:r w:rsidRPr="007C110A">
              <w:rPr>
                <w:i/>
                <w:sz w:val="20"/>
                <w:lang w:val="fr-CA"/>
              </w:rPr>
              <w:t>Loi sur la faillite et l'insolvabilité</w:t>
            </w:r>
            <w:r w:rsidRPr="007C110A">
              <w:rPr>
                <w:sz w:val="20"/>
                <w:lang w:val="fr-CA"/>
              </w:rPr>
              <w:t>, L.R.C. 1985, c B</w:t>
            </w:r>
            <w:r w:rsidRPr="007C110A">
              <w:rPr>
                <w:sz w:val="20"/>
                <w:lang w:val="fr-CA"/>
              </w:rPr>
              <w:noBreakHyphen/>
              <w:t>3.</w:t>
            </w:r>
          </w:p>
        </w:tc>
      </w:tr>
      <w:tr w:rsidR="005221C4" w:rsidRPr="007C110A" w:rsidTr="00E95A6A">
        <w:tc>
          <w:tcPr>
            <w:tcW w:w="5000" w:type="pct"/>
            <w:gridSpan w:val="4"/>
          </w:tcPr>
          <w:p w:rsidR="005221C4" w:rsidRPr="007C110A" w:rsidRDefault="005221C4" w:rsidP="00A866C4">
            <w:pPr>
              <w:jc w:val="both"/>
              <w:rPr>
                <w:sz w:val="20"/>
                <w:lang w:val="fr-CA"/>
              </w:rPr>
            </w:pPr>
          </w:p>
        </w:tc>
      </w:tr>
      <w:tr w:rsidR="005221C4" w:rsidRPr="007C110A" w:rsidTr="00E95A6A">
        <w:tc>
          <w:tcPr>
            <w:tcW w:w="5000" w:type="pct"/>
            <w:gridSpan w:val="4"/>
          </w:tcPr>
          <w:p w:rsidR="005221C4" w:rsidRPr="007C110A" w:rsidRDefault="005221C4" w:rsidP="00A866C4">
            <w:pPr>
              <w:jc w:val="both"/>
              <w:rPr>
                <w:sz w:val="20"/>
                <w:lang w:val="fr-CA"/>
              </w:rPr>
            </w:pPr>
            <w:r w:rsidRPr="007C110A">
              <w:rPr>
                <w:sz w:val="20"/>
                <w:lang w:val="fr-CA"/>
              </w:rPr>
              <w:t>M. Michael Mazzaferro, débiteur</w:t>
            </w:r>
            <w:r w:rsidRPr="007C110A">
              <w:rPr>
                <w:sz w:val="20"/>
                <w:lang w:val="fr-CA"/>
              </w:rPr>
              <w:noBreakHyphen/>
              <w:t xml:space="preserve">failli en l’espèce, était le principal actionnaire et administrateur de trois entreprises spécialisées dans la préparation de pizzas surgelées qui ont été déclarées en faillite par jugement daté du 22 décembre 2015. En décembre 2014, alors que ces entreprises avaient déjà obtenu plusieurs ententes s’atermoiement avec leur principal actionnaire afin de remédier aux défauts de paiement et qu’une demande de nomination d’un séquestre est pendante devant les tribunaux, M. Mazzaferro est remplacé à titre de président des compagnies. À la même époque, la demanderesse, Les Placements Antis inc., sous contrôle des parents de l’épouse de M. Mazzaferro, la demanderesse Mme Claudia Russo, obtient deux billets promissoires : un premier de 5 656 255$ accordé par Les Placements Letizia inc. (une entreprise sous le contrôle de Mme Russo) et un deuxième de 3 500 000$ accordé par Mazzaruss inc. (une entreprise sous le contrôle de M. Mazzaferro). Les deux billets promissoires sont personnellement cautionnés par M. Mazzaferro et Mme Russo qui consentent, la même journée, à ce que des hypothèques grèvent leurs propriétés de Senneville et de Floride. Ces billets viseraient à protéger des avances de fonds faites au bénéfice de Placements Letizia inc. et Mazzaruss inc. Le 30 novembre 2015, M. Mazzaferro fait faillite et l’intimée, Raymond Chabot inc. est nommé syndic. Le syndic cherche alors à exercer sa saisine sur la part indivise de M. Mazzaferro sur les propriétés de Senneville et de la Floride. Il demande que les hypothèques consenties à Les Placements Antis inc. par M. Mazzaferro soient déclarées inopposables au motif qu’il s’agit d’une préférence accordée à des personnes liées aux termes de l’art. 95(1)b) de la </w:t>
            </w:r>
            <w:r w:rsidRPr="007C110A">
              <w:rPr>
                <w:i/>
                <w:sz w:val="20"/>
                <w:lang w:val="fr-CA"/>
              </w:rPr>
              <w:t>Loi sur la faillite et l'insolvabilité</w:t>
            </w:r>
            <w:r w:rsidRPr="007C110A">
              <w:rPr>
                <w:sz w:val="20"/>
                <w:lang w:val="fr-CA"/>
              </w:rPr>
              <w:t>, L.R.C. 1985, c B</w:t>
            </w:r>
            <w:r w:rsidRPr="007C110A">
              <w:rPr>
                <w:sz w:val="20"/>
                <w:lang w:val="fr-CA"/>
              </w:rPr>
              <w:noBreakHyphen/>
              <w:t>3. La Cour supérieure rejette la demande du syndic. La Cour d’appel accueille l’appel, infirme le jugement de première instance et déclare inopposable au syndic les deux actes hypothèques grevant les propriétés de M. Mazzaferro.</w:t>
            </w:r>
          </w:p>
          <w:p w:rsidR="005221C4" w:rsidRPr="007C110A" w:rsidRDefault="005221C4" w:rsidP="00A866C4">
            <w:pPr>
              <w:jc w:val="both"/>
              <w:rPr>
                <w:sz w:val="20"/>
                <w:lang w:val="fr-CA"/>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20 novembre 2017</w:t>
            </w:r>
          </w:p>
          <w:p w:rsidR="005221C4" w:rsidRPr="007C110A" w:rsidRDefault="005221C4" w:rsidP="00A866C4">
            <w:pPr>
              <w:jc w:val="both"/>
              <w:rPr>
                <w:sz w:val="20"/>
                <w:lang w:val="fr-CA"/>
              </w:rPr>
            </w:pPr>
            <w:r w:rsidRPr="007C110A">
              <w:rPr>
                <w:sz w:val="20"/>
                <w:lang w:val="fr-CA"/>
              </w:rPr>
              <w:t>Cour supérieure du Québec</w:t>
            </w:r>
          </w:p>
          <w:p w:rsidR="005221C4" w:rsidRPr="007C110A" w:rsidRDefault="005221C4" w:rsidP="00A866C4">
            <w:pPr>
              <w:jc w:val="both"/>
              <w:rPr>
                <w:sz w:val="20"/>
              </w:rPr>
            </w:pPr>
            <w:r w:rsidRPr="007C110A">
              <w:rPr>
                <w:sz w:val="20"/>
              </w:rPr>
              <w:t>(Le juge Michaud)</w:t>
            </w:r>
          </w:p>
          <w:p w:rsidR="005221C4" w:rsidRPr="007C110A" w:rsidRDefault="00F37A97" w:rsidP="00A866C4">
            <w:pPr>
              <w:jc w:val="both"/>
              <w:rPr>
                <w:sz w:val="20"/>
              </w:rPr>
            </w:pPr>
            <w:hyperlink r:id="rId29" w:history="1">
              <w:r w:rsidR="005221C4" w:rsidRPr="007C110A">
                <w:rPr>
                  <w:rStyle w:val="Hyperlink"/>
                  <w:sz w:val="20"/>
                </w:rPr>
                <w:t>2017 QCCS 5250</w:t>
              </w:r>
            </w:hyperlink>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lang w:val="fr-CA"/>
              </w:rPr>
            </w:pPr>
            <w:r w:rsidRPr="007C110A">
              <w:rPr>
                <w:sz w:val="20"/>
                <w:lang w:val="fr-CA"/>
              </w:rPr>
              <w:t>Demande visant à faire déclarer inopposable au syndic un traitement préférentiel et pour ordonner le partage d’un immeuble en indivision rejetée.</w:t>
            </w: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4 juin 2019</w:t>
            </w:r>
          </w:p>
          <w:p w:rsidR="005221C4" w:rsidRPr="007C110A" w:rsidRDefault="005221C4" w:rsidP="00A866C4">
            <w:pPr>
              <w:jc w:val="both"/>
              <w:rPr>
                <w:sz w:val="20"/>
                <w:lang w:val="fr-CA"/>
              </w:rPr>
            </w:pPr>
            <w:r w:rsidRPr="007C110A">
              <w:rPr>
                <w:sz w:val="20"/>
                <w:lang w:val="fr-CA"/>
              </w:rPr>
              <w:t>Cour d’appel du Québec (Montréal)</w:t>
            </w:r>
          </w:p>
          <w:p w:rsidR="005221C4" w:rsidRPr="007C110A" w:rsidRDefault="005221C4" w:rsidP="00A866C4">
            <w:pPr>
              <w:jc w:val="both"/>
              <w:rPr>
                <w:sz w:val="20"/>
                <w:lang w:val="fr-CA"/>
              </w:rPr>
            </w:pPr>
            <w:r w:rsidRPr="007C110A">
              <w:rPr>
                <w:sz w:val="20"/>
                <w:lang w:val="fr-CA"/>
              </w:rPr>
              <w:t xml:space="preserve">(Les juges Bélanger, </w:t>
            </w:r>
            <w:proofErr w:type="spellStart"/>
            <w:r w:rsidRPr="007C110A">
              <w:rPr>
                <w:sz w:val="20"/>
                <w:lang w:val="fr-CA"/>
              </w:rPr>
              <w:t>Vauclair</w:t>
            </w:r>
            <w:proofErr w:type="spellEnd"/>
            <w:r w:rsidRPr="007C110A">
              <w:rPr>
                <w:sz w:val="20"/>
                <w:lang w:val="fr-CA"/>
              </w:rPr>
              <w:t xml:space="preserve"> et Hamilton)</w:t>
            </w:r>
          </w:p>
          <w:p w:rsidR="005221C4" w:rsidRPr="007C110A" w:rsidRDefault="00F37A97" w:rsidP="00A866C4">
            <w:pPr>
              <w:jc w:val="both"/>
              <w:rPr>
                <w:sz w:val="20"/>
              </w:rPr>
            </w:pPr>
            <w:hyperlink r:id="rId30" w:history="1">
              <w:r w:rsidR="005221C4" w:rsidRPr="007C110A">
                <w:rPr>
                  <w:rStyle w:val="Hyperlink"/>
                  <w:sz w:val="20"/>
                </w:rPr>
                <w:t>2019 QCCA 963</w:t>
              </w:r>
            </w:hyperlink>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rPr>
            </w:pPr>
            <w:r w:rsidRPr="007C110A">
              <w:rPr>
                <w:sz w:val="20"/>
              </w:rPr>
              <w:t>Appel accueilli.</w:t>
            </w:r>
          </w:p>
          <w:p w:rsidR="005221C4" w:rsidRPr="007C110A" w:rsidRDefault="005221C4" w:rsidP="00A866C4">
            <w:pPr>
              <w:jc w:val="both"/>
              <w:rPr>
                <w:sz w:val="20"/>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19 août 2019</w:t>
            </w:r>
          </w:p>
          <w:p w:rsidR="005221C4" w:rsidRPr="007C110A" w:rsidRDefault="005221C4" w:rsidP="00A866C4">
            <w:pPr>
              <w:jc w:val="both"/>
              <w:rPr>
                <w:sz w:val="20"/>
                <w:lang w:val="fr-CA"/>
              </w:rPr>
            </w:pPr>
            <w:r w:rsidRPr="007C110A">
              <w:rPr>
                <w:sz w:val="20"/>
                <w:lang w:val="fr-CA"/>
              </w:rPr>
              <w:t>Cour suprême du Canada</w:t>
            </w: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rPr>
            </w:pPr>
            <w:r w:rsidRPr="007C110A">
              <w:rPr>
                <w:sz w:val="20"/>
              </w:rPr>
              <w:t>Demande d'autorisation d'appel déposée</w:t>
            </w:r>
          </w:p>
          <w:p w:rsidR="005221C4" w:rsidRPr="007C110A" w:rsidRDefault="005221C4" w:rsidP="00A866C4">
            <w:pPr>
              <w:jc w:val="both"/>
              <w:rPr>
                <w:sz w:val="20"/>
              </w:rPr>
            </w:pPr>
          </w:p>
        </w:tc>
      </w:tr>
    </w:tbl>
    <w:p w:rsidR="005221C4" w:rsidRPr="007C110A" w:rsidRDefault="005221C4" w:rsidP="00A866C4">
      <w:pPr>
        <w:jc w:val="both"/>
        <w:rPr>
          <w:sz w:val="20"/>
        </w:rPr>
      </w:pPr>
    </w:p>
    <w:p w:rsidR="00A37BE5" w:rsidRPr="007C110A" w:rsidRDefault="00F37A97" w:rsidP="00A866C4">
      <w:pPr>
        <w:jc w:val="both"/>
        <w:rPr>
          <w:sz w:val="20"/>
        </w:rPr>
      </w:pPr>
      <w:r w:rsidRPr="007C110A">
        <w:rPr>
          <w:sz w:val="20"/>
        </w:rPr>
        <w:pict>
          <v:rect id="_x0000_i1031" style="width:2in;height:1pt" o:hrpct="0" o:hralign="center" o:hrstd="t" o:hrnoshade="t" o:hr="t" fillcolor="black [3213]" stroked="f"/>
        </w:pict>
      </w:r>
    </w:p>
    <w:p w:rsidR="001C4E12" w:rsidRPr="007C110A" w:rsidRDefault="001C4E12" w:rsidP="00A866C4">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rPr>
            </w:pPr>
            <w:r w:rsidRPr="007C110A">
              <w:rPr>
                <w:rStyle w:val="SCCFileNumberChar"/>
                <w:sz w:val="20"/>
                <w:szCs w:val="20"/>
              </w:rPr>
              <w:t>38841</w:t>
            </w:r>
          </w:p>
        </w:tc>
        <w:tc>
          <w:tcPr>
            <w:tcW w:w="4457" w:type="pct"/>
            <w:gridSpan w:val="3"/>
          </w:tcPr>
          <w:p w:rsidR="005221C4" w:rsidRPr="007C110A" w:rsidRDefault="005221C4" w:rsidP="00A866C4">
            <w:pPr>
              <w:pStyle w:val="SCCLsocParty"/>
              <w:jc w:val="both"/>
              <w:rPr>
                <w:b/>
                <w:sz w:val="20"/>
                <w:szCs w:val="20"/>
                <w:lang w:val="en-US"/>
              </w:rPr>
            </w:pPr>
            <w:r w:rsidRPr="007C110A">
              <w:rPr>
                <w:b/>
                <w:sz w:val="20"/>
                <w:szCs w:val="20"/>
                <w:lang w:val="en-US"/>
              </w:rPr>
              <w:t xml:space="preserve">Cadine Boechler, Victor Brice, Corina Bye, Rob </w:t>
            </w:r>
            <w:proofErr w:type="spellStart"/>
            <w:r w:rsidRPr="007C110A">
              <w:rPr>
                <w:b/>
                <w:sz w:val="20"/>
                <w:szCs w:val="20"/>
                <w:lang w:val="en-US"/>
              </w:rPr>
              <w:t>Dramer</w:t>
            </w:r>
            <w:proofErr w:type="spellEnd"/>
            <w:r w:rsidRPr="007C110A">
              <w:rPr>
                <w:b/>
                <w:sz w:val="20"/>
                <w:szCs w:val="20"/>
                <w:lang w:val="en-US"/>
              </w:rPr>
              <w:t xml:space="preserve">, Aaron </w:t>
            </w:r>
            <w:proofErr w:type="spellStart"/>
            <w:r w:rsidRPr="007C110A">
              <w:rPr>
                <w:b/>
                <w:sz w:val="20"/>
                <w:szCs w:val="20"/>
                <w:lang w:val="en-US"/>
              </w:rPr>
              <w:t>Goodbaum</w:t>
            </w:r>
            <w:proofErr w:type="spellEnd"/>
            <w:r w:rsidRPr="007C110A">
              <w:rPr>
                <w:b/>
                <w:sz w:val="20"/>
                <w:szCs w:val="20"/>
                <w:lang w:val="en-US"/>
              </w:rPr>
              <w:t xml:space="preserve">, Brandon Gosnell, Dianna </w:t>
            </w:r>
            <w:proofErr w:type="spellStart"/>
            <w:r w:rsidRPr="007C110A">
              <w:rPr>
                <w:b/>
                <w:sz w:val="20"/>
                <w:szCs w:val="20"/>
                <w:lang w:val="en-US"/>
              </w:rPr>
              <w:t>Hardacker</w:t>
            </w:r>
            <w:proofErr w:type="spellEnd"/>
            <w:r w:rsidRPr="007C110A">
              <w:rPr>
                <w:b/>
                <w:sz w:val="20"/>
                <w:szCs w:val="20"/>
                <w:lang w:val="en-US"/>
              </w:rPr>
              <w:t xml:space="preserve">, Robert Allen </w:t>
            </w:r>
            <w:proofErr w:type="spellStart"/>
            <w:r w:rsidRPr="007C110A">
              <w:rPr>
                <w:b/>
                <w:sz w:val="20"/>
                <w:szCs w:val="20"/>
                <w:lang w:val="en-US"/>
              </w:rPr>
              <w:t>Henrichson</w:t>
            </w:r>
            <w:proofErr w:type="spellEnd"/>
            <w:r w:rsidRPr="007C110A">
              <w:rPr>
                <w:b/>
                <w:sz w:val="20"/>
                <w:szCs w:val="20"/>
                <w:lang w:val="en-US"/>
              </w:rPr>
              <w:t xml:space="preserve">, Judy </w:t>
            </w:r>
            <w:proofErr w:type="spellStart"/>
            <w:r w:rsidRPr="007C110A">
              <w:rPr>
                <w:b/>
                <w:sz w:val="20"/>
                <w:szCs w:val="20"/>
                <w:lang w:val="en-US"/>
              </w:rPr>
              <w:t>Kalyan</w:t>
            </w:r>
            <w:proofErr w:type="spellEnd"/>
            <w:r w:rsidRPr="007C110A">
              <w:rPr>
                <w:b/>
                <w:sz w:val="20"/>
                <w:szCs w:val="20"/>
                <w:lang w:val="en-US"/>
              </w:rPr>
              <w:t xml:space="preserve">, </w:t>
            </w:r>
            <w:proofErr w:type="spellStart"/>
            <w:r w:rsidRPr="007C110A">
              <w:rPr>
                <w:b/>
                <w:sz w:val="20"/>
                <w:szCs w:val="20"/>
                <w:lang w:val="en-US"/>
              </w:rPr>
              <w:t>Tavin</w:t>
            </w:r>
            <w:proofErr w:type="spellEnd"/>
            <w:r w:rsidRPr="007C110A">
              <w:rPr>
                <w:b/>
                <w:sz w:val="20"/>
                <w:szCs w:val="20"/>
                <w:lang w:val="en-US"/>
              </w:rPr>
              <w:t xml:space="preserve"> Kemp, Sharon B. </w:t>
            </w:r>
            <w:proofErr w:type="spellStart"/>
            <w:r w:rsidRPr="007C110A">
              <w:rPr>
                <w:b/>
                <w:sz w:val="20"/>
                <w:szCs w:val="20"/>
                <w:lang w:val="en-US"/>
              </w:rPr>
              <w:t>Kravitz</w:t>
            </w:r>
            <w:proofErr w:type="spellEnd"/>
            <w:r w:rsidRPr="007C110A">
              <w:rPr>
                <w:b/>
                <w:sz w:val="20"/>
                <w:szCs w:val="20"/>
                <w:lang w:val="en-US"/>
              </w:rPr>
              <w:t xml:space="preserve">, Louise </w:t>
            </w:r>
            <w:proofErr w:type="spellStart"/>
            <w:r w:rsidRPr="007C110A">
              <w:rPr>
                <w:b/>
                <w:sz w:val="20"/>
                <w:szCs w:val="20"/>
                <w:lang w:val="en-US"/>
              </w:rPr>
              <w:t>Leclair</w:t>
            </w:r>
            <w:proofErr w:type="spellEnd"/>
            <w:r w:rsidRPr="007C110A">
              <w:rPr>
                <w:b/>
                <w:sz w:val="20"/>
                <w:szCs w:val="20"/>
                <w:lang w:val="en-US"/>
              </w:rPr>
              <w:t xml:space="preserve">, Quin Laurence, </w:t>
            </w:r>
            <w:proofErr w:type="spellStart"/>
            <w:r w:rsidRPr="007C110A">
              <w:rPr>
                <w:b/>
                <w:sz w:val="20"/>
                <w:szCs w:val="20"/>
                <w:lang w:val="en-US"/>
              </w:rPr>
              <w:t>Meeka</w:t>
            </w:r>
            <w:proofErr w:type="spellEnd"/>
            <w:r w:rsidRPr="007C110A">
              <w:rPr>
                <w:b/>
                <w:sz w:val="20"/>
                <w:szCs w:val="20"/>
                <w:lang w:val="en-US"/>
              </w:rPr>
              <w:t xml:space="preserve"> </w:t>
            </w:r>
            <w:proofErr w:type="spellStart"/>
            <w:r w:rsidRPr="007C110A">
              <w:rPr>
                <w:b/>
                <w:sz w:val="20"/>
                <w:szCs w:val="20"/>
                <w:lang w:val="en-US"/>
              </w:rPr>
              <w:t>Marsolais</w:t>
            </w:r>
            <w:proofErr w:type="spellEnd"/>
            <w:r w:rsidRPr="007C110A">
              <w:rPr>
                <w:b/>
                <w:sz w:val="20"/>
                <w:szCs w:val="20"/>
                <w:lang w:val="en-US"/>
              </w:rPr>
              <w:t xml:space="preserve">, Anneke </w:t>
            </w:r>
            <w:proofErr w:type="spellStart"/>
            <w:r w:rsidRPr="007C110A">
              <w:rPr>
                <w:b/>
                <w:sz w:val="20"/>
                <w:szCs w:val="20"/>
                <w:lang w:val="en-US"/>
              </w:rPr>
              <w:t>Rotmeyer</w:t>
            </w:r>
            <w:proofErr w:type="spellEnd"/>
            <w:r w:rsidRPr="007C110A">
              <w:rPr>
                <w:b/>
                <w:sz w:val="20"/>
                <w:szCs w:val="20"/>
                <w:lang w:val="en-US"/>
              </w:rPr>
              <w:t xml:space="preserve">, Anne-Marie </w:t>
            </w:r>
            <w:proofErr w:type="spellStart"/>
            <w:r w:rsidRPr="007C110A">
              <w:rPr>
                <w:b/>
                <w:sz w:val="20"/>
                <w:szCs w:val="20"/>
                <w:lang w:val="en-US"/>
              </w:rPr>
              <w:t>Mobach</w:t>
            </w:r>
            <w:proofErr w:type="spellEnd"/>
            <w:r w:rsidRPr="007C110A">
              <w:rPr>
                <w:b/>
                <w:sz w:val="20"/>
                <w:szCs w:val="20"/>
                <w:lang w:val="en-US"/>
              </w:rPr>
              <w:t>, Alexa Wood, Frankie McGee, Patricia White v. Regina</w:t>
            </w:r>
          </w:p>
          <w:p w:rsidR="005221C4" w:rsidRPr="007C110A" w:rsidRDefault="005221C4" w:rsidP="00A866C4">
            <w:pPr>
              <w:jc w:val="both"/>
              <w:rPr>
                <w:sz w:val="20"/>
              </w:rPr>
            </w:pPr>
            <w:r w:rsidRPr="007C110A">
              <w:rPr>
                <w:sz w:val="20"/>
              </w:rPr>
              <w:t>(B.C.) (Criminal) (By Leave)</w:t>
            </w:r>
          </w:p>
        </w:tc>
      </w:tr>
      <w:tr w:rsidR="005221C4" w:rsidRPr="007C110A" w:rsidTr="00E95A6A">
        <w:tc>
          <w:tcPr>
            <w:tcW w:w="5000" w:type="pct"/>
            <w:gridSpan w:val="4"/>
          </w:tcPr>
          <w:p w:rsidR="005221C4" w:rsidRPr="007C110A" w:rsidRDefault="005221C4" w:rsidP="00A866C4">
            <w:pPr>
              <w:jc w:val="both"/>
              <w:rPr>
                <w:sz w:val="20"/>
              </w:rPr>
            </w:pPr>
            <w:r w:rsidRPr="007C110A">
              <w:rPr>
                <w:sz w:val="20"/>
              </w:rPr>
              <w:t xml:space="preserve">Criminal law — Criminal contempt of court — </w:t>
            </w:r>
            <w:r w:rsidRPr="007C110A">
              <w:rPr>
                <w:sz w:val="20"/>
                <w:lang w:val="en"/>
              </w:rPr>
              <w:t>Injunction enjoined all persons having notice of the injunction from continuing to blockade Trans Mountain Pipeline’s worksites</w:t>
            </w:r>
            <w:r w:rsidRPr="007C110A">
              <w:rPr>
                <w:sz w:val="20"/>
              </w:rPr>
              <w:t xml:space="preserve"> — Applicants breached injunction and held in criminal contempt — Whether s. 9 of the </w:t>
            </w:r>
            <w:r w:rsidRPr="007C110A">
              <w:rPr>
                <w:i/>
                <w:sz w:val="20"/>
              </w:rPr>
              <w:t>Criminal Code</w:t>
            </w:r>
            <w:r w:rsidRPr="007C110A">
              <w:rPr>
                <w:sz w:val="20"/>
              </w:rPr>
              <w:t xml:space="preserve"> imposes a substantive limit on what courses of conduct can be punished as criminal contempt — Whether conduct occurring in “public” remains a workable standard consistent with </w:t>
            </w:r>
            <w:r w:rsidRPr="007C110A">
              <w:rPr>
                <w:i/>
                <w:sz w:val="20"/>
              </w:rPr>
              <w:t>Charter</w:t>
            </w:r>
            <w:r w:rsidRPr="007C110A">
              <w:rPr>
                <w:sz w:val="20"/>
              </w:rPr>
              <w:t xml:space="preserve"> values for delineating criminal and civil </w:t>
            </w:r>
            <w:proofErr w:type="spellStart"/>
            <w:r w:rsidRPr="007C110A">
              <w:rPr>
                <w:sz w:val="20"/>
              </w:rPr>
              <w:t>contempts</w:t>
            </w:r>
            <w:proofErr w:type="spellEnd"/>
            <w:r w:rsidRPr="007C110A">
              <w:rPr>
                <w:sz w:val="20"/>
              </w:rPr>
              <w:t xml:space="preserve"> — s. </w:t>
            </w:r>
            <w:r w:rsidRPr="007C110A">
              <w:rPr>
                <w:sz w:val="20"/>
                <w:lang w:val="en"/>
              </w:rPr>
              <w:t xml:space="preserve">9 of the </w:t>
            </w:r>
            <w:r w:rsidRPr="007C110A">
              <w:rPr>
                <w:i/>
                <w:sz w:val="20"/>
                <w:lang w:val="en"/>
              </w:rPr>
              <w:t>Criminal Code</w:t>
            </w:r>
            <w:r w:rsidRPr="007C110A">
              <w:rPr>
                <w:sz w:val="20"/>
                <w:lang w:val="en"/>
              </w:rPr>
              <w:t>, R.S.C. 1985, c. C</w:t>
            </w:r>
            <w:r w:rsidRPr="007C110A">
              <w:rPr>
                <w:sz w:val="20"/>
                <w:lang w:val="en"/>
              </w:rPr>
              <w:noBreakHyphen/>
              <w:t>46.</w:t>
            </w:r>
          </w:p>
          <w:p w:rsidR="005221C4" w:rsidRPr="007C110A" w:rsidRDefault="005221C4" w:rsidP="00A866C4">
            <w:pPr>
              <w:jc w:val="both"/>
              <w:rPr>
                <w:sz w:val="20"/>
              </w:rPr>
            </w:pPr>
          </w:p>
        </w:tc>
      </w:tr>
      <w:tr w:rsidR="005221C4" w:rsidRPr="007C110A" w:rsidTr="00E95A6A">
        <w:tc>
          <w:tcPr>
            <w:tcW w:w="5000" w:type="pct"/>
            <w:gridSpan w:val="4"/>
          </w:tcPr>
          <w:p w:rsidR="005221C4" w:rsidRPr="007C110A" w:rsidRDefault="005221C4" w:rsidP="00A866C4">
            <w:pPr>
              <w:jc w:val="both"/>
              <w:rPr>
                <w:sz w:val="20"/>
              </w:rPr>
            </w:pPr>
            <w:r w:rsidRPr="007C110A">
              <w:rPr>
                <w:sz w:val="20"/>
              </w:rPr>
              <w:t xml:space="preserve">The applicants were convicted of criminal contempt of court for having defied an injunction restraining protestors from blocking access to Trans Mountain Pipeline’s worksites. The applicants filed an application, seeking an opinion on the state of the law of criminal contempt of court. </w:t>
            </w:r>
            <w:r w:rsidRPr="007C110A">
              <w:rPr>
                <w:sz w:val="20"/>
                <w:lang w:val="en"/>
              </w:rPr>
              <w:t xml:space="preserve">The applicants took the position that the law on criminal contempt as set out in the majority judgment in </w:t>
            </w:r>
            <w:r w:rsidRPr="007C110A">
              <w:rPr>
                <w:i/>
                <w:iCs/>
                <w:sz w:val="20"/>
                <w:lang w:val="en"/>
              </w:rPr>
              <w:t>United Nurses of Alberta v. Alberta (Attorney General)</w:t>
            </w:r>
            <w:r w:rsidRPr="007C110A">
              <w:rPr>
                <w:sz w:val="20"/>
                <w:lang w:val="en"/>
              </w:rPr>
              <w:t xml:space="preserve">, </w:t>
            </w:r>
            <w:r w:rsidRPr="007C110A">
              <w:rPr>
                <w:rStyle w:val="reflex3-alt"/>
                <w:sz w:val="20"/>
                <w:lang w:val="en"/>
              </w:rPr>
              <w:t>[1992] 1 S.C.R. 901</w:t>
            </w:r>
            <w:r w:rsidRPr="007C110A">
              <w:rPr>
                <w:sz w:val="20"/>
                <w:lang w:val="en"/>
              </w:rPr>
              <w:t xml:space="preserve">, should not be followed. Crown counsel took the position that </w:t>
            </w:r>
            <w:r w:rsidRPr="007C110A">
              <w:rPr>
                <w:i/>
                <w:iCs/>
                <w:sz w:val="20"/>
                <w:lang w:val="en"/>
              </w:rPr>
              <w:t>United Nurses</w:t>
            </w:r>
            <w:r w:rsidRPr="007C110A">
              <w:rPr>
                <w:sz w:val="20"/>
                <w:lang w:val="en"/>
              </w:rPr>
              <w:t xml:space="preserve"> was a binding authority. The applicants’ application was dismissed. The appeals were dismissed by the Court of Appeal.</w:t>
            </w:r>
          </w:p>
        </w:tc>
      </w:tr>
      <w:tr w:rsidR="005221C4" w:rsidRPr="007C110A" w:rsidTr="00E95A6A">
        <w:tc>
          <w:tcPr>
            <w:tcW w:w="5000" w:type="pct"/>
            <w:gridSpan w:val="4"/>
          </w:tcPr>
          <w:p w:rsidR="005221C4" w:rsidRPr="007C110A" w:rsidRDefault="005221C4" w:rsidP="00A866C4">
            <w:pPr>
              <w:jc w:val="both"/>
              <w:rPr>
                <w:sz w:val="20"/>
              </w:rPr>
            </w:pPr>
          </w:p>
        </w:tc>
      </w:tr>
      <w:tr w:rsidR="005221C4" w:rsidRPr="007C110A" w:rsidTr="00E95A6A">
        <w:tc>
          <w:tcPr>
            <w:tcW w:w="2427" w:type="pct"/>
            <w:gridSpan w:val="2"/>
          </w:tcPr>
          <w:p w:rsidR="005221C4" w:rsidRPr="007C110A" w:rsidRDefault="005221C4" w:rsidP="00A866C4">
            <w:pPr>
              <w:jc w:val="both"/>
              <w:rPr>
                <w:sz w:val="20"/>
              </w:rPr>
            </w:pPr>
            <w:r w:rsidRPr="007C110A">
              <w:rPr>
                <w:sz w:val="20"/>
              </w:rPr>
              <w:t>September 6, 2018</w:t>
            </w:r>
          </w:p>
          <w:p w:rsidR="005221C4" w:rsidRPr="007C110A" w:rsidRDefault="005221C4" w:rsidP="00A866C4">
            <w:pPr>
              <w:jc w:val="both"/>
              <w:rPr>
                <w:sz w:val="20"/>
              </w:rPr>
            </w:pPr>
            <w:r w:rsidRPr="007C110A">
              <w:rPr>
                <w:sz w:val="20"/>
              </w:rPr>
              <w:t>Supreme Court of British Columbia</w:t>
            </w:r>
          </w:p>
          <w:p w:rsidR="005221C4" w:rsidRPr="007C110A" w:rsidRDefault="005221C4" w:rsidP="00A866C4">
            <w:pPr>
              <w:jc w:val="both"/>
              <w:rPr>
                <w:sz w:val="20"/>
              </w:rPr>
            </w:pPr>
            <w:r w:rsidRPr="007C110A">
              <w:rPr>
                <w:sz w:val="20"/>
              </w:rPr>
              <w:t>(Affleck J.)</w:t>
            </w:r>
          </w:p>
          <w:p w:rsidR="005221C4" w:rsidRPr="007C110A" w:rsidRDefault="00F37A97" w:rsidP="00A866C4">
            <w:pPr>
              <w:jc w:val="both"/>
              <w:rPr>
                <w:sz w:val="20"/>
              </w:rPr>
            </w:pPr>
            <w:hyperlink r:id="rId31" w:history="1">
              <w:r w:rsidR="005221C4" w:rsidRPr="007C110A">
                <w:rPr>
                  <w:rStyle w:val="Hyperlink"/>
                  <w:sz w:val="20"/>
                </w:rPr>
                <w:t>2018 BCSC 1530</w:t>
              </w:r>
            </w:hyperlink>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rPr>
            </w:pPr>
            <w:r w:rsidRPr="007C110A">
              <w:rPr>
                <w:sz w:val="20"/>
              </w:rPr>
              <w:t>Applicants’ application dismissed</w:t>
            </w:r>
          </w:p>
          <w:p w:rsidR="005221C4" w:rsidRPr="007C110A" w:rsidRDefault="005221C4" w:rsidP="00A866C4">
            <w:pPr>
              <w:jc w:val="both"/>
              <w:rPr>
                <w:sz w:val="20"/>
              </w:rPr>
            </w:pPr>
          </w:p>
        </w:tc>
      </w:tr>
      <w:tr w:rsidR="005221C4" w:rsidRPr="007C110A" w:rsidTr="00E95A6A">
        <w:tc>
          <w:tcPr>
            <w:tcW w:w="2427" w:type="pct"/>
            <w:gridSpan w:val="2"/>
          </w:tcPr>
          <w:p w:rsidR="005221C4" w:rsidRPr="007C110A" w:rsidRDefault="005221C4" w:rsidP="00A866C4">
            <w:pPr>
              <w:jc w:val="both"/>
              <w:rPr>
                <w:sz w:val="20"/>
              </w:rPr>
            </w:pPr>
            <w:r w:rsidRPr="007C110A">
              <w:rPr>
                <w:sz w:val="20"/>
              </w:rPr>
              <w:t>July 20, 2018</w:t>
            </w:r>
          </w:p>
          <w:p w:rsidR="005221C4" w:rsidRPr="007C110A" w:rsidRDefault="005221C4" w:rsidP="00A866C4">
            <w:pPr>
              <w:jc w:val="both"/>
              <w:rPr>
                <w:sz w:val="20"/>
              </w:rPr>
            </w:pPr>
            <w:r w:rsidRPr="007C110A">
              <w:rPr>
                <w:sz w:val="20"/>
              </w:rPr>
              <w:t>Court of Appeal for British Columbia</w:t>
            </w:r>
          </w:p>
          <w:p w:rsidR="005221C4" w:rsidRPr="007C110A" w:rsidRDefault="005221C4" w:rsidP="00A866C4">
            <w:pPr>
              <w:jc w:val="both"/>
              <w:rPr>
                <w:sz w:val="20"/>
                <w:lang w:val="fr-CA"/>
              </w:rPr>
            </w:pPr>
            <w:r w:rsidRPr="007C110A">
              <w:rPr>
                <w:sz w:val="20"/>
                <w:lang w:val="fr-CA"/>
              </w:rPr>
              <w:t>(Vancouver)</w:t>
            </w:r>
          </w:p>
          <w:p w:rsidR="005221C4" w:rsidRPr="007C110A" w:rsidRDefault="005221C4" w:rsidP="00A866C4">
            <w:pPr>
              <w:jc w:val="both"/>
              <w:rPr>
                <w:sz w:val="20"/>
                <w:lang w:val="fr-CA"/>
              </w:rPr>
            </w:pPr>
            <w:r w:rsidRPr="007C110A">
              <w:rPr>
                <w:sz w:val="20"/>
                <w:lang w:val="fr-CA"/>
              </w:rPr>
              <w:t>(Savage J.A.)</w:t>
            </w:r>
          </w:p>
          <w:p w:rsidR="005221C4" w:rsidRPr="007C110A" w:rsidRDefault="00F37A97" w:rsidP="00A866C4">
            <w:pPr>
              <w:jc w:val="both"/>
              <w:rPr>
                <w:sz w:val="20"/>
                <w:lang w:val="fr-CA"/>
              </w:rPr>
            </w:pPr>
            <w:hyperlink r:id="rId32" w:history="1">
              <w:r w:rsidR="005221C4" w:rsidRPr="007C110A">
                <w:rPr>
                  <w:rStyle w:val="Hyperlink"/>
                  <w:sz w:val="20"/>
                  <w:lang w:val="fr-CA"/>
                </w:rPr>
                <w:t>2018 BCCA 310</w:t>
              </w:r>
            </w:hyperlink>
            <w:r w:rsidR="005221C4" w:rsidRPr="007C110A">
              <w:rPr>
                <w:sz w:val="20"/>
                <w:lang w:val="fr-CA"/>
              </w:rPr>
              <w:t xml:space="preserve"> </w:t>
            </w:r>
          </w:p>
          <w:p w:rsidR="005221C4" w:rsidRPr="007C110A" w:rsidRDefault="005221C4" w:rsidP="00A866C4">
            <w:pPr>
              <w:jc w:val="both"/>
              <w:rPr>
                <w:sz w:val="20"/>
                <w:lang w:val="fr-CA"/>
              </w:rPr>
            </w:pP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rPr>
            </w:pPr>
            <w:r w:rsidRPr="007C110A">
              <w:rPr>
                <w:sz w:val="20"/>
              </w:rPr>
              <w:t>A</w:t>
            </w:r>
            <w:r w:rsidRPr="007C110A">
              <w:rPr>
                <w:sz w:val="20"/>
                <w:lang w:val="en"/>
              </w:rPr>
              <w:t xml:space="preserve">pplication to have appeals CA45402 through CA45417 heard together granted; parties directed to file one set of materials for all appeals; </w:t>
            </w:r>
            <w:r w:rsidRPr="007C110A">
              <w:rPr>
                <w:sz w:val="20"/>
              </w:rPr>
              <w:t>application for stay of proceedings dismissed</w:t>
            </w:r>
          </w:p>
        </w:tc>
      </w:tr>
      <w:tr w:rsidR="005221C4" w:rsidRPr="007C110A" w:rsidTr="00E95A6A">
        <w:tc>
          <w:tcPr>
            <w:tcW w:w="2427" w:type="pct"/>
            <w:gridSpan w:val="2"/>
          </w:tcPr>
          <w:p w:rsidR="005221C4" w:rsidRPr="007C110A" w:rsidRDefault="005221C4" w:rsidP="00A866C4">
            <w:pPr>
              <w:jc w:val="both"/>
              <w:rPr>
                <w:sz w:val="20"/>
              </w:rPr>
            </w:pPr>
            <w:r w:rsidRPr="007C110A">
              <w:rPr>
                <w:sz w:val="20"/>
              </w:rPr>
              <w:t>July 23, 2019</w:t>
            </w:r>
          </w:p>
          <w:p w:rsidR="005221C4" w:rsidRPr="007C110A" w:rsidRDefault="005221C4" w:rsidP="00A866C4">
            <w:pPr>
              <w:jc w:val="both"/>
              <w:rPr>
                <w:sz w:val="20"/>
              </w:rPr>
            </w:pPr>
            <w:r w:rsidRPr="007C110A">
              <w:rPr>
                <w:sz w:val="20"/>
              </w:rPr>
              <w:t xml:space="preserve">Court of Appeal for British Columbia </w:t>
            </w:r>
          </w:p>
          <w:p w:rsidR="005221C4" w:rsidRPr="007C110A" w:rsidRDefault="005221C4" w:rsidP="00A866C4">
            <w:pPr>
              <w:jc w:val="both"/>
              <w:rPr>
                <w:sz w:val="20"/>
              </w:rPr>
            </w:pPr>
            <w:r w:rsidRPr="007C110A">
              <w:rPr>
                <w:sz w:val="20"/>
              </w:rPr>
              <w:t>(Vancouver)</w:t>
            </w:r>
          </w:p>
          <w:p w:rsidR="005221C4" w:rsidRPr="007C110A" w:rsidRDefault="005221C4" w:rsidP="00A866C4">
            <w:pPr>
              <w:jc w:val="both"/>
              <w:rPr>
                <w:sz w:val="20"/>
              </w:rPr>
            </w:pPr>
            <w:r w:rsidRPr="007C110A">
              <w:rPr>
                <w:sz w:val="20"/>
              </w:rPr>
              <w:t>(Frankel, Garson, Dickson JJ.A.)</w:t>
            </w:r>
          </w:p>
          <w:p w:rsidR="005221C4" w:rsidRPr="007C110A" w:rsidRDefault="00F37A97" w:rsidP="00A866C4">
            <w:pPr>
              <w:jc w:val="both"/>
              <w:rPr>
                <w:sz w:val="20"/>
              </w:rPr>
            </w:pPr>
            <w:hyperlink r:id="rId33" w:history="1">
              <w:r w:rsidR="005221C4" w:rsidRPr="007C110A">
                <w:rPr>
                  <w:rStyle w:val="Hyperlink"/>
                  <w:sz w:val="20"/>
                </w:rPr>
                <w:t>2019 BCCA 267</w:t>
              </w:r>
            </w:hyperlink>
          </w:p>
          <w:p w:rsidR="005221C4" w:rsidRPr="007C110A" w:rsidRDefault="005221C4" w:rsidP="0023785A">
            <w:pPr>
              <w:rPr>
                <w:sz w:val="20"/>
              </w:rPr>
            </w:pPr>
            <w:r w:rsidRPr="007C110A">
              <w:rPr>
                <w:sz w:val="20"/>
                <w:lang w:val="en"/>
              </w:rPr>
              <w:t>CA45402; CA45403; CA45404; CA45405;</w:t>
            </w:r>
            <w:r w:rsidRPr="007C110A">
              <w:rPr>
                <w:sz w:val="20"/>
                <w:lang w:val="en"/>
              </w:rPr>
              <w:br/>
              <w:t>CA45406; CA45407; CA45408 CA45409; CA45410; CA45411; CA45412; CA45413; CA45414; CA45415;CA45416; CA45417; CA45419; CA45851</w:t>
            </w:r>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rPr>
            </w:pPr>
            <w:r w:rsidRPr="007C110A">
              <w:rPr>
                <w:sz w:val="20"/>
              </w:rPr>
              <w:t xml:space="preserve">Appeals dismissed </w:t>
            </w:r>
          </w:p>
        </w:tc>
      </w:tr>
      <w:tr w:rsidR="005221C4" w:rsidRPr="007C110A" w:rsidTr="00E95A6A">
        <w:tc>
          <w:tcPr>
            <w:tcW w:w="2427" w:type="pct"/>
            <w:gridSpan w:val="2"/>
          </w:tcPr>
          <w:p w:rsidR="005221C4" w:rsidRPr="007C110A" w:rsidRDefault="005221C4" w:rsidP="00A866C4">
            <w:pPr>
              <w:jc w:val="both"/>
              <w:rPr>
                <w:sz w:val="20"/>
              </w:rPr>
            </w:pPr>
            <w:r w:rsidRPr="007C110A">
              <w:rPr>
                <w:sz w:val="20"/>
              </w:rPr>
              <w:t>September 30, 2019</w:t>
            </w:r>
          </w:p>
          <w:p w:rsidR="005221C4" w:rsidRPr="007C110A" w:rsidRDefault="005221C4" w:rsidP="00A866C4">
            <w:pPr>
              <w:jc w:val="both"/>
              <w:rPr>
                <w:sz w:val="20"/>
              </w:rPr>
            </w:pPr>
            <w:r w:rsidRPr="007C110A">
              <w:rPr>
                <w:sz w:val="20"/>
              </w:rPr>
              <w:t>Supreme Court of Canada</w:t>
            </w: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rPr>
            </w:pPr>
            <w:r w:rsidRPr="007C110A">
              <w:rPr>
                <w:sz w:val="20"/>
              </w:rPr>
              <w:t>Application for leave to appeal filed</w:t>
            </w:r>
          </w:p>
          <w:p w:rsidR="005221C4" w:rsidRPr="007C110A" w:rsidRDefault="005221C4" w:rsidP="00A866C4">
            <w:pPr>
              <w:jc w:val="both"/>
              <w:rPr>
                <w:sz w:val="20"/>
              </w:rPr>
            </w:pPr>
          </w:p>
        </w:tc>
      </w:tr>
    </w:tbl>
    <w:p w:rsidR="005221C4" w:rsidRPr="007C110A" w:rsidRDefault="005221C4" w:rsidP="00A866C4">
      <w:pPr>
        <w:jc w:val="both"/>
        <w:rPr>
          <w:sz w:val="20"/>
        </w:rPr>
      </w:pPr>
    </w:p>
    <w:p w:rsidR="00A37BE5" w:rsidRPr="007C110A" w:rsidRDefault="00F37A97" w:rsidP="00A866C4">
      <w:pPr>
        <w:jc w:val="both"/>
        <w:rPr>
          <w:sz w:val="20"/>
        </w:rPr>
      </w:pPr>
      <w:r w:rsidRPr="007C110A">
        <w:rPr>
          <w:sz w:val="20"/>
        </w:rPr>
        <w:pict>
          <v:rect id="_x0000_i1032" style="width:2in;height:1pt" o:hrpct="0" o:hralign="center" o:hrstd="t" o:hrnoshade="t" o:hr="t" fillcolor="black [3213]" stroked="f"/>
        </w:pict>
      </w:r>
    </w:p>
    <w:p w:rsidR="005221C4" w:rsidRPr="007C110A" w:rsidRDefault="005221C4"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lang w:val="fr-CA"/>
              </w:rPr>
            </w:pPr>
            <w:r w:rsidRPr="007C110A">
              <w:rPr>
                <w:rStyle w:val="SCCFileNumberChar"/>
                <w:sz w:val="20"/>
                <w:szCs w:val="20"/>
                <w:lang w:val="fr-CA"/>
              </w:rPr>
              <w:t>38841</w:t>
            </w:r>
          </w:p>
        </w:tc>
        <w:tc>
          <w:tcPr>
            <w:tcW w:w="4457" w:type="pct"/>
            <w:gridSpan w:val="3"/>
          </w:tcPr>
          <w:p w:rsidR="005221C4" w:rsidRPr="007C110A" w:rsidRDefault="005221C4" w:rsidP="00A866C4">
            <w:pPr>
              <w:pStyle w:val="SCCLsocParty"/>
              <w:jc w:val="both"/>
              <w:rPr>
                <w:b/>
                <w:sz w:val="20"/>
                <w:szCs w:val="20"/>
              </w:rPr>
            </w:pPr>
            <w:r w:rsidRPr="007C110A">
              <w:rPr>
                <w:b/>
                <w:sz w:val="20"/>
                <w:szCs w:val="20"/>
              </w:rPr>
              <w:t xml:space="preserve">Cadine Boechler, Victor Brice, </w:t>
            </w:r>
            <w:proofErr w:type="spellStart"/>
            <w:r w:rsidRPr="007C110A">
              <w:rPr>
                <w:b/>
                <w:sz w:val="20"/>
                <w:szCs w:val="20"/>
              </w:rPr>
              <w:t>Corina</w:t>
            </w:r>
            <w:proofErr w:type="spellEnd"/>
            <w:r w:rsidRPr="007C110A">
              <w:rPr>
                <w:b/>
                <w:sz w:val="20"/>
                <w:szCs w:val="20"/>
              </w:rPr>
              <w:t xml:space="preserve"> Bye, Rob </w:t>
            </w:r>
            <w:proofErr w:type="spellStart"/>
            <w:r w:rsidRPr="007C110A">
              <w:rPr>
                <w:b/>
                <w:sz w:val="20"/>
                <w:szCs w:val="20"/>
              </w:rPr>
              <w:t>Dramer</w:t>
            </w:r>
            <w:proofErr w:type="spellEnd"/>
            <w:r w:rsidRPr="007C110A">
              <w:rPr>
                <w:b/>
                <w:sz w:val="20"/>
                <w:szCs w:val="20"/>
              </w:rPr>
              <w:t xml:space="preserve">, Aaron </w:t>
            </w:r>
            <w:proofErr w:type="spellStart"/>
            <w:r w:rsidRPr="007C110A">
              <w:rPr>
                <w:b/>
                <w:sz w:val="20"/>
                <w:szCs w:val="20"/>
              </w:rPr>
              <w:t>Goodbaum</w:t>
            </w:r>
            <w:proofErr w:type="spellEnd"/>
            <w:r w:rsidRPr="007C110A">
              <w:rPr>
                <w:b/>
                <w:sz w:val="20"/>
                <w:szCs w:val="20"/>
              </w:rPr>
              <w:t xml:space="preserve">, Brandon </w:t>
            </w:r>
            <w:proofErr w:type="spellStart"/>
            <w:r w:rsidRPr="007C110A">
              <w:rPr>
                <w:b/>
                <w:sz w:val="20"/>
                <w:szCs w:val="20"/>
              </w:rPr>
              <w:t>Gosnell</w:t>
            </w:r>
            <w:proofErr w:type="spellEnd"/>
            <w:r w:rsidRPr="007C110A">
              <w:rPr>
                <w:b/>
                <w:sz w:val="20"/>
                <w:szCs w:val="20"/>
              </w:rPr>
              <w:t xml:space="preserve">, </w:t>
            </w:r>
            <w:proofErr w:type="spellStart"/>
            <w:r w:rsidRPr="007C110A">
              <w:rPr>
                <w:b/>
                <w:sz w:val="20"/>
                <w:szCs w:val="20"/>
              </w:rPr>
              <w:t>Dianna</w:t>
            </w:r>
            <w:proofErr w:type="spellEnd"/>
            <w:r w:rsidRPr="007C110A">
              <w:rPr>
                <w:b/>
                <w:sz w:val="20"/>
                <w:szCs w:val="20"/>
              </w:rPr>
              <w:t xml:space="preserve"> </w:t>
            </w:r>
            <w:proofErr w:type="spellStart"/>
            <w:r w:rsidRPr="007C110A">
              <w:rPr>
                <w:b/>
                <w:sz w:val="20"/>
                <w:szCs w:val="20"/>
              </w:rPr>
              <w:t>Hardacker</w:t>
            </w:r>
            <w:proofErr w:type="spellEnd"/>
            <w:r w:rsidRPr="007C110A">
              <w:rPr>
                <w:b/>
                <w:sz w:val="20"/>
                <w:szCs w:val="20"/>
              </w:rPr>
              <w:t xml:space="preserve">, Robert Allen </w:t>
            </w:r>
            <w:proofErr w:type="spellStart"/>
            <w:r w:rsidRPr="007C110A">
              <w:rPr>
                <w:b/>
                <w:sz w:val="20"/>
                <w:szCs w:val="20"/>
              </w:rPr>
              <w:t>Henrichson</w:t>
            </w:r>
            <w:proofErr w:type="spellEnd"/>
            <w:r w:rsidRPr="007C110A">
              <w:rPr>
                <w:b/>
                <w:sz w:val="20"/>
                <w:szCs w:val="20"/>
              </w:rPr>
              <w:t xml:space="preserve">, Judy Kalyan, </w:t>
            </w:r>
            <w:proofErr w:type="spellStart"/>
            <w:r w:rsidRPr="007C110A">
              <w:rPr>
                <w:b/>
                <w:sz w:val="20"/>
                <w:szCs w:val="20"/>
              </w:rPr>
              <w:t>Tavin</w:t>
            </w:r>
            <w:proofErr w:type="spellEnd"/>
            <w:r w:rsidRPr="007C110A">
              <w:rPr>
                <w:b/>
                <w:sz w:val="20"/>
                <w:szCs w:val="20"/>
              </w:rPr>
              <w:t xml:space="preserve"> Kemp, Sharon B. </w:t>
            </w:r>
            <w:proofErr w:type="spellStart"/>
            <w:r w:rsidRPr="007C110A">
              <w:rPr>
                <w:b/>
                <w:sz w:val="20"/>
                <w:szCs w:val="20"/>
              </w:rPr>
              <w:t>Kravitz</w:t>
            </w:r>
            <w:proofErr w:type="spellEnd"/>
            <w:r w:rsidRPr="007C110A">
              <w:rPr>
                <w:b/>
                <w:sz w:val="20"/>
                <w:szCs w:val="20"/>
              </w:rPr>
              <w:t xml:space="preserve">, Louise Leclair, Quin Laurence, </w:t>
            </w:r>
            <w:proofErr w:type="spellStart"/>
            <w:r w:rsidRPr="007C110A">
              <w:rPr>
                <w:b/>
                <w:sz w:val="20"/>
                <w:szCs w:val="20"/>
              </w:rPr>
              <w:t>Meeka</w:t>
            </w:r>
            <w:proofErr w:type="spellEnd"/>
            <w:r w:rsidRPr="007C110A">
              <w:rPr>
                <w:b/>
                <w:sz w:val="20"/>
                <w:szCs w:val="20"/>
              </w:rPr>
              <w:t xml:space="preserve"> </w:t>
            </w:r>
            <w:proofErr w:type="spellStart"/>
            <w:r w:rsidRPr="007C110A">
              <w:rPr>
                <w:b/>
                <w:sz w:val="20"/>
                <w:szCs w:val="20"/>
              </w:rPr>
              <w:t>Marsolais</w:t>
            </w:r>
            <w:proofErr w:type="spellEnd"/>
            <w:r w:rsidRPr="007C110A">
              <w:rPr>
                <w:b/>
                <w:sz w:val="20"/>
                <w:szCs w:val="20"/>
              </w:rPr>
              <w:t xml:space="preserve">, </w:t>
            </w:r>
            <w:proofErr w:type="spellStart"/>
            <w:r w:rsidRPr="007C110A">
              <w:rPr>
                <w:b/>
                <w:sz w:val="20"/>
                <w:szCs w:val="20"/>
              </w:rPr>
              <w:t>Anneke</w:t>
            </w:r>
            <w:proofErr w:type="spellEnd"/>
            <w:r w:rsidRPr="007C110A">
              <w:rPr>
                <w:b/>
                <w:sz w:val="20"/>
                <w:szCs w:val="20"/>
              </w:rPr>
              <w:t xml:space="preserve"> </w:t>
            </w:r>
            <w:proofErr w:type="spellStart"/>
            <w:r w:rsidRPr="007C110A">
              <w:rPr>
                <w:b/>
                <w:sz w:val="20"/>
                <w:szCs w:val="20"/>
              </w:rPr>
              <w:t>Rotmeyer</w:t>
            </w:r>
            <w:proofErr w:type="spellEnd"/>
            <w:r w:rsidRPr="007C110A">
              <w:rPr>
                <w:b/>
                <w:sz w:val="20"/>
                <w:szCs w:val="20"/>
              </w:rPr>
              <w:t xml:space="preserve">, Anne-Marie </w:t>
            </w:r>
            <w:proofErr w:type="spellStart"/>
            <w:r w:rsidRPr="007C110A">
              <w:rPr>
                <w:b/>
                <w:sz w:val="20"/>
                <w:szCs w:val="20"/>
              </w:rPr>
              <w:t>Mobach</w:t>
            </w:r>
            <w:proofErr w:type="spellEnd"/>
            <w:r w:rsidRPr="007C110A">
              <w:rPr>
                <w:b/>
                <w:sz w:val="20"/>
                <w:szCs w:val="20"/>
              </w:rPr>
              <w:t xml:space="preserve">, Alexa Wood, Frankie </w:t>
            </w:r>
            <w:proofErr w:type="spellStart"/>
            <w:r w:rsidRPr="007C110A">
              <w:rPr>
                <w:b/>
                <w:sz w:val="20"/>
                <w:szCs w:val="20"/>
              </w:rPr>
              <w:t>McGee</w:t>
            </w:r>
            <w:proofErr w:type="spellEnd"/>
            <w:r w:rsidRPr="007C110A">
              <w:rPr>
                <w:b/>
                <w:sz w:val="20"/>
                <w:szCs w:val="20"/>
              </w:rPr>
              <w:t>, Patricia White c. Regina</w:t>
            </w:r>
          </w:p>
          <w:p w:rsidR="005221C4" w:rsidRPr="007C110A" w:rsidRDefault="005221C4" w:rsidP="00A866C4">
            <w:pPr>
              <w:jc w:val="both"/>
              <w:rPr>
                <w:sz w:val="20"/>
                <w:lang w:val="fr-CA"/>
              </w:rPr>
            </w:pPr>
            <w:r w:rsidRPr="007C110A">
              <w:rPr>
                <w:sz w:val="20"/>
                <w:lang w:val="fr-CA"/>
              </w:rPr>
              <w:t>(C.</w:t>
            </w:r>
            <w:r w:rsidRPr="007C110A">
              <w:rPr>
                <w:sz w:val="20"/>
                <w:lang w:val="fr-CA"/>
              </w:rPr>
              <w:noBreakHyphen/>
              <w:t>B.) (Criminelle) (Autorisation)</w:t>
            </w:r>
          </w:p>
        </w:tc>
      </w:tr>
      <w:tr w:rsidR="005221C4" w:rsidRPr="007C110A" w:rsidTr="00E95A6A">
        <w:tc>
          <w:tcPr>
            <w:tcW w:w="5000" w:type="pct"/>
            <w:gridSpan w:val="4"/>
          </w:tcPr>
          <w:p w:rsidR="005221C4" w:rsidRPr="007C110A" w:rsidRDefault="005221C4" w:rsidP="00A866C4">
            <w:pPr>
              <w:jc w:val="both"/>
              <w:rPr>
                <w:sz w:val="20"/>
                <w:lang w:val="fr-CA"/>
              </w:rPr>
            </w:pPr>
            <w:r w:rsidRPr="007C110A">
              <w:rPr>
                <w:sz w:val="20"/>
                <w:lang w:val="fr-CA"/>
              </w:rPr>
              <w:t xml:space="preserve">Droit criminel — Outrage criminel au tribunal — Une injonction enjoignait à toutes les personnes avisées de l’injonction de mettre fin au blocus des chantiers de Trans Mountain Pipeline — Les demandeurs ont violé l’injonction et ont été reconnus coupables d’outrage criminel au tribunal — L’art. 9 du </w:t>
            </w:r>
            <w:r w:rsidRPr="007C110A">
              <w:rPr>
                <w:i/>
                <w:sz w:val="20"/>
                <w:lang w:val="fr-CA"/>
              </w:rPr>
              <w:t>Code criminel</w:t>
            </w:r>
            <w:r w:rsidRPr="007C110A">
              <w:rPr>
                <w:sz w:val="20"/>
                <w:lang w:val="fr-CA"/>
              </w:rPr>
              <w:t xml:space="preserve"> impose</w:t>
            </w:r>
            <w:r w:rsidRPr="007C110A">
              <w:rPr>
                <w:sz w:val="20"/>
                <w:lang w:val="fr-CA"/>
              </w:rPr>
              <w:noBreakHyphen/>
              <w:t>t</w:t>
            </w:r>
            <w:r w:rsidRPr="007C110A">
              <w:rPr>
                <w:sz w:val="20"/>
                <w:lang w:val="fr-CA"/>
              </w:rPr>
              <w:noBreakHyphen/>
              <w:t>il une limite substantielle aux comportements punissables en tant qu’outrage criminel au tribunal? — Un comportement qui a lieu en « public » demeure</w:t>
            </w:r>
            <w:r w:rsidRPr="007C110A">
              <w:rPr>
                <w:sz w:val="20"/>
                <w:lang w:val="fr-CA"/>
              </w:rPr>
              <w:noBreakHyphen/>
              <w:t>t</w:t>
            </w:r>
            <w:r w:rsidRPr="007C110A">
              <w:rPr>
                <w:sz w:val="20"/>
                <w:lang w:val="fr-CA"/>
              </w:rPr>
              <w:noBreakHyphen/>
              <w:t xml:space="preserve">il une norme pratique conforme aux valeurs de la </w:t>
            </w:r>
            <w:r w:rsidRPr="007C110A">
              <w:rPr>
                <w:i/>
                <w:sz w:val="20"/>
                <w:lang w:val="fr-CA"/>
              </w:rPr>
              <w:t>Charte</w:t>
            </w:r>
            <w:r w:rsidRPr="007C110A">
              <w:rPr>
                <w:sz w:val="20"/>
                <w:lang w:val="fr-CA"/>
              </w:rPr>
              <w:t xml:space="preserve"> pour faire la distinction entre l’outrage criminel au tribunal et l’outrage civil au tribunal? — Art. 9 du </w:t>
            </w:r>
            <w:r w:rsidRPr="007C110A">
              <w:rPr>
                <w:i/>
                <w:sz w:val="20"/>
                <w:lang w:val="fr-CA"/>
              </w:rPr>
              <w:t>Code criminel</w:t>
            </w:r>
            <w:r w:rsidRPr="007C110A">
              <w:rPr>
                <w:sz w:val="20"/>
                <w:lang w:val="fr-CA"/>
              </w:rPr>
              <w:t>, L.R.C. 1985, ch. C</w:t>
            </w:r>
            <w:r w:rsidRPr="007C110A">
              <w:rPr>
                <w:sz w:val="20"/>
                <w:lang w:val="fr-CA"/>
              </w:rPr>
              <w:noBreakHyphen/>
              <w:t>46.</w:t>
            </w:r>
          </w:p>
          <w:p w:rsidR="005221C4" w:rsidRPr="007C110A" w:rsidRDefault="005221C4" w:rsidP="00A866C4">
            <w:pPr>
              <w:jc w:val="both"/>
              <w:rPr>
                <w:sz w:val="20"/>
                <w:lang w:val="fr-CA"/>
              </w:rPr>
            </w:pPr>
          </w:p>
        </w:tc>
      </w:tr>
      <w:tr w:rsidR="005221C4" w:rsidRPr="007C110A" w:rsidTr="00E95A6A">
        <w:tc>
          <w:tcPr>
            <w:tcW w:w="5000" w:type="pct"/>
            <w:gridSpan w:val="4"/>
          </w:tcPr>
          <w:p w:rsidR="005221C4" w:rsidRPr="007C110A" w:rsidRDefault="005221C4" w:rsidP="00A866C4">
            <w:pPr>
              <w:jc w:val="both"/>
              <w:rPr>
                <w:sz w:val="20"/>
                <w:lang w:val="fr-CA"/>
              </w:rPr>
            </w:pPr>
            <w:r w:rsidRPr="007C110A">
              <w:rPr>
                <w:sz w:val="20"/>
                <w:lang w:val="fr-CA"/>
              </w:rPr>
              <w:t xml:space="preserve">Les demandeurs ont été déclarés coupables d’outrage criminel au tribunal pour avoir désobéi à une injonction empêchant des manifestants de bloquer l’accès aux chantiers de Trans Mountain Pipeline. Les demandeurs ont présenté une requête en vue d’obtenir un avis sur l’état du droit relatif à l’outrage criminel au tribunal. Les demandeurs ont prétendu que le droit relatif à l’outrage criminel au tribunal tel qu’énoncé par les juges majoritaires dans l’arrêt </w:t>
            </w:r>
            <w:r w:rsidRPr="007C110A">
              <w:rPr>
                <w:i/>
                <w:iCs/>
                <w:sz w:val="20"/>
                <w:lang w:val="fr-CA"/>
              </w:rPr>
              <w:t>United Nurses of Alberta c. Alberta (Procureur général)</w:t>
            </w:r>
            <w:r w:rsidRPr="007C110A">
              <w:rPr>
                <w:sz w:val="20"/>
                <w:lang w:val="fr-CA"/>
              </w:rPr>
              <w:t xml:space="preserve">, </w:t>
            </w:r>
            <w:r w:rsidRPr="007C110A">
              <w:rPr>
                <w:rStyle w:val="reflex3-alt"/>
                <w:sz w:val="20"/>
                <w:lang w:val="fr-CA"/>
              </w:rPr>
              <w:t>[1992] 1 R.C.S. 901</w:t>
            </w:r>
            <w:r w:rsidRPr="007C110A">
              <w:rPr>
                <w:sz w:val="20"/>
                <w:lang w:val="fr-CA"/>
              </w:rPr>
              <w:t xml:space="preserve">, ne devrait pas être suivi. L’avocat de la Couronne a plaidé que </w:t>
            </w:r>
            <w:r w:rsidRPr="007C110A">
              <w:rPr>
                <w:i/>
                <w:iCs/>
                <w:sz w:val="20"/>
                <w:lang w:val="fr-CA"/>
              </w:rPr>
              <w:t>United Nurses</w:t>
            </w:r>
            <w:r w:rsidRPr="007C110A">
              <w:rPr>
                <w:sz w:val="20"/>
                <w:lang w:val="fr-CA"/>
              </w:rPr>
              <w:t xml:space="preserve"> faisait jurisprudence. La requête des demandeurs a été rejetée. La Cour d’appel a rejeté l’appel.</w:t>
            </w:r>
          </w:p>
        </w:tc>
      </w:tr>
      <w:tr w:rsidR="005221C4" w:rsidRPr="007C110A" w:rsidTr="00E95A6A">
        <w:tc>
          <w:tcPr>
            <w:tcW w:w="5000" w:type="pct"/>
            <w:gridSpan w:val="4"/>
          </w:tcPr>
          <w:p w:rsidR="005221C4" w:rsidRPr="007C110A" w:rsidRDefault="005221C4" w:rsidP="00A866C4">
            <w:pPr>
              <w:jc w:val="both"/>
              <w:rPr>
                <w:sz w:val="20"/>
                <w:lang w:val="fr-CA"/>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6 septembre 2018</w:t>
            </w:r>
          </w:p>
          <w:p w:rsidR="005221C4" w:rsidRPr="007C110A" w:rsidRDefault="005221C4" w:rsidP="00A866C4">
            <w:pPr>
              <w:jc w:val="both"/>
              <w:rPr>
                <w:sz w:val="20"/>
                <w:lang w:val="fr-CA"/>
              </w:rPr>
            </w:pPr>
            <w:r w:rsidRPr="007C110A">
              <w:rPr>
                <w:sz w:val="20"/>
                <w:lang w:val="fr-CA"/>
              </w:rPr>
              <w:t>Cour suprême de la Colombie</w:t>
            </w:r>
            <w:r w:rsidRPr="007C110A">
              <w:rPr>
                <w:sz w:val="20"/>
                <w:lang w:val="fr-CA"/>
              </w:rPr>
              <w:noBreakHyphen/>
              <w:t>Britannique</w:t>
            </w:r>
          </w:p>
          <w:p w:rsidR="005221C4" w:rsidRPr="007C110A" w:rsidRDefault="005221C4" w:rsidP="00A866C4">
            <w:pPr>
              <w:jc w:val="both"/>
              <w:rPr>
                <w:sz w:val="20"/>
                <w:lang w:val="fr-CA"/>
              </w:rPr>
            </w:pPr>
            <w:r w:rsidRPr="007C110A">
              <w:rPr>
                <w:sz w:val="20"/>
                <w:lang w:val="fr-CA"/>
              </w:rPr>
              <w:t xml:space="preserve">(Juge </w:t>
            </w:r>
            <w:proofErr w:type="spellStart"/>
            <w:r w:rsidRPr="007C110A">
              <w:rPr>
                <w:sz w:val="20"/>
                <w:lang w:val="fr-CA"/>
              </w:rPr>
              <w:t>Affleck</w:t>
            </w:r>
            <w:proofErr w:type="spellEnd"/>
            <w:r w:rsidRPr="007C110A">
              <w:rPr>
                <w:sz w:val="20"/>
                <w:lang w:val="fr-CA"/>
              </w:rPr>
              <w:t>)</w:t>
            </w:r>
          </w:p>
          <w:p w:rsidR="005221C4" w:rsidRPr="007C110A" w:rsidRDefault="00F37A97" w:rsidP="00A866C4">
            <w:pPr>
              <w:jc w:val="both"/>
              <w:rPr>
                <w:sz w:val="20"/>
                <w:lang w:val="fr-CA"/>
              </w:rPr>
            </w:pPr>
            <w:hyperlink r:id="rId34" w:history="1">
              <w:r w:rsidR="005221C4" w:rsidRPr="007C110A">
                <w:rPr>
                  <w:rStyle w:val="Hyperlink"/>
                  <w:sz w:val="20"/>
                  <w:lang w:val="fr-CA"/>
                </w:rPr>
                <w:t>2018 BCSC 1530</w:t>
              </w:r>
            </w:hyperlink>
          </w:p>
          <w:p w:rsidR="005221C4" w:rsidRPr="007C110A" w:rsidRDefault="005221C4" w:rsidP="00A866C4">
            <w:pPr>
              <w:jc w:val="both"/>
              <w:rPr>
                <w:sz w:val="20"/>
                <w:lang w:val="fr-CA"/>
              </w:rPr>
            </w:pP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lang w:val="fr-CA"/>
              </w:rPr>
            </w:pPr>
            <w:r w:rsidRPr="007C110A">
              <w:rPr>
                <w:sz w:val="20"/>
                <w:lang w:val="fr-CA"/>
              </w:rPr>
              <w:t>Rejet de la requête des demandeurs</w:t>
            </w:r>
          </w:p>
          <w:p w:rsidR="005221C4" w:rsidRPr="007C110A" w:rsidRDefault="005221C4" w:rsidP="00A866C4">
            <w:pPr>
              <w:jc w:val="both"/>
              <w:rPr>
                <w:sz w:val="20"/>
                <w:lang w:val="fr-CA"/>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20 juillet 2018</w:t>
            </w:r>
          </w:p>
          <w:p w:rsidR="005221C4" w:rsidRPr="007C110A" w:rsidRDefault="005221C4" w:rsidP="00A866C4">
            <w:pPr>
              <w:jc w:val="both"/>
              <w:rPr>
                <w:sz w:val="20"/>
                <w:lang w:val="fr-CA"/>
              </w:rPr>
            </w:pPr>
            <w:r w:rsidRPr="007C110A">
              <w:rPr>
                <w:sz w:val="20"/>
                <w:lang w:val="fr-CA"/>
              </w:rPr>
              <w:t>Cour d’appel de la Colombie</w:t>
            </w:r>
            <w:r w:rsidRPr="007C110A">
              <w:rPr>
                <w:sz w:val="20"/>
                <w:lang w:val="fr-CA"/>
              </w:rPr>
              <w:noBreakHyphen/>
              <w:t>Britannique</w:t>
            </w:r>
          </w:p>
          <w:p w:rsidR="005221C4" w:rsidRPr="007C110A" w:rsidRDefault="005221C4" w:rsidP="00A866C4">
            <w:pPr>
              <w:jc w:val="both"/>
              <w:rPr>
                <w:sz w:val="20"/>
                <w:lang w:val="fr-CA"/>
              </w:rPr>
            </w:pPr>
            <w:r w:rsidRPr="007C110A">
              <w:rPr>
                <w:sz w:val="20"/>
                <w:lang w:val="fr-CA"/>
              </w:rPr>
              <w:t>(Vancouver)</w:t>
            </w:r>
          </w:p>
          <w:p w:rsidR="005221C4" w:rsidRPr="007C110A" w:rsidRDefault="005221C4" w:rsidP="00A866C4">
            <w:pPr>
              <w:jc w:val="both"/>
              <w:rPr>
                <w:sz w:val="20"/>
                <w:lang w:val="fr-CA"/>
              </w:rPr>
            </w:pPr>
            <w:r w:rsidRPr="007C110A">
              <w:rPr>
                <w:sz w:val="20"/>
                <w:lang w:val="fr-CA"/>
              </w:rPr>
              <w:t>(Juge Savage)</w:t>
            </w:r>
          </w:p>
          <w:p w:rsidR="005221C4" w:rsidRPr="007C110A" w:rsidRDefault="00F37A97" w:rsidP="00A866C4">
            <w:pPr>
              <w:jc w:val="both"/>
              <w:rPr>
                <w:sz w:val="20"/>
                <w:lang w:val="fr-CA"/>
              </w:rPr>
            </w:pPr>
            <w:hyperlink r:id="rId35" w:history="1">
              <w:r w:rsidR="005221C4" w:rsidRPr="007C110A">
                <w:rPr>
                  <w:rStyle w:val="Hyperlink"/>
                  <w:sz w:val="20"/>
                  <w:lang w:val="fr-CA"/>
                </w:rPr>
                <w:t>2018 BCCA 310</w:t>
              </w:r>
            </w:hyperlink>
          </w:p>
          <w:p w:rsidR="005221C4" w:rsidRPr="007C110A" w:rsidRDefault="005221C4" w:rsidP="00A866C4">
            <w:pPr>
              <w:jc w:val="both"/>
              <w:rPr>
                <w:sz w:val="20"/>
                <w:lang w:val="fr-CA"/>
              </w:rPr>
            </w:pP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lang w:val="fr-CA"/>
              </w:rPr>
            </w:pPr>
            <w:r w:rsidRPr="007C110A">
              <w:rPr>
                <w:sz w:val="20"/>
                <w:lang w:val="fr-CA"/>
              </w:rPr>
              <w:t xml:space="preserve">Jugement accueillant la requête pour que les appels CA45402 à CA45417 soient entendus ensemble, enjoignant aux parties de déposer un ensemble de documents pour tous les appels et rejetant la requête en arrêt des procédures </w:t>
            </w: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23 juillet 2019</w:t>
            </w:r>
          </w:p>
          <w:p w:rsidR="005221C4" w:rsidRPr="007C110A" w:rsidRDefault="005221C4" w:rsidP="00A866C4">
            <w:pPr>
              <w:jc w:val="both"/>
              <w:rPr>
                <w:sz w:val="20"/>
                <w:lang w:val="fr-CA"/>
              </w:rPr>
            </w:pPr>
            <w:r w:rsidRPr="007C110A">
              <w:rPr>
                <w:sz w:val="20"/>
                <w:lang w:val="fr-CA"/>
              </w:rPr>
              <w:t>Cour d’appel de la Colombie</w:t>
            </w:r>
            <w:r w:rsidRPr="007C110A">
              <w:rPr>
                <w:sz w:val="20"/>
                <w:lang w:val="fr-CA"/>
              </w:rPr>
              <w:noBreakHyphen/>
              <w:t>Britannique</w:t>
            </w:r>
          </w:p>
          <w:p w:rsidR="005221C4" w:rsidRPr="007C110A" w:rsidRDefault="005221C4" w:rsidP="00A866C4">
            <w:pPr>
              <w:jc w:val="both"/>
              <w:rPr>
                <w:sz w:val="20"/>
                <w:lang w:val="fr-CA"/>
              </w:rPr>
            </w:pPr>
            <w:r w:rsidRPr="007C110A">
              <w:rPr>
                <w:sz w:val="20"/>
                <w:lang w:val="fr-CA"/>
              </w:rPr>
              <w:t>(Vancouver)</w:t>
            </w:r>
          </w:p>
          <w:p w:rsidR="005221C4" w:rsidRPr="007C110A" w:rsidRDefault="005221C4" w:rsidP="00A866C4">
            <w:pPr>
              <w:jc w:val="both"/>
              <w:rPr>
                <w:sz w:val="20"/>
                <w:lang w:val="fr-CA"/>
              </w:rPr>
            </w:pPr>
            <w:r w:rsidRPr="007C110A">
              <w:rPr>
                <w:sz w:val="20"/>
                <w:lang w:val="fr-CA"/>
              </w:rPr>
              <w:t xml:space="preserve">(Juges </w:t>
            </w:r>
            <w:proofErr w:type="spellStart"/>
            <w:r w:rsidRPr="007C110A">
              <w:rPr>
                <w:sz w:val="20"/>
                <w:lang w:val="fr-CA"/>
              </w:rPr>
              <w:t>Frankel</w:t>
            </w:r>
            <w:proofErr w:type="spellEnd"/>
            <w:r w:rsidRPr="007C110A">
              <w:rPr>
                <w:sz w:val="20"/>
                <w:lang w:val="fr-CA"/>
              </w:rPr>
              <w:t xml:space="preserve">, </w:t>
            </w:r>
            <w:proofErr w:type="spellStart"/>
            <w:r w:rsidRPr="007C110A">
              <w:rPr>
                <w:sz w:val="20"/>
                <w:lang w:val="fr-CA"/>
              </w:rPr>
              <w:t>Garson</w:t>
            </w:r>
            <w:proofErr w:type="spellEnd"/>
            <w:r w:rsidRPr="007C110A">
              <w:rPr>
                <w:sz w:val="20"/>
                <w:lang w:val="fr-CA"/>
              </w:rPr>
              <w:t xml:space="preserve"> et Dickson)</w:t>
            </w:r>
          </w:p>
          <w:p w:rsidR="005221C4" w:rsidRPr="007C110A" w:rsidRDefault="00F37A97" w:rsidP="00A866C4">
            <w:pPr>
              <w:jc w:val="both"/>
              <w:rPr>
                <w:sz w:val="20"/>
              </w:rPr>
            </w:pPr>
            <w:hyperlink r:id="rId36" w:history="1">
              <w:r w:rsidR="005221C4" w:rsidRPr="007C110A">
                <w:rPr>
                  <w:rStyle w:val="Hyperlink"/>
                  <w:sz w:val="20"/>
                </w:rPr>
                <w:t>2019 BCCA 267</w:t>
              </w:r>
            </w:hyperlink>
          </w:p>
          <w:p w:rsidR="005221C4" w:rsidRPr="007C110A" w:rsidRDefault="005221C4" w:rsidP="009E68ED">
            <w:pPr>
              <w:rPr>
                <w:sz w:val="20"/>
              </w:rPr>
            </w:pPr>
            <w:r w:rsidRPr="007C110A">
              <w:rPr>
                <w:sz w:val="20"/>
              </w:rPr>
              <w:t>CA45402; CA45403; CA45404; CA45405;</w:t>
            </w:r>
            <w:r w:rsidRPr="007C110A">
              <w:rPr>
                <w:sz w:val="20"/>
              </w:rPr>
              <w:br/>
              <w:t>CA45406; CA45407; CA45408 CA45409; CA45410; CA45411; CA45412; CA45413; CA45414; CA45415;CA45416; CA45417; CA45419; CA45851</w:t>
            </w:r>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lang w:val="fr-CA"/>
              </w:rPr>
            </w:pPr>
            <w:r w:rsidRPr="007C110A">
              <w:rPr>
                <w:sz w:val="20"/>
                <w:lang w:val="fr-CA"/>
              </w:rPr>
              <w:t xml:space="preserve">Rejet des appels </w:t>
            </w: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30 septembre 2019</w:t>
            </w:r>
          </w:p>
          <w:p w:rsidR="005221C4" w:rsidRPr="007C110A" w:rsidRDefault="005221C4" w:rsidP="00A866C4">
            <w:pPr>
              <w:jc w:val="both"/>
              <w:rPr>
                <w:sz w:val="20"/>
                <w:lang w:val="fr-CA"/>
              </w:rPr>
            </w:pPr>
            <w:r w:rsidRPr="007C110A">
              <w:rPr>
                <w:sz w:val="20"/>
                <w:lang w:val="fr-CA"/>
              </w:rPr>
              <w:t>Cour suprême du Canada</w:t>
            </w: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lang w:val="fr-CA"/>
              </w:rPr>
            </w:pPr>
            <w:r w:rsidRPr="007C110A">
              <w:rPr>
                <w:sz w:val="20"/>
                <w:lang w:val="fr-CA"/>
              </w:rPr>
              <w:t>Dépôt de la demande d’autorisation d’appel</w:t>
            </w:r>
          </w:p>
          <w:p w:rsidR="005221C4" w:rsidRPr="007C110A" w:rsidRDefault="005221C4" w:rsidP="00A866C4">
            <w:pPr>
              <w:jc w:val="both"/>
              <w:rPr>
                <w:sz w:val="20"/>
                <w:lang w:val="fr-CA"/>
              </w:rPr>
            </w:pPr>
          </w:p>
        </w:tc>
      </w:tr>
    </w:tbl>
    <w:p w:rsidR="005221C4" w:rsidRPr="007C110A" w:rsidRDefault="005221C4" w:rsidP="00A866C4">
      <w:pPr>
        <w:jc w:val="both"/>
        <w:rPr>
          <w:sz w:val="20"/>
          <w:lang w:val="fr-CA"/>
        </w:rPr>
      </w:pPr>
    </w:p>
    <w:p w:rsidR="00A37BE5" w:rsidRPr="007C110A" w:rsidRDefault="00F37A97" w:rsidP="00A866C4">
      <w:pPr>
        <w:jc w:val="both"/>
        <w:rPr>
          <w:sz w:val="20"/>
          <w:lang w:val="fr-CA"/>
        </w:rPr>
      </w:pPr>
      <w:r w:rsidRPr="007C110A">
        <w:rPr>
          <w:sz w:val="20"/>
        </w:rPr>
        <w:pict>
          <v:rect id="_x0000_i1033" style="width:2in;height:1pt" o:hrpct="0" o:hralign="center" o:hrstd="t" o:hrnoshade="t" o:hr="t" fillcolor="black [3213]" stroked="f"/>
        </w:pict>
      </w:r>
    </w:p>
    <w:p w:rsidR="00656911" w:rsidRPr="007C110A" w:rsidRDefault="00656911"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lang w:val="en-CA"/>
              </w:rPr>
            </w:pPr>
            <w:r w:rsidRPr="007C110A">
              <w:rPr>
                <w:rStyle w:val="SCCFileNumberChar"/>
                <w:sz w:val="20"/>
                <w:szCs w:val="20"/>
              </w:rPr>
              <w:t>38742</w:t>
            </w:r>
          </w:p>
        </w:tc>
        <w:tc>
          <w:tcPr>
            <w:tcW w:w="4457" w:type="pct"/>
            <w:gridSpan w:val="3"/>
          </w:tcPr>
          <w:p w:rsidR="005221C4" w:rsidRPr="007C110A" w:rsidRDefault="005221C4" w:rsidP="00A866C4">
            <w:pPr>
              <w:pStyle w:val="SCCLsocParty"/>
              <w:jc w:val="both"/>
              <w:rPr>
                <w:b/>
                <w:sz w:val="20"/>
                <w:szCs w:val="20"/>
                <w:lang w:val="en-CA"/>
              </w:rPr>
            </w:pPr>
            <w:r w:rsidRPr="007C110A">
              <w:rPr>
                <w:b/>
                <w:sz w:val="20"/>
                <w:szCs w:val="20"/>
                <w:lang w:val="en-CA"/>
              </w:rPr>
              <w:t>Marc Bibeau v. La Presse Ltée, Media QMI Inc., Montreal Gazette, Director of Criminal and Penal Prosecutions, The Honourable Julie Riendeau, J.C.Q.</w:t>
            </w:r>
          </w:p>
          <w:p w:rsidR="005221C4" w:rsidRPr="007C110A" w:rsidRDefault="005221C4" w:rsidP="00A866C4">
            <w:pPr>
              <w:jc w:val="both"/>
              <w:rPr>
                <w:sz w:val="20"/>
                <w:lang w:val="en-CA"/>
              </w:rPr>
            </w:pPr>
            <w:r w:rsidRPr="007C110A">
              <w:rPr>
                <w:sz w:val="20"/>
                <w:lang w:val="en-CA"/>
              </w:rPr>
              <w:t>(Que.) (Civil) (By Leave)</w:t>
            </w:r>
          </w:p>
        </w:tc>
      </w:tr>
      <w:tr w:rsidR="005221C4" w:rsidRPr="007C110A" w:rsidTr="00E95A6A">
        <w:tc>
          <w:tcPr>
            <w:tcW w:w="5000" w:type="pct"/>
            <w:gridSpan w:val="4"/>
          </w:tcPr>
          <w:p w:rsidR="005221C4" w:rsidRPr="007C110A" w:rsidRDefault="005221C4" w:rsidP="00A866C4">
            <w:pPr>
              <w:pStyle w:val="SCCBanSummary"/>
              <w:rPr>
                <w:sz w:val="20"/>
                <w:szCs w:val="20"/>
              </w:rPr>
            </w:pPr>
            <w:r w:rsidRPr="007C110A">
              <w:rPr>
                <w:sz w:val="20"/>
                <w:szCs w:val="20"/>
              </w:rPr>
              <w:t>(Publication Ban in Case)</w:t>
            </w:r>
          </w:p>
          <w:p w:rsidR="005221C4" w:rsidRPr="007C110A" w:rsidRDefault="005221C4" w:rsidP="00A866C4">
            <w:pPr>
              <w:jc w:val="both"/>
              <w:rPr>
                <w:sz w:val="20"/>
                <w:lang w:val="en-CA"/>
              </w:rPr>
            </w:pPr>
          </w:p>
          <w:p w:rsidR="005221C4" w:rsidRPr="007C110A" w:rsidRDefault="005221C4" w:rsidP="00A866C4">
            <w:pPr>
              <w:jc w:val="both"/>
              <w:rPr>
                <w:sz w:val="20"/>
                <w:lang w:val="en-CA"/>
              </w:rPr>
            </w:pPr>
            <w:r w:rsidRPr="007C110A">
              <w:rPr>
                <w:sz w:val="20"/>
                <w:lang w:val="en-CA"/>
              </w:rPr>
              <w:t xml:space="preserve">Criminal law ⸺ Publication ban on content of informations in support of applications for search warrants ⸺ Investigation into political financing and awarding of public contracts ⸺ Right to fair hearing ⸺ Prejudice to interests of innocent person — Open court principle ⸺ Whether Quebec Court of Appeal was correct to repudiate, by trivializing, </w:t>
            </w:r>
            <w:r w:rsidRPr="007C110A">
              <w:rPr>
                <w:i/>
                <w:sz w:val="20"/>
                <w:lang w:val="en-CA"/>
              </w:rPr>
              <w:t xml:space="preserve">MacIntyre </w:t>
            </w:r>
            <w:r w:rsidRPr="007C110A">
              <w:rPr>
                <w:sz w:val="20"/>
                <w:lang w:val="en-CA"/>
              </w:rPr>
              <w:t xml:space="preserve">exception to effect that innocent person affected by warrant that yields no result must be protected from unnecessary harm caused by publication of content of warrant ⸺ Whether Quebec Court of Appeal was correct to depart from </w:t>
            </w:r>
            <w:r w:rsidRPr="007C110A">
              <w:rPr>
                <w:i/>
                <w:sz w:val="20"/>
                <w:lang w:val="en-CA"/>
              </w:rPr>
              <w:t xml:space="preserve">Flahiff/Savard </w:t>
            </w:r>
            <w:r w:rsidRPr="007C110A">
              <w:rPr>
                <w:sz w:val="20"/>
                <w:lang w:val="en-CA"/>
              </w:rPr>
              <w:t xml:space="preserve">principle to effect that future right to fair hearing of person under investigation must be safeguarded from prejudice, even objective prejudice, resulting from media coverage of untested allegations based on hearsay in support of warrant ⸺ </w:t>
            </w:r>
            <w:r w:rsidRPr="007C110A">
              <w:rPr>
                <w:i/>
                <w:sz w:val="20"/>
                <w:lang w:val="en-CA"/>
              </w:rPr>
              <w:t>Criminal Code</w:t>
            </w:r>
            <w:r w:rsidRPr="007C110A">
              <w:rPr>
                <w:sz w:val="20"/>
                <w:lang w:val="en-CA"/>
              </w:rPr>
              <w:t>, R.S.C. 1985, c. C</w:t>
            </w:r>
            <w:r w:rsidRPr="007C110A">
              <w:rPr>
                <w:sz w:val="20"/>
                <w:lang w:val="en-CA"/>
              </w:rPr>
              <w:noBreakHyphen/>
              <w:t>46, s. 487.3.</w:t>
            </w:r>
          </w:p>
          <w:p w:rsidR="005221C4" w:rsidRPr="007C110A" w:rsidRDefault="005221C4" w:rsidP="00A866C4">
            <w:pPr>
              <w:jc w:val="both"/>
              <w:rPr>
                <w:sz w:val="20"/>
                <w:lang w:val="en-CA"/>
              </w:rPr>
            </w:pPr>
          </w:p>
        </w:tc>
      </w:tr>
      <w:tr w:rsidR="005221C4" w:rsidRPr="007C110A" w:rsidTr="00E95A6A">
        <w:tc>
          <w:tcPr>
            <w:tcW w:w="5000" w:type="pct"/>
            <w:gridSpan w:val="4"/>
          </w:tcPr>
          <w:p w:rsidR="005221C4" w:rsidRPr="007C110A" w:rsidRDefault="005221C4" w:rsidP="00A866C4">
            <w:pPr>
              <w:jc w:val="both"/>
              <w:rPr>
                <w:sz w:val="20"/>
                <w:lang w:val="en-CA"/>
              </w:rPr>
            </w:pPr>
            <w:r w:rsidRPr="007C110A">
              <w:rPr>
                <w:sz w:val="20"/>
                <w:lang w:val="en-CA"/>
              </w:rPr>
              <w:t xml:space="preserve">The applicant was a target of the </w:t>
            </w:r>
            <w:r w:rsidRPr="007C110A">
              <w:rPr>
                <w:i/>
                <w:sz w:val="20"/>
                <w:lang w:val="en-CA"/>
              </w:rPr>
              <w:t>Mâchurer</w:t>
            </w:r>
            <w:r w:rsidRPr="007C110A">
              <w:rPr>
                <w:sz w:val="20"/>
                <w:lang w:val="en-CA"/>
              </w:rPr>
              <w:t xml:space="preserve"> criminal investigation initiated by the permanent anti</w:t>
            </w:r>
            <w:r w:rsidRPr="007C110A">
              <w:rPr>
                <w:sz w:val="20"/>
                <w:lang w:val="en-CA"/>
              </w:rPr>
              <w:noBreakHyphen/>
              <w:t xml:space="preserve">corruption unit in 2013, which was an investigation into political financing and the awarding of public contracts in Quebec. Two general warrants </w:t>
            </w:r>
            <w:proofErr w:type="gramStart"/>
            <w:r w:rsidRPr="007C110A">
              <w:rPr>
                <w:sz w:val="20"/>
                <w:lang w:val="en-CA"/>
              </w:rPr>
              <w:t>were issued</w:t>
            </w:r>
            <w:proofErr w:type="gramEnd"/>
            <w:r w:rsidRPr="007C110A">
              <w:rPr>
                <w:sz w:val="20"/>
                <w:lang w:val="en-CA"/>
              </w:rPr>
              <w:t xml:space="preserve"> concerning premises linked to the applicant, but nothing was seized and no charges had yet been laid against him. The parties originally applied for and obtained access to the warrants and to the informations that led to the issuance of general warrants. The applicant then applied for publication bans, at least until the Director of Criminal and Penal Prosecutions decided whether the applicant </w:t>
            </w:r>
            <w:proofErr w:type="gramStart"/>
            <w:r w:rsidRPr="007C110A">
              <w:rPr>
                <w:sz w:val="20"/>
                <w:lang w:val="en-CA"/>
              </w:rPr>
              <w:t>would be charged</w:t>
            </w:r>
            <w:proofErr w:type="gramEnd"/>
            <w:r w:rsidRPr="007C110A">
              <w:rPr>
                <w:sz w:val="20"/>
                <w:lang w:val="en-CA"/>
              </w:rPr>
              <w:t xml:space="preserve">, to ensure that his right to a fair hearing was not jeopardized. The respondent media organizations opposed the application and intervened in order to have the general warrants and the informations made public. The Court of Québec dismissed the motion for a publication ban on the content of the informations and related documents in support of the applications for general warrants. It held that, in the circumstances of the case, greater openness concerning facts that were already public could not create a risk of prejudice requiring intervention to limit publication based on the tests established by the applicable jurisprudence. The Superior Court dismissed the applicant’s motion for a writ of </w:t>
            </w:r>
            <w:r w:rsidRPr="007C110A">
              <w:rPr>
                <w:i/>
                <w:iCs/>
                <w:sz w:val="20"/>
                <w:lang w:val="en-CA"/>
              </w:rPr>
              <w:t>certiorari</w:t>
            </w:r>
            <w:r w:rsidRPr="007C110A">
              <w:rPr>
                <w:sz w:val="20"/>
                <w:lang w:val="en-CA"/>
              </w:rPr>
              <w:t xml:space="preserve">, finding that the trial judge had not made any reviewable error in distinguishing the jurisprudence from the applicant’s situation. The Superior Court held that the trial judge had not made a reviewable error in finding that there was a presumption of openness because the applicant had not discharged his burden of displacing that presumption. It also found that the trial judge had not exceeded her jurisdiction. The Court of Appeal unanimously dismissed the appeal and found that the trial judge had not made any jurisdictional error or any error of law on the face of the record and that no intervention </w:t>
            </w:r>
            <w:proofErr w:type="gramStart"/>
            <w:r w:rsidRPr="007C110A">
              <w:rPr>
                <w:sz w:val="20"/>
                <w:lang w:val="en-CA"/>
              </w:rPr>
              <w:t>was warranted</w:t>
            </w:r>
            <w:proofErr w:type="gramEnd"/>
            <w:r w:rsidRPr="007C110A">
              <w:rPr>
                <w:sz w:val="20"/>
                <w:lang w:val="en-CA"/>
              </w:rPr>
              <w:t>.</w:t>
            </w:r>
          </w:p>
        </w:tc>
      </w:tr>
      <w:tr w:rsidR="005221C4" w:rsidRPr="007C110A" w:rsidTr="00E95A6A">
        <w:tc>
          <w:tcPr>
            <w:tcW w:w="5000" w:type="pct"/>
            <w:gridSpan w:val="4"/>
          </w:tcPr>
          <w:p w:rsidR="005221C4" w:rsidRPr="007C110A" w:rsidRDefault="005221C4" w:rsidP="00A866C4">
            <w:pPr>
              <w:jc w:val="both"/>
              <w:rPr>
                <w:sz w:val="20"/>
                <w:lang w:val="en-CA"/>
              </w:rPr>
            </w:pP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November 17, 2017</w:t>
            </w:r>
          </w:p>
          <w:p w:rsidR="005221C4" w:rsidRPr="007C110A" w:rsidRDefault="005221C4" w:rsidP="00A866C4">
            <w:pPr>
              <w:jc w:val="both"/>
              <w:rPr>
                <w:sz w:val="20"/>
                <w:lang w:val="en-CA"/>
              </w:rPr>
            </w:pPr>
            <w:r w:rsidRPr="007C110A">
              <w:rPr>
                <w:sz w:val="20"/>
                <w:lang w:val="en-CA"/>
              </w:rPr>
              <w:t>Court of Québec (Montréal)</w:t>
            </w:r>
          </w:p>
          <w:p w:rsidR="005221C4" w:rsidRPr="007C110A" w:rsidRDefault="005221C4" w:rsidP="00A866C4">
            <w:pPr>
              <w:jc w:val="both"/>
              <w:rPr>
                <w:sz w:val="20"/>
                <w:lang w:val="en-CA"/>
              </w:rPr>
            </w:pPr>
            <w:r w:rsidRPr="007C110A">
              <w:rPr>
                <w:sz w:val="20"/>
                <w:lang w:val="en-CA"/>
              </w:rPr>
              <w:t>(Judge Riendeau)</w:t>
            </w:r>
          </w:p>
          <w:p w:rsidR="005221C4" w:rsidRPr="007C110A" w:rsidRDefault="005221C4" w:rsidP="00A866C4">
            <w:pPr>
              <w:jc w:val="both"/>
              <w:rPr>
                <w:sz w:val="20"/>
                <w:lang w:val="en-CA"/>
              </w:rPr>
            </w:pPr>
            <w:r w:rsidRPr="007C110A">
              <w:rPr>
                <w:sz w:val="20"/>
                <w:lang w:val="en-CA"/>
              </w:rPr>
              <w:t>500</w:t>
            </w:r>
            <w:r w:rsidRPr="007C110A">
              <w:rPr>
                <w:sz w:val="20"/>
                <w:lang w:val="en-CA"/>
              </w:rPr>
              <w:noBreakHyphen/>
              <w:t>26</w:t>
            </w:r>
            <w:r w:rsidRPr="007C110A">
              <w:rPr>
                <w:sz w:val="20"/>
                <w:lang w:val="en-CA"/>
              </w:rPr>
              <w:noBreakHyphen/>
              <w:t>097439</w:t>
            </w:r>
            <w:r w:rsidRPr="007C110A">
              <w:rPr>
                <w:sz w:val="20"/>
                <w:lang w:val="en-CA"/>
              </w:rPr>
              <w:noBreakHyphen/>
              <w:t>164; 500</w:t>
            </w:r>
            <w:r w:rsidRPr="007C110A">
              <w:rPr>
                <w:sz w:val="20"/>
                <w:lang w:val="en-CA"/>
              </w:rPr>
              <w:noBreakHyphen/>
              <w:t>26</w:t>
            </w:r>
            <w:r w:rsidRPr="007C110A">
              <w:rPr>
                <w:sz w:val="20"/>
                <w:lang w:val="en-CA"/>
              </w:rPr>
              <w:noBreakHyphen/>
              <w:t>097414</w:t>
            </w:r>
            <w:r w:rsidRPr="007C110A">
              <w:rPr>
                <w:sz w:val="20"/>
                <w:lang w:val="en-CA"/>
              </w:rPr>
              <w:noBreakHyphen/>
              <w:t>167</w:t>
            </w:r>
          </w:p>
          <w:p w:rsidR="005221C4" w:rsidRPr="007C110A" w:rsidRDefault="00F37A97" w:rsidP="00A866C4">
            <w:pPr>
              <w:jc w:val="both"/>
              <w:rPr>
                <w:sz w:val="20"/>
                <w:lang w:val="en-CA"/>
              </w:rPr>
            </w:pPr>
            <w:hyperlink r:id="rId37" w:history="1">
              <w:r w:rsidR="005221C4" w:rsidRPr="007C110A">
                <w:rPr>
                  <w:rStyle w:val="Hyperlink"/>
                  <w:sz w:val="20"/>
                  <w:lang w:val="en-CA"/>
                </w:rPr>
                <w:t>2017 QCCQ 15082</w:t>
              </w:r>
            </w:hyperlink>
          </w:p>
          <w:p w:rsidR="005221C4" w:rsidRPr="007C110A" w:rsidRDefault="005221C4" w:rsidP="00A866C4">
            <w:pPr>
              <w:jc w:val="both"/>
              <w:rPr>
                <w:sz w:val="20"/>
                <w:lang w:val="en-CA"/>
              </w:rPr>
            </w:pPr>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Motion for publication ban dismissed, interim publication bans partially lifted, partial publication or broadcasting or transmission of informations and documents authorized, publication or broadcasting or transmission of redacted passages banned and effects of judgment suspended</w:t>
            </w:r>
          </w:p>
          <w:p w:rsidR="005221C4" w:rsidRPr="007C110A" w:rsidRDefault="005221C4" w:rsidP="00A866C4">
            <w:pPr>
              <w:jc w:val="both"/>
              <w:rPr>
                <w:sz w:val="20"/>
                <w:lang w:val="en-CA"/>
              </w:rPr>
            </w:pP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February 14, 2018</w:t>
            </w:r>
          </w:p>
          <w:p w:rsidR="005221C4" w:rsidRPr="007C110A" w:rsidRDefault="005221C4" w:rsidP="00A866C4">
            <w:pPr>
              <w:jc w:val="both"/>
              <w:rPr>
                <w:sz w:val="20"/>
                <w:lang w:val="en-CA"/>
              </w:rPr>
            </w:pPr>
            <w:r w:rsidRPr="007C110A">
              <w:rPr>
                <w:sz w:val="20"/>
                <w:lang w:val="en-CA"/>
              </w:rPr>
              <w:t>Quebec Superior Court (Montréal)</w:t>
            </w:r>
          </w:p>
          <w:p w:rsidR="005221C4" w:rsidRPr="007C110A" w:rsidRDefault="005221C4" w:rsidP="00A866C4">
            <w:pPr>
              <w:jc w:val="both"/>
              <w:rPr>
                <w:sz w:val="20"/>
                <w:lang w:val="en-CA"/>
              </w:rPr>
            </w:pPr>
            <w:r w:rsidRPr="007C110A">
              <w:rPr>
                <w:sz w:val="20"/>
                <w:lang w:val="en-CA"/>
              </w:rPr>
              <w:t>(Di Salvo J.)</w:t>
            </w:r>
          </w:p>
          <w:p w:rsidR="005221C4" w:rsidRPr="007C110A" w:rsidRDefault="005221C4" w:rsidP="00A866C4">
            <w:pPr>
              <w:jc w:val="both"/>
              <w:rPr>
                <w:sz w:val="20"/>
                <w:lang w:val="en-CA"/>
              </w:rPr>
            </w:pPr>
            <w:r w:rsidRPr="007C110A">
              <w:rPr>
                <w:sz w:val="20"/>
                <w:lang w:val="en-CA"/>
              </w:rPr>
              <w:t>500</w:t>
            </w:r>
            <w:r w:rsidRPr="007C110A">
              <w:rPr>
                <w:sz w:val="20"/>
                <w:lang w:val="en-CA"/>
              </w:rPr>
              <w:noBreakHyphen/>
              <w:t>36</w:t>
            </w:r>
            <w:r w:rsidRPr="007C110A">
              <w:rPr>
                <w:sz w:val="20"/>
                <w:lang w:val="en-CA"/>
              </w:rPr>
              <w:noBreakHyphen/>
              <w:t>008633</w:t>
            </w:r>
            <w:r w:rsidRPr="007C110A">
              <w:rPr>
                <w:sz w:val="20"/>
                <w:lang w:val="en-CA"/>
              </w:rPr>
              <w:noBreakHyphen/>
              <w:t>177; 500</w:t>
            </w:r>
            <w:r w:rsidRPr="007C110A">
              <w:rPr>
                <w:sz w:val="20"/>
                <w:lang w:val="en-CA"/>
              </w:rPr>
              <w:noBreakHyphen/>
              <w:t>36</w:t>
            </w:r>
            <w:r w:rsidRPr="007C110A">
              <w:rPr>
                <w:sz w:val="20"/>
                <w:lang w:val="en-CA"/>
              </w:rPr>
              <w:noBreakHyphen/>
              <w:t>008765</w:t>
            </w:r>
            <w:r w:rsidRPr="007C110A">
              <w:rPr>
                <w:sz w:val="20"/>
                <w:lang w:val="en-CA"/>
              </w:rPr>
              <w:noBreakHyphen/>
              <w:t>177</w:t>
            </w:r>
          </w:p>
          <w:p w:rsidR="005221C4" w:rsidRPr="007C110A" w:rsidRDefault="00F37A97" w:rsidP="00A866C4">
            <w:pPr>
              <w:jc w:val="both"/>
              <w:rPr>
                <w:sz w:val="20"/>
                <w:lang w:val="en-CA"/>
              </w:rPr>
            </w:pPr>
            <w:hyperlink r:id="rId38" w:history="1">
              <w:r w:rsidR="005221C4" w:rsidRPr="007C110A">
                <w:rPr>
                  <w:rStyle w:val="Hyperlink"/>
                  <w:sz w:val="20"/>
                  <w:lang w:val="en-CA"/>
                </w:rPr>
                <w:t>2018 QCCS 1077</w:t>
              </w:r>
            </w:hyperlink>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 xml:space="preserve">Motion for </w:t>
            </w:r>
            <w:r w:rsidRPr="007C110A">
              <w:rPr>
                <w:i/>
                <w:sz w:val="20"/>
                <w:lang w:val="en-CA"/>
              </w:rPr>
              <w:t xml:space="preserve">certiorari </w:t>
            </w:r>
            <w:r w:rsidRPr="007C110A">
              <w:rPr>
                <w:sz w:val="20"/>
                <w:lang w:val="en-CA"/>
              </w:rPr>
              <w:t>dismissed, application for publication ban dismissed and effect of judgment suspended, without costs</w:t>
            </w: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April 30, 2019</w:t>
            </w:r>
          </w:p>
          <w:p w:rsidR="005221C4" w:rsidRPr="007C110A" w:rsidRDefault="005221C4" w:rsidP="00A866C4">
            <w:pPr>
              <w:jc w:val="both"/>
              <w:rPr>
                <w:sz w:val="20"/>
                <w:lang w:val="en-CA"/>
              </w:rPr>
            </w:pPr>
            <w:r w:rsidRPr="007C110A">
              <w:rPr>
                <w:sz w:val="20"/>
                <w:lang w:val="en-CA"/>
              </w:rPr>
              <w:t>Quebec Court of Appeal (Montréal)</w:t>
            </w:r>
          </w:p>
          <w:p w:rsidR="005221C4" w:rsidRPr="007C110A" w:rsidRDefault="005221C4" w:rsidP="00A866C4">
            <w:pPr>
              <w:jc w:val="both"/>
              <w:rPr>
                <w:sz w:val="20"/>
                <w:lang w:val="en-CA"/>
              </w:rPr>
            </w:pPr>
            <w:r w:rsidRPr="007C110A">
              <w:rPr>
                <w:sz w:val="20"/>
                <w:lang w:val="en-CA"/>
              </w:rPr>
              <w:t>(Dufresne, Cotnam and Hamilton JJ.A.)</w:t>
            </w:r>
          </w:p>
          <w:p w:rsidR="005221C4" w:rsidRPr="007C110A" w:rsidRDefault="005221C4" w:rsidP="00A866C4">
            <w:pPr>
              <w:jc w:val="both"/>
              <w:rPr>
                <w:sz w:val="20"/>
                <w:lang w:val="en-CA"/>
              </w:rPr>
            </w:pPr>
            <w:r w:rsidRPr="007C110A">
              <w:rPr>
                <w:sz w:val="20"/>
                <w:lang w:val="en-CA"/>
              </w:rPr>
              <w:t>500</w:t>
            </w:r>
            <w:r w:rsidRPr="007C110A">
              <w:rPr>
                <w:sz w:val="20"/>
                <w:lang w:val="en-CA"/>
              </w:rPr>
              <w:noBreakHyphen/>
              <w:t>10</w:t>
            </w:r>
            <w:r w:rsidRPr="007C110A">
              <w:rPr>
                <w:sz w:val="20"/>
                <w:lang w:val="en-CA"/>
              </w:rPr>
              <w:noBreakHyphen/>
              <w:t>006673</w:t>
            </w:r>
            <w:r w:rsidRPr="007C110A">
              <w:rPr>
                <w:sz w:val="20"/>
                <w:lang w:val="en-CA"/>
              </w:rPr>
              <w:noBreakHyphen/>
              <w:t>188</w:t>
            </w:r>
          </w:p>
          <w:p w:rsidR="005221C4" w:rsidRPr="007C110A" w:rsidRDefault="00F37A97" w:rsidP="00A866C4">
            <w:pPr>
              <w:jc w:val="both"/>
              <w:rPr>
                <w:sz w:val="20"/>
                <w:lang w:val="en-CA"/>
              </w:rPr>
            </w:pPr>
            <w:hyperlink r:id="rId39" w:history="1">
              <w:r w:rsidR="005221C4" w:rsidRPr="007C110A">
                <w:rPr>
                  <w:rStyle w:val="Hyperlink"/>
                  <w:sz w:val="20"/>
                  <w:lang w:val="en-CA"/>
                </w:rPr>
                <w:t>2019 QCCA 756</w:t>
              </w:r>
            </w:hyperlink>
          </w:p>
          <w:p w:rsidR="005221C4" w:rsidRPr="007C110A" w:rsidRDefault="005221C4" w:rsidP="00A866C4">
            <w:pPr>
              <w:jc w:val="both"/>
              <w:rPr>
                <w:sz w:val="20"/>
                <w:lang w:val="en-CA"/>
              </w:rPr>
            </w:pPr>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Appeal dismissed and judgment suspended</w:t>
            </w:r>
          </w:p>
          <w:p w:rsidR="005221C4" w:rsidRPr="007C110A" w:rsidRDefault="005221C4" w:rsidP="00A866C4">
            <w:pPr>
              <w:jc w:val="both"/>
              <w:rPr>
                <w:sz w:val="20"/>
                <w:lang w:val="en-CA"/>
              </w:rPr>
            </w:pPr>
          </w:p>
        </w:tc>
      </w:tr>
      <w:tr w:rsidR="005221C4" w:rsidRPr="007C110A" w:rsidTr="00E95A6A">
        <w:tc>
          <w:tcPr>
            <w:tcW w:w="2427" w:type="pct"/>
            <w:gridSpan w:val="2"/>
          </w:tcPr>
          <w:p w:rsidR="005221C4" w:rsidRPr="007C110A" w:rsidRDefault="005221C4" w:rsidP="00A866C4">
            <w:pPr>
              <w:jc w:val="both"/>
              <w:rPr>
                <w:sz w:val="20"/>
                <w:lang w:val="en-CA"/>
              </w:rPr>
            </w:pPr>
            <w:r w:rsidRPr="007C110A">
              <w:rPr>
                <w:sz w:val="20"/>
                <w:lang w:val="en-CA"/>
              </w:rPr>
              <w:t>July 31, 2019</w:t>
            </w:r>
          </w:p>
          <w:p w:rsidR="005221C4" w:rsidRPr="007C110A" w:rsidRDefault="005221C4" w:rsidP="00A866C4">
            <w:pPr>
              <w:jc w:val="both"/>
              <w:rPr>
                <w:sz w:val="20"/>
                <w:lang w:val="en-CA"/>
              </w:rPr>
            </w:pPr>
            <w:r w:rsidRPr="007C110A">
              <w:rPr>
                <w:sz w:val="20"/>
                <w:lang w:val="en-CA"/>
              </w:rPr>
              <w:t>Supreme Court of Canada</w:t>
            </w:r>
          </w:p>
        </w:tc>
        <w:tc>
          <w:tcPr>
            <w:tcW w:w="243" w:type="pct"/>
          </w:tcPr>
          <w:p w:rsidR="005221C4" w:rsidRPr="007C110A" w:rsidRDefault="005221C4" w:rsidP="00A866C4">
            <w:pPr>
              <w:jc w:val="both"/>
              <w:rPr>
                <w:sz w:val="20"/>
                <w:lang w:val="en-CA"/>
              </w:rPr>
            </w:pPr>
          </w:p>
        </w:tc>
        <w:tc>
          <w:tcPr>
            <w:tcW w:w="2330" w:type="pct"/>
          </w:tcPr>
          <w:p w:rsidR="005221C4" w:rsidRPr="007C110A" w:rsidRDefault="005221C4" w:rsidP="00A866C4">
            <w:pPr>
              <w:jc w:val="both"/>
              <w:rPr>
                <w:sz w:val="20"/>
                <w:lang w:val="en-CA"/>
              </w:rPr>
            </w:pPr>
            <w:r w:rsidRPr="007C110A">
              <w:rPr>
                <w:sz w:val="20"/>
                <w:lang w:val="en-CA"/>
              </w:rPr>
              <w:t>Application for leave to appeal filed</w:t>
            </w:r>
          </w:p>
          <w:p w:rsidR="005221C4" w:rsidRPr="007C110A" w:rsidRDefault="005221C4" w:rsidP="00A866C4">
            <w:pPr>
              <w:jc w:val="both"/>
              <w:rPr>
                <w:sz w:val="20"/>
                <w:lang w:val="en-CA"/>
              </w:rPr>
            </w:pPr>
          </w:p>
        </w:tc>
      </w:tr>
    </w:tbl>
    <w:p w:rsidR="005221C4" w:rsidRPr="007C110A" w:rsidRDefault="005221C4" w:rsidP="00A866C4">
      <w:pPr>
        <w:jc w:val="both"/>
        <w:rPr>
          <w:sz w:val="20"/>
          <w:lang w:val="en-CA"/>
        </w:rPr>
      </w:pPr>
    </w:p>
    <w:p w:rsidR="00A37BE5" w:rsidRPr="007C110A" w:rsidRDefault="00F37A97" w:rsidP="00A866C4">
      <w:pPr>
        <w:jc w:val="both"/>
        <w:rPr>
          <w:sz w:val="20"/>
          <w:lang w:val="en-CA"/>
        </w:rPr>
      </w:pPr>
      <w:r w:rsidRPr="007C110A">
        <w:rPr>
          <w:sz w:val="20"/>
        </w:rPr>
        <w:pict>
          <v:rect id="_x0000_i1034" style="width:2in;height:1pt" o:hrpct="0" o:hralign="center" o:hrstd="t" o:hrnoshade="t" o:hr="t" fillcolor="black [3213]" stroked="f"/>
        </w:pict>
      </w:r>
    </w:p>
    <w:p w:rsidR="005221C4" w:rsidRPr="007C110A" w:rsidRDefault="005221C4" w:rsidP="00A866C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7C110A" w:rsidTr="00E95A6A">
        <w:tc>
          <w:tcPr>
            <w:tcW w:w="543" w:type="pct"/>
          </w:tcPr>
          <w:p w:rsidR="005221C4" w:rsidRPr="007C110A" w:rsidRDefault="005221C4" w:rsidP="00A866C4">
            <w:pPr>
              <w:jc w:val="both"/>
              <w:rPr>
                <w:sz w:val="20"/>
              </w:rPr>
            </w:pPr>
            <w:r w:rsidRPr="007C110A">
              <w:rPr>
                <w:rStyle w:val="SCCFileNumberChar"/>
                <w:sz w:val="20"/>
                <w:szCs w:val="20"/>
              </w:rPr>
              <w:t>38742</w:t>
            </w:r>
          </w:p>
        </w:tc>
        <w:tc>
          <w:tcPr>
            <w:tcW w:w="4457" w:type="pct"/>
            <w:gridSpan w:val="3"/>
          </w:tcPr>
          <w:p w:rsidR="005221C4" w:rsidRPr="007C110A" w:rsidRDefault="005221C4" w:rsidP="00A866C4">
            <w:pPr>
              <w:pStyle w:val="SCCLsocParty"/>
              <w:jc w:val="both"/>
              <w:rPr>
                <w:b/>
                <w:sz w:val="20"/>
                <w:szCs w:val="20"/>
              </w:rPr>
            </w:pPr>
            <w:r w:rsidRPr="007C110A">
              <w:rPr>
                <w:b/>
                <w:sz w:val="20"/>
                <w:szCs w:val="20"/>
              </w:rPr>
              <w:t xml:space="preserve">Marc Bibeau c. La Presse Ltée, Média QMI Inc., </w:t>
            </w:r>
            <w:proofErr w:type="spellStart"/>
            <w:r w:rsidRPr="007C110A">
              <w:rPr>
                <w:b/>
                <w:sz w:val="20"/>
                <w:szCs w:val="20"/>
              </w:rPr>
              <w:t>Montreal</w:t>
            </w:r>
            <w:proofErr w:type="spellEnd"/>
            <w:r w:rsidRPr="007C110A">
              <w:rPr>
                <w:b/>
                <w:sz w:val="20"/>
                <w:szCs w:val="20"/>
              </w:rPr>
              <w:t xml:space="preserve"> Gazette, Directeur des poursuites criminelles et pénales, L’Honorable Julie </w:t>
            </w:r>
            <w:proofErr w:type="spellStart"/>
            <w:r w:rsidRPr="007C110A">
              <w:rPr>
                <w:b/>
                <w:sz w:val="20"/>
                <w:szCs w:val="20"/>
              </w:rPr>
              <w:t>Riendeau</w:t>
            </w:r>
            <w:proofErr w:type="spellEnd"/>
            <w:r w:rsidRPr="007C110A">
              <w:rPr>
                <w:b/>
                <w:sz w:val="20"/>
                <w:szCs w:val="20"/>
              </w:rPr>
              <w:t xml:space="preserve">, </w:t>
            </w:r>
            <w:proofErr w:type="spellStart"/>
            <w:r w:rsidRPr="007C110A">
              <w:rPr>
                <w:b/>
                <w:sz w:val="20"/>
                <w:szCs w:val="20"/>
              </w:rPr>
              <w:t>j.c.q</w:t>
            </w:r>
            <w:proofErr w:type="spellEnd"/>
            <w:r w:rsidRPr="007C110A">
              <w:rPr>
                <w:b/>
                <w:sz w:val="20"/>
                <w:szCs w:val="20"/>
              </w:rPr>
              <w:t>.</w:t>
            </w:r>
          </w:p>
          <w:p w:rsidR="005221C4" w:rsidRPr="007C110A" w:rsidRDefault="005221C4" w:rsidP="00A866C4">
            <w:pPr>
              <w:jc w:val="both"/>
              <w:rPr>
                <w:sz w:val="20"/>
              </w:rPr>
            </w:pPr>
            <w:r w:rsidRPr="007C110A">
              <w:rPr>
                <w:sz w:val="20"/>
              </w:rPr>
              <w:t>(Qc) (Civile) (Autorisation)</w:t>
            </w:r>
          </w:p>
        </w:tc>
      </w:tr>
      <w:tr w:rsidR="005221C4" w:rsidRPr="007C110A" w:rsidTr="00E95A6A">
        <w:tc>
          <w:tcPr>
            <w:tcW w:w="5000" w:type="pct"/>
            <w:gridSpan w:val="4"/>
          </w:tcPr>
          <w:p w:rsidR="005221C4" w:rsidRPr="007C110A" w:rsidRDefault="005221C4" w:rsidP="00A866C4">
            <w:pPr>
              <w:pStyle w:val="SCCBanSummary"/>
              <w:rPr>
                <w:sz w:val="20"/>
                <w:szCs w:val="20"/>
                <w:lang w:val="fr-CA"/>
              </w:rPr>
            </w:pPr>
            <w:r w:rsidRPr="007C110A">
              <w:rPr>
                <w:sz w:val="20"/>
                <w:szCs w:val="20"/>
                <w:lang w:val="fr-CA"/>
              </w:rPr>
              <w:t>(Ordonnance de non</w:t>
            </w:r>
            <w:r w:rsidRPr="007C110A">
              <w:rPr>
                <w:sz w:val="20"/>
                <w:szCs w:val="20"/>
                <w:lang w:val="fr-CA"/>
              </w:rPr>
              <w:noBreakHyphen/>
              <w:t>publication dans le dossier)</w:t>
            </w:r>
          </w:p>
          <w:p w:rsidR="005221C4" w:rsidRPr="007C110A" w:rsidRDefault="005221C4" w:rsidP="00A866C4">
            <w:pPr>
              <w:jc w:val="both"/>
              <w:rPr>
                <w:sz w:val="20"/>
                <w:lang w:val="fr-CA"/>
              </w:rPr>
            </w:pPr>
          </w:p>
          <w:p w:rsidR="005221C4" w:rsidRPr="007C110A" w:rsidRDefault="005221C4" w:rsidP="00A866C4">
            <w:pPr>
              <w:jc w:val="both"/>
              <w:rPr>
                <w:sz w:val="20"/>
              </w:rPr>
            </w:pPr>
            <w:r w:rsidRPr="007C110A">
              <w:rPr>
                <w:sz w:val="20"/>
                <w:lang w:val="fr-CA"/>
              </w:rPr>
              <w:t xml:space="preserve">Droit criminel </w:t>
            </w:r>
            <w:r w:rsidRPr="007C110A">
              <w:rPr>
                <w:sz w:val="20"/>
              </w:rPr>
              <w:t>⸺</w:t>
            </w:r>
            <w:r w:rsidRPr="007C110A">
              <w:rPr>
                <w:sz w:val="20"/>
                <w:lang w:val="fr-CA"/>
              </w:rPr>
              <w:t xml:space="preserve"> Interdit de publication du contenu de dénonciations au soutien des demandes de mandats de perquisition </w:t>
            </w:r>
            <w:r w:rsidRPr="007C110A">
              <w:rPr>
                <w:sz w:val="20"/>
              </w:rPr>
              <w:t>⸺</w:t>
            </w:r>
            <w:r w:rsidRPr="007C110A">
              <w:rPr>
                <w:sz w:val="20"/>
                <w:lang w:val="fr-CA"/>
              </w:rPr>
              <w:t xml:space="preserve"> Enquête sur le financement politique et l’octroi de contrats publics </w:t>
            </w:r>
            <w:r w:rsidRPr="007C110A">
              <w:rPr>
                <w:sz w:val="20"/>
              </w:rPr>
              <w:t>⸺</w:t>
            </w:r>
            <w:r w:rsidRPr="007C110A">
              <w:rPr>
                <w:sz w:val="20"/>
                <w:lang w:val="fr-CA"/>
              </w:rPr>
              <w:t xml:space="preserve"> Droit à un procès équitable </w:t>
            </w:r>
            <w:r w:rsidRPr="007C110A">
              <w:rPr>
                <w:sz w:val="20"/>
              </w:rPr>
              <w:t>⸺</w:t>
            </w:r>
            <w:r w:rsidRPr="007C110A">
              <w:rPr>
                <w:sz w:val="20"/>
                <w:lang w:val="fr-CA"/>
              </w:rPr>
              <w:t xml:space="preserve"> Préjudice à un innocent </w:t>
            </w:r>
            <w:r w:rsidRPr="007C110A">
              <w:rPr>
                <w:sz w:val="20"/>
              </w:rPr>
              <w:t>⸺</w:t>
            </w:r>
            <w:r w:rsidRPr="007C110A">
              <w:rPr>
                <w:sz w:val="20"/>
                <w:lang w:val="fr-CA"/>
              </w:rPr>
              <w:t xml:space="preserve"> Publicité des débats judiciaires </w:t>
            </w:r>
            <w:r w:rsidRPr="007C110A">
              <w:rPr>
                <w:sz w:val="20"/>
              </w:rPr>
              <w:t>⸺</w:t>
            </w:r>
            <w:r w:rsidRPr="007C110A">
              <w:rPr>
                <w:sz w:val="20"/>
                <w:lang w:val="fr-CA"/>
              </w:rPr>
              <w:t xml:space="preserve"> </w:t>
            </w:r>
            <w:r w:rsidRPr="007C110A">
              <w:rPr>
                <w:sz w:val="20"/>
                <w:lang w:val="x-none"/>
              </w:rPr>
              <w:t>La Cour</w:t>
            </w:r>
            <w:r w:rsidRPr="007C110A">
              <w:rPr>
                <w:sz w:val="20"/>
                <w:lang w:val="fr-CA"/>
              </w:rPr>
              <w:t xml:space="preserve"> d’appel du </w:t>
            </w:r>
            <w:r w:rsidRPr="007C110A">
              <w:rPr>
                <w:sz w:val="20"/>
                <w:lang w:val="x-none"/>
              </w:rPr>
              <w:t>Q</w:t>
            </w:r>
            <w:r w:rsidRPr="007C110A">
              <w:rPr>
                <w:sz w:val="20"/>
                <w:lang w:val="fr-CA"/>
              </w:rPr>
              <w:t>uébec</w:t>
            </w:r>
            <w:r w:rsidRPr="007C110A">
              <w:rPr>
                <w:sz w:val="20"/>
                <w:lang w:val="x-none"/>
              </w:rPr>
              <w:t xml:space="preserve"> a</w:t>
            </w:r>
            <w:r w:rsidRPr="007C110A">
              <w:rPr>
                <w:sz w:val="20"/>
                <w:lang w:val="x-none"/>
              </w:rPr>
              <w:noBreakHyphen/>
              <w:t>t</w:t>
            </w:r>
            <w:r w:rsidRPr="007C110A">
              <w:rPr>
                <w:sz w:val="20"/>
                <w:lang w:val="x-none"/>
              </w:rPr>
              <w:noBreakHyphen/>
            </w:r>
            <w:proofErr w:type="spellStart"/>
            <w:r w:rsidRPr="007C110A">
              <w:rPr>
                <w:sz w:val="20"/>
                <w:lang w:val="x-none"/>
              </w:rPr>
              <w:t>elle</w:t>
            </w:r>
            <w:proofErr w:type="spellEnd"/>
            <w:r w:rsidRPr="007C110A">
              <w:rPr>
                <w:sz w:val="20"/>
                <w:lang w:val="x-none"/>
              </w:rPr>
              <w:t xml:space="preserve"> </w:t>
            </w:r>
            <w:proofErr w:type="spellStart"/>
            <w:r w:rsidRPr="007C110A">
              <w:rPr>
                <w:sz w:val="20"/>
                <w:lang w:val="x-none"/>
              </w:rPr>
              <w:t>eu</w:t>
            </w:r>
            <w:proofErr w:type="spellEnd"/>
            <w:r w:rsidRPr="007C110A">
              <w:rPr>
                <w:sz w:val="20"/>
                <w:lang w:val="x-none"/>
              </w:rPr>
              <w:t xml:space="preserve"> raison de </w:t>
            </w:r>
            <w:proofErr w:type="spellStart"/>
            <w:r w:rsidRPr="007C110A">
              <w:rPr>
                <w:sz w:val="20"/>
                <w:lang w:val="x-none"/>
              </w:rPr>
              <w:t>répudier</w:t>
            </w:r>
            <w:proofErr w:type="spellEnd"/>
            <w:r w:rsidRPr="007C110A">
              <w:rPr>
                <w:sz w:val="20"/>
                <w:lang w:val="x-none"/>
              </w:rPr>
              <w:t xml:space="preserve"> en la </w:t>
            </w:r>
            <w:proofErr w:type="spellStart"/>
            <w:r w:rsidRPr="007C110A">
              <w:rPr>
                <w:sz w:val="20"/>
                <w:lang w:val="x-none"/>
              </w:rPr>
              <w:t>banalisant</w:t>
            </w:r>
            <w:proofErr w:type="spellEnd"/>
            <w:r w:rsidRPr="007C110A">
              <w:rPr>
                <w:sz w:val="20"/>
                <w:lang w:val="x-none"/>
              </w:rPr>
              <w:t>,</w:t>
            </w:r>
            <w:r w:rsidRPr="007C110A">
              <w:rPr>
                <w:sz w:val="20"/>
                <w:lang w:val="fr-CA"/>
              </w:rPr>
              <w:t xml:space="preserve"> </w:t>
            </w:r>
            <w:proofErr w:type="spellStart"/>
            <w:r w:rsidRPr="007C110A">
              <w:rPr>
                <w:sz w:val="20"/>
                <w:lang w:val="x-none"/>
              </w:rPr>
              <w:t>l’exception</w:t>
            </w:r>
            <w:proofErr w:type="spellEnd"/>
            <w:r w:rsidRPr="007C110A">
              <w:rPr>
                <w:sz w:val="20"/>
                <w:lang w:val="x-none"/>
              </w:rPr>
              <w:t xml:space="preserve"> de </w:t>
            </w:r>
            <w:r w:rsidRPr="007C110A">
              <w:rPr>
                <w:i/>
                <w:sz w:val="20"/>
                <w:lang w:val="x-none"/>
              </w:rPr>
              <w:t xml:space="preserve">MacIntyre </w:t>
            </w:r>
            <w:r w:rsidRPr="007C110A">
              <w:rPr>
                <w:sz w:val="20"/>
                <w:lang w:val="x-none"/>
              </w:rPr>
              <w:t xml:space="preserve">à </w:t>
            </w:r>
            <w:proofErr w:type="spellStart"/>
            <w:r w:rsidRPr="007C110A">
              <w:rPr>
                <w:sz w:val="20"/>
                <w:lang w:val="x-none"/>
              </w:rPr>
              <w:t>l’effet</w:t>
            </w:r>
            <w:proofErr w:type="spellEnd"/>
            <w:r w:rsidRPr="007C110A">
              <w:rPr>
                <w:sz w:val="20"/>
                <w:lang w:val="x-none"/>
              </w:rPr>
              <w:t xml:space="preserve"> </w:t>
            </w:r>
            <w:proofErr w:type="spellStart"/>
            <w:r w:rsidRPr="007C110A">
              <w:rPr>
                <w:sz w:val="20"/>
                <w:lang w:val="x-none"/>
              </w:rPr>
              <w:t>qu’une</w:t>
            </w:r>
            <w:proofErr w:type="spellEnd"/>
            <w:r w:rsidRPr="007C110A">
              <w:rPr>
                <w:sz w:val="20"/>
                <w:lang w:val="x-none"/>
              </w:rPr>
              <w:t xml:space="preserve"> </w:t>
            </w:r>
            <w:proofErr w:type="spellStart"/>
            <w:r w:rsidRPr="007C110A">
              <w:rPr>
                <w:sz w:val="20"/>
                <w:lang w:val="x-none"/>
              </w:rPr>
              <w:t>personne</w:t>
            </w:r>
            <w:proofErr w:type="spellEnd"/>
            <w:r w:rsidRPr="007C110A">
              <w:rPr>
                <w:sz w:val="20"/>
                <w:lang w:val="x-none"/>
              </w:rPr>
              <w:t xml:space="preserve"> </w:t>
            </w:r>
            <w:proofErr w:type="spellStart"/>
            <w:r w:rsidRPr="007C110A">
              <w:rPr>
                <w:sz w:val="20"/>
                <w:lang w:val="x-none"/>
              </w:rPr>
              <w:t>innocente</w:t>
            </w:r>
            <w:proofErr w:type="spellEnd"/>
            <w:r w:rsidRPr="007C110A">
              <w:rPr>
                <w:sz w:val="20"/>
                <w:lang w:val="x-none"/>
              </w:rPr>
              <w:t xml:space="preserve"> </w:t>
            </w:r>
            <w:proofErr w:type="spellStart"/>
            <w:r w:rsidRPr="007C110A">
              <w:rPr>
                <w:sz w:val="20"/>
                <w:lang w:val="x-none"/>
              </w:rPr>
              <w:t>affectée</w:t>
            </w:r>
            <w:proofErr w:type="spellEnd"/>
            <w:r w:rsidRPr="007C110A">
              <w:rPr>
                <w:sz w:val="20"/>
                <w:lang w:val="x-none"/>
              </w:rPr>
              <w:t xml:space="preserve"> par un </w:t>
            </w:r>
            <w:proofErr w:type="spellStart"/>
            <w:r w:rsidRPr="007C110A">
              <w:rPr>
                <w:sz w:val="20"/>
                <w:lang w:val="x-none"/>
              </w:rPr>
              <w:t>mandat</w:t>
            </w:r>
            <w:proofErr w:type="spellEnd"/>
            <w:r w:rsidRPr="007C110A">
              <w:rPr>
                <w:sz w:val="20"/>
                <w:lang w:val="fr-CA"/>
              </w:rPr>
              <w:t xml:space="preserve"> </w:t>
            </w:r>
            <w:r w:rsidRPr="007C110A">
              <w:rPr>
                <w:sz w:val="20"/>
                <w:lang w:val="x-none"/>
              </w:rPr>
              <w:t xml:space="preserve">qui n’a </w:t>
            </w:r>
            <w:proofErr w:type="spellStart"/>
            <w:r w:rsidRPr="007C110A">
              <w:rPr>
                <w:sz w:val="20"/>
                <w:lang w:val="x-none"/>
              </w:rPr>
              <w:t>donné</w:t>
            </w:r>
            <w:proofErr w:type="spellEnd"/>
            <w:r w:rsidRPr="007C110A">
              <w:rPr>
                <w:sz w:val="20"/>
                <w:lang w:val="x-none"/>
              </w:rPr>
              <w:t xml:space="preserve"> </w:t>
            </w:r>
            <w:proofErr w:type="spellStart"/>
            <w:r w:rsidRPr="007C110A">
              <w:rPr>
                <w:sz w:val="20"/>
                <w:lang w:val="x-none"/>
              </w:rPr>
              <w:t>aucun</w:t>
            </w:r>
            <w:proofErr w:type="spellEnd"/>
            <w:r w:rsidRPr="007C110A">
              <w:rPr>
                <w:sz w:val="20"/>
                <w:lang w:val="x-none"/>
              </w:rPr>
              <w:t xml:space="preserve"> </w:t>
            </w:r>
            <w:proofErr w:type="spellStart"/>
            <w:r w:rsidRPr="007C110A">
              <w:rPr>
                <w:sz w:val="20"/>
                <w:lang w:val="x-none"/>
              </w:rPr>
              <w:t>résultat</w:t>
            </w:r>
            <w:proofErr w:type="spellEnd"/>
            <w:r w:rsidRPr="007C110A">
              <w:rPr>
                <w:sz w:val="20"/>
                <w:lang w:val="x-none"/>
              </w:rPr>
              <w:t xml:space="preserve"> </w:t>
            </w:r>
            <w:proofErr w:type="spellStart"/>
            <w:r w:rsidRPr="007C110A">
              <w:rPr>
                <w:sz w:val="20"/>
                <w:lang w:val="x-none"/>
              </w:rPr>
              <w:t>doit</w:t>
            </w:r>
            <w:proofErr w:type="spellEnd"/>
            <w:r w:rsidRPr="007C110A">
              <w:rPr>
                <w:sz w:val="20"/>
                <w:lang w:val="x-none"/>
              </w:rPr>
              <w:t xml:space="preserve"> être protégée contre le </w:t>
            </w:r>
            <w:proofErr w:type="spellStart"/>
            <w:r w:rsidRPr="007C110A">
              <w:rPr>
                <w:sz w:val="20"/>
                <w:lang w:val="x-none"/>
              </w:rPr>
              <w:t>préjudice</w:t>
            </w:r>
            <w:proofErr w:type="spellEnd"/>
            <w:r w:rsidRPr="007C110A">
              <w:rPr>
                <w:sz w:val="20"/>
                <w:lang w:val="x-none"/>
              </w:rPr>
              <w:t xml:space="preserve"> inutile </w:t>
            </w:r>
            <w:proofErr w:type="spellStart"/>
            <w:r w:rsidRPr="007C110A">
              <w:rPr>
                <w:sz w:val="20"/>
                <w:lang w:val="x-none"/>
              </w:rPr>
              <w:t>causé</w:t>
            </w:r>
            <w:proofErr w:type="spellEnd"/>
            <w:r w:rsidRPr="007C110A">
              <w:rPr>
                <w:sz w:val="20"/>
                <w:lang w:val="x-none"/>
              </w:rPr>
              <w:t xml:space="preserve"> </w:t>
            </w:r>
            <w:proofErr w:type="spellStart"/>
            <w:r w:rsidRPr="007C110A">
              <w:rPr>
                <w:sz w:val="20"/>
                <w:lang w:val="x-none"/>
              </w:rPr>
              <w:t>par</w:t>
            </w:r>
            <w:proofErr w:type="spellEnd"/>
            <w:r w:rsidRPr="007C110A">
              <w:rPr>
                <w:sz w:val="20"/>
                <w:lang w:val="x-none"/>
              </w:rPr>
              <w:t xml:space="preserve"> la</w:t>
            </w:r>
            <w:r w:rsidRPr="007C110A">
              <w:rPr>
                <w:sz w:val="20"/>
                <w:lang w:val="fr-CA"/>
              </w:rPr>
              <w:t xml:space="preserve"> </w:t>
            </w:r>
            <w:proofErr w:type="spellStart"/>
            <w:r w:rsidRPr="007C110A">
              <w:rPr>
                <w:sz w:val="20"/>
                <w:lang w:val="x-none"/>
              </w:rPr>
              <w:t>publicité</w:t>
            </w:r>
            <w:proofErr w:type="spellEnd"/>
            <w:r w:rsidRPr="007C110A">
              <w:rPr>
                <w:sz w:val="20"/>
                <w:lang w:val="x-none"/>
              </w:rPr>
              <w:t xml:space="preserve"> du </w:t>
            </w:r>
            <w:proofErr w:type="spellStart"/>
            <w:r w:rsidRPr="007C110A">
              <w:rPr>
                <w:sz w:val="20"/>
                <w:lang w:val="x-none"/>
              </w:rPr>
              <w:t>contenu</w:t>
            </w:r>
            <w:proofErr w:type="spellEnd"/>
            <w:r w:rsidRPr="007C110A">
              <w:rPr>
                <w:sz w:val="20"/>
                <w:lang w:val="x-none"/>
              </w:rPr>
              <w:t xml:space="preserve"> de ce </w:t>
            </w:r>
            <w:proofErr w:type="spellStart"/>
            <w:r w:rsidRPr="007C110A">
              <w:rPr>
                <w:sz w:val="20"/>
                <w:lang w:val="x-none"/>
              </w:rPr>
              <w:t>mandat</w:t>
            </w:r>
            <w:proofErr w:type="spellEnd"/>
            <w:r w:rsidRPr="007C110A">
              <w:rPr>
                <w:sz w:val="20"/>
                <w:lang w:val="x-none"/>
              </w:rPr>
              <w:t>?</w:t>
            </w:r>
            <w:r w:rsidRPr="007C110A">
              <w:rPr>
                <w:sz w:val="20"/>
                <w:lang w:val="fr-CA"/>
              </w:rPr>
              <w:t xml:space="preserve"> </w:t>
            </w:r>
            <w:r w:rsidRPr="007C110A">
              <w:rPr>
                <w:sz w:val="20"/>
              </w:rPr>
              <w:t>⸺</w:t>
            </w:r>
            <w:r w:rsidRPr="007C110A">
              <w:rPr>
                <w:sz w:val="20"/>
                <w:lang w:val="fr-CA"/>
              </w:rPr>
              <w:t xml:space="preserve"> </w:t>
            </w:r>
            <w:r w:rsidRPr="007C110A">
              <w:rPr>
                <w:sz w:val="20"/>
                <w:lang w:val="x-none"/>
              </w:rPr>
              <w:t>La C</w:t>
            </w:r>
            <w:r w:rsidRPr="007C110A">
              <w:rPr>
                <w:sz w:val="20"/>
                <w:lang w:val="fr-CA"/>
              </w:rPr>
              <w:t xml:space="preserve">our d’appel du </w:t>
            </w:r>
            <w:r w:rsidRPr="007C110A">
              <w:rPr>
                <w:sz w:val="20"/>
                <w:lang w:val="x-none"/>
              </w:rPr>
              <w:t>Q</w:t>
            </w:r>
            <w:r w:rsidRPr="007C110A">
              <w:rPr>
                <w:sz w:val="20"/>
                <w:lang w:val="fr-CA"/>
              </w:rPr>
              <w:t>uébec</w:t>
            </w:r>
            <w:r w:rsidRPr="007C110A">
              <w:rPr>
                <w:sz w:val="20"/>
                <w:lang w:val="x-none"/>
              </w:rPr>
              <w:t xml:space="preserve"> a</w:t>
            </w:r>
            <w:r w:rsidRPr="007C110A">
              <w:rPr>
                <w:sz w:val="20"/>
                <w:lang w:val="x-none"/>
              </w:rPr>
              <w:noBreakHyphen/>
              <w:t>t</w:t>
            </w:r>
            <w:r w:rsidRPr="007C110A">
              <w:rPr>
                <w:sz w:val="20"/>
                <w:lang w:val="x-none"/>
              </w:rPr>
              <w:noBreakHyphen/>
            </w:r>
            <w:proofErr w:type="spellStart"/>
            <w:r w:rsidRPr="007C110A">
              <w:rPr>
                <w:sz w:val="20"/>
                <w:lang w:val="x-none"/>
              </w:rPr>
              <w:t>elle</w:t>
            </w:r>
            <w:proofErr w:type="spellEnd"/>
            <w:r w:rsidRPr="007C110A">
              <w:rPr>
                <w:sz w:val="20"/>
                <w:lang w:val="x-none"/>
              </w:rPr>
              <w:t xml:space="preserve"> </w:t>
            </w:r>
            <w:proofErr w:type="spellStart"/>
            <w:r w:rsidRPr="007C110A">
              <w:rPr>
                <w:sz w:val="20"/>
                <w:lang w:val="x-none"/>
              </w:rPr>
              <w:t>eu</w:t>
            </w:r>
            <w:proofErr w:type="spellEnd"/>
            <w:r w:rsidRPr="007C110A">
              <w:rPr>
                <w:sz w:val="20"/>
                <w:lang w:val="x-none"/>
              </w:rPr>
              <w:t xml:space="preserve"> raison </w:t>
            </w:r>
            <w:proofErr w:type="spellStart"/>
            <w:r w:rsidRPr="007C110A">
              <w:rPr>
                <w:sz w:val="20"/>
                <w:lang w:val="x-none"/>
              </w:rPr>
              <w:t>d’écarter</w:t>
            </w:r>
            <w:proofErr w:type="spellEnd"/>
            <w:r w:rsidRPr="007C110A">
              <w:rPr>
                <w:sz w:val="20"/>
                <w:lang w:val="x-none"/>
              </w:rPr>
              <w:t xml:space="preserve"> le </w:t>
            </w:r>
            <w:proofErr w:type="spellStart"/>
            <w:r w:rsidRPr="007C110A">
              <w:rPr>
                <w:sz w:val="20"/>
                <w:lang w:val="x-none"/>
              </w:rPr>
              <w:t>principe</w:t>
            </w:r>
            <w:proofErr w:type="spellEnd"/>
            <w:r w:rsidRPr="007C110A">
              <w:rPr>
                <w:sz w:val="20"/>
                <w:lang w:val="fr-CA"/>
              </w:rPr>
              <w:t xml:space="preserve"> </w:t>
            </w:r>
            <w:proofErr w:type="spellStart"/>
            <w:r w:rsidRPr="007C110A">
              <w:rPr>
                <w:i/>
                <w:sz w:val="20"/>
                <w:lang w:val="x-none"/>
              </w:rPr>
              <w:t>Flahiff</w:t>
            </w:r>
            <w:proofErr w:type="spellEnd"/>
            <w:r w:rsidRPr="007C110A">
              <w:rPr>
                <w:i/>
                <w:sz w:val="20"/>
                <w:lang w:val="x-none"/>
              </w:rPr>
              <w:t xml:space="preserve">/Savard </w:t>
            </w:r>
            <w:r w:rsidRPr="007C110A">
              <w:rPr>
                <w:sz w:val="20"/>
                <w:lang w:val="x-none"/>
              </w:rPr>
              <w:t xml:space="preserve">à </w:t>
            </w:r>
            <w:proofErr w:type="spellStart"/>
            <w:r w:rsidRPr="007C110A">
              <w:rPr>
                <w:sz w:val="20"/>
                <w:lang w:val="x-none"/>
              </w:rPr>
              <w:t>l’effet</w:t>
            </w:r>
            <w:proofErr w:type="spellEnd"/>
            <w:r w:rsidRPr="007C110A">
              <w:rPr>
                <w:sz w:val="20"/>
                <w:lang w:val="x-none"/>
              </w:rPr>
              <w:t xml:space="preserve"> que le droit </w:t>
            </w:r>
            <w:proofErr w:type="spellStart"/>
            <w:r w:rsidRPr="007C110A">
              <w:rPr>
                <w:sz w:val="20"/>
                <w:lang w:val="x-none"/>
              </w:rPr>
              <w:t>éventuel</w:t>
            </w:r>
            <w:proofErr w:type="spellEnd"/>
            <w:r w:rsidRPr="007C110A">
              <w:rPr>
                <w:sz w:val="20"/>
                <w:lang w:val="x-none"/>
              </w:rPr>
              <w:t xml:space="preserve"> à un </w:t>
            </w:r>
            <w:proofErr w:type="spellStart"/>
            <w:r w:rsidRPr="007C110A">
              <w:rPr>
                <w:sz w:val="20"/>
                <w:lang w:val="x-none"/>
              </w:rPr>
              <w:t>procès</w:t>
            </w:r>
            <w:proofErr w:type="spellEnd"/>
            <w:r w:rsidRPr="007C110A">
              <w:rPr>
                <w:sz w:val="20"/>
                <w:lang w:val="x-none"/>
              </w:rPr>
              <w:t xml:space="preserve"> </w:t>
            </w:r>
            <w:proofErr w:type="spellStart"/>
            <w:r w:rsidRPr="007C110A">
              <w:rPr>
                <w:sz w:val="20"/>
                <w:lang w:val="x-none"/>
              </w:rPr>
              <w:t>équitable</w:t>
            </w:r>
            <w:proofErr w:type="spellEnd"/>
            <w:r w:rsidRPr="007C110A">
              <w:rPr>
                <w:sz w:val="20"/>
                <w:lang w:val="x-none"/>
              </w:rPr>
              <w:t xml:space="preserve"> </w:t>
            </w:r>
            <w:proofErr w:type="spellStart"/>
            <w:r w:rsidRPr="007C110A">
              <w:rPr>
                <w:sz w:val="20"/>
                <w:lang w:val="x-none"/>
              </w:rPr>
              <w:t>d’une</w:t>
            </w:r>
            <w:proofErr w:type="spellEnd"/>
            <w:r w:rsidRPr="007C110A">
              <w:rPr>
                <w:sz w:val="20"/>
                <w:lang w:val="x-none"/>
              </w:rPr>
              <w:t xml:space="preserve"> </w:t>
            </w:r>
            <w:proofErr w:type="spellStart"/>
            <w:r w:rsidRPr="007C110A">
              <w:rPr>
                <w:sz w:val="20"/>
                <w:lang w:val="x-none"/>
              </w:rPr>
              <w:t>personne</w:t>
            </w:r>
            <w:proofErr w:type="spellEnd"/>
            <w:r w:rsidRPr="007C110A">
              <w:rPr>
                <w:sz w:val="20"/>
                <w:lang w:val="x-none"/>
              </w:rPr>
              <w:t xml:space="preserve"> sous</w:t>
            </w:r>
            <w:r w:rsidRPr="007C110A">
              <w:rPr>
                <w:sz w:val="20"/>
                <w:lang w:val="fr-CA"/>
              </w:rPr>
              <w:t xml:space="preserve"> </w:t>
            </w:r>
            <w:proofErr w:type="spellStart"/>
            <w:r w:rsidRPr="007C110A">
              <w:rPr>
                <w:sz w:val="20"/>
                <w:lang w:val="x-none"/>
              </w:rPr>
              <w:t>enquête</w:t>
            </w:r>
            <w:proofErr w:type="spellEnd"/>
            <w:r w:rsidRPr="007C110A">
              <w:rPr>
                <w:sz w:val="20"/>
                <w:lang w:val="x-none"/>
              </w:rPr>
              <w:t xml:space="preserve"> </w:t>
            </w:r>
            <w:proofErr w:type="spellStart"/>
            <w:r w:rsidRPr="007C110A">
              <w:rPr>
                <w:sz w:val="20"/>
                <w:lang w:val="x-none"/>
              </w:rPr>
              <w:t>doit</w:t>
            </w:r>
            <w:proofErr w:type="spellEnd"/>
            <w:r w:rsidRPr="007C110A">
              <w:rPr>
                <w:sz w:val="20"/>
                <w:lang w:val="x-none"/>
              </w:rPr>
              <w:t xml:space="preserve"> être </w:t>
            </w:r>
            <w:proofErr w:type="spellStart"/>
            <w:r w:rsidRPr="007C110A">
              <w:rPr>
                <w:sz w:val="20"/>
                <w:lang w:val="x-none"/>
              </w:rPr>
              <w:t>préservé</w:t>
            </w:r>
            <w:proofErr w:type="spellEnd"/>
            <w:r w:rsidRPr="007C110A">
              <w:rPr>
                <w:sz w:val="20"/>
                <w:lang w:val="x-none"/>
              </w:rPr>
              <w:t xml:space="preserve"> contre le </w:t>
            </w:r>
            <w:proofErr w:type="spellStart"/>
            <w:r w:rsidRPr="007C110A">
              <w:rPr>
                <w:sz w:val="20"/>
                <w:lang w:val="x-none"/>
              </w:rPr>
              <w:t>préjudice</w:t>
            </w:r>
            <w:proofErr w:type="spellEnd"/>
            <w:r w:rsidRPr="007C110A">
              <w:rPr>
                <w:sz w:val="20"/>
                <w:lang w:val="x-none"/>
              </w:rPr>
              <w:t xml:space="preserve">, </w:t>
            </w:r>
            <w:proofErr w:type="spellStart"/>
            <w:r w:rsidRPr="007C110A">
              <w:rPr>
                <w:sz w:val="20"/>
                <w:lang w:val="x-none"/>
              </w:rPr>
              <w:t>même</w:t>
            </w:r>
            <w:proofErr w:type="spellEnd"/>
            <w:r w:rsidRPr="007C110A">
              <w:rPr>
                <w:sz w:val="20"/>
                <w:lang w:val="x-none"/>
              </w:rPr>
              <w:t xml:space="preserve"> </w:t>
            </w:r>
            <w:proofErr w:type="spellStart"/>
            <w:r w:rsidRPr="007C110A">
              <w:rPr>
                <w:sz w:val="20"/>
                <w:lang w:val="x-none"/>
              </w:rPr>
              <w:t>objectif</w:t>
            </w:r>
            <w:proofErr w:type="spellEnd"/>
            <w:r w:rsidRPr="007C110A">
              <w:rPr>
                <w:sz w:val="20"/>
                <w:lang w:val="x-none"/>
              </w:rPr>
              <w:t xml:space="preserve">, </w:t>
            </w:r>
            <w:proofErr w:type="spellStart"/>
            <w:r w:rsidRPr="007C110A">
              <w:rPr>
                <w:sz w:val="20"/>
                <w:lang w:val="x-none"/>
              </w:rPr>
              <w:t>découlant</w:t>
            </w:r>
            <w:proofErr w:type="spellEnd"/>
            <w:r w:rsidRPr="007C110A">
              <w:rPr>
                <w:sz w:val="20"/>
                <w:lang w:val="x-none"/>
              </w:rPr>
              <w:t xml:space="preserve"> de la</w:t>
            </w:r>
            <w:r w:rsidRPr="007C110A">
              <w:rPr>
                <w:sz w:val="20"/>
                <w:lang w:val="fr-CA"/>
              </w:rPr>
              <w:t xml:space="preserve"> </w:t>
            </w:r>
            <w:proofErr w:type="spellStart"/>
            <w:r w:rsidRPr="007C110A">
              <w:rPr>
                <w:sz w:val="20"/>
                <w:lang w:val="x-none"/>
              </w:rPr>
              <w:t>médiatisation</w:t>
            </w:r>
            <w:proofErr w:type="spellEnd"/>
            <w:r w:rsidRPr="007C110A">
              <w:rPr>
                <w:sz w:val="20"/>
                <w:lang w:val="x-none"/>
              </w:rPr>
              <w:t xml:space="preserve"> </w:t>
            </w:r>
            <w:proofErr w:type="spellStart"/>
            <w:r w:rsidRPr="007C110A">
              <w:rPr>
                <w:sz w:val="20"/>
                <w:lang w:val="x-none"/>
              </w:rPr>
              <w:t>d’allégations</w:t>
            </w:r>
            <w:proofErr w:type="spellEnd"/>
            <w:r w:rsidRPr="007C110A">
              <w:rPr>
                <w:sz w:val="20"/>
                <w:lang w:val="x-none"/>
              </w:rPr>
              <w:t xml:space="preserve"> non </w:t>
            </w:r>
            <w:proofErr w:type="spellStart"/>
            <w:r w:rsidRPr="007C110A">
              <w:rPr>
                <w:sz w:val="20"/>
                <w:lang w:val="x-none"/>
              </w:rPr>
              <w:t>vérifiées</w:t>
            </w:r>
            <w:proofErr w:type="spellEnd"/>
            <w:r w:rsidRPr="007C110A">
              <w:rPr>
                <w:sz w:val="20"/>
                <w:lang w:val="x-none"/>
              </w:rPr>
              <w:t xml:space="preserve"> et </w:t>
            </w:r>
            <w:proofErr w:type="spellStart"/>
            <w:r w:rsidRPr="007C110A">
              <w:rPr>
                <w:sz w:val="20"/>
                <w:lang w:val="x-none"/>
              </w:rPr>
              <w:t>basées</w:t>
            </w:r>
            <w:proofErr w:type="spellEnd"/>
            <w:r w:rsidRPr="007C110A">
              <w:rPr>
                <w:sz w:val="20"/>
                <w:lang w:val="x-none"/>
              </w:rPr>
              <w:t xml:space="preserve"> sur du </w:t>
            </w:r>
            <w:proofErr w:type="spellStart"/>
            <w:r w:rsidRPr="007C110A">
              <w:rPr>
                <w:sz w:val="20"/>
                <w:lang w:val="x-none"/>
              </w:rPr>
              <w:t>ouï</w:t>
            </w:r>
            <w:proofErr w:type="spellEnd"/>
            <w:r w:rsidRPr="007C110A">
              <w:rPr>
                <w:sz w:val="20"/>
                <w:lang w:val="x-none"/>
              </w:rPr>
              <w:t xml:space="preserve">-dire au </w:t>
            </w:r>
            <w:proofErr w:type="spellStart"/>
            <w:r w:rsidRPr="007C110A">
              <w:rPr>
                <w:sz w:val="20"/>
                <w:lang w:val="x-none"/>
              </w:rPr>
              <w:t>soutien</w:t>
            </w:r>
            <w:proofErr w:type="spellEnd"/>
            <w:r w:rsidRPr="007C110A">
              <w:rPr>
                <w:sz w:val="20"/>
                <w:lang w:val="x-none"/>
              </w:rPr>
              <w:t xml:space="preserve"> d’un</w:t>
            </w:r>
            <w:r w:rsidRPr="007C110A">
              <w:rPr>
                <w:sz w:val="20"/>
                <w:lang w:val="fr-CA"/>
              </w:rPr>
              <w:t xml:space="preserve"> </w:t>
            </w:r>
            <w:proofErr w:type="spellStart"/>
            <w:r w:rsidRPr="007C110A">
              <w:rPr>
                <w:sz w:val="20"/>
                <w:lang w:val="x-none"/>
              </w:rPr>
              <w:t>mandat</w:t>
            </w:r>
            <w:proofErr w:type="spellEnd"/>
            <w:r w:rsidRPr="007C110A">
              <w:rPr>
                <w:sz w:val="20"/>
                <w:lang w:val="x-none"/>
              </w:rPr>
              <w:t>?</w:t>
            </w:r>
            <w:r w:rsidRPr="007C110A">
              <w:rPr>
                <w:sz w:val="20"/>
                <w:lang w:val="fr-CA"/>
              </w:rPr>
              <w:t xml:space="preserve"> </w:t>
            </w:r>
            <w:r w:rsidRPr="007C110A">
              <w:rPr>
                <w:sz w:val="20"/>
              </w:rPr>
              <w:t xml:space="preserve">⸺ </w:t>
            </w:r>
            <w:r w:rsidRPr="007C110A">
              <w:rPr>
                <w:i/>
                <w:sz w:val="20"/>
              </w:rPr>
              <w:t>Code criminel</w:t>
            </w:r>
            <w:r w:rsidRPr="007C110A">
              <w:rPr>
                <w:sz w:val="20"/>
              </w:rPr>
              <w:t>, L.R.C. 1985, ch. C</w:t>
            </w:r>
            <w:r w:rsidRPr="007C110A">
              <w:rPr>
                <w:sz w:val="20"/>
              </w:rPr>
              <w:noBreakHyphen/>
              <w:t>46, art. 487.3.</w:t>
            </w:r>
          </w:p>
          <w:p w:rsidR="005221C4" w:rsidRPr="007C110A" w:rsidRDefault="005221C4" w:rsidP="00A866C4">
            <w:pPr>
              <w:jc w:val="both"/>
              <w:rPr>
                <w:sz w:val="20"/>
              </w:rPr>
            </w:pPr>
          </w:p>
        </w:tc>
      </w:tr>
      <w:tr w:rsidR="005221C4" w:rsidRPr="007C110A" w:rsidTr="00E95A6A">
        <w:tc>
          <w:tcPr>
            <w:tcW w:w="5000" w:type="pct"/>
            <w:gridSpan w:val="4"/>
          </w:tcPr>
          <w:p w:rsidR="005221C4" w:rsidRPr="007C110A" w:rsidRDefault="005221C4" w:rsidP="00A866C4">
            <w:pPr>
              <w:jc w:val="both"/>
              <w:rPr>
                <w:sz w:val="20"/>
                <w:lang w:val="fr-CA"/>
              </w:rPr>
            </w:pPr>
            <w:r w:rsidRPr="007C110A">
              <w:rPr>
                <w:sz w:val="20"/>
                <w:lang w:val="fr-CA"/>
              </w:rPr>
              <w:t xml:space="preserve">Le demandeur est ciblé par l’enquête criminelle </w:t>
            </w:r>
            <w:r w:rsidRPr="007C110A">
              <w:rPr>
                <w:i/>
                <w:sz w:val="20"/>
                <w:lang w:val="fr-CA"/>
              </w:rPr>
              <w:t>Mâchurer</w:t>
            </w:r>
            <w:r w:rsidRPr="007C110A">
              <w:rPr>
                <w:sz w:val="20"/>
                <w:lang w:val="fr-CA"/>
              </w:rPr>
              <w:t xml:space="preserve"> déclenchée en 2013, menée par l’Unité permanente anticorruption et ayant pour objet le financement politique et l’octroi de contrats publics au Québec. Deux mandats généraux concernant des lieux liés au demandeur sont émis, mais  rien n’a été saisi et aucune accusation n’a encore été portée contre lui. D’abord, les parties demandent et obtiennent accès aux mandats et aux dénonciations ayant mené à décerner les mandats généraux. Ensuite, le demandeur demande le prononcé d’ordonnances de non</w:t>
            </w:r>
            <w:r w:rsidRPr="007C110A">
              <w:rPr>
                <w:sz w:val="20"/>
                <w:lang w:val="fr-CA"/>
              </w:rPr>
              <w:noBreakHyphen/>
              <w:t>publication, au moins jusqu’à ce que le Directeur des poursuites criminelles et pénales décide s’il fera ou non l’objet d’accusations, afin de ne pas mettre en péril son droit à un procès équitable. Les médias, intimés, s’opposent à cette demande et interviennent afin que les mandats généraux et leurs dénonciations deviennent publics. La Cour du Québec rejette la requête visant à obtenir une ordonnance interdisant la publication du contenu des dénonciations et documents connexes au soutien des demandes de mandats généraux. Elle estime que dans les circonstances de l’affaire, un accroissement de la publicité relativement à des faits déjà publics ne saurait constituer un risque de préjudice exigeant une intervention pour limiter la publication selon les critères établis par la jurisprudence applicable. La Cour supérieure rejette la requête du demandeur pour l’émission d’un bref de </w:t>
            </w:r>
            <w:r w:rsidRPr="007C110A">
              <w:rPr>
                <w:i/>
                <w:iCs/>
                <w:sz w:val="20"/>
                <w:lang w:val="fr-CA"/>
              </w:rPr>
              <w:t>certiorari</w:t>
            </w:r>
            <w:r w:rsidRPr="007C110A">
              <w:rPr>
                <w:sz w:val="20"/>
                <w:lang w:val="fr-CA"/>
              </w:rPr>
              <w:t xml:space="preserve">, estimant que la première juge n’a commis aucune erreur révisable en distinguant la jurisprudence de la situation du demandeur. Elle conclut, d’une part, </w:t>
            </w:r>
            <w:r w:rsidRPr="007C110A">
              <w:rPr>
                <w:iCs/>
                <w:sz w:val="20"/>
                <w:lang w:val="fr-CA"/>
              </w:rPr>
              <w:t xml:space="preserve">que la juge d’instance ne commet pas d’erreur révisable lorsqu’elle conclut qu’il y a présomption de publicité puisque le demandeur n’a pas rempli son fardeau de justifier la dérogation, et, d’autre part, que la juge d’instance n’a pas excédé sa compétence juridictionnelle. </w:t>
            </w:r>
            <w:r w:rsidRPr="007C110A">
              <w:rPr>
                <w:sz w:val="20"/>
                <w:lang w:val="fr-CA"/>
              </w:rPr>
              <w:t>La Cour d’appel, dans un arrêt unanime, rejette l’appel et conclut que la juge de première instance n’a commis aucune erreur de compétence ou erreur de droit manifeste à la face même du dossier et qu’il n’y a pas lieu d’intervenir.</w:t>
            </w:r>
          </w:p>
        </w:tc>
      </w:tr>
      <w:tr w:rsidR="005221C4" w:rsidRPr="007C110A" w:rsidTr="00E95A6A">
        <w:tc>
          <w:tcPr>
            <w:tcW w:w="5000" w:type="pct"/>
            <w:gridSpan w:val="4"/>
          </w:tcPr>
          <w:p w:rsidR="005221C4" w:rsidRPr="007C110A" w:rsidRDefault="005221C4" w:rsidP="00A866C4">
            <w:pPr>
              <w:jc w:val="both"/>
              <w:rPr>
                <w:sz w:val="20"/>
                <w:lang w:val="fr-CA"/>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17 novembre 2017</w:t>
            </w:r>
          </w:p>
          <w:p w:rsidR="005221C4" w:rsidRPr="007C110A" w:rsidRDefault="005221C4" w:rsidP="00A866C4">
            <w:pPr>
              <w:jc w:val="both"/>
              <w:rPr>
                <w:sz w:val="20"/>
                <w:lang w:val="fr-CA"/>
              </w:rPr>
            </w:pPr>
            <w:r w:rsidRPr="007C110A">
              <w:rPr>
                <w:sz w:val="20"/>
                <w:lang w:val="fr-CA"/>
              </w:rPr>
              <w:t>Cour du Québec (Montréal)</w:t>
            </w:r>
          </w:p>
          <w:p w:rsidR="005221C4" w:rsidRPr="007C110A" w:rsidRDefault="005221C4" w:rsidP="00A866C4">
            <w:pPr>
              <w:jc w:val="both"/>
              <w:rPr>
                <w:sz w:val="20"/>
              </w:rPr>
            </w:pPr>
            <w:r w:rsidRPr="007C110A">
              <w:rPr>
                <w:sz w:val="20"/>
              </w:rPr>
              <w:t xml:space="preserve">(La juge </w:t>
            </w:r>
            <w:proofErr w:type="spellStart"/>
            <w:r w:rsidRPr="007C110A">
              <w:rPr>
                <w:sz w:val="20"/>
              </w:rPr>
              <w:t>Riendeau</w:t>
            </w:r>
            <w:proofErr w:type="spellEnd"/>
            <w:r w:rsidRPr="007C110A">
              <w:rPr>
                <w:sz w:val="20"/>
              </w:rPr>
              <w:t>)</w:t>
            </w:r>
          </w:p>
          <w:p w:rsidR="005221C4" w:rsidRPr="007C110A" w:rsidRDefault="005221C4" w:rsidP="00A866C4">
            <w:pPr>
              <w:jc w:val="both"/>
              <w:rPr>
                <w:sz w:val="20"/>
              </w:rPr>
            </w:pPr>
            <w:r w:rsidRPr="007C110A">
              <w:rPr>
                <w:sz w:val="20"/>
              </w:rPr>
              <w:t>500</w:t>
            </w:r>
            <w:r w:rsidRPr="007C110A">
              <w:rPr>
                <w:sz w:val="20"/>
              </w:rPr>
              <w:noBreakHyphen/>
              <w:t>26</w:t>
            </w:r>
            <w:r w:rsidRPr="007C110A">
              <w:rPr>
                <w:sz w:val="20"/>
              </w:rPr>
              <w:noBreakHyphen/>
              <w:t>097439</w:t>
            </w:r>
            <w:r w:rsidRPr="007C110A">
              <w:rPr>
                <w:sz w:val="20"/>
              </w:rPr>
              <w:noBreakHyphen/>
              <w:t>164; 500</w:t>
            </w:r>
            <w:r w:rsidRPr="007C110A">
              <w:rPr>
                <w:sz w:val="20"/>
              </w:rPr>
              <w:noBreakHyphen/>
              <w:t>26</w:t>
            </w:r>
            <w:r w:rsidRPr="007C110A">
              <w:rPr>
                <w:sz w:val="20"/>
              </w:rPr>
              <w:noBreakHyphen/>
              <w:t>097414</w:t>
            </w:r>
            <w:r w:rsidRPr="007C110A">
              <w:rPr>
                <w:sz w:val="20"/>
              </w:rPr>
              <w:noBreakHyphen/>
              <w:t>167</w:t>
            </w:r>
          </w:p>
          <w:p w:rsidR="005221C4" w:rsidRPr="007C110A" w:rsidRDefault="00F37A97" w:rsidP="00A866C4">
            <w:pPr>
              <w:jc w:val="both"/>
              <w:rPr>
                <w:sz w:val="20"/>
              </w:rPr>
            </w:pPr>
            <w:hyperlink r:id="rId40" w:history="1">
              <w:r w:rsidR="005221C4" w:rsidRPr="007C110A">
                <w:rPr>
                  <w:rStyle w:val="Hyperlink"/>
                  <w:sz w:val="20"/>
                </w:rPr>
                <w:t>2017 QCCQ 15082</w:t>
              </w:r>
            </w:hyperlink>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lang w:val="fr-CA"/>
              </w:rPr>
            </w:pPr>
            <w:r w:rsidRPr="007C110A">
              <w:rPr>
                <w:sz w:val="20"/>
                <w:lang w:val="fr-CA"/>
              </w:rPr>
              <w:t>Requête visant l’obtention d’une ordonnance de non</w:t>
            </w:r>
            <w:r w:rsidRPr="007C110A">
              <w:rPr>
                <w:sz w:val="20"/>
                <w:lang w:val="fr-CA"/>
              </w:rPr>
              <w:noBreakHyphen/>
              <w:t>publication rejetée; ordonnances provisoires de non</w:t>
            </w:r>
            <w:r w:rsidRPr="007C110A">
              <w:rPr>
                <w:sz w:val="20"/>
                <w:lang w:val="fr-CA"/>
              </w:rPr>
              <w:noBreakHyphen/>
              <w:t>publication partiellement levées; publication partielle ou diffusion des dénonciations et documents permise; publication ou diffusion des passages caviardés interdite; effets du jugement suspendus.</w:t>
            </w:r>
          </w:p>
          <w:p w:rsidR="005221C4" w:rsidRPr="007C110A" w:rsidRDefault="005221C4" w:rsidP="00A866C4">
            <w:pPr>
              <w:jc w:val="both"/>
              <w:rPr>
                <w:sz w:val="20"/>
                <w:lang w:val="fr-CA"/>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14 février 2018</w:t>
            </w:r>
          </w:p>
          <w:p w:rsidR="005221C4" w:rsidRPr="007C110A" w:rsidRDefault="005221C4" w:rsidP="00A866C4">
            <w:pPr>
              <w:jc w:val="both"/>
              <w:rPr>
                <w:sz w:val="20"/>
                <w:lang w:val="fr-CA"/>
              </w:rPr>
            </w:pPr>
            <w:r w:rsidRPr="007C110A">
              <w:rPr>
                <w:sz w:val="20"/>
                <w:lang w:val="fr-CA"/>
              </w:rPr>
              <w:t>Cour supérieure du Québec (Montréal)</w:t>
            </w:r>
          </w:p>
          <w:p w:rsidR="005221C4" w:rsidRPr="007C110A" w:rsidRDefault="005221C4" w:rsidP="00A866C4">
            <w:pPr>
              <w:jc w:val="both"/>
              <w:rPr>
                <w:sz w:val="20"/>
                <w:lang w:val="fr-CA"/>
              </w:rPr>
            </w:pPr>
            <w:r w:rsidRPr="007C110A">
              <w:rPr>
                <w:sz w:val="20"/>
                <w:lang w:val="fr-CA"/>
              </w:rPr>
              <w:t xml:space="preserve">(La juge Di </w:t>
            </w:r>
            <w:proofErr w:type="spellStart"/>
            <w:r w:rsidRPr="007C110A">
              <w:rPr>
                <w:sz w:val="20"/>
                <w:lang w:val="fr-CA"/>
              </w:rPr>
              <w:t>Salvo</w:t>
            </w:r>
            <w:proofErr w:type="spellEnd"/>
            <w:r w:rsidRPr="007C110A">
              <w:rPr>
                <w:sz w:val="20"/>
                <w:lang w:val="fr-CA"/>
              </w:rPr>
              <w:t>)</w:t>
            </w:r>
          </w:p>
          <w:p w:rsidR="005221C4" w:rsidRPr="007C110A" w:rsidRDefault="005221C4" w:rsidP="00A866C4">
            <w:pPr>
              <w:jc w:val="both"/>
              <w:rPr>
                <w:sz w:val="20"/>
                <w:lang w:val="fr-CA"/>
              </w:rPr>
            </w:pPr>
            <w:r w:rsidRPr="007C110A">
              <w:rPr>
                <w:sz w:val="20"/>
                <w:lang w:val="fr-CA"/>
              </w:rPr>
              <w:t>500</w:t>
            </w:r>
            <w:r w:rsidRPr="007C110A">
              <w:rPr>
                <w:sz w:val="20"/>
                <w:lang w:val="fr-CA"/>
              </w:rPr>
              <w:noBreakHyphen/>
              <w:t>36</w:t>
            </w:r>
            <w:r w:rsidRPr="007C110A">
              <w:rPr>
                <w:sz w:val="20"/>
                <w:lang w:val="fr-CA"/>
              </w:rPr>
              <w:noBreakHyphen/>
              <w:t>008633</w:t>
            </w:r>
            <w:r w:rsidRPr="007C110A">
              <w:rPr>
                <w:sz w:val="20"/>
                <w:lang w:val="fr-CA"/>
              </w:rPr>
              <w:noBreakHyphen/>
              <w:t>177; 500</w:t>
            </w:r>
            <w:r w:rsidRPr="007C110A">
              <w:rPr>
                <w:sz w:val="20"/>
                <w:lang w:val="fr-CA"/>
              </w:rPr>
              <w:noBreakHyphen/>
              <w:t>36</w:t>
            </w:r>
            <w:r w:rsidRPr="007C110A">
              <w:rPr>
                <w:sz w:val="20"/>
                <w:lang w:val="fr-CA"/>
              </w:rPr>
              <w:noBreakHyphen/>
              <w:t>008765</w:t>
            </w:r>
            <w:r w:rsidRPr="007C110A">
              <w:rPr>
                <w:sz w:val="20"/>
                <w:lang w:val="fr-CA"/>
              </w:rPr>
              <w:noBreakHyphen/>
              <w:t>177</w:t>
            </w:r>
          </w:p>
          <w:p w:rsidR="005221C4" w:rsidRPr="007C110A" w:rsidRDefault="00F37A97" w:rsidP="00A866C4">
            <w:pPr>
              <w:jc w:val="both"/>
              <w:rPr>
                <w:sz w:val="20"/>
                <w:lang w:val="fr-CA"/>
              </w:rPr>
            </w:pPr>
            <w:hyperlink r:id="rId41" w:history="1">
              <w:r w:rsidR="005221C4" w:rsidRPr="007C110A">
                <w:rPr>
                  <w:rStyle w:val="Hyperlink"/>
                  <w:sz w:val="20"/>
                  <w:lang w:val="fr-CA"/>
                </w:rPr>
                <w:t>2018 QCCS 1077</w:t>
              </w:r>
            </w:hyperlink>
            <w:r w:rsidR="005221C4" w:rsidRPr="007C110A">
              <w:rPr>
                <w:sz w:val="20"/>
                <w:lang w:val="fr-CA"/>
              </w:rPr>
              <w:t xml:space="preserve"> </w:t>
            </w: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lang w:val="fr-CA"/>
              </w:rPr>
            </w:pPr>
            <w:r w:rsidRPr="007C110A">
              <w:rPr>
                <w:sz w:val="20"/>
                <w:lang w:val="fr-CA"/>
              </w:rPr>
              <w:t xml:space="preserve">Requête en </w:t>
            </w:r>
            <w:r w:rsidRPr="007C110A">
              <w:rPr>
                <w:i/>
                <w:sz w:val="20"/>
                <w:lang w:val="fr-CA"/>
              </w:rPr>
              <w:t xml:space="preserve">certiorari </w:t>
            </w:r>
            <w:r w:rsidRPr="007C110A">
              <w:rPr>
                <w:sz w:val="20"/>
                <w:lang w:val="fr-CA"/>
              </w:rPr>
              <w:t>rejetée; demande d’ordonnance de non</w:t>
            </w:r>
            <w:r w:rsidRPr="007C110A">
              <w:rPr>
                <w:sz w:val="20"/>
                <w:lang w:val="fr-CA"/>
              </w:rPr>
              <w:noBreakHyphen/>
              <w:t>publication rejetée; effet du jugement suspendu; sans frais.</w:t>
            </w: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30 avril 2019</w:t>
            </w:r>
          </w:p>
          <w:p w:rsidR="005221C4" w:rsidRPr="007C110A" w:rsidRDefault="005221C4" w:rsidP="00A866C4">
            <w:pPr>
              <w:jc w:val="both"/>
              <w:rPr>
                <w:sz w:val="20"/>
                <w:lang w:val="fr-CA"/>
              </w:rPr>
            </w:pPr>
            <w:r w:rsidRPr="007C110A">
              <w:rPr>
                <w:sz w:val="20"/>
                <w:lang w:val="fr-CA"/>
              </w:rPr>
              <w:t>Cour d’appel du Québec (Montréal)</w:t>
            </w:r>
          </w:p>
          <w:p w:rsidR="005221C4" w:rsidRPr="007C110A" w:rsidRDefault="005221C4" w:rsidP="00A866C4">
            <w:pPr>
              <w:jc w:val="both"/>
              <w:rPr>
                <w:sz w:val="20"/>
                <w:lang w:val="fr-CA"/>
              </w:rPr>
            </w:pPr>
            <w:r w:rsidRPr="007C110A">
              <w:rPr>
                <w:sz w:val="20"/>
                <w:lang w:val="fr-CA"/>
              </w:rPr>
              <w:t xml:space="preserve">(Les juges Dufresne, </w:t>
            </w:r>
            <w:proofErr w:type="spellStart"/>
            <w:r w:rsidRPr="007C110A">
              <w:rPr>
                <w:sz w:val="20"/>
                <w:lang w:val="fr-CA"/>
              </w:rPr>
              <w:t>Cotnam</w:t>
            </w:r>
            <w:proofErr w:type="spellEnd"/>
            <w:r w:rsidRPr="007C110A">
              <w:rPr>
                <w:sz w:val="20"/>
                <w:lang w:val="fr-CA"/>
              </w:rPr>
              <w:t>, Hamilton)</w:t>
            </w:r>
          </w:p>
          <w:p w:rsidR="005221C4" w:rsidRPr="007C110A" w:rsidRDefault="005221C4" w:rsidP="00A866C4">
            <w:pPr>
              <w:jc w:val="both"/>
              <w:rPr>
                <w:sz w:val="20"/>
              </w:rPr>
            </w:pPr>
            <w:r w:rsidRPr="007C110A">
              <w:rPr>
                <w:sz w:val="20"/>
              </w:rPr>
              <w:t>500</w:t>
            </w:r>
            <w:r w:rsidRPr="007C110A">
              <w:rPr>
                <w:sz w:val="20"/>
              </w:rPr>
              <w:noBreakHyphen/>
              <w:t>10</w:t>
            </w:r>
            <w:r w:rsidRPr="007C110A">
              <w:rPr>
                <w:sz w:val="20"/>
              </w:rPr>
              <w:noBreakHyphen/>
              <w:t>006673</w:t>
            </w:r>
            <w:r w:rsidRPr="007C110A">
              <w:rPr>
                <w:sz w:val="20"/>
              </w:rPr>
              <w:noBreakHyphen/>
              <w:t>188</w:t>
            </w:r>
          </w:p>
          <w:p w:rsidR="005221C4" w:rsidRPr="007C110A" w:rsidRDefault="00F37A97" w:rsidP="00A866C4">
            <w:pPr>
              <w:jc w:val="both"/>
              <w:rPr>
                <w:sz w:val="20"/>
              </w:rPr>
            </w:pPr>
            <w:hyperlink r:id="rId42" w:history="1">
              <w:r w:rsidR="005221C4" w:rsidRPr="007C110A">
                <w:rPr>
                  <w:rStyle w:val="Hyperlink"/>
                  <w:sz w:val="20"/>
                </w:rPr>
                <w:t>2019 QCCA 756</w:t>
              </w:r>
            </w:hyperlink>
          </w:p>
          <w:p w:rsidR="005221C4" w:rsidRPr="007C110A" w:rsidRDefault="005221C4" w:rsidP="00A866C4">
            <w:pPr>
              <w:jc w:val="both"/>
              <w:rPr>
                <w:sz w:val="20"/>
              </w:rPr>
            </w:pPr>
          </w:p>
        </w:tc>
        <w:tc>
          <w:tcPr>
            <w:tcW w:w="243" w:type="pct"/>
          </w:tcPr>
          <w:p w:rsidR="005221C4" w:rsidRPr="007C110A" w:rsidRDefault="005221C4" w:rsidP="00A866C4">
            <w:pPr>
              <w:jc w:val="both"/>
              <w:rPr>
                <w:sz w:val="20"/>
              </w:rPr>
            </w:pPr>
          </w:p>
        </w:tc>
        <w:tc>
          <w:tcPr>
            <w:tcW w:w="2330" w:type="pct"/>
          </w:tcPr>
          <w:p w:rsidR="005221C4" w:rsidRPr="007C110A" w:rsidRDefault="005221C4" w:rsidP="00A866C4">
            <w:pPr>
              <w:jc w:val="both"/>
              <w:rPr>
                <w:sz w:val="20"/>
              </w:rPr>
            </w:pPr>
            <w:r w:rsidRPr="007C110A">
              <w:rPr>
                <w:sz w:val="20"/>
              </w:rPr>
              <w:t>Appel rejeté, arrêt suspendu.</w:t>
            </w:r>
          </w:p>
          <w:p w:rsidR="005221C4" w:rsidRPr="007C110A" w:rsidRDefault="005221C4" w:rsidP="00A866C4">
            <w:pPr>
              <w:jc w:val="both"/>
              <w:rPr>
                <w:sz w:val="20"/>
              </w:rPr>
            </w:pPr>
          </w:p>
        </w:tc>
      </w:tr>
      <w:tr w:rsidR="005221C4" w:rsidRPr="007C110A" w:rsidTr="00E95A6A">
        <w:tc>
          <w:tcPr>
            <w:tcW w:w="2427" w:type="pct"/>
            <w:gridSpan w:val="2"/>
          </w:tcPr>
          <w:p w:rsidR="005221C4" w:rsidRPr="007C110A" w:rsidRDefault="005221C4" w:rsidP="00A866C4">
            <w:pPr>
              <w:jc w:val="both"/>
              <w:rPr>
                <w:sz w:val="20"/>
                <w:lang w:val="fr-CA"/>
              </w:rPr>
            </w:pPr>
            <w:r w:rsidRPr="007C110A">
              <w:rPr>
                <w:sz w:val="20"/>
                <w:lang w:val="fr-CA"/>
              </w:rPr>
              <w:t>Le 31 juillet 2019</w:t>
            </w:r>
          </w:p>
          <w:p w:rsidR="005221C4" w:rsidRPr="007C110A" w:rsidRDefault="005221C4" w:rsidP="00A866C4">
            <w:pPr>
              <w:jc w:val="both"/>
              <w:rPr>
                <w:sz w:val="20"/>
                <w:lang w:val="fr-CA"/>
              </w:rPr>
            </w:pPr>
            <w:r w:rsidRPr="007C110A">
              <w:rPr>
                <w:sz w:val="20"/>
                <w:lang w:val="fr-CA"/>
              </w:rPr>
              <w:t>Cour suprême du Canada</w:t>
            </w:r>
          </w:p>
        </w:tc>
        <w:tc>
          <w:tcPr>
            <w:tcW w:w="243" w:type="pct"/>
          </w:tcPr>
          <w:p w:rsidR="005221C4" w:rsidRPr="007C110A" w:rsidRDefault="005221C4" w:rsidP="00A866C4">
            <w:pPr>
              <w:jc w:val="both"/>
              <w:rPr>
                <w:sz w:val="20"/>
                <w:lang w:val="fr-CA"/>
              </w:rPr>
            </w:pPr>
          </w:p>
        </w:tc>
        <w:tc>
          <w:tcPr>
            <w:tcW w:w="2330" w:type="pct"/>
          </w:tcPr>
          <w:p w:rsidR="005221C4" w:rsidRPr="007C110A" w:rsidRDefault="005221C4" w:rsidP="00A866C4">
            <w:pPr>
              <w:jc w:val="both"/>
              <w:rPr>
                <w:sz w:val="20"/>
              </w:rPr>
            </w:pPr>
            <w:r w:rsidRPr="007C110A">
              <w:rPr>
                <w:sz w:val="20"/>
              </w:rPr>
              <w:t>Demande d’autorisation d’appel déposée.</w:t>
            </w:r>
          </w:p>
          <w:p w:rsidR="005221C4" w:rsidRPr="007C110A" w:rsidRDefault="005221C4" w:rsidP="00A866C4">
            <w:pPr>
              <w:jc w:val="both"/>
              <w:rPr>
                <w:sz w:val="20"/>
              </w:rPr>
            </w:pPr>
          </w:p>
        </w:tc>
      </w:tr>
    </w:tbl>
    <w:p w:rsidR="005221C4" w:rsidRPr="007C110A" w:rsidRDefault="005221C4" w:rsidP="00A866C4">
      <w:pPr>
        <w:jc w:val="both"/>
        <w:rPr>
          <w:sz w:val="20"/>
        </w:rPr>
      </w:pPr>
    </w:p>
    <w:p w:rsidR="00A37BE5" w:rsidRPr="007C110A" w:rsidRDefault="00F37A97" w:rsidP="00A866C4">
      <w:pPr>
        <w:jc w:val="both"/>
        <w:rPr>
          <w:sz w:val="20"/>
        </w:rPr>
      </w:pPr>
      <w:r w:rsidRPr="007C110A">
        <w:rPr>
          <w:sz w:val="20"/>
        </w:rPr>
        <w:pict>
          <v:rect id="_x0000_i1035" style="width:2in;height:1pt" o:hrpct="0" o:hralign="center" o:hrstd="t" o:hrnoshade="t" o:hr="t" fillcolor="black [3213]" stroked="f"/>
        </w:pict>
      </w:r>
    </w:p>
    <w:p w:rsidR="005221C4" w:rsidRPr="007C110A" w:rsidRDefault="005221C4"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rPr>
            </w:pPr>
            <w:r w:rsidRPr="00301D1E">
              <w:rPr>
                <w:rStyle w:val="SCCFileNumberChar"/>
                <w:sz w:val="20"/>
                <w:szCs w:val="20"/>
              </w:rPr>
              <w:t>38793</w:t>
            </w:r>
          </w:p>
        </w:tc>
        <w:tc>
          <w:tcPr>
            <w:tcW w:w="4457" w:type="pct"/>
            <w:gridSpan w:val="3"/>
          </w:tcPr>
          <w:p w:rsidR="005221C4" w:rsidRPr="00301D1E" w:rsidRDefault="005221C4" w:rsidP="00A866C4">
            <w:pPr>
              <w:pStyle w:val="SCCLsocParty"/>
              <w:jc w:val="both"/>
              <w:rPr>
                <w:b/>
                <w:sz w:val="20"/>
                <w:szCs w:val="20"/>
                <w:lang w:val="en-US"/>
              </w:rPr>
            </w:pPr>
            <w:r w:rsidRPr="00301D1E">
              <w:rPr>
                <w:b/>
                <w:sz w:val="20"/>
                <w:szCs w:val="20"/>
                <w:lang w:val="en-US"/>
              </w:rPr>
              <w:t xml:space="preserve">Betty Ann Wasylynuk v. Bernie Bouma, Lori Lee Scheck, Rick Bouma, Lindy Hager, The Estate of </w:t>
            </w:r>
            <w:proofErr w:type="spellStart"/>
            <w:r w:rsidRPr="00301D1E">
              <w:rPr>
                <w:b/>
                <w:sz w:val="20"/>
                <w:szCs w:val="20"/>
                <w:lang w:val="en-US"/>
              </w:rPr>
              <w:t>Tette</w:t>
            </w:r>
            <w:proofErr w:type="spellEnd"/>
            <w:r w:rsidRPr="00301D1E">
              <w:rPr>
                <w:b/>
                <w:sz w:val="20"/>
                <w:szCs w:val="20"/>
                <w:lang w:val="en-US"/>
              </w:rPr>
              <w:t xml:space="preserve"> (Ted) Bouma</w:t>
            </w:r>
          </w:p>
          <w:p w:rsidR="005221C4" w:rsidRPr="00301D1E" w:rsidRDefault="005221C4" w:rsidP="00A866C4">
            <w:pPr>
              <w:jc w:val="both"/>
              <w:rPr>
                <w:sz w:val="20"/>
              </w:rPr>
            </w:pPr>
            <w:r w:rsidRPr="00301D1E">
              <w:rPr>
                <w:sz w:val="20"/>
              </w:rPr>
              <w:t>(Alta.) (Civil) (By Leave)</w:t>
            </w:r>
          </w:p>
        </w:tc>
      </w:tr>
      <w:tr w:rsidR="005221C4" w:rsidRPr="00301D1E" w:rsidTr="00E95A6A">
        <w:tc>
          <w:tcPr>
            <w:tcW w:w="5000" w:type="pct"/>
            <w:gridSpan w:val="4"/>
          </w:tcPr>
          <w:p w:rsidR="005221C4" w:rsidRPr="00301D1E" w:rsidRDefault="005221C4" w:rsidP="00A866C4">
            <w:pPr>
              <w:jc w:val="both"/>
              <w:rPr>
                <w:sz w:val="20"/>
              </w:rPr>
            </w:pPr>
            <w:r w:rsidRPr="00301D1E">
              <w:rPr>
                <w:sz w:val="20"/>
              </w:rPr>
              <w:t xml:space="preserve">Wills and estates — Wills — Resulting trust — Testator leaving entire estate to one of five surviving children — What is the relationship between an </w:t>
            </w:r>
            <w:r w:rsidRPr="00301D1E">
              <w:rPr>
                <w:i/>
                <w:sz w:val="20"/>
              </w:rPr>
              <w:t>inter vivos</w:t>
            </w:r>
            <w:r w:rsidRPr="00301D1E">
              <w:rPr>
                <w:sz w:val="20"/>
              </w:rPr>
              <w:t xml:space="preserve"> gift, an express trust, and a resulting trust? — When should Courts of Appeal decline to address “new issues”?</w:t>
            </w:r>
          </w:p>
          <w:p w:rsidR="005221C4" w:rsidRPr="00301D1E" w:rsidRDefault="005221C4" w:rsidP="00A866C4">
            <w:pPr>
              <w:jc w:val="both"/>
              <w:rPr>
                <w:sz w:val="20"/>
              </w:rPr>
            </w:pPr>
          </w:p>
        </w:tc>
      </w:tr>
      <w:tr w:rsidR="005221C4" w:rsidRPr="00301D1E" w:rsidTr="00E95A6A">
        <w:tc>
          <w:tcPr>
            <w:tcW w:w="5000" w:type="pct"/>
            <w:gridSpan w:val="4"/>
          </w:tcPr>
          <w:p w:rsidR="005221C4" w:rsidRPr="00301D1E" w:rsidRDefault="005221C4" w:rsidP="00A866C4">
            <w:pPr>
              <w:jc w:val="both"/>
              <w:rPr>
                <w:sz w:val="20"/>
              </w:rPr>
            </w:pPr>
            <w:r w:rsidRPr="00301D1E">
              <w:rPr>
                <w:sz w:val="20"/>
              </w:rPr>
              <w:t>The testator, Mr. Bouma, died in 2007, leaving five surviving children. The applicant is one of Mr. </w:t>
            </w:r>
            <w:proofErr w:type="spellStart"/>
            <w:r w:rsidRPr="00301D1E">
              <w:rPr>
                <w:sz w:val="20"/>
              </w:rPr>
              <w:t>Bouma’s</w:t>
            </w:r>
            <w:proofErr w:type="spellEnd"/>
            <w:r w:rsidRPr="00301D1E">
              <w:rPr>
                <w:sz w:val="20"/>
              </w:rPr>
              <w:t xml:space="preserve"> daughters. The respondents are Mr. </w:t>
            </w:r>
            <w:proofErr w:type="spellStart"/>
            <w:r w:rsidRPr="00301D1E">
              <w:rPr>
                <w:sz w:val="20"/>
              </w:rPr>
              <w:t>Bouma’s</w:t>
            </w:r>
            <w:proofErr w:type="spellEnd"/>
            <w:r w:rsidRPr="00301D1E">
              <w:rPr>
                <w:sz w:val="20"/>
              </w:rPr>
              <w:t xml:space="preserve"> other children. Prior to his death, with the assistance of counsel and other professionals, Mr. Bouma executed the following documents:  four separate beneficiary documents in relation to insurance products; a1998 Will; a deed of gift in 2001; and a 2001 Will. </w:t>
            </w:r>
            <w:r w:rsidRPr="00301D1E">
              <w:rPr>
                <w:sz w:val="20"/>
                <w:lang w:val="en"/>
              </w:rPr>
              <w:t>The insurance policies all named Mr. </w:t>
            </w:r>
            <w:proofErr w:type="spellStart"/>
            <w:r w:rsidRPr="00301D1E">
              <w:rPr>
                <w:sz w:val="20"/>
                <w:lang w:val="en"/>
              </w:rPr>
              <w:t>Bouma’s</w:t>
            </w:r>
            <w:proofErr w:type="spellEnd"/>
            <w:r w:rsidRPr="00301D1E">
              <w:rPr>
                <w:sz w:val="20"/>
                <w:lang w:val="en"/>
              </w:rPr>
              <w:t xml:space="preserve"> son, Bernie, as the sole beneficiary. The deed of gift transferred all of Mr. </w:t>
            </w:r>
            <w:proofErr w:type="spellStart"/>
            <w:r w:rsidRPr="00301D1E">
              <w:rPr>
                <w:sz w:val="20"/>
                <w:lang w:val="en"/>
              </w:rPr>
              <w:t>Bouma’s</w:t>
            </w:r>
            <w:proofErr w:type="spellEnd"/>
            <w:r w:rsidRPr="00301D1E">
              <w:rPr>
                <w:sz w:val="20"/>
                <w:lang w:val="en"/>
              </w:rPr>
              <w:t xml:space="preserve"> assets to Bernie. The 2001 Will also designated Bernie as the sole beneficiary of the estate. The lawyer who prepared the deed of gift and the 2001 Will had Mr. Bouma obtain independent legal advice. He also sent Mr. Bouma to see two medical doctors who conducted independent assessments of Mr. </w:t>
            </w:r>
            <w:proofErr w:type="spellStart"/>
            <w:r w:rsidRPr="00301D1E">
              <w:rPr>
                <w:sz w:val="20"/>
                <w:lang w:val="en"/>
              </w:rPr>
              <w:t>Bouma’s</w:t>
            </w:r>
            <w:proofErr w:type="spellEnd"/>
            <w:r w:rsidRPr="00301D1E">
              <w:rPr>
                <w:sz w:val="20"/>
                <w:lang w:val="en"/>
              </w:rPr>
              <w:t xml:space="preserve"> mental capacity and signed certificates of competency. </w:t>
            </w:r>
            <w:r w:rsidRPr="00301D1E">
              <w:rPr>
                <w:sz w:val="20"/>
              </w:rPr>
              <w:t xml:space="preserve">Following her father’s death, the applicant </w:t>
            </w:r>
            <w:r w:rsidRPr="00301D1E">
              <w:rPr>
                <w:sz w:val="20"/>
                <w:lang w:val="en"/>
              </w:rPr>
              <w:t>filed a statement of claim against the respondents alleging that Mr. Bouma lacked the requisite mental capacity to transfer his assets and that the transfers were unconscionably procured. She sought a share of Mr. </w:t>
            </w:r>
            <w:proofErr w:type="spellStart"/>
            <w:r w:rsidRPr="00301D1E">
              <w:rPr>
                <w:sz w:val="20"/>
                <w:lang w:val="en"/>
              </w:rPr>
              <w:t>Bouma’s</w:t>
            </w:r>
            <w:proofErr w:type="spellEnd"/>
            <w:r w:rsidRPr="00301D1E">
              <w:rPr>
                <w:sz w:val="20"/>
                <w:lang w:val="en"/>
              </w:rPr>
              <w:t xml:space="preserve"> estate and punitive damages. </w:t>
            </w:r>
            <w:r w:rsidRPr="00301D1E">
              <w:rPr>
                <w:sz w:val="20"/>
              </w:rPr>
              <w:t>By way of summary judgment applications, the judge was asked to determine if the deed of gift, 2001 Will and beneficiary designations were valid. The application judge held that all documents executed by Mr. Bouma were valid. This decision was upheld on appeal.</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March 2, 2018</w:t>
            </w:r>
          </w:p>
          <w:p w:rsidR="005221C4" w:rsidRPr="00301D1E" w:rsidRDefault="005221C4" w:rsidP="00A866C4">
            <w:pPr>
              <w:jc w:val="both"/>
              <w:rPr>
                <w:sz w:val="20"/>
              </w:rPr>
            </w:pPr>
            <w:r w:rsidRPr="00301D1E">
              <w:rPr>
                <w:sz w:val="20"/>
              </w:rPr>
              <w:t>Court of Queen’s Bench of Alberta</w:t>
            </w:r>
          </w:p>
          <w:p w:rsidR="005221C4" w:rsidRPr="00301D1E" w:rsidRDefault="005221C4" w:rsidP="00A866C4">
            <w:pPr>
              <w:jc w:val="both"/>
              <w:rPr>
                <w:sz w:val="20"/>
              </w:rPr>
            </w:pPr>
            <w:r w:rsidRPr="00301D1E">
              <w:rPr>
                <w:sz w:val="20"/>
              </w:rPr>
              <w:t>(Nielsen J.)</w:t>
            </w:r>
          </w:p>
          <w:p w:rsidR="005221C4" w:rsidRPr="00301D1E" w:rsidRDefault="00F37A97" w:rsidP="00A866C4">
            <w:pPr>
              <w:jc w:val="both"/>
              <w:rPr>
                <w:sz w:val="20"/>
              </w:rPr>
            </w:pPr>
            <w:hyperlink r:id="rId43" w:history="1">
              <w:r w:rsidR="005221C4" w:rsidRPr="00301D1E">
                <w:rPr>
                  <w:rStyle w:val="Hyperlink"/>
                  <w:sz w:val="20"/>
                </w:rPr>
                <w:t>2018 ABQB 159</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Applicant’s application for declaration that testator’s deed of gift and 2001 Will were invalid dismissed.</w:t>
            </w:r>
          </w:p>
          <w:p w:rsidR="005221C4" w:rsidRPr="00301D1E" w:rsidRDefault="005221C4" w:rsidP="00A866C4">
            <w:pPr>
              <w:jc w:val="both"/>
              <w:rPr>
                <w:sz w:val="20"/>
              </w:rPr>
            </w:pP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June 10, 2019</w:t>
            </w:r>
          </w:p>
          <w:p w:rsidR="005221C4" w:rsidRPr="00301D1E" w:rsidRDefault="005221C4" w:rsidP="00A866C4">
            <w:pPr>
              <w:jc w:val="both"/>
              <w:rPr>
                <w:sz w:val="20"/>
              </w:rPr>
            </w:pPr>
            <w:r w:rsidRPr="00301D1E">
              <w:rPr>
                <w:sz w:val="20"/>
              </w:rPr>
              <w:t>Court of Appeal of Alberta (Edmonton)</w:t>
            </w:r>
          </w:p>
          <w:p w:rsidR="005221C4" w:rsidRPr="00301D1E" w:rsidRDefault="005221C4" w:rsidP="00A866C4">
            <w:pPr>
              <w:jc w:val="both"/>
              <w:rPr>
                <w:sz w:val="20"/>
              </w:rPr>
            </w:pPr>
            <w:r w:rsidRPr="00301D1E">
              <w:rPr>
                <w:sz w:val="20"/>
              </w:rPr>
              <w:t>(Costigan, Veldhuis and Schutz JJ.A.)</w:t>
            </w:r>
          </w:p>
          <w:p w:rsidR="005221C4" w:rsidRPr="00301D1E" w:rsidRDefault="00F37A97" w:rsidP="00A866C4">
            <w:pPr>
              <w:jc w:val="both"/>
              <w:rPr>
                <w:sz w:val="20"/>
              </w:rPr>
            </w:pPr>
            <w:hyperlink r:id="rId44" w:history="1">
              <w:r w:rsidR="005221C4" w:rsidRPr="00301D1E">
                <w:rPr>
                  <w:rStyle w:val="Hyperlink"/>
                  <w:sz w:val="20"/>
                </w:rPr>
                <w:t>2019 ABCA 234</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Applicant’s appeal dismissed</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September 6, 2019</w:t>
            </w:r>
          </w:p>
          <w:p w:rsidR="005221C4" w:rsidRPr="00301D1E" w:rsidRDefault="005221C4" w:rsidP="00A866C4">
            <w:pPr>
              <w:jc w:val="both"/>
              <w:rPr>
                <w:sz w:val="20"/>
              </w:rPr>
            </w:pPr>
            <w:r w:rsidRPr="00301D1E">
              <w:rPr>
                <w:sz w:val="20"/>
              </w:rPr>
              <w:t>Supreme Court of Canada</w:t>
            </w: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Application for leave to appeal filed</w:t>
            </w:r>
          </w:p>
          <w:p w:rsidR="005221C4" w:rsidRPr="00301D1E" w:rsidRDefault="005221C4" w:rsidP="00A866C4">
            <w:pPr>
              <w:jc w:val="both"/>
              <w:rPr>
                <w:sz w:val="20"/>
              </w:rPr>
            </w:pPr>
          </w:p>
        </w:tc>
      </w:tr>
    </w:tbl>
    <w:p w:rsidR="005221C4" w:rsidRPr="00301D1E" w:rsidRDefault="005221C4" w:rsidP="00A866C4">
      <w:pPr>
        <w:jc w:val="both"/>
        <w:rPr>
          <w:sz w:val="20"/>
        </w:rPr>
      </w:pPr>
    </w:p>
    <w:p w:rsidR="00A37BE5" w:rsidRPr="00301D1E" w:rsidRDefault="00F37A97" w:rsidP="00A866C4">
      <w:pPr>
        <w:jc w:val="both"/>
        <w:rPr>
          <w:sz w:val="20"/>
        </w:rPr>
      </w:pPr>
      <w:r w:rsidRPr="00301D1E">
        <w:rPr>
          <w:sz w:val="20"/>
        </w:rPr>
        <w:pict>
          <v:rect id="_x0000_i1038" style="width:2in;height:1pt" o:hrpct="0" o:hralign="center" o:hrstd="t" o:hrnoshade="t" o:hr="t" fillcolor="black [3213]" stroked="f"/>
        </w:pict>
      </w:r>
    </w:p>
    <w:p w:rsidR="005221C4" w:rsidRPr="00301D1E" w:rsidRDefault="005221C4"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lang w:val="fr-CA"/>
              </w:rPr>
            </w:pPr>
            <w:r w:rsidRPr="00301D1E">
              <w:rPr>
                <w:rStyle w:val="SCCFileNumberChar"/>
                <w:sz w:val="20"/>
                <w:szCs w:val="20"/>
                <w:lang w:val="fr-CA"/>
              </w:rPr>
              <w:t>38793</w:t>
            </w:r>
          </w:p>
        </w:tc>
        <w:tc>
          <w:tcPr>
            <w:tcW w:w="4457" w:type="pct"/>
            <w:gridSpan w:val="3"/>
          </w:tcPr>
          <w:p w:rsidR="005221C4" w:rsidRPr="00301D1E" w:rsidRDefault="005221C4" w:rsidP="00A866C4">
            <w:pPr>
              <w:pStyle w:val="SCCLsocParty"/>
              <w:jc w:val="both"/>
              <w:rPr>
                <w:b/>
                <w:sz w:val="20"/>
                <w:szCs w:val="20"/>
              </w:rPr>
            </w:pPr>
            <w:r w:rsidRPr="00301D1E">
              <w:rPr>
                <w:b/>
                <w:sz w:val="20"/>
                <w:szCs w:val="20"/>
              </w:rPr>
              <w:t>Betty Ann Wasylynuk c. Bernie Bouma, Lori Lee Scheck, Rick Bouma, Lindy Hager, la succession de Tette (Ted) Bouma</w:t>
            </w:r>
          </w:p>
          <w:p w:rsidR="005221C4" w:rsidRPr="00301D1E" w:rsidRDefault="005221C4" w:rsidP="00A866C4">
            <w:pPr>
              <w:jc w:val="both"/>
              <w:rPr>
                <w:sz w:val="20"/>
                <w:lang w:val="fr-CA"/>
              </w:rPr>
            </w:pPr>
            <w:r w:rsidRPr="00301D1E">
              <w:rPr>
                <w:sz w:val="20"/>
                <w:lang w:val="fr-CA"/>
              </w:rPr>
              <w:t>(Alb.) (Civile) (Autorisation)</w:t>
            </w: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Successions — Testaments — Fiducie résultoire — Le testateur a légué la totalité de ses biens à un de ses cinq enfants survivants — Quel est le lien entre une donation entre vifs, une fiducie expresse et une fiducie résultoire? — Dans quelles situations les juridictions d’appel doivent</w:t>
            </w:r>
            <w:r w:rsidRPr="00301D1E">
              <w:rPr>
                <w:sz w:val="20"/>
                <w:lang w:val="fr-CA"/>
              </w:rPr>
              <w:noBreakHyphen/>
              <w:t>elles refuser d’aborder de « nouvelles questions »?</w:t>
            </w:r>
          </w:p>
          <w:p w:rsidR="005221C4" w:rsidRPr="00301D1E" w:rsidRDefault="005221C4" w:rsidP="00A866C4">
            <w:pPr>
              <w:jc w:val="both"/>
              <w:rPr>
                <w:sz w:val="20"/>
                <w:lang w:val="fr-CA"/>
              </w:rPr>
            </w:pP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Le testateur, M. Bouma, est décédé en 2007, laissant cinq enfants survivants. La demanderesse est une des filles de M. Bouma. Les intimés sont les autres enfants de M. Bouma. Avant son décès, avec l’aide d’un conseiller juridique et d’autres professionnels, M. Bouma a signé les documents suivants : quatre documents distincts désignant des bénéficiaires en lien avec des produits d’assurance; un testament en 1998; une donation entre vifs en 2001 et un testament en 2001. Toutes les polices d’assurance constituaient le fils de M. Bouma, Bernie, seul bénéficiaire. L’acte de donation entre vifs transférait tous les biens de M. Bouma à Bernie. Le testament de 2001 désignait en outre Bernie comme unique bénéficiaire de la succession. L’avocat qui avait rédigé l’acte de donation et le testament de 2001 avait fait en sorte que M. Bouma obtienne l’avis d’un conseiller juridique indépendant. Il a en outre fait en sorte que M. Bouma consulte deux médecins qui ont fait des évaluations indépendantes de la capacité mentale de M. Bouma et qui ont signé des certificats d’aptitude. Après le décès de son père, la demanderesse a déposé une demande introductive d’instance contre les intimés, alléguant que M. Bouma n’avait pas la capacité mentale nécessaire pour transférer ses biens et que les transferts avaient été obtenus abusivement. Elle a réclamé une part de la succession de M. Bouma et des dommages</w:t>
            </w:r>
            <w:r w:rsidRPr="00301D1E">
              <w:rPr>
                <w:sz w:val="20"/>
                <w:lang w:val="fr-CA"/>
              </w:rPr>
              <w:noBreakHyphen/>
              <w:t>intérêts punitifs. Par voie de requêtes en jugements sommaires, le juge a été appelé à déterminer si l’acte de donation, la succession de 2001 et les désignations de bénéficiaire étaient valides. Le juge saisi de la requête a statué que tous les documents signés par M. Bouma étaient valides. Cette décision a été confirmée en appel.</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 mars 2018</w:t>
            </w:r>
          </w:p>
          <w:p w:rsidR="005221C4" w:rsidRPr="00301D1E" w:rsidRDefault="005221C4" w:rsidP="00A866C4">
            <w:pPr>
              <w:jc w:val="both"/>
              <w:rPr>
                <w:sz w:val="20"/>
                <w:lang w:val="fr-CA"/>
              </w:rPr>
            </w:pPr>
            <w:r w:rsidRPr="00301D1E">
              <w:rPr>
                <w:sz w:val="20"/>
                <w:lang w:val="fr-CA"/>
              </w:rPr>
              <w:t>Cour du Banc de la Reine de l’Alberta</w:t>
            </w:r>
          </w:p>
          <w:p w:rsidR="005221C4" w:rsidRPr="00301D1E" w:rsidRDefault="005221C4" w:rsidP="00A866C4">
            <w:pPr>
              <w:jc w:val="both"/>
              <w:rPr>
                <w:sz w:val="20"/>
                <w:lang w:val="fr-CA"/>
              </w:rPr>
            </w:pPr>
            <w:r w:rsidRPr="00301D1E">
              <w:rPr>
                <w:sz w:val="20"/>
                <w:lang w:val="fr-CA"/>
              </w:rPr>
              <w:t>(Juge Nielsen)</w:t>
            </w:r>
          </w:p>
          <w:p w:rsidR="005221C4" w:rsidRPr="00301D1E" w:rsidRDefault="00F37A97" w:rsidP="00A866C4">
            <w:pPr>
              <w:jc w:val="both"/>
              <w:rPr>
                <w:sz w:val="20"/>
                <w:lang w:val="fr-CA"/>
              </w:rPr>
            </w:pPr>
            <w:hyperlink r:id="rId45" w:history="1">
              <w:r w:rsidR="005221C4" w:rsidRPr="00301D1E">
                <w:rPr>
                  <w:rStyle w:val="Hyperlink"/>
                  <w:sz w:val="20"/>
                  <w:lang w:val="fr-CA"/>
                </w:rPr>
                <w:t>2018 ABQB 159</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Rejet de la requête de la demanderesse en jugement déclarant que l’acte de donation et le testament de 2001 du testateur sont invalides.</w:t>
            </w:r>
          </w:p>
          <w:p w:rsidR="005221C4" w:rsidRPr="00301D1E" w:rsidRDefault="005221C4" w:rsidP="00A866C4">
            <w:pPr>
              <w:jc w:val="both"/>
              <w:rPr>
                <w:sz w:val="20"/>
                <w:lang w:val="fr-CA"/>
              </w:rPr>
            </w:pP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10 juin 2019</w:t>
            </w:r>
          </w:p>
          <w:p w:rsidR="005221C4" w:rsidRPr="00301D1E" w:rsidRDefault="005221C4" w:rsidP="00A866C4">
            <w:pPr>
              <w:jc w:val="both"/>
              <w:rPr>
                <w:sz w:val="20"/>
                <w:lang w:val="fr-CA"/>
              </w:rPr>
            </w:pPr>
            <w:r w:rsidRPr="00301D1E">
              <w:rPr>
                <w:sz w:val="20"/>
                <w:lang w:val="fr-CA"/>
              </w:rPr>
              <w:t>Cour d’appel de l’Alberta (Edmonton)</w:t>
            </w:r>
          </w:p>
          <w:p w:rsidR="005221C4" w:rsidRPr="00301D1E" w:rsidRDefault="005221C4" w:rsidP="00A866C4">
            <w:pPr>
              <w:jc w:val="both"/>
              <w:rPr>
                <w:sz w:val="20"/>
                <w:lang w:val="fr-CA"/>
              </w:rPr>
            </w:pPr>
            <w:r w:rsidRPr="00301D1E">
              <w:rPr>
                <w:sz w:val="20"/>
                <w:lang w:val="fr-CA"/>
              </w:rPr>
              <w:t>(Juges Costigan, Veldhuis et Schutz)</w:t>
            </w:r>
          </w:p>
          <w:p w:rsidR="005221C4" w:rsidRPr="00301D1E" w:rsidRDefault="00F37A97" w:rsidP="00A866C4">
            <w:pPr>
              <w:jc w:val="both"/>
              <w:rPr>
                <w:sz w:val="20"/>
                <w:lang w:val="fr-CA"/>
              </w:rPr>
            </w:pPr>
            <w:hyperlink r:id="rId46" w:history="1">
              <w:r w:rsidR="005221C4" w:rsidRPr="00301D1E">
                <w:rPr>
                  <w:rStyle w:val="Hyperlink"/>
                  <w:sz w:val="20"/>
                  <w:lang w:val="fr-CA"/>
                </w:rPr>
                <w:t>2019 ABCA 234</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Rejet de l’appel de la demanderesse</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6 septembre 2019</w:t>
            </w:r>
          </w:p>
          <w:p w:rsidR="005221C4" w:rsidRPr="00301D1E" w:rsidRDefault="005221C4" w:rsidP="00A866C4">
            <w:pPr>
              <w:jc w:val="both"/>
              <w:rPr>
                <w:sz w:val="20"/>
                <w:lang w:val="fr-CA"/>
              </w:rPr>
            </w:pPr>
            <w:r w:rsidRPr="00301D1E">
              <w:rPr>
                <w:sz w:val="20"/>
                <w:lang w:val="fr-CA"/>
              </w:rPr>
              <w:t>Cour suprême du Canada</w:t>
            </w: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Dépôt de la demande d’autorisation d’appel</w:t>
            </w:r>
          </w:p>
          <w:p w:rsidR="005221C4" w:rsidRPr="00301D1E" w:rsidRDefault="005221C4" w:rsidP="00A866C4">
            <w:pPr>
              <w:jc w:val="both"/>
              <w:rPr>
                <w:sz w:val="20"/>
                <w:lang w:val="fr-CA"/>
              </w:rPr>
            </w:pPr>
          </w:p>
        </w:tc>
      </w:tr>
    </w:tbl>
    <w:p w:rsidR="005221C4" w:rsidRPr="00301D1E" w:rsidRDefault="005221C4" w:rsidP="00A866C4">
      <w:pPr>
        <w:jc w:val="both"/>
        <w:rPr>
          <w:sz w:val="20"/>
          <w:lang w:val="fr-CA"/>
        </w:rPr>
      </w:pPr>
    </w:p>
    <w:p w:rsidR="00A37BE5" w:rsidRPr="00301D1E" w:rsidRDefault="00F37A97" w:rsidP="00A866C4">
      <w:pPr>
        <w:jc w:val="both"/>
        <w:rPr>
          <w:sz w:val="20"/>
          <w:lang w:val="fr-CA"/>
        </w:rPr>
      </w:pPr>
      <w:r w:rsidRPr="00301D1E">
        <w:rPr>
          <w:sz w:val="20"/>
        </w:rPr>
        <w:pict>
          <v:rect id="_x0000_i1039" style="width:2in;height:1pt" o:hrpct="0" o:hralign="center" o:hrstd="t" o:hrnoshade="t" o:hr="t" fillcolor="black [3213]" stroked="f"/>
        </w:pict>
      </w:r>
    </w:p>
    <w:p w:rsidR="00656911" w:rsidRPr="00301D1E" w:rsidRDefault="00656911"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rPr>
            </w:pPr>
            <w:r w:rsidRPr="00301D1E">
              <w:rPr>
                <w:rStyle w:val="SCCFileNumberChar"/>
                <w:sz w:val="20"/>
                <w:szCs w:val="20"/>
              </w:rPr>
              <w:t>38810</w:t>
            </w:r>
          </w:p>
        </w:tc>
        <w:tc>
          <w:tcPr>
            <w:tcW w:w="4457" w:type="pct"/>
            <w:gridSpan w:val="3"/>
          </w:tcPr>
          <w:p w:rsidR="005221C4" w:rsidRPr="00301D1E" w:rsidRDefault="005221C4" w:rsidP="00A866C4">
            <w:pPr>
              <w:pStyle w:val="SCCLsocParty"/>
              <w:jc w:val="both"/>
              <w:rPr>
                <w:b/>
                <w:sz w:val="20"/>
                <w:szCs w:val="20"/>
                <w:lang w:val="en-US"/>
              </w:rPr>
            </w:pPr>
            <w:r w:rsidRPr="00301D1E">
              <w:rPr>
                <w:b/>
                <w:sz w:val="20"/>
                <w:szCs w:val="20"/>
                <w:lang w:val="en-US"/>
              </w:rPr>
              <w:t>Michael Davies v. Her Majesty the Queen</w:t>
            </w:r>
          </w:p>
          <w:p w:rsidR="005221C4" w:rsidRPr="00301D1E" w:rsidRDefault="005221C4" w:rsidP="00A866C4">
            <w:pPr>
              <w:jc w:val="both"/>
              <w:rPr>
                <w:sz w:val="20"/>
              </w:rPr>
            </w:pPr>
            <w:r w:rsidRPr="00301D1E">
              <w:rPr>
                <w:sz w:val="20"/>
              </w:rPr>
              <w:t>(F</w:t>
            </w:r>
            <w:r w:rsidR="00B07ADC" w:rsidRPr="00301D1E">
              <w:rPr>
                <w:sz w:val="20"/>
              </w:rPr>
              <w:t>.</w:t>
            </w:r>
            <w:r w:rsidRPr="00301D1E">
              <w:rPr>
                <w:sz w:val="20"/>
              </w:rPr>
              <w:t>C</w:t>
            </w:r>
            <w:r w:rsidR="00B07ADC" w:rsidRPr="00301D1E">
              <w:rPr>
                <w:sz w:val="20"/>
              </w:rPr>
              <w:t>.</w:t>
            </w:r>
            <w:r w:rsidRPr="00301D1E">
              <w:rPr>
                <w:sz w:val="20"/>
              </w:rPr>
              <w:t>) (Civil) (By Leave)</w:t>
            </w:r>
          </w:p>
        </w:tc>
      </w:tr>
      <w:tr w:rsidR="005221C4" w:rsidRPr="00301D1E" w:rsidTr="00E95A6A">
        <w:tc>
          <w:tcPr>
            <w:tcW w:w="5000" w:type="pct"/>
            <w:gridSpan w:val="4"/>
          </w:tcPr>
          <w:p w:rsidR="005221C4" w:rsidRPr="00301D1E" w:rsidRDefault="005221C4" w:rsidP="00A866C4">
            <w:pPr>
              <w:jc w:val="both"/>
              <w:rPr>
                <w:sz w:val="20"/>
              </w:rPr>
            </w:pPr>
            <w:r w:rsidRPr="00301D1E">
              <w:rPr>
                <w:sz w:val="20"/>
              </w:rPr>
              <w:t xml:space="preserve">Taxation — Appeals — Discontinuance — Whether Parliament intended that the protections afforded to a taxpayer in the </w:t>
            </w:r>
            <w:r w:rsidRPr="00301D1E">
              <w:rPr>
                <w:i/>
                <w:sz w:val="20"/>
              </w:rPr>
              <w:t>Income Tax Act</w:t>
            </w:r>
            <w:r w:rsidRPr="00301D1E">
              <w:rPr>
                <w:sz w:val="20"/>
              </w:rPr>
              <w:t xml:space="preserve"> could be waived, altered, assigned or given to a taxpayer’s solicitor so as to allow a taxpayer’s solicitor to execute documents in writing for the taxpayer — Whether the existing common law which allows solicitors to bind their clients without the actual specific written authority of the client should still be the law of Canada in view of modern communications — </w:t>
            </w:r>
            <w:r w:rsidRPr="00301D1E">
              <w:rPr>
                <w:i/>
                <w:sz w:val="20"/>
              </w:rPr>
              <w:t>Income Tax Act</w:t>
            </w:r>
            <w:r w:rsidRPr="00301D1E">
              <w:rPr>
                <w:sz w:val="20"/>
              </w:rPr>
              <w:t>, R.S.C. 1985, c. 1 (5th supp.).</w:t>
            </w:r>
          </w:p>
        </w:tc>
      </w:tr>
      <w:tr w:rsidR="005221C4" w:rsidRPr="00301D1E" w:rsidTr="00B07ADC">
        <w:trPr>
          <w:trHeight w:val="4121"/>
        </w:trPr>
        <w:tc>
          <w:tcPr>
            <w:tcW w:w="5000" w:type="pct"/>
            <w:gridSpan w:val="4"/>
          </w:tcPr>
          <w:p w:rsidR="005221C4" w:rsidRPr="00301D1E" w:rsidRDefault="005221C4" w:rsidP="00A866C4">
            <w:pPr>
              <w:jc w:val="both"/>
              <w:rPr>
                <w:sz w:val="20"/>
              </w:rPr>
            </w:pPr>
          </w:p>
          <w:p w:rsidR="005221C4" w:rsidRPr="00301D1E" w:rsidRDefault="005221C4" w:rsidP="00A866C4">
            <w:pPr>
              <w:jc w:val="both"/>
              <w:rPr>
                <w:sz w:val="20"/>
              </w:rPr>
            </w:pPr>
            <w:r w:rsidRPr="00301D1E">
              <w:rPr>
                <w:sz w:val="20"/>
              </w:rPr>
              <w:t>The applicant, Mr. Davies, was part of a group of appeals involving approximately 25 to 30 taxpayers.  The initial appeal concerned Mr. Davies’ 2005, 2006 and 2007 taxation years and involved the deductibility of certain capital cost allowance in respect of a purchased software licence. Mr. Davies was reassessed in 2009 and his claimed capital cost allowance was disallowed. He and certain other investors retained counsel to file appeals. Shortly after the appeals were filed, a meeting was held between the investors’ counsel and the group the investors. Mr. Davies attended the conference call and general parameters of settlement were discussed. Authority was given to resolve the appeals within the range of 20</w:t>
            </w:r>
            <w:r w:rsidRPr="00301D1E">
              <w:rPr>
                <w:sz w:val="20"/>
              </w:rPr>
              <w:noBreakHyphen/>
              <w:t>40 percent of deductibility of the capital cost. The investors’ counsel was to pursue resolution, the usual litigation steps and report periodically to the clients. From early December 2010 until September 2013, Mr. Davies had no communication with the investors’ counsel. The investors’ counsel and respondent’s counsel executed minutes of settlement and notices of discontinuance and the respondent issued notices of reassessments to Mr. Davies and the others based on the settlement reached.  Mr. Davies was not in agreement with the settlement. The respondent’s counsel proceeded to file the notices of discontinuance.</w:t>
            </w:r>
          </w:p>
          <w:p w:rsidR="005221C4" w:rsidRPr="00301D1E" w:rsidRDefault="005221C4" w:rsidP="00A866C4">
            <w:pPr>
              <w:jc w:val="both"/>
              <w:rPr>
                <w:sz w:val="20"/>
              </w:rPr>
            </w:pPr>
          </w:p>
          <w:p w:rsidR="005221C4" w:rsidRPr="00301D1E" w:rsidRDefault="005221C4" w:rsidP="00A866C4">
            <w:pPr>
              <w:jc w:val="both"/>
              <w:rPr>
                <w:sz w:val="20"/>
              </w:rPr>
            </w:pPr>
            <w:r w:rsidRPr="00301D1E">
              <w:rPr>
                <w:sz w:val="20"/>
              </w:rPr>
              <w:t>Mr. Davies sought to set aside the minutes of settlement and prevent the filing of the notice of discontinuance. The motions judge dismissed Mr. Davies’ request to set aside the notice of discontinuance and to reinstate his appeals. The respondent’s motion to dismiss the appeals was granted.  The Federal Court of Appeal dismissed Mr. Davies’ appeal.</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April 27, 2016</w:t>
            </w:r>
          </w:p>
          <w:p w:rsidR="005221C4" w:rsidRPr="00301D1E" w:rsidRDefault="005221C4" w:rsidP="00A866C4">
            <w:pPr>
              <w:jc w:val="both"/>
              <w:rPr>
                <w:sz w:val="20"/>
              </w:rPr>
            </w:pPr>
            <w:r w:rsidRPr="00301D1E">
              <w:rPr>
                <w:sz w:val="20"/>
              </w:rPr>
              <w:t>Tax Court of Canada</w:t>
            </w:r>
          </w:p>
          <w:p w:rsidR="005221C4" w:rsidRPr="00301D1E" w:rsidRDefault="005221C4" w:rsidP="00A866C4">
            <w:pPr>
              <w:jc w:val="both"/>
              <w:rPr>
                <w:sz w:val="20"/>
              </w:rPr>
            </w:pPr>
            <w:r w:rsidRPr="00301D1E">
              <w:rPr>
                <w:sz w:val="20"/>
              </w:rPr>
              <w:t>(</w:t>
            </w:r>
            <w:proofErr w:type="spellStart"/>
            <w:r w:rsidRPr="00301D1E">
              <w:rPr>
                <w:sz w:val="20"/>
              </w:rPr>
              <w:t>Bocock</w:t>
            </w:r>
            <w:proofErr w:type="spellEnd"/>
            <w:r w:rsidRPr="00301D1E">
              <w:rPr>
                <w:sz w:val="20"/>
              </w:rPr>
              <w:t xml:space="preserve"> J.)</w:t>
            </w:r>
          </w:p>
          <w:p w:rsidR="005221C4" w:rsidRPr="00301D1E" w:rsidRDefault="00F37A97" w:rsidP="00A866C4">
            <w:pPr>
              <w:jc w:val="both"/>
              <w:rPr>
                <w:sz w:val="20"/>
              </w:rPr>
            </w:pPr>
            <w:hyperlink r:id="rId47" w:history="1">
              <w:r w:rsidR="005221C4" w:rsidRPr="00301D1E">
                <w:rPr>
                  <w:rStyle w:val="Hyperlink"/>
                  <w:sz w:val="20"/>
                </w:rPr>
                <w:t>2016 TCC 104</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Applicant’s motion to set aside notice of discontinuance and to reinstate related appeals, dismissed; respondent’s motion to dismiss the appeals, granted</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June 25, 2019</w:t>
            </w:r>
          </w:p>
          <w:p w:rsidR="005221C4" w:rsidRPr="00301D1E" w:rsidRDefault="005221C4" w:rsidP="00A866C4">
            <w:pPr>
              <w:jc w:val="both"/>
              <w:rPr>
                <w:sz w:val="20"/>
              </w:rPr>
            </w:pPr>
            <w:r w:rsidRPr="00301D1E">
              <w:rPr>
                <w:sz w:val="20"/>
              </w:rPr>
              <w:t>Federal Court of Appeal</w:t>
            </w:r>
          </w:p>
          <w:p w:rsidR="005221C4" w:rsidRPr="00301D1E" w:rsidRDefault="005221C4" w:rsidP="00A866C4">
            <w:pPr>
              <w:jc w:val="both"/>
              <w:rPr>
                <w:sz w:val="20"/>
              </w:rPr>
            </w:pPr>
            <w:r w:rsidRPr="00301D1E">
              <w:rPr>
                <w:sz w:val="20"/>
              </w:rPr>
              <w:t xml:space="preserve">(Gauthier, </w:t>
            </w:r>
            <w:proofErr w:type="spellStart"/>
            <w:r w:rsidRPr="00301D1E">
              <w:rPr>
                <w:sz w:val="20"/>
              </w:rPr>
              <w:t>Stratas</w:t>
            </w:r>
            <w:proofErr w:type="spellEnd"/>
            <w:r w:rsidRPr="00301D1E">
              <w:rPr>
                <w:sz w:val="20"/>
              </w:rPr>
              <w:t xml:space="preserve"> and </w:t>
            </w:r>
            <w:proofErr w:type="spellStart"/>
            <w:r w:rsidRPr="00301D1E">
              <w:rPr>
                <w:sz w:val="20"/>
              </w:rPr>
              <w:t>Laskin</w:t>
            </w:r>
            <w:proofErr w:type="spellEnd"/>
            <w:r w:rsidRPr="00301D1E">
              <w:rPr>
                <w:sz w:val="20"/>
              </w:rPr>
              <w:t xml:space="preserve"> JJ.A.)</w:t>
            </w:r>
          </w:p>
          <w:p w:rsidR="005221C4" w:rsidRPr="00301D1E" w:rsidRDefault="00F37A97" w:rsidP="00A866C4">
            <w:pPr>
              <w:jc w:val="both"/>
              <w:rPr>
                <w:sz w:val="20"/>
              </w:rPr>
            </w:pPr>
            <w:hyperlink r:id="rId48" w:history="1">
              <w:r w:rsidR="005221C4" w:rsidRPr="00301D1E">
                <w:rPr>
                  <w:rStyle w:val="Hyperlink"/>
                  <w:sz w:val="20"/>
                </w:rPr>
                <w:t>2019 FCA 191</w:t>
              </w:r>
            </w:hyperlink>
            <w:r w:rsidR="005221C4" w:rsidRPr="00301D1E">
              <w:rPr>
                <w:sz w:val="20"/>
              </w:rPr>
              <w:t>; A</w:t>
            </w:r>
            <w:r w:rsidR="005221C4" w:rsidRPr="00301D1E">
              <w:rPr>
                <w:sz w:val="20"/>
              </w:rPr>
              <w:noBreakHyphen/>
              <w:t>171</w:t>
            </w:r>
            <w:r w:rsidR="005221C4" w:rsidRPr="00301D1E">
              <w:rPr>
                <w:sz w:val="20"/>
              </w:rPr>
              <w:noBreakHyphen/>
              <w:t>16</w:t>
            </w:r>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Appeal dismissed</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September 20, 2019</w:t>
            </w:r>
          </w:p>
          <w:p w:rsidR="005221C4" w:rsidRPr="00301D1E" w:rsidRDefault="005221C4" w:rsidP="00A866C4">
            <w:pPr>
              <w:jc w:val="both"/>
              <w:rPr>
                <w:sz w:val="20"/>
              </w:rPr>
            </w:pPr>
            <w:r w:rsidRPr="00301D1E">
              <w:rPr>
                <w:sz w:val="20"/>
              </w:rPr>
              <w:t>Supreme Court of Canada</w:t>
            </w: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Application for leave to appeal filed</w:t>
            </w:r>
          </w:p>
          <w:p w:rsidR="005221C4" w:rsidRPr="00301D1E" w:rsidRDefault="005221C4" w:rsidP="00A866C4">
            <w:pPr>
              <w:jc w:val="both"/>
              <w:rPr>
                <w:sz w:val="20"/>
              </w:rPr>
            </w:pPr>
          </w:p>
        </w:tc>
      </w:tr>
    </w:tbl>
    <w:p w:rsidR="005221C4" w:rsidRPr="00301D1E" w:rsidRDefault="005221C4" w:rsidP="00A866C4">
      <w:pPr>
        <w:jc w:val="both"/>
        <w:rPr>
          <w:sz w:val="20"/>
        </w:rPr>
      </w:pPr>
    </w:p>
    <w:p w:rsidR="00A37BE5" w:rsidRPr="00301D1E" w:rsidRDefault="00F37A97" w:rsidP="00A866C4">
      <w:pPr>
        <w:jc w:val="both"/>
        <w:rPr>
          <w:sz w:val="20"/>
        </w:rPr>
      </w:pPr>
      <w:r w:rsidRPr="00301D1E">
        <w:rPr>
          <w:sz w:val="20"/>
        </w:rPr>
        <w:pict>
          <v:rect id="_x0000_i1040" style="width:2in;height:1pt" o:hrpct="0" o:hralign="center" o:hrstd="t" o:hrnoshade="t" o:hr="t" fillcolor="black [3213]" stroked="f"/>
        </w:pict>
      </w:r>
    </w:p>
    <w:p w:rsidR="005221C4" w:rsidRPr="00301D1E" w:rsidRDefault="005221C4"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lang w:val="fr-CA"/>
              </w:rPr>
            </w:pPr>
            <w:r w:rsidRPr="00301D1E">
              <w:rPr>
                <w:rStyle w:val="SCCFileNumberChar"/>
                <w:sz w:val="20"/>
                <w:szCs w:val="20"/>
                <w:lang w:val="fr-CA"/>
              </w:rPr>
              <w:t>38810</w:t>
            </w:r>
          </w:p>
        </w:tc>
        <w:tc>
          <w:tcPr>
            <w:tcW w:w="4457" w:type="pct"/>
            <w:gridSpan w:val="3"/>
          </w:tcPr>
          <w:p w:rsidR="005221C4" w:rsidRPr="00111A18" w:rsidRDefault="005221C4" w:rsidP="00A866C4">
            <w:pPr>
              <w:pStyle w:val="SCCLsocParty"/>
              <w:jc w:val="both"/>
              <w:rPr>
                <w:b/>
                <w:sz w:val="20"/>
                <w:szCs w:val="20"/>
              </w:rPr>
            </w:pPr>
            <w:r w:rsidRPr="00111A18">
              <w:rPr>
                <w:b/>
                <w:sz w:val="20"/>
                <w:szCs w:val="20"/>
              </w:rPr>
              <w:t>Michael Davies c. Sa Majesté la Reine</w:t>
            </w:r>
          </w:p>
          <w:p w:rsidR="005221C4" w:rsidRPr="00301D1E" w:rsidRDefault="005221C4" w:rsidP="00A866C4">
            <w:pPr>
              <w:jc w:val="both"/>
              <w:rPr>
                <w:sz w:val="20"/>
                <w:lang w:val="fr-CA"/>
              </w:rPr>
            </w:pPr>
            <w:r w:rsidRPr="00301D1E">
              <w:rPr>
                <w:sz w:val="20"/>
                <w:lang w:val="fr-CA"/>
              </w:rPr>
              <w:t>(C</w:t>
            </w:r>
            <w:r w:rsidR="0093426D" w:rsidRPr="00301D1E">
              <w:rPr>
                <w:sz w:val="20"/>
                <w:lang w:val="fr-CA"/>
              </w:rPr>
              <w:t>.</w:t>
            </w:r>
            <w:r w:rsidRPr="00301D1E">
              <w:rPr>
                <w:sz w:val="20"/>
                <w:lang w:val="fr-CA"/>
              </w:rPr>
              <w:t>F</w:t>
            </w:r>
            <w:r w:rsidR="0093426D" w:rsidRPr="00301D1E">
              <w:rPr>
                <w:sz w:val="20"/>
                <w:lang w:val="fr-CA"/>
              </w:rPr>
              <w:t>.</w:t>
            </w:r>
            <w:r w:rsidRPr="00301D1E">
              <w:rPr>
                <w:sz w:val="20"/>
                <w:lang w:val="fr-CA"/>
              </w:rPr>
              <w:t>) (Civile) (Autorisation)</w:t>
            </w: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 xml:space="preserve">Droit fiscal — Appels — Désistement — Le Parlement entendait-il faire en sorte que les protections accordées à un contribuable dans la </w:t>
            </w:r>
            <w:r w:rsidRPr="00301D1E">
              <w:rPr>
                <w:i/>
                <w:sz w:val="20"/>
                <w:lang w:val="fr-CA"/>
              </w:rPr>
              <w:t>Loi de l’impôt sur le revenu</w:t>
            </w:r>
            <w:r w:rsidRPr="00301D1E">
              <w:rPr>
                <w:sz w:val="20"/>
                <w:lang w:val="fr-CA"/>
              </w:rPr>
              <w:t xml:space="preserve"> puissent faire l’objet d’une renonciation, être modifiées, cédées ou conférées au procureur du contribuable pour permettre au procureur de signer des documents pour le contribuable? — La common law existante qui permet aux procureurs de lier leurs clients sans leur autorisation expresse par écrit devrait-elle toujours être la règle de droit applicable au Canada, vu les communications modernes? — </w:t>
            </w:r>
            <w:r w:rsidRPr="00301D1E">
              <w:rPr>
                <w:i/>
                <w:sz w:val="20"/>
                <w:lang w:val="fr-CA"/>
              </w:rPr>
              <w:t>Loi de l’impôt sur le revenu</w:t>
            </w:r>
            <w:r w:rsidRPr="00301D1E">
              <w:rPr>
                <w:sz w:val="20"/>
                <w:lang w:val="fr-CA"/>
              </w:rPr>
              <w:t>, L.R.C. 1985, ch. 1 (5</w:t>
            </w:r>
            <w:r w:rsidRPr="00301D1E">
              <w:rPr>
                <w:sz w:val="20"/>
                <w:vertAlign w:val="superscript"/>
                <w:lang w:val="fr-CA"/>
              </w:rPr>
              <w:t>e</w:t>
            </w:r>
            <w:r w:rsidRPr="00301D1E">
              <w:rPr>
                <w:sz w:val="20"/>
                <w:lang w:val="fr-CA"/>
              </w:rPr>
              <w:t xml:space="preserve"> suppl.).</w:t>
            </w:r>
          </w:p>
        </w:tc>
      </w:tr>
      <w:tr w:rsidR="005221C4" w:rsidRPr="00301D1E" w:rsidTr="0093426D">
        <w:trPr>
          <w:trHeight w:val="4822"/>
        </w:trPr>
        <w:tc>
          <w:tcPr>
            <w:tcW w:w="5000" w:type="pct"/>
            <w:gridSpan w:val="4"/>
          </w:tcPr>
          <w:p w:rsidR="005221C4" w:rsidRPr="00301D1E" w:rsidRDefault="005221C4" w:rsidP="00A866C4">
            <w:pPr>
              <w:jc w:val="both"/>
              <w:rPr>
                <w:sz w:val="20"/>
                <w:lang w:val="fr-CA"/>
              </w:rPr>
            </w:pPr>
          </w:p>
          <w:p w:rsidR="005221C4" w:rsidRPr="00301D1E" w:rsidRDefault="005221C4" w:rsidP="00A866C4">
            <w:pPr>
              <w:jc w:val="both"/>
              <w:rPr>
                <w:sz w:val="20"/>
                <w:lang w:val="fr-CA"/>
              </w:rPr>
            </w:pPr>
            <w:r w:rsidRPr="00301D1E">
              <w:rPr>
                <w:sz w:val="20"/>
                <w:lang w:val="fr-CA"/>
              </w:rPr>
              <w:t>L’appel du demandeur, M. Davies, faisait partie d’un groupe d’appels auxquels prenaient part de 25 à 30 contribuables environ. L’appel initial concernait les années d’imposition 2005, 2006 et 2007 de l’appelant et se rapportait à la déductibilité de certaines déductions pour amortissement à l’égard de l’achat d’une licence d’utilisation d’un logiciel. Une nouvelle cotisation avait été établie pour M. Davis en 2009 et la déduction pour amortissement qu’il avait demandée lui avait été refusée. Certains investisseurs et lui avaient retenu les services d’un cabinet d’avocats en vue d’interjeter des appels. Peu après le dépôt des appels, les avocats des investisseurs le groupe d’investisseurs s’étaient réunis. Monsieur Davis a participé à la conférence téléphonique et les paramètres généraux du règlement y avaient été discutés. L’autorisation de régler les appels en établissant la déduction pour amortissement à un taux de 20 à 40 % a été donnée. Les avocats des investisseurs avaient pour mandat de chercher à régler le litige, de prendre les mesures habituelles à cette fin et de rendre des comptes périodiquement aux clients. Du début du mois de décembre 2010 au 23 septembre 2013, M. Davis n’avait eu aucune communication avec les avocats des investisseurs. Les avocats des investisseurs et l’avocate de l’intimée ont signé un procès</w:t>
            </w:r>
            <w:r w:rsidRPr="00301D1E">
              <w:rPr>
                <w:sz w:val="20"/>
                <w:lang w:val="fr-CA"/>
              </w:rPr>
              <w:noBreakHyphen/>
              <w:t>verbal de règlement et des avis de désistement et l’intimée a délivré des avis de nouvelles cotisations à M. Davies et à d’autres sur le fondement du règlement conclu. Monsieur Davies n’était pas d’accord avec le règlement. L’avocate de l’intimée a alors déposé les avis de désistement.</w:t>
            </w:r>
          </w:p>
          <w:p w:rsidR="005221C4" w:rsidRPr="00301D1E" w:rsidRDefault="005221C4" w:rsidP="00A866C4">
            <w:pPr>
              <w:jc w:val="both"/>
              <w:rPr>
                <w:sz w:val="20"/>
                <w:lang w:val="fr-CA"/>
              </w:rPr>
            </w:pPr>
          </w:p>
          <w:p w:rsidR="005221C4" w:rsidRPr="00301D1E" w:rsidRDefault="005221C4" w:rsidP="00A866C4">
            <w:pPr>
              <w:jc w:val="both"/>
              <w:rPr>
                <w:sz w:val="20"/>
                <w:lang w:val="fr-CA"/>
              </w:rPr>
            </w:pPr>
            <w:r w:rsidRPr="00301D1E">
              <w:rPr>
                <w:sz w:val="20"/>
                <w:lang w:val="fr-CA"/>
              </w:rPr>
              <w:t>Monsieur Davies a tenté de faire annuler le procès-verbal du règlement et d’empêcher le dépôt de l’avis de désistement. Le juge de première instance a rejeté la requête de M. Davies en annulation de l’avis de désistement et en rétablissement de ses appels. La requête de l’intimée en rejet des appels a été accueillie. La Cour d’appel fédérale a rejeté l’appel de M. Davies.</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27 avril 2016</w:t>
            </w:r>
          </w:p>
          <w:p w:rsidR="005221C4" w:rsidRPr="00301D1E" w:rsidRDefault="005221C4" w:rsidP="00A866C4">
            <w:pPr>
              <w:jc w:val="both"/>
              <w:rPr>
                <w:sz w:val="20"/>
                <w:lang w:val="fr-CA"/>
              </w:rPr>
            </w:pPr>
            <w:r w:rsidRPr="00301D1E">
              <w:rPr>
                <w:sz w:val="20"/>
                <w:lang w:val="fr-CA"/>
              </w:rPr>
              <w:t>Cour canadienne de l’impôt</w:t>
            </w:r>
          </w:p>
          <w:p w:rsidR="005221C4" w:rsidRPr="00301D1E" w:rsidRDefault="005221C4" w:rsidP="00A866C4">
            <w:pPr>
              <w:jc w:val="both"/>
              <w:rPr>
                <w:sz w:val="20"/>
                <w:lang w:val="fr-CA"/>
              </w:rPr>
            </w:pPr>
            <w:r w:rsidRPr="00301D1E">
              <w:rPr>
                <w:sz w:val="20"/>
                <w:lang w:val="fr-CA"/>
              </w:rPr>
              <w:t>(Juge Bocock)</w:t>
            </w:r>
          </w:p>
          <w:p w:rsidR="005221C4" w:rsidRPr="00301D1E" w:rsidRDefault="00F37A97" w:rsidP="00A866C4">
            <w:pPr>
              <w:jc w:val="both"/>
              <w:rPr>
                <w:sz w:val="20"/>
                <w:lang w:val="fr-CA"/>
              </w:rPr>
            </w:pPr>
            <w:hyperlink r:id="rId49" w:history="1">
              <w:r w:rsidR="005221C4" w:rsidRPr="00301D1E">
                <w:rPr>
                  <w:rStyle w:val="Hyperlink"/>
                  <w:sz w:val="20"/>
                  <w:lang w:val="fr-CA"/>
                </w:rPr>
                <w:t>2016 TCC 104</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 xml:space="preserve">Jugement rejetant la requête du demandeur en annulation de l’avis de désistement et en rétablissement d’appels connexes, et accueillant la requête de l’intimée en rejet des appels </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25 juin 2019</w:t>
            </w:r>
          </w:p>
          <w:p w:rsidR="005221C4" w:rsidRPr="00301D1E" w:rsidRDefault="005221C4" w:rsidP="00A866C4">
            <w:pPr>
              <w:jc w:val="both"/>
              <w:rPr>
                <w:sz w:val="20"/>
                <w:lang w:val="fr-CA"/>
              </w:rPr>
            </w:pPr>
            <w:r w:rsidRPr="00301D1E">
              <w:rPr>
                <w:sz w:val="20"/>
                <w:lang w:val="fr-CA"/>
              </w:rPr>
              <w:t>Cour d’appel fédérale</w:t>
            </w:r>
          </w:p>
          <w:p w:rsidR="005221C4" w:rsidRPr="00301D1E" w:rsidRDefault="005221C4" w:rsidP="00A866C4">
            <w:pPr>
              <w:jc w:val="both"/>
              <w:rPr>
                <w:sz w:val="20"/>
                <w:lang w:val="fr-CA"/>
              </w:rPr>
            </w:pPr>
            <w:r w:rsidRPr="00301D1E">
              <w:rPr>
                <w:sz w:val="20"/>
                <w:lang w:val="fr-CA"/>
              </w:rPr>
              <w:t>(Juges Gauthier, Stratas et Laskin)</w:t>
            </w:r>
          </w:p>
          <w:p w:rsidR="005221C4" w:rsidRPr="00301D1E" w:rsidRDefault="00F37A97" w:rsidP="00A866C4">
            <w:pPr>
              <w:jc w:val="both"/>
              <w:rPr>
                <w:sz w:val="20"/>
                <w:lang w:val="fr-CA"/>
              </w:rPr>
            </w:pPr>
            <w:hyperlink r:id="rId50" w:history="1">
              <w:r w:rsidR="005221C4" w:rsidRPr="00301D1E">
                <w:rPr>
                  <w:rStyle w:val="Hyperlink"/>
                  <w:sz w:val="20"/>
                  <w:lang w:val="fr-CA"/>
                </w:rPr>
                <w:t>2019 FCA 191</w:t>
              </w:r>
            </w:hyperlink>
            <w:r w:rsidR="005221C4" w:rsidRPr="00301D1E">
              <w:rPr>
                <w:sz w:val="20"/>
                <w:lang w:val="fr-CA"/>
              </w:rPr>
              <w:t>; A</w:t>
            </w:r>
            <w:r w:rsidR="005221C4" w:rsidRPr="00301D1E">
              <w:rPr>
                <w:sz w:val="20"/>
                <w:lang w:val="fr-CA"/>
              </w:rPr>
              <w:noBreakHyphen/>
              <w:t>171</w:t>
            </w:r>
            <w:r w:rsidR="005221C4" w:rsidRPr="00301D1E">
              <w:rPr>
                <w:sz w:val="20"/>
                <w:lang w:val="fr-CA"/>
              </w:rPr>
              <w:noBreakHyphen/>
              <w:t>16</w:t>
            </w:r>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Rejet de l’appel</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20 septembre 2019</w:t>
            </w:r>
          </w:p>
          <w:p w:rsidR="005221C4" w:rsidRPr="00301D1E" w:rsidRDefault="005221C4" w:rsidP="00A866C4">
            <w:pPr>
              <w:jc w:val="both"/>
              <w:rPr>
                <w:sz w:val="20"/>
                <w:lang w:val="fr-CA"/>
              </w:rPr>
            </w:pPr>
            <w:r w:rsidRPr="00301D1E">
              <w:rPr>
                <w:sz w:val="20"/>
                <w:lang w:val="fr-CA"/>
              </w:rPr>
              <w:t>Cour suprême du Canada</w:t>
            </w: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Dépôt de la demande d’autorisation d’appel</w:t>
            </w:r>
          </w:p>
          <w:p w:rsidR="005221C4" w:rsidRPr="00301D1E" w:rsidRDefault="005221C4" w:rsidP="00A866C4">
            <w:pPr>
              <w:jc w:val="both"/>
              <w:rPr>
                <w:sz w:val="20"/>
                <w:lang w:val="fr-CA"/>
              </w:rPr>
            </w:pPr>
          </w:p>
        </w:tc>
      </w:tr>
    </w:tbl>
    <w:p w:rsidR="005221C4" w:rsidRPr="00301D1E" w:rsidRDefault="005221C4" w:rsidP="00A866C4">
      <w:pPr>
        <w:jc w:val="both"/>
        <w:rPr>
          <w:sz w:val="20"/>
          <w:lang w:val="fr-CA"/>
        </w:rPr>
      </w:pPr>
    </w:p>
    <w:p w:rsidR="00A37BE5" w:rsidRPr="00301D1E" w:rsidRDefault="00F37A97" w:rsidP="00A866C4">
      <w:pPr>
        <w:jc w:val="both"/>
        <w:rPr>
          <w:sz w:val="20"/>
          <w:lang w:val="fr-CA"/>
        </w:rPr>
      </w:pPr>
      <w:r w:rsidRPr="00301D1E">
        <w:rPr>
          <w:sz w:val="20"/>
        </w:rPr>
        <w:pict>
          <v:rect id="_x0000_i1041" style="width:2in;height:1pt" o:hrpct="0" o:hralign="center" o:hrstd="t" o:hrnoshade="t" o:hr="t" fillcolor="black [3213]" stroked="f"/>
        </w:pict>
      </w:r>
    </w:p>
    <w:p w:rsidR="005221C4" w:rsidRPr="00301D1E" w:rsidRDefault="005221C4"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rPr>
            </w:pPr>
            <w:r w:rsidRPr="00301D1E">
              <w:rPr>
                <w:rStyle w:val="SCCFileNumberChar"/>
                <w:sz w:val="20"/>
                <w:szCs w:val="20"/>
              </w:rPr>
              <w:t>38843</w:t>
            </w:r>
          </w:p>
        </w:tc>
        <w:tc>
          <w:tcPr>
            <w:tcW w:w="4457" w:type="pct"/>
            <w:gridSpan w:val="3"/>
          </w:tcPr>
          <w:p w:rsidR="005221C4" w:rsidRPr="00301D1E" w:rsidRDefault="005221C4" w:rsidP="00A866C4">
            <w:pPr>
              <w:pStyle w:val="SCCLsocParty"/>
              <w:jc w:val="both"/>
              <w:rPr>
                <w:b/>
                <w:sz w:val="20"/>
                <w:szCs w:val="20"/>
                <w:lang w:val="en-US"/>
              </w:rPr>
            </w:pPr>
            <w:r w:rsidRPr="00301D1E">
              <w:rPr>
                <w:b/>
                <w:sz w:val="20"/>
                <w:szCs w:val="20"/>
                <w:lang w:val="en-US"/>
              </w:rPr>
              <w:t>Tonu Elmar Petersoo v. Karinna Margaret Gerda Petersoo</w:t>
            </w:r>
          </w:p>
          <w:p w:rsidR="005221C4" w:rsidRPr="00301D1E" w:rsidRDefault="005221C4" w:rsidP="00A866C4">
            <w:pPr>
              <w:jc w:val="both"/>
              <w:rPr>
                <w:sz w:val="20"/>
              </w:rPr>
            </w:pPr>
            <w:r w:rsidRPr="00301D1E">
              <w:rPr>
                <w:sz w:val="20"/>
              </w:rPr>
              <w:t>(Ont.) (Civil) (By Leave)</w:t>
            </w:r>
          </w:p>
        </w:tc>
      </w:tr>
      <w:tr w:rsidR="005221C4" w:rsidRPr="00301D1E" w:rsidTr="00E95A6A">
        <w:tc>
          <w:tcPr>
            <w:tcW w:w="5000" w:type="pct"/>
            <w:gridSpan w:val="4"/>
          </w:tcPr>
          <w:p w:rsidR="005221C4" w:rsidRPr="00301D1E" w:rsidRDefault="005221C4" w:rsidP="00A866C4">
            <w:pPr>
              <w:jc w:val="both"/>
              <w:rPr>
                <w:sz w:val="20"/>
              </w:rPr>
            </w:pPr>
            <w:r w:rsidRPr="00301D1E">
              <w:rPr>
                <w:sz w:val="20"/>
              </w:rPr>
              <w:t xml:space="preserve">Family law — Custody — Mobility rights — Administrative law — Natural justice — Arbitrator deciding custody issue in favour of mother and permitting her to move with children to city where their educational needs could be met — Reviewing judge determining that father’s right to natural justice had been violated — Can a party’s right to natural justice be abrogated in cases involving children? — Does a family law arbitrator have duty to ensure procedural fairness in absence of specific objections pursuant to s. 19 of </w:t>
            </w:r>
            <w:r w:rsidRPr="00301D1E">
              <w:rPr>
                <w:i/>
                <w:sz w:val="20"/>
              </w:rPr>
              <w:t>Arbitration Act</w:t>
            </w:r>
            <w:r w:rsidRPr="00301D1E">
              <w:rPr>
                <w:sz w:val="20"/>
              </w:rPr>
              <w:t xml:space="preserve">, S.O. 1991, </w:t>
            </w:r>
            <w:proofErr w:type="gramStart"/>
            <w:r w:rsidRPr="00301D1E">
              <w:rPr>
                <w:sz w:val="20"/>
              </w:rPr>
              <w:t>c</w:t>
            </w:r>
            <w:proofErr w:type="gramEnd"/>
            <w:r w:rsidRPr="00301D1E">
              <w:rPr>
                <w:sz w:val="20"/>
              </w:rPr>
              <w:t>. 17? — When dealing with allegations of denial of natural justice, does a more deferential standard of review apply to family law arbitration awards than decisions made within a court process?</w:t>
            </w:r>
          </w:p>
          <w:p w:rsidR="005221C4" w:rsidRPr="00301D1E" w:rsidRDefault="005221C4" w:rsidP="00A866C4">
            <w:pPr>
              <w:jc w:val="both"/>
              <w:rPr>
                <w:sz w:val="20"/>
              </w:rPr>
            </w:pPr>
          </w:p>
        </w:tc>
      </w:tr>
      <w:tr w:rsidR="005221C4" w:rsidRPr="00301D1E" w:rsidTr="00E95A6A">
        <w:tc>
          <w:tcPr>
            <w:tcW w:w="5000" w:type="pct"/>
            <w:gridSpan w:val="4"/>
          </w:tcPr>
          <w:p w:rsidR="005221C4" w:rsidRPr="00301D1E" w:rsidRDefault="005221C4" w:rsidP="00A866C4">
            <w:pPr>
              <w:jc w:val="both"/>
              <w:rPr>
                <w:sz w:val="20"/>
              </w:rPr>
            </w:pPr>
            <w:r w:rsidRPr="00301D1E">
              <w:rPr>
                <w:sz w:val="20"/>
                <w:lang w:val="en"/>
              </w:rPr>
              <w:t xml:space="preserve">The parties were married in 2003 and have three children: a daughter born in 2007, and twin boys in 2009. The parents separated in 2011. They agreed to joint custody in a separation agreement with the children residing primarily with the mother and parenting time for the father on alternate weekends and sometime midweek. The children suffered emotionally and academically under this arrangement.  According to the mother, they were in crisis. She initiated the custody review procedure under the separation agreement. It was recommended by a physician that the children be enrolled in a school that offered a “direct instruction” system to address their educational needs. Unable to find an affordable and suitable place in Toronto, the mother found an appropriate school in Kitchener. The father did not agree that the children were having difficulties at school. He wanted them to stay at their current school and he wanted more time with them. The parties appeared before the lawyer for an arbitration. Shortly before the arbitration began, the mother gave notice that she wished to move from Toronto to Guelph so that the children could attend the school that she had found. The father did not object to the short notice nor did he request an adjournment at the arbitration hearing. </w:t>
            </w:r>
            <w:r w:rsidRPr="00301D1E">
              <w:rPr>
                <w:sz w:val="20"/>
              </w:rPr>
              <w:t>The mother was awarded custody and was permitted to move from Toronto to Guelph with the children. The arbitrator awarded the father parenting time on a scheduled basis that eliminated his midweek parenting time. On appeal, the arbitration award was set aside on the basis that the short notice the father received on the mobility issue resulted in procedural unfairness. A re</w:t>
            </w:r>
            <w:r w:rsidRPr="00301D1E">
              <w:rPr>
                <w:sz w:val="20"/>
              </w:rPr>
              <w:noBreakHyphen/>
              <w:t>hearing of the parenting issues was ordered. The mother’s appeal from that decision was allowed and the arbitration award was restored.</w:t>
            </w:r>
          </w:p>
        </w:tc>
      </w:tr>
      <w:tr w:rsidR="005221C4" w:rsidRPr="00301D1E" w:rsidTr="00E95A6A">
        <w:tc>
          <w:tcPr>
            <w:tcW w:w="5000" w:type="pct"/>
            <w:gridSpan w:val="4"/>
          </w:tcPr>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August 21, 2017</w:t>
            </w:r>
          </w:p>
          <w:p w:rsidR="005221C4" w:rsidRPr="00301D1E" w:rsidRDefault="005221C4" w:rsidP="00A866C4">
            <w:pPr>
              <w:jc w:val="both"/>
              <w:rPr>
                <w:sz w:val="20"/>
              </w:rPr>
            </w:pPr>
            <w:r w:rsidRPr="00301D1E">
              <w:rPr>
                <w:sz w:val="20"/>
              </w:rPr>
              <w:t>Arbitration Award</w:t>
            </w:r>
          </w:p>
          <w:p w:rsidR="005221C4" w:rsidRPr="00301D1E" w:rsidRDefault="005221C4" w:rsidP="00A866C4">
            <w:pPr>
              <w:jc w:val="both"/>
              <w:rPr>
                <w:sz w:val="20"/>
              </w:rPr>
            </w:pPr>
            <w:r w:rsidRPr="00301D1E">
              <w:rPr>
                <w:sz w:val="20"/>
              </w:rPr>
              <w:t>(Arbitrator Cooper)</w:t>
            </w:r>
          </w:p>
          <w:p w:rsidR="005221C4" w:rsidRPr="00301D1E" w:rsidRDefault="005221C4" w:rsidP="00A866C4">
            <w:pPr>
              <w:jc w:val="both"/>
              <w:rPr>
                <w:sz w:val="20"/>
              </w:rPr>
            </w:pPr>
            <w:r w:rsidRPr="00301D1E">
              <w:rPr>
                <w:sz w:val="20"/>
              </w:rPr>
              <w:t>Unreported</w:t>
            </w:r>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Mother awarded custody of children; father awarded scheduled access. Mother permitted to relocate with children</w:t>
            </w:r>
          </w:p>
        </w:tc>
      </w:tr>
      <w:tr w:rsidR="005221C4" w:rsidRPr="00301D1E" w:rsidTr="00E95A6A">
        <w:tc>
          <w:tcPr>
            <w:tcW w:w="2427" w:type="pct"/>
            <w:gridSpan w:val="2"/>
          </w:tcPr>
          <w:p w:rsidR="005221C4" w:rsidRPr="00301D1E" w:rsidRDefault="005221C4" w:rsidP="00A866C4">
            <w:pPr>
              <w:jc w:val="both"/>
              <w:rPr>
                <w:sz w:val="20"/>
              </w:rPr>
            </w:pPr>
            <w:r w:rsidRPr="00301D1E">
              <w:rPr>
                <w:sz w:val="20"/>
              </w:rPr>
              <w:t>November 1, 2018</w:t>
            </w:r>
          </w:p>
          <w:p w:rsidR="005221C4" w:rsidRPr="00301D1E" w:rsidRDefault="005221C4" w:rsidP="00A866C4">
            <w:pPr>
              <w:jc w:val="both"/>
              <w:rPr>
                <w:sz w:val="20"/>
              </w:rPr>
            </w:pPr>
            <w:r w:rsidRPr="00301D1E">
              <w:rPr>
                <w:sz w:val="20"/>
              </w:rPr>
              <w:t>Ontario Superior Court of Justice</w:t>
            </w:r>
          </w:p>
          <w:p w:rsidR="005221C4" w:rsidRPr="00301D1E" w:rsidRDefault="005221C4" w:rsidP="00A866C4">
            <w:pPr>
              <w:jc w:val="both"/>
              <w:rPr>
                <w:sz w:val="20"/>
              </w:rPr>
            </w:pPr>
            <w:r w:rsidRPr="00301D1E">
              <w:rPr>
                <w:sz w:val="20"/>
              </w:rPr>
              <w:t>(</w:t>
            </w:r>
            <w:proofErr w:type="spellStart"/>
            <w:r w:rsidRPr="00301D1E">
              <w:rPr>
                <w:sz w:val="20"/>
              </w:rPr>
              <w:t>Akbarali</w:t>
            </w:r>
            <w:proofErr w:type="spellEnd"/>
            <w:r w:rsidRPr="00301D1E">
              <w:rPr>
                <w:sz w:val="20"/>
              </w:rPr>
              <w:t xml:space="preserve"> J.)</w:t>
            </w:r>
          </w:p>
          <w:p w:rsidR="005221C4" w:rsidRPr="00301D1E" w:rsidRDefault="00F37A97" w:rsidP="00A866C4">
            <w:pPr>
              <w:jc w:val="both"/>
              <w:rPr>
                <w:rStyle w:val="Hyperlink"/>
                <w:sz w:val="20"/>
              </w:rPr>
            </w:pPr>
            <w:hyperlink r:id="rId51" w:history="1">
              <w:r w:rsidR="005221C4" w:rsidRPr="00301D1E">
                <w:rPr>
                  <w:rStyle w:val="Hyperlink"/>
                  <w:sz w:val="20"/>
                </w:rPr>
                <w:t>2018 ONSC 6519</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Arbitration award set aside; new arbitration on parenting issues ordered. Appeal on financial issues costs dismissed</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July 23, 2019</w:t>
            </w:r>
          </w:p>
          <w:p w:rsidR="005221C4" w:rsidRPr="00301D1E" w:rsidRDefault="005221C4" w:rsidP="00A866C4">
            <w:pPr>
              <w:jc w:val="both"/>
              <w:rPr>
                <w:sz w:val="20"/>
              </w:rPr>
            </w:pPr>
            <w:r w:rsidRPr="00301D1E">
              <w:rPr>
                <w:sz w:val="20"/>
              </w:rPr>
              <w:t>Court of Appeal for Ontario</w:t>
            </w:r>
          </w:p>
          <w:p w:rsidR="005221C4" w:rsidRPr="00301D1E" w:rsidRDefault="005221C4" w:rsidP="00A866C4">
            <w:pPr>
              <w:jc w:val="both"/>
              <w:rPr>
                <w:sz w:val="20"/>
              </w:rPr>
            </w:pPr>
            <w:r w:rsidRPr="00301D1E">
              <w:rPr>
                <w:sz w:val="20"/>
              </w:rPr>
              <w:t>(Tulloch Michael H., Benotto, Huscroft Grant)</w:t>
            </w:r>
          </w:p>
          <w:p w:rsidR="005221C4" w:rsidRPr="00301D1E" w:rsidRDefault="00F37A97" w:rsidP="00A866C4">
            <w:pPr>
              <w:jc w:val="both"/>
              <w:rPr>
                <w:rStyle w:val="Hyperlink"/>
                <w:sz w:val="20"/>
              </w:rPr>
            </w:pPr>
            <w:hyperlink r:id="rId52" w:history="1">
              <w:r w:rsidR="005221C4" w:rsidRPr="00301D1E">
                <w:rPr>
                  <w:rStyle w:val="Hyperlink"/>
                  <w:sz w:val="20"/>
                </w:rPr>
                <w:t>2019 ONCA 624</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Mother’s appeal allowed; arbitration award reinstated</w:t>
            </w:r>
          </w:p>
          <w:p w:rsidR="005221C4" w:rsidRPr="00301D1E" w:rsidRDefault="005221C4" w:rsidP="00A866C4">
            <w:pPr>
              <w:jc w:val="both"/>
              <w:rPr>
                <w:sz w:val="20"/>
              </w:rPr>
            </w:pP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September 30, 2019</w:t>
            </w:r>
          </w:p>
          <w:p w:rsidR="005221C4" w:rsidRPr="00301D1E" w:rsidRDefault="005221C4" w:rsidP="00A866C4">
            <w:pPr>
              <w:jc w:val="both"/>
              <w:rPr>
                <w:sz w:val="20"/>
              </w:rPr>
            </w:pPr>
            <w:r w:rsidRPr="00301D1E">
              <w:rPr>
                <w:sz w:val="20"/>
              </w:rPr>
              <w:t>Supreme Court of Canada</w:t>
            </w: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Application for leave to appeal filed</w:t>
            </w:r>
          </w:p>
          <w:p w:rsidR="005221C4" w:rsidRPr="00301D1E" w:rsidRDefault="005221C4" w:rsidP="00A866C4">
            <w:pPr>
              <w:jc w:val="both"/>
              <w:rPr>
                <w:sz w:val="20"/>
              </w:rPr>
            </w:pPr>
          </w:p>
        </w:tc>
      </w:tr>
    </w:tbl>
    <w:p w:rsidR="005221C4" w:rsidRPr="00301D1E" w:rsidRDefault="005221C4" w:rsidP="00A866C4">
      <w:pPr>
        <w:jc w:val="both"/>
        <w:rPr>
          <w:sz w:val="20"/>
        </w:rPr>
      </w:pPr>
    </w:p>
    <w:p w:rsidR="00A37BE5" w:rsidRPr="00301D1E" w:rsidRDefault="00F37A97" w:rsidP="00A866C4">
      <w:pPr>
        <w:jc w:val="both"/>
        <w:rPr>
          <w:sz w:val="20"/>
        </w:rPr>
      </w:pPr>
      <w:r w:rsidRPr="00301D1E">
        <w:rPr>
          <w:sz w:val="20"/>
        </w:rPr>
        <w:pict>
          <v:rect id="_x0000_i1042" style="width:2in;height:1pt" o:hrpct="0" o:hralign="center" o:hrstd="t" o:hrnoshade="t" o:hr="t" fillcolor="black [3213]" stroked="f"/>
        </w:pict>
      </w:r>
    </w:p>
    <w:p w:rsidR="005221C4" w:rsidRPr="00301D1E" w:rsidRDefault="005221C4"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lang w:val="fr-CA"/>
              </w:rPr>
            </w:pPr>
            <w:r w:rsidRPr="00301D1E">
              <w:rPr>
                <w:rStyle w:val="SCCFileNumberChar"/>
                <w:sz w:val="20"/>
                <w:szCs w:val="20"/>
                <w:lang w:val="fr-CA"/>
              </w:rPr>
              <w:t>38843</w:t>
            </w:r>
          </w:p>
        </w:tc>
        <w:tc>
          <w:tcPr>
            <w:tcW w:w="4457" w:type="pct"/>
            <w:gridSpan w:val="3"/>
          </w:tcPr>
          <w:p w:rsidR="005221C4" w:rsidRPr="00301D1E" w:rsidRDefault="005221C4" w:rsidP="00A866C4">
            <w:pPr>
              <w:pStyle w:val="SCCLsocParty"/>
              <w:jc w:val="both"/>
              <w:rPr>
                <w:b/>
                <w:sz w:val="20"/>
                <w:szCs w:val="20"/>
                <w:lang w:val="en-US"/>
              </w:rPr>
            </w:pPr>
            <w:r w:rsidRPr="00301D1E">
              <w:rPr>
                <w:b/>
                <w:sz w:val="20"/>
                <w:szCs w:val="20"/>
                <w:lang w:val="en-US"/>
              </w:rPr>
              <w:t>Tonu Elmar Petersoo c. Karinna Margaret Gerda Petersoo</w:t>
            </w:r>
          </w:p>
          <w:p w:rsidR="005221C4" w:rsidRPr="00301D1E" w:rsidRDefault="005221C4" w:rsidP="00A866C4">
            <w:pPr>
              <w:jc w:val="both"/>
              <w:rPr>
                <w:sz w:val="20"/>
                <w:lang w:val="fr-CA"/>
              </w:rPr>
            </w:pPr>
            <w:r w:rsidRPr="00301D1E">
              <w:rPr>
                <w:sz w:val="20"/>
                <w:lang w:val="fr-CA"/>
              </w:rPr>
              <w:t>(Ont.) (Civile) (Autorisation)</w:t>
            </w: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Droit de la famille — Garde — Liberté de circulation et d’établissement — Droit administratif — Justice naturelle — Un arbitre a tranché une question de garde en faveur de la mère et lui a permis de déménager avec les enfants dans une ville où il serait possible de répondre aux besoins de ces derniers en matière d’éducation — La juge saisie de la demande de révision judiciaire a conclu que le droit du père à la justice naturelle avait été violé — Est</w:t>
            </w:r>
            <w:r w:rsidRPr="00301D1E">
              <w:rPr>
                <w:sz w:val="20"/>
                <w:lang w:val="fr-CA"/>
              </w:rPr>
              <w:noBreakHyphen/>
              <w:t>il possible d’abroger le droit d’une partie à la justice naturelle dans des affaires intéressant des enfants? — L’arbitre de droit de la famille a</w:t>
            </w:r>
            <w:r w:rsidRPr="00301D1E">
              <w:rPr>
                <w:sz w:val="20"/>
                <w:lang w:val="fr-CA"/>
              </w:rPr>
              <w:noBreakHyphen/>
              <w:t>t</w:t>
            </w:r>
            <w:r w:rsidRPr="00301D1E">
              <w:rPr>
                <w:sz w:val="20"/>
                <w:lang w:val="fr-CA"/>
              </w:rPr>
              <w:noBreakHyphen/>
              <w:t xml:space="preserve">il le devoir d’assurer l’équité procédurale en l’absence d’objections précises en application de l’art. 19 de la </w:t>
            </w:r>
            <w:r w:rsidRPr="00301D1E">
              <w:rPr>
                <w:i/>
                <w:sz w:val="20"/>
                <w:lang w:val="fr-CA"/>
              </w:rPr>
              <w:t>Loi sur l’arbitrage</w:t>
            </w:r>
            <w:r w:rsidRPr="00301D1E">
              <w:rPr>
                <w:sz w:val="20"/>
                <w:lang w:val="fr-CA"/>
              </w:rPr>
              <w:t>, L.O. 1991, ch. 17? — En traitant d’allégations de déni de justice naturelle, une norme de contrôle plus déférente s’applique</w:t>
            </w:r>
            <w:r w:rsidRPr="00301D1E">
              <w:rPr>
                <w:sz w:val="20"/>
                <w:lang w:val="fr-CA"/>
              </w:rPr>
              <w:noBreakHyphen/>
              <w:t>t</w:t>
            </w:r>
            <w:r w:rsidRPr="00301D1E">
              <w:rPr>
                <w:sz w:val="20"/>
                <w:lang w:val="fr-CA"/>
              </w:rPr>
              <w:noBreakHyphen/>
              <w:t>elle aux sentences arbitrales en droit de la famille qu’aux décisions prises dans une procédure judiciaire?</w:t>
            </w:r>
          </w:p>
          <w:p w:rsidR="005221C4" w:rsidRPr="00301D1E" w:rsidRDefault="005221C4" w:rsidP="00A866C4">
            <w:pPr>
              <w:jc w:val="both"/>
              <w:rPr>
                <w:sz w:val="20"/>
                <w:lang w:val="fr-CA"/>
              </w:rPr>
            </w:pP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Les parties se sont mariées en 2003 et ont trois enfants : une fille née en 2007, et deux jumeaux nés en 2009. Les parents se sont séparés en 2011. Ils ont convenu de la garde partagée dans un accord de séparation en vertu duquel les enfants vivraient principalement avec la mère et le père aurait du temps de parentage une fin de semaine sur deux et en milieu de semaine. Les enfants ont souffert sur les plans émotif et scolaire à cause de cet arrangement. D’après la mère, ils étaient en crise. Elle a entrepris la procédure de révision de la garde prévue dans l’accord de séparation. Un médecin a recommandé que les enfants soient inscrits dans une école offrant un système d’« enseignement direct » pour répondre à leurs besoins en matière d’éducation. Incapable de trouver un établissement abordable et convenable à Toronto, la mère a trouvé une école appropriée à Kitchener. Le père n’était pas d’accord pour dire que les enfants avaient des difficultés à l’école. Il voulait qu’ils demeurent à leur école actuelle et voulait passer plus de temps avec eux. Les parties ont comparu devant un avocat pour un arbitrage. Peu de temps avant le début de l’arbitrage, la mère a donné avis comme quoi elle souhaitait déménager de Toronto à Guelph pour que les enfants puissent fréquenter l’école qu’elle avait trouvée. Le père ne s’est pas opposé à ce court délai de préavis et n’a pas demandé l’ajournement de l’audience d’arbitrage. La mère s’est vu accorder la garde et elle a été autorisée à déménager de Toronto à Guelph avec les enfants. L’arbitre a accordé au père du temps de parentage suivant un calendrier qui éliminait son temps de parentage en milieu de semaine. En appel, la sentence arbitrale a été annulée au motif que le court délai de préavis que le père avait reçu au sujet de la question touchant à la liberté de circulation avait été source de manquement à l’équité procédurale. Une nouvelle audition des questions en matière de parentage a été ordonnée. L’appel interjeté par la mère de cette décision a été accueilli et la sentence arbitrale a été rétablie.</w:t>
            </w:r>
          </w:p>
        </w:tc>
      </w:tr>
      <w:tr w:rsidR="005221C4" w:rsidRPr="00301D1E" w:rsidTr="00E95A6A">
        <w:tc>
          <w:tcPr>
            <w:tcW w:w="5000" w:type="pct"/>
            <w:gridSpan w:val="4"/>
          </w:tcPr>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21 août 2017</w:t>
            </w:r>
          </w:p>
          <w:p w:rsidR="005221C4" w:rsidRPr="00301D1E" w:rsidRDefault="005221C4" w:rsidP="00A866C4">
            <w:pPr>
              <w:jc w:val="both"/>
              <w:rPr>
                <w:sz w:val="20"/>
                <w:lang w:val="fr-CA"/>
              </w:rPr>
            </w:pPr>
            <w:r w:rsidRPr="00301D1E">
              <w:rPr>
                <w:sz w:val="20"/>
                <w:lang w:val="fr-CA"/>
              </w:rPr>
              <w:t>Sentence arbitrale</w:t>
            </w:r>
          </w:p>
          <w:p w:rsidR="005221C4" w:rsidRPr="00301D1E" w:rsidRDefault="005221C4" w:rsidP="00A866C4">
            <w:pPr>
              <w:jc w:val="both"/>
              <w:rPr>
                <w:sz w:val="20"/>
                <w:lang w:val="fr-CA"/>
              </w:rPr>
            </w:pPr>
            <w:r w:rsidRPr="00301D1E">
              <w:rPr>
                <w:sz w:val="20"/>
                <w:lang w:val="fr-CA"/>
              </w:rPr>
              <w:t>(Arbitre Cooper)</w:t>
            </w:r>
          </w:p>
          <w:p w:rsidR="005221C4" w:rsidRPr="00301D1E" w:rsidRDefault="005221C4" w:rsidP="00A866C4">
            <w:pPr>
              <w:jc w:val="both"/>
              <w:rPr>
                <w:sz w:val="20"/>
                <w:lang w:val="fr-CA"/>
              </w:rPr>
            </w:pPr>
            <w:r w:rsidRPr="00301D1E">
              <w:rPr>
                <w:sz w:val="20"/>
                <w:lang w:val="fr-CA"/>
              </w:rPr>
              <w:t>Non publié</w:t>
            </w:r>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Sentence accordant la garde des enfants à la mère et un droit de visites programmées au père, autorisant la mère à déménager avec les enfants</w:t>
            </w: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1</w:t>
            </w:r>
            <w:r w:rsidRPr="00301D1E">
              <w:rPr>
                <w:sz w:val="20"/>
                <w:vertAlign w:val="superscript"/>
                <w:lang w:val="fr-CA"/>
              </w:rPr>
              <w:t>er</w:t>
            </w:r>
            <w:r w:rsidRPr="00301D1E">
              <w:rPr>
                <w:sz w:val="20"/>
                <w:lang w:val="fr-CA"/>
              </w:rPr>
              <w:t> novembre 2018</w:t>
            </w:r>
          </w:p>
          <w:p w:rsidR="005221C4" w:rsidRPr="00301D1E" w:rsidRDefault="005221C4" w:rsidP="00A866C4">
            <w:pPr>
              <w:jc w:val="both"/>
              <w:rPr>
                <w:sz w:val="20"/>
                <w:lang w:val="fr-CA"/>
              </w:rPr>
            </w:pPr>
            <w:r w:rsidRPr="00301D1E">
              <w:rPr>
                <w:sz w:val="20"/>
                <w:lang w:val="fr-CA"/>
              </w:rPr>
              <w:t>Cour supérieure de justice de l’Ontario</w:t>
            </w:r>
          </w:p>
          <w:p w:rsidR="005221C4" w:rsidRPr="00301D1E" w:rsidRDefault="005221C4" w:rsidP="00A866C4">
            <w:pPr>
              <w:jc w:val="both"/>
              <w:rPr>
                <w:sz w:val="20"/>
                <w:lang w:val="fr-CA"/>
              </w:rPr>
            </w:pPr>
            <w:r w:rsidRPr="00301D1E">
              <w:rPr>
                <w:sz w:val="20"/>
                <w:lang w:val="fr-CA"/>
              </w:rPr>
              <w:t xml:space="preserve">(Juge </w:t>
            </w:r>
            <w:proofErr w:type="spellStart"/>
            <w:r w:rsidRPr="00301D1E">
              <w:rPr>
                <w:sz w:val="20"/>
                <w:lang w:val="fr-CA"/>
              </w:rPr>
              <w:t>Akbarali</w:t>
            </w:r>
            <w:proofErr w:type="spellEnd"/>
            <w:r w:rsidRPr="00301D1E">
              <w:rPr>
                <w:sz w:val="20"/>
                <w:lang w:val="fr-CA"/>
              </w:rPr>
              <w:t>)</w:t>
            </w:r>
          </w:p>
          <w:p w:rsidR="005221C4" w:rsidRPr="00301D1E" w:rsidRDefault="00F37A97" w:rsidP="00A866C4">
            <w:pPr>
              <w:jc w:val="both"/>
              <w:rPr>
                <w:rStyle w:val="Hyperlink"/>
                <w:sz w:val="20"/>
                <w:lang w:val="fr-CA"/>
              </w:rPr>
            </w:pPr>
            <w:hyperlink r:id="rId53" w:history="1">
              <w:r w:rsidR="005221C4" w:rsidRPr="00301D1E">
                <w:rPr>
                  <w:rStyle w:val="Hyperlink"/>
                  <w:sz w:val="20"/>
                  <w:lang w:val="fr-CA"/>
                </w:rPr>
                <w:t>2018 ONSC 6519</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Jugement annulant la sentence arbitrale, ordonnant la tenue d’un nouvel arbitrage sur les questions de parentage et rejetant l’appel des dépens sur les questions financières</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23 juillet 2019</w:t>
            </w:r>
          </w:p>
          <w:p w:rsidR="005221C4" w:rsidRPr="00301D1E" w:rsidRDefault="005221C4" w:rsidP="00A866C4">
            <w:pPr>
              <w:jc w:val="both"/>
              <w:rPr>
                <w:sz w:val="20"/>
                <w:lang w:val="fr-CA"/>
              </w:rPr>
            </w:pPr>
            <w:r w:rsidRPr="00301D1E">
              <w:rPr>
                <w:sz w:val="20"/>
                <w:lang w:val="fr-CA"/>
              </w:rPr>
              <w:t>Cour d’appel de l’Ontario</w:t>
            </w:r>
          </w:p>
          <w:p w:rsidR="005221C4" w:rsidRPr="00301D1E" w:rsidRDefault="005221C4" w:rsidP="00A866C4">
            <w:pPr>
              <w:jc w:val="both"/>
              <w:rPr>
                <w:sz w:val="20"/>
                <w:lang w:val="fr-CA"/>
              </w:rPr>
            </w:pPr>
            <w:r w:rsidRPr="00301D1E">
              <w:rPr>
                <w:sz w:val="20"/>
                <w:lang w:val="fr-CA"/>
              </w:rPr>
              <w:t xml:space="preserve">(Juges </w:t>
            </w:r>
            <w:proofErr w:type="spellStart"/>
            <w:r w:rsidRPr="00301D1E">
              <w:rPr>
                <w:sz w:val="20"/>
                <w:lang w:val="fr-CA"/>
              </w:rPr>
              <w:t>Tulloch</w:t>
            </w:r>
            <w:proofErr w:type="spellEnd"/>
            <w:r w:rsidRPr="00301D1E">
              <w:rPr>
                <w:sz w:val="20"/>
                <w:lang w:val="fr-CA"/>
              </w:rPr>
              <w:t xml:space="preserve">, </w:t>
            </w:r>
            <w:proofErr w:type="spellStart"/>
            <w:r w:rsidRPr="00301D1E">
              <w:rPr>
                <w:sz w:val="20"/>
                <w:lang w:val="fr-CA"/>
              </w:rPr>
              <w:t>Benotto</w:t>
            </w:r>
            <w:proofErr w:type="spellEnd"/>
            <w:r w:rsidRPr="00301D1E">
              <w:rPr>
                <w:sz w:val="20"/>
                <w:lang w:val="fr-CA"/>
              </w:rPr>
              <w:t xml:space="preserve"> et </w:t>
            </w:r>
            <w:proofErr w:type="spellStart"/>
            <w:r w:rsidRPr="00301D1E">
              <w:rPr>
                <w:sz w:val="20"/>
                <w:lang w:val="fr-CA"/>
              </w:rPr>
              <w:t>Huscroft</w:t>
            </w:r>
            <w:proofErr w:type="spellEnd"/>
            <w:r w:rsidRPr="00301D1E">
              <w:rPr>
                <w:sz w:val="20"/>
                <w:lang w:val="fr-CA"/>
              </w:rPr>
              <w:t>)</w:t>
            </w:r>
          </w:p>
          <w:p w:rsidR="005221C4" w:rsidRPr="00301D1E" w:rsidRDefault="00F37A97" w:rsidP="00A866C4">
            <w:pPr>
              <w:jc w:val="both"/>
              <w:rPr>
                <w:rStyle w:val="Hyperlink"/>
                <w:sz w:val="20"/>
                <w:lang w:val="fr-CA"/>
              </w:rPr>
            </w:pPr>
            <w:hyperlink r:id="rId54" w:history="1">
              <w:r w:rsidR="005221C4" w:rsidRPr="00301D1E">
                <w:rPr>
                  <w:rStyle w:val="Hyperlink"/>
                  <w:sz w:val="20"/>
                  <w:lang w:val="fr-CA"/>
                </w:rPr>
                <w:t>2019 ONCA 624</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Arrêt accueillant l’appel de la mère et rétablissant la sentence arbitrale</w:t>
            </w:r>
          </w:p>
          <w:p w:rsidR="005221C4" w:rsidRPr="00301D1E" w:rsidRDefault="005221C4" w:rsidP="00A866C4">
            <w:pPr>
              <w:jc w:val="both"/>
              <w:rPr>
                <w:sz w:val="20"/>
                <w:lang w:val="fr-CA"/>
              </w:rPr>
            </w:pP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30 septembre 2019</w:t>
            </w:r>
          </w:p>
          <w:p w:rsidR="005221C4" w:rsidRPr="00301D1E" w:rsidRDefault="005221C4" w:rsidP="00A866C4">
            <w:pPr>
              <w:jc w:val="both"/>
              <w:rPr>
                <w:sz w:val="20"/>
                <w:lang w:val="fr-CA"/>
              </w:rPr>
            </w:pPr>
            <w:r w:rsidRPr="00301D1E">
              <w:rPr>
                <w:sz w:val="20"/>
                <w:lang w:val="fr-CA"/>
              </w:rPr>
              <w:t>Cour suprême du Canada</w:t>
            </w: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Dépôt de la demande d’autorisation d’appel</w:t>
            </w:r>
          </w:p>
          <w:p w:rsidR="005221C4" w:rsidRPr="00301D1E" w:rsidRDefault="005221C4" w:rsidP="00A866C4">
            <w:pPr>
              <w:jc w:val="both"/>
              <w:rPr>
                <w:sz w:val="20"/>
                <w:lang w:val="fr-CA"/>
              </w:rPr>
            </w:pPr>
          </w:p>
        </w:tc>
      </w:tr>
    </w:tbl>
    <w:p w:rsidR="005221C4" w:rsidRPr="00301D1E" w:rsidRDefault="005221C4" w:rsidP="00A866C4">
      <w:pPr>
        <w:jc w:val="both"/>
        <w:rPr>
          <w:sz w:val="20"/>
          <w:lang w:val="fr-CA"/>
        </w:rPr>
      </w:pPr>
    </w:p>
    <w:p w:rsidR="00A37BE5" w:rsidRPr="00301D1E" w:rsidRDefault="00F37A97" w:rsidP="00A866C4">
      <w:pPr>
        <w:jc w:val="both"/>
        <w:rPr>
          <w:sz w:val="20"/>
          <w:lang w:val="fr-CA"/>
        </w:rPr>
      </w:pPr>
      <w:r w:rsidRPr="00301D1E">
        <w:rPr>
          <w:sz w:val="20"/>
        </w:rPr>
        <w:pict>
          <v:rect id="_x0000_i1043" style="width:2in;height:1pt" o:hrpct="0" o:hralign="center" o:hrstd="t" o:hrnoshade="t" o:hr="t" fillcolor="black [3213]" stroked="f"/>
        </w:pict>
      </w:r>
    </w:p>
    <w:p w:rsidR="00600709" w:rsidRPr="00301D1E" w:rsidRDefault="00600709"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rPr>
            </w:pPr>
            <w:r w:rsidRPr="00301D1E">
              <w:rPr>
                <w:rStyle w:val="SCCFileNumberChar"/>
                <w:sz w:val="20"/>
                <w:szCs w:val="20"/>
              </w:rPr>
              <w:t>38792</w:t>
            </w:r>
          </w:p>
        </w:tc>
        <w:tc>
          <w:tcPr>
            <w:tcW w:w="4457" w:type="pct"/>
            <w:gridSpan w:val="3"/>
          </w:tcPr>
          <w:p w:rsidR="005221C4" w:rsidRPr="00301D1E" w:rsidRDefault="005221C4" w:rsidP="00A866C4">
            <w:pPr>
              <w:pStyle w:val="SCCLsocParty"/>
              <w:jc w:val="both"/>
              <w:rPr>
                <w:b/>
                <w:sz w:val="20"/>
                <w:szCs w:val="20"/>
                <w:lang w:val="en-US"/>
              </w:rPr>
            </w:pPr>
            <w:r w:rsidRPr="00301D1E">
              <w:rPr>
                <w:b/>
                <w:sz w:val="20"/>
                <w:szCs w:val="20"/>
                <w:lang w:val="en-US"/>
              </w:rPr>
              <w:t>Kenneth Hill v. Brittany Beaver</w:t>
            </w:r>
          </w:p>
          <w:p w:rsidR="005221C4" w:rsidRPr="00301D1E" w:rsidRDefault="005221C4" w:rsidP="00A866C4">
            <w:pPr>
              <w:jc w:val="both"/>
              <w:rPr>
                <w:sz w:val="20"/>
              </w:rPr>
            </w:pPr>
            <w:r w:rsidRPr="00301D1E">
              <w:rPr>
                <w:sz w:val="20"/>
              </w:rPr>
              <w:t>(Ont.) (Civil) (By Leave)</w:t>
            </w:r>
          </w:p>
        </w:tc>
      </w:tr>
      <w:tr w:rsidR="005221C4" w:rsidRPr="00301D1E" w:rsidTr="00E95A6A">
        <w:tc>
          <w:tcPr>
            <w:tcW w:w="5000" w:type="pct"/>
            <w:gridSpan w:val="4"/>
          </w:tcPr>
          <w:p w:rsidR="005221C4" w:rsidRPr="00301D1E" w:rsidRDefault="005221C4" w:rsidP="00A866C4">
            <w:pPr>
              <w:autoSpaceDE w:val="0"/>
              <w:autoSpaceDN w:val="0"/>
              <w:adjustRightInd w:val="0"/>
              <w:jc w:val="both"/>
              <w:rPr>
                <w:sz w:val="20"/>
              </w:rPr>
            </w:pPr>
            <w:r w:rsidRPr="00301D1E">
              <w:rPr>
                <w:sz w:val="20"/>
              </w:rPr>
              <w:t>Civil procedure — Case management — Aboriginal law — Provincial law of general application — Aboriginal applicant seeking to have case management judge schedule recusal motion before judge who made previous orders — Is main purpose of recusal application to uphold public confidence in integrity of administration of justice? — Should legal test to be applied when determining whether to schedule a hearing to recuse a judge include the perception of informed and reasonable person, who must be deemed to be cognizant of local Aboriginal community and its racial dynamics, traditions, customs and history of conflict and discrimination? — Is refusal to schedule a recusal application a failure to follow the principles of procedural fairness, by indirectly dealing with merits without applying required legal test of the informed and reasonable person? — Should successful recusal application result in a court setting aside all prior orders made by disqualified judge?</w:t>
            </w:r>
          </w:p>
          <w:p w:rsidR="005221C4" w:rsidRPr="00301D1E" w:rsidRDefault="005221C4" w:rsidP="00A866C4">
            <w:pPr>
              <w:autoSpaceDE w:val="0"/>
              <w:autoSpaceDN w:val="0"/>
              <w:adjustRightInd w:val="0"/>
              <w:jc w:val="both"/>
              <w:rPr>
                <w:sz w:val="20"/>
              </w:rPr>
            </w:pPr>
          </w:p>
        </w:tc>
      </w:tr>
      <w:tr w:rsidR="005221C4" w:rsidRPr="00301D1E" w:rsidTr="00E95A6A">
        <w:tc>
          <w:tcPr>
            <w:tcW w:w="5000" w:type="pct"/>
            <w:gridSpan w:val="4"/>
          </w:tcPr>
          <w:p w:rsidR="005221C4" w:rsidRPr="00301D1E" w:rsidRDefault="005221C4" w:rsidP="00A866C4">
            <w:pPr>
              <w:jc w:val="both"/>
              <w:rPr>
                <w:sz w:val="20"/>
              </w:rPr>
            </w:pPr>
            <w:r w:rsidRPr="00301D1E">
              <w:rPr>
                <w:sz w:val="20"/>
                <w:lang w:val="en"/>
              </w:rPr>
              <w:t xml:space="preserve">In late 2015, Ms. Beaver commenced an application against Mr. Hill, pursuant to the </w:t>
            </w:r>
            <w:hyperlink r:id="rId55" w:history="1">
              <w:r w:rsidRPr="00301D1E">
                <w:rPr>
                  <w:i/>
                  <w:iCs/>
                  <w:sz w:val="20"/>
                  <w:lang w:val="en"/>
                </w:rPr>
                <w:t>Family Law Rules</w:t>
              </w:r>
            </w:hyperlink>
            <w:r w:rsidRPr="00301D1E">
              <w:rPr>
                <w:sz w:val="20"/>
                <w:lang w:val="en"/>
              </w:rPr>
              <w:t xml:space="preserve">, seeking relief under the </w:t>
            </w:r>
            <w:hyperlink r:id="rId56" w:history="1">
              <w:r w:rsidRPr="00301D1E">
                <w:rPr>
                  <w:i/>
                  <w:iCs/>
                  <w:sz w:val="20"/>
                  <w:lang w:val="en"/>
                </w:rPr>
                <w:t xml:space="preserve">Family Law Act, </w:t>
              </w:r>
              <w:r w:rsidRPr="00301D1E">
                <w:rPr>
                  <w:sz w:val="20"/>
                  <w:lang w:val="en"/>
                </w:rPr>
                <w:t>R.S.O. 1990, c. F.3</w:t>
              </w:r>
            </w:hyperlink>
            <w:r w:rsidRPr="00301D1E">
              <w:rPr>
                <w:sz w:val="20"/>
                <w:lang w:val="en"/>
              </w:rPr>
              <w:t xml:space="preserve">, and </w:t>
            </w:r>
            <w:hyperlink r:id="rId57" w:history="1">
              <w:r w:rsidRPr="00301D1E">
                <w:rPr>
                  <w:i/>
                  <w:iCs/>
                  <w:sz w:val="20"/>
                  <w:lang w:val="en"/>
                </w:rPr>
                <w:t>Children’s Law Reform Act</w:t>
              </w:r>
              <w:r w:rsidRPr="00301D1E">
                <w:rPr>
                  <w:sz w:val="20"/>
                  <w:lang w:val="en"/>
                </w:rPr>
                <w:t>, R.S.O. 1990, c. C.12</w:t>
              </w:r>
            </w:hyperlink>
            <w:r w:rsidRPr="00301D1E">
              <w:rPr>
                <w:sz w:val="20"/>
                <w:lang w:val="en"/>
              </w:rPr>
              <w:t>. In July 2018, Mr. Hill issued a notice of application for an order to have a certain judge “recuse himself from presiding over any further matters in relation to” Ms. Beaver’s family law proceeding. At a subsequent case conference, the case management judge was asked by Mr. Hill’s counsel to schedule a hearing for the recusal application.</w:t>
            </w:r>
          </w:p>
        </w:tc>
      </w:tr>
      <w:tr w:rsidR="005221C4" w:rsidRPr="00301D1E" w:rsidTr="005E62CE">
        <w:trPr>
          <w:trHeight w:val="211"/>
        </w:trPr>
        <w:tc>
          <w:tcPr>
            <w:tcW w:w="5000" w:type="pct"/>
            <w:gridSpan w:val="4"/>
          </w:tcPr>
          <w:p w:rsidR="005221C4" w:rsidRPr="00301D1E" w:rsidRDefault="005221C4" w:rsidP="005E62CE">
            <w:pPr>
              <w:shd w:val="clear" w:color="auto" w:fill="FFFFFF"/>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November 28, 2018</w:t>
            </w:r>
          </w:p>
          <w:p w:rsidR="005221C4" w:rsidRPr="00301D1E" w:rsidRDefault="005221C4" w:rsidP="00A866C4">
            <w:pPr>
              <w:jc w:val="both"/>
              <w:rPr>
                <w:sz w:val="20"/>
              </w:rPr>
            </w:pPr>
            <w:r w:rsidRPr="00301D1E">
              <w:rPr>
                <w:sz w:val="20"/>
              </w:rPr>
              <w:t>Ontario Superior Court of Justice</w:t>
            </w:r>
          </w:p>
          <w:p w:rsidR="005221C4" w:rsidRPr="00301D1E" w:rsidRDefault="005221C4" w:rsidP="00A866C4">
            <w:pPr>
              <w:jc w:val="both"/>
              <w:rPr>
                <w:sz w:val="20"/>
              </w:rPr>
            </w:pPr>
            <w:r w:rsidRPr="00301D1E">
              <w:rPr>
                <w:sz w:val="20"/>
              </w:rPr>
              <w:t>(Pazaratz J.)</w:t>
            </w:r>
          </w:p>
          <w:p w:rsidR="005221C4" w:rsidRPr="00301D1E" w:rsidRDefault="00F37A97" w:rsidP="00A866C4">
            <w:pPr>
              <w:jc w:val="both"/>
              <w:rPr>
                <w:sz w:val="20"/>
              </w:rPr>
            </w:pPr>
            <w:hyperlink r:id="rId58" w:history="1">
              <w:r w:rsidR="005221C4" w:rsidRPr="00301D1E">
                <w:rPr>
                  <w:rStyle w:val="Hyperlink"/>
                  <w:sz w:val="20"/>
                </w:rPr>
                <w:t>2018 ONSC 7138</w:t>
              </w:r>
            </w:hyperlink>
            <w:r w:rsidR="005221C4" w:rsidRPr="00301D1E">
              <w:rPr>
                <w:sz w:val="20"/>
              </w:rPr>
              <w:t xml:space="preserve"> </w:t>
            </w:r>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Applicant’s motion to schedule recusal motion dismissed without prejudice to motion being returned</w:t>
            </w:r>
          </w:p>
          <w:p w:rsidR="005221C4" w:rsidRPr="00301D1E" w:rsidRDefault="005221C4" w:rsidP="00A866C4">
            <w:pPr>
              <w:jc w:val="both"/>
              <w:rPr>
                <w:sz w:val="20"/>
              </w:rPr>
            </w:pP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June 21, 2019</w:t>
            </w:r>
          </w:p>
          <w:p w:rsidR="005221C4" w:rsidRPr="00301D1E" w:rsidRDefault="005221C4" w:rsidP="00A866C4">
            <w:pPr>
              <w:jc w:val="both"/>
              <w:rPr>
                <w:sz w:val="20"/>
              </w:rPr>
            </w:pPr>
            <w:r w:rsidRPr="00301D1E">
              <w:rPr>
                <w:sz w:val="20"/>
              </w:rPr>
              <w:t>Court of Appeal for Ontario</w:t>
            </w:r>
          </w:p>
          <w:p w:rsidR="005221C4" w:rsidRPr="00301D1E" w:rsidRDefault="005221C4" w:rsidP="00A866C4">
            <w:pPr>
              <w:jc w:val="both"/>
              <w:rPr>
                <w:sz w:val="20"/>
              </w:rPr>
            </w:pPr>
            <w:r w:rsidRPr="00301D1E">
              <w:rPr>
                <w:sz w:val="20"/>
              </w:rPr>
              <w:t>(Brown, Roberts and Miller JJ.A.)</w:t>
            </w:r>
          </w:p>
          <w:p w:rsidR="005221C4" w:rsidRPr="00301D1E" w:rsidRDefault="00F37A97" w:rsidP="00A866C4">
            <w:pPr>
              <w:jc w:val="both"/>
              <w:rPr>
                <w:sz w:val="20"/>
              </w:rPr>
            </w:pPr>
            <w:hyperlink r:id="rId59" w:history="1">
              <w:r w:rsidR="005221C4" w:rsidRPr="00301D1E">
                <w:rPr>
                  <w:rStyle w:val="Hyperlink"/>
                  <w:sz w:val="20"/>
                </w:rPr>
                <w:t>2019 ONCA 520</w:t>
              </w:r>
            </w:hyperlink>
          </w:p>
          <w:p w:rsidR="005221C4" w:rsidRPr="00301D1E" w:rsidRDefault="005221C4" w:rsidP="00A866C4">
            <w:pPr>
              <w:jc w:val="both"/>
              <w:rPr>
                <w:sz w:val="20"/>
              </w:rPr>
            </w:pP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Applicant’s appeal dismissed</w:t>
            </w:r>
          </w:p>
          <w:p w:rsidR="005221C4" w:rsidRPr="00301D1E" w:rsidRDefault="005221C4" w:rsidP="00A866C4">
            <w:pPr>
              <w:jc w:val="both"/>
              <w:rPr>
                <w:sz w:val="20"/>
              </w:rPr>
            </w:pPr>
          </w:p>
        </w:tc>
      </w:tr>
      <w:tr w:rsidR="005221C4" w:rsidRPr="00301D1E" w:rsidTr="00E95A6A">
        <w:tc>
          <w:tcPr>
            <w:tcW w:w="2427" w:type="pct"/>
            <w:gridSpan w:val="2"/>
          </w:tcPr>
          <w:p w:rsidR="005221C4" w:rsidRPr="00301D1E" w:rsidRDefault="005221C4" w:rsidP="00A866C4">
            <w:pPr>
              <w:jc w:val="both"/>
              <w:rPr>
                <w:sz w:val="20"/>
              </w:rPr>
            </w:pPr>
            <w:r w:rsidRPr="00301D1E">
              <w:rPr>
                <w:sz w:val="20"/>
              </w:rPr>
              <w:t>September 6, 2019</w:t>
            </w:r>
          </w:p>
          <w:p w:rsidR="005221C4" w:rsidRPr="00301D1E" w:rsidRDefault="005221C4" w:rsidP="00A866C4">
            <w:pPr>
              <w:jc w:val="both"/>
              <w:rPr>
                <w:sz w:val="20"/>
              </w:rPr>
            </w:pPr>
            <w:r w:rsidRPr="00301D1E">
              <w:rPr>
                <w:sz w:val="20"/>
              </w:rPr>
              <w:t>Supreme Court of Canada</w:t>
            </w:r>
          </w:p>
        </w:tc>
        <w:tc>
          <w:tcPr>
            <w:tcW w:w="243" w:type="pct"/>
          </w:tcPr>
          <w:p w:rsidR="005221C4" w:rsidRPr="00301D1E" w:rsidRDefault="005221C4" w:rsidP="00A866C4">
            <w:pPr>
              <w:jc w:val="both"/>
              <w:rPr>
                <w:sz w:val="20"/>
              </w:rPr>
            </w:pPr>
          </w:p>
        </w:tc>
        <w:tc>
          <w:tcPr>
            <w:tcW w:w="2330" w:type="pct"/>
          </w:tcPr>
          <w:p w:rsidR="005221C4" w:rsidRPr="00301D1E" w:rsidRDefault="005221C4" w:rsidP="00A866C4">
            <w:pPr>
              <w:jc w:val="both"/>
              <w:rPr>
                <w:sz w:val="20"/>
              </w:rPr>
            </w:pPr>
            <w:r w:rsidRPr="00301D1E">
              <w:rPr>
                <w:sz w:val="20"/>
              </w:rPr>
              <w:t>Application for leave to appeal filed</w:t>
            </w:r>
          </w:p>
          <w:p w:rsidR="005221C4" w:rsidRPr="00301D1E" w:rsidRDefault="005221C4" w:rsidP="00A866C4">
            <w:pPr>
              <w:jc w:val="both"/>
              <w:rPr>
                <w:sz w:val="20"/>
              </w:rPr>
            </w:pPr>
          </w:p>
        </w:tc>
      </w:tr>
    </w:tbl>
    <w:p w:rsidR="005221C4" w:rsidRPr="00301D1E" w:rsidRDefault="005221C4" w:rsidP="00A866C4">
      <w:pPr>
        <w:jc w:val="both"/>
        <w:rPr>
          <w:sz w:val="20"/>
        </w:rPr>
      </w:pPr>
    </w:p>
    <w:p w:rsidR="00A37BE5" w:rsidRPr="00301D1E" w:rsidRDefault="00F37A97" w:rsidP="00A866C4">
      <w:pPr>
        <w:jc w:val="both"/>
        <w:rPr>
          <w:sz w:val="20"/>
        </w:rPr>
      </w:pPr>
      <w:r w:rsidRPr="00301D1E">
        <w:rPr>
          <w:sz w:val="20"/>
        </w:rPr>
        <w:pict>
          <v:rect id="_x0000_i1044" style="width:2in;height:1pt" o:hrpct="0" o:hralign="center" o:hrstd="t" o:hrnoshade="t" o:hr="t" fillcolor="black [3213]" stroked="f"/>
        </w:pict>
      </w:r>
    </w:p>
    <w:p w:rsidR="005221C4" w:rsidRPr="00301D1E" w:rsidRDefault="005221C4"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221C4" w:rsidRPr="00301D1E" w:rsidTr="00E95A6A">
        <w:tc>
          <w:tcPr>
            <w:tcW w:w="543" w:type="pct"/>
          </w:tcPr>
          <w:p w:rsidR="005221C4" w:rsidRPr="00301D1E" w:rsidRDefault="005221C4" w:rsidP="00A866C4">
            <w:pPr>
              <w:jc w:val="both"/>
              <w:rPr>
                <w:sz w:val="20"/>
                <w:lang w:val="fr-CA"/>
              </w:rPr>
            </w:pPr>
            <w:r w:rsidRPr="00301D1E">
              <w:rPr>
                <w:rStyle w:val="SCCFileNumberChar"/>
                <w:sz w:val="20"/>
                <w:szCs w:val="20"/>
                <w:lang w:val="fr-CA"/>
              </w:rPr>
              <w:t>38792</w:t>
            </w:r>
          </w:p>
        </w:tc>
        <w:tc>
          <w:tcPr>
            <w:tcW w:w="4457" w:type="pct"/>
            <w:gridSpan w:val="3"/>
          </w:tcPr>
          <w:p w:rsidR="005221C4" w:rsidRPr="00301D1E" w:rsidRDefault="005221C4" w:rsidP="00A866C4">
            <w:pPr>
              <w:pStyle w:val="SCCLsocParty"/>
              <w:jc w:val="both"/>
              <w:rPr>
                <w:b/>
                <w:sz w:val="20"/>
                <w:szCs w:val="20"/>
              </w:rPr>
            </w:pPr>
            <w:r w:rsidRPr="00301D1E">
              <w:rPr>
                <w:b/>
                <w:sz w:val="20"/>
                <w:szCs w:val="20"/>
              </w:rPr>
              <w:t>Kenneth Hill c. Brittany Beaver</w:t>
            </w:r>
          </w:p>
          <w:p w:rsidR="005221C4" w:rsidRPr="00301D1E" w:rsidRDefault="005221C4" w:rsidP="00A866C4">
            <w:pPr>
              <w:jc w:val="both"/>
              <w:rPr>
                <w:sz w:val="20"/>
                <w:lang w:val="fr-CA"/>
              </w:rPr>
            </w:pPr>
            <w:r w:rsidRPr="00301D1E">
              <w:rPr>
                <w:sz w:val="20"/>
                <w:lang w:val="fr-CA"/>
              </w:rPr>
              <w:t>(Ont.) (Civile) (Autorisation)</w:t>
            </w:r>
          </w:p>
        </w:tc>
      </w:tr>
      <w:tr w:rsidR="005221C4" w:rsidRPr="00301D1E" w:rsidTr="00E95A6A">
        <w:tc>
          <w:tcPr>
            <w:tcW w:w="5000" w:type="pct"/>
            <w:gridSpan w:val="4"/>
          </w:tcPr>
          <w:p w:rsidR="005221C4" w:rsidRPr="00301D1E" w:rsidRDefault="005221C4" w:rsidP="00A866C4">
            <w:pPr>
              <w:autoSpaceDE w:val="0"/>
              <w:autoSpaceDN w:val="0"/>
              <w:adjustRightInd w:val="0"/>
              <w:jc w:val="both"/>
              <w:rPr>
                <w:sz w:val="20"/>
                <w:lang w:val="fr-CA"/>
              </w:rPr>
            </w:pPr>
            <w:r w:rsidRPr="00301D1E">
              <w:rPr>
                <w:sz w:val="20"/>
                <w:lang w:val="fr-CA"/>
              </w:rPr>
              <w:t>Procédure civile — Gestion de l’instance — Droit des Autochtones — Loi provinciale d’application générale — Le demandeur autochtone demande que le juge de gestion de l’instance mette au rôle une motion en récusation devant un juge qui a rendu des ordonnances antérieures — L’objectif principal de la demande de récusation consiste</w:t>
            </w:r>
            <w:r w:rsidRPr="00301D1E">
              <w:rPr>
                <w:sz w:val="20"/>
                <w:lang w:val="fr-CA"/>
              </w:rPr>
              <w:noBreakHyphen/>
              <w:t>t</w:t>
            </w:r>
            <w:r w:rsidRPr="00301D1E">
              <w:rPr>
                <w:sz w:val="20"/>
                <w:lang w:val="fr-CA"/>
              </w:rPr>
              <w:noBreakHyphen/>
              <w:t>il à maintenir la confiance du public envers l’intégrité de l’administration de la justice? — Le critère juridique à appliquer lorsqu’il s’agit de déterminer s’il y a lieu de mettre au rôle une audience pour récuser un juge doit</w:t>
            </w:r>
            <w:r w:rsidRPr="00301D1E">
              <w:rPr>
                <w:sz w:val="20"/>
                <w:lang w:val="fr-CA"/>
              </w:rPr>
              <w:noBreakHyphen/>
              <w:t>il comprendre la perception de la personne renseignée et raisonnable qui doit être réputée connaître la communauté autochtone locale et sa dynamique raciale, ses traditions, ses coutumes et ses antécédents de conflit et de discrimination? — Le refus de mettre au rôle une demande de récusation équivaut</w:t>
            </w:r>
            <w:r w:rsidRPr="00301D1E">
              <w:rPr>
                <w:sz w:val="20"/>
                <w:lang w:val="fr-CA"/>
              </w:rPr>
              <w:noBreakHyphen/>
              <w:t>il à un défaut de respecter les principes d’équité procédurale, en traitant indirectement du fond sans appliquer le critère juridique requis, c’est</w:t>
            </w:r>
            <w:r w:rsidRPr="00301D1E">
              <w:rPr>
                <w:sz w:val="20"/>
                <w:lang w:val="fr-CA"/>
              </w:rPr>
              <w:noBreakHyphen/>
              <w:t>à</w:t>
            </w:r>
            <w:r w:rsidRPr="00301D1E">
              <w:rPr>
                <w:sz w:val="20"/>
                <w:lang w:val="fr-CA"/>
              </w:rPr>
              <w:noBreakHyphen/>
              <w:t>dire celui de la personne renseignée et raisonnable? — À la suite d’une demande de récusation accueillie, le tribunal doit</w:t>
            </w:r>
            <w:r w:rsidRPr="00301D1E">
              <w:rPr>
                <w:sz w:val="20"/>
                <w:lang w:val="fr-CA"/>
              </w:rPr>
              <w:noBreakHyphen/>
              <w:t>il annuler toutes les ordonnances antérieures rendues par le juge déclaré inhabile?</w:t>
            </w:r>
          </w:p>
          <w:p w:rsidR="005221C4" w:rsidRPr="00301D1E" w:rsidRDefault="005221C4" w:rsidP="00A866C4">
            <w:pPr>
              <w:autoSpaceDE w:val="0"/>
              <w:autoSpaceDN w:val="0"/>
              <w:adjustRightInd w:val="0"/>
              <w:jc w:val="both"/>
              <w:rPr>
                <w:sz w:val="20"/>
                <w:lang w:val="fr-CA"/>
              </w:rPr>
            </w:pPr>
          </w:p>
        </w:tc>
      </w:tr>
      <w:tr w:rsidR="005221C4" w:rsidRPr="00301D1E" w:rsidTr="00E95A6A">
        <w:tc>
          <w:tcPr>
            <w:tcW w:w="5000" w:type="pct"/>
            <w:gridSpan w:val="4"/>
          </w:tcPr>
          <w:p w:rsidR="005221C4" w:rsidRPr="00301D1E" w:rsidRDefault="005221C4" w:rsidP="00A866C4">
            <w:pPr>
              <w:jc w:val="both"/>
              <w:rPr>
                <w:sz w:val="20"/>
                <w:lang w:val="fr-CA"/>
              </w:rPr>
            </w:pPr>
            <w:r w:rsidRPr="00301D1E">
              <w:rPr>
                <w:sz w:val="20"/>
                <w:lang w:val="fr-CA"/>
              </w:rPr>
              <w:t xml:space="preserve">À la fin de 2015, Mme Beaver a intenté une action contre M. Hill, sous le régime du </w:t>
            </w:r>
            <w:hyperlink r:id="rId60" w:history="1">
              <w:r w:rsidRPr="00301D1E">
                <w:rPr>
                  <w:i/>
                  <w:iCs/>
                  <w:sz w:val="20"/>
                  <w:lang w:val="fr-CA"/>
                </w:rPr>
                <w:t>Règlement</w:t>
              </w:r>
            </w:hyperlink>
            <w:r w:rsidRPr="00301D1E">
              <w:rPr>
                <w:i/>
                <w:iCs/>
                <w:sz w:val="20"/>
                <w:lang w:val="fr-CA"/>
              </w:rPr>
              <w:t xml:space="preserve"> en matière de droit de la famille</w:t>
            </w:r>
            <w:r w:rsidRPr="00301D1E">
              <w:rPr>
                <w:sz w:val="20"/>
                <w:lang w:val="fr-CA"/>
              </w:rPr>
              <w:t xml:space="preserve">, sollicitant une réparation en application de la </w:t>
            </w:r>
            <w:hyperlink r:id="rId61" w:history="1">
              <w:r w:rsidRPr="00301D1E">
                <w:rPr>
                  <w:i/>
                  <w:iCs/>
                  <w:sz w:val="20"/>
                  <w:lang w:val="fr-CA"/>
                </w:rPr>
                <w:t xml:space="preserve">Loi sur le droit de la famille, </w:t>
              </w:r>
              <w:r w:rsidRPr="00301D1E">
                <w:rPr>
                  <w:sz w:val="20"/>
                  <w:lang w:val="fr-CA"/>
                </w:rPr>
                <w:t>L.R.O. 1990, ch. F.3</w:t>
              </w:r>
            </w:hyperlink>
            <w:r w:rsidRPr="00301D1E">
              <w:rPr>
                <w:sz w:val="20"/>
                <w:lang w:val="fr-CA"/>
              </w:rPr>
              <w:t xml:space="preserve">, et de la </w:t>
            </w:r>
            <w:hyperlink r:id="rId62" w:history="1">
              <w:r w:rsidRPr="00301D1E">
                <w:rPr>
                  <w:i/>
                  <w:iCs/>
                  <w:sz w:val="20"/>
                  <w:lang w:val="fr-CA"/>
                </w:rPr>
                <w:t>Loi portant réforme du droit de l’enfance</w:t>
              </w:r>
              <w:r w:rsidRPr="00301D1E">
                <w:rPr>
                  <w:sz w:val="20"/>
                  <w:lang w:val="fr-CA"/>
                </w:rPr>
                <w:t>, L.R.O. 1990, ch. C.12</w:t>
              </w:r>
            </w:hyperlink>
            <w:r w:rsidRPr="00301D1E">
              <w:rPr>
                <w:sz w:val="20"/>
                <w:lang w:val="fr-CA"/>
              </w:rPr>
              <w:t>. En juillet 2018, M. Hill a déposé un avis de demande pour obtenir une ordonnance portant qu’un certain juge [</w:t>
            </w:r>
            <w:r w:rsidRPr="00301D1E">
              <w:rPr>
                <w:smallCaps/>
                <w:sz w:val="20"/>
                <w:lang w:val="fr-CA"/>
              </w:rPr>
              <w:t>traduction</w:t>
            </w:r>
            <w:r w:rsidRPr="00301D1E">
              <w:rPr>
                <w:sz w:val="20"/>
                <w:lang w:val="fr-CA"/>
              </w:rPr>
              <w:t>] « se récuse de présider sur quelque matière que ce soit en lien avec » l’instance en matière familiale de Mme Beaver. À une conférence préparatoire subséquente, l’avocat de M. Hill a demandé au juge chargé de la gestion de l’instance de mettre au rôle une audience pour la demande de récusation.</w:t>
            </w:r>
          </w:p>
        </w:tc>
      </w:tr>
      <w:tr w:rsidR="005221C4" w:rsidRPr="00301D1E" w:rsidTr="00E95A6A">
        <w:tc>
          <w:tcPr>
            <w:tcW w:w="5000" w:type="pct"/>
            <w:gridSpan w:val="4"/>
          </w:tcPr>
          <w:p w:rsidR="005221C4" w:rsidRPr="00301D1E" w:rsidRDefault="005221C4" w:rsidP="005E62CE">
            <w:pPr>
              <w:shd w:val="clear" w:color="auto" w:fill="FFFFFF"/>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28 novembre 2018</w:t>
            </w:r>
          </w:p>
          <w:p w:rsidR="005221C4" w:rsidRPr="00301D1E" w:rsidRDefault="005221C4" w:rsidP="00A866C4">
            <w:pPr>
              <w:jc w:val="both"/>
              <w:rPr>
                <w:sz w:val="20"/>
                <w:lang w:val="fr-CA"/>
              </w:rPr>
            </w:pPr>
            <w:r w:rsidRPr="00301D1E">
              <w:rPr>
                <w:sz w:val="20"/>
                <w:lang w:val="fr-CA"/>
              </w:rPr>
              <w:t>Cour supérieure de justice de l’Ontario</w:t>
            </w:r>
          </w:p>
          <w:p w:rsidR="005221C4" w:rsidRPr="00301D1E" w:rsidRDefault="005221C4" w:rsidP="00A866C4">
            <w:pPr>
              <w:jc w:val="both"/>
              <w:rPr>
                <w:sz w:val="20"/>
                <w:lang w:val="fr-CA"/>
              </w:rPr>
            </w:pPr>
            <w:r w:rsidRPr="00301D1E">
              <w:rPr>
                <w:sz w:val="20"/>
                <w:lang w:val="fr-CA"/>
              </w:rPr>
              <w:t>(Juge Pazaratz)</w:t>
            </w:r>
          </w:p>
          <w:p w:rsidR="005221C4" w:rsidRPr="00301D1E" w:rsidRDefault="00F37A97" w:rsidP="00A866C4">
            <w:pPr>
              <w:jc w:val="both"/>
              <w:rPr>
                <w:sz w:val="20"/>
                <w:lang w:val="fr-CA"/>
              </w:rPr>
            </w:pPr>
            <w:hyperlink r:id="rId63" w:history="1">
              <w:r w:rsidR="005221C4" w:rsidRPr="00301D1E">
                <w:rPr>
                  <w:rStyle w:val="Hyperlink"/>
                  <w:sz w:val="20"/>
                  <w:lang w:val="fr-CA"/>
                </w:rPr>
                <w:t>2018 ONSC 7138</w:t>
              </w:r>
            </w:hyperlink>
            <w:r w:rsidR="005221C4" w:rsidRPr="00301D1E">
              <w:rPr>
                <w:sz w:val="20"/>
                <w:lang w:val="fr-CA"/>
              </w:rPr>
              <w:t xml:space="preserve"> </w:t>
            </w:r>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Rejet de la motion de l’intimée pour mettre au rôle la motion en récusation sous réserve de la possibilité de présenter de nouveau la motion</w:t>
            </w:r>
          </w:p>
          <w:p w:rsidR="005221C4" w:rsidRPr="00301D1E" w:rsidRDefault="005221C4" w:rsidP="00A866C4">
            <w:pPr>
              <w:jc w:val="both"/>
              <w:rPr>
                <w:sz w:val="20"/>
                <w:lang w:val="fr-CA"/>
              </w:rPr>
            </w:pP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21 juin 2019</w:t>
            </w:r>
          </w:p>
          <w:p w:rsidR="005221C4" w:rsidRPr="00301D1E" w:rsidRDefault="005221C4" w:rsidP="00A866C4">
            <w:pPr>
              <w:jc w:val="both"/>
              <w:rPr>
                <w:sz w:val="20"/>
                <w:lang w:val="fr-CA"/>
              </w:rPr>
            </w:pPr>
            <w:r w:rsidRPr="00301D1E">
              <w:rPr>
                <w:sz w:val="20"/>
                <w:lang w:val="fr-CA"/>
              </w:rPr>
              <w:t>Cour d’appel de l’Ontario</w:t>
            </w:r>
          </w:p>
          <w:p w:rsidR="005221C4" w:rsidRPr="00301D1E" w:rsidRDefault="005221C4" w:rsidP="00A866C4">
            <w:pPr>
              <w:jc w:val="both"/>
              <w:rPr>
                <w:sz w:val="20"/>
                <w:lang w:val="fr-CA"/>
              </w:rPr>
            </w:pPr>
            <w:r w:rsidRPr="00301D1E">
              <w:rPr>
                <w:sz w:val="20"/>
                <w:lang w:val="fr-CA"/>
              </w:rPr>
              <w:t>(Juges Brown, Roberts et Miller)</w:t>
            </w:r>
          </w:p>
          <w:p w:rsidR="005221C4" w:rsidRPr="00301D1E" w:rsidRDefault="00F37A97" w:rsidP="00A866C4">
            <w:pPr>
              <w:jc w:val="both"/>
              <w:rPr>
                <w:sz w:val="20"/>
                <w:lang w:val="fr-CA"/>
              </w:rPr>
            </w:pPr>
            <w:hyperlink r:id="rId64" w:history="1">
              <w:r w:rsidR="005221C4" w:rsidRPr="00301D1E">
                <w:rPr>
                  <w:rStyle w:val="Hyperlink"/>
                  <w:sz w:val="20"/>
                  <w:lang w:val="fr-CA"/>
                </w:rPr>
                <w:t>2019 ONCA 520</w:t>
              </w:r>
            </w:hyperlink>
          </w:p>
          <w:p w:rsidR="005221C4" w:rsidRPr="00301D1E" w:rsidRDefault="005221C4" w:rsidP="00A866C4">
            <w:pPr>
              <w:jc w:val="both"/>
              <w:rPr>
                <w:sz w:val="20"/>
                <w:lang w:val="fr-CA"/>
              </w:rPr>
            </w:pP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Rejet de l’appel du demandeur</w:t>
            </w:r>
          </w:p>
          <w:p w:rsidR="005221C4" w:rsidRPr="00301D1E" w:rsidRDefault="005221C4" w:rsidP="00A866C4">
            <w:pPr>
              <w:jc w:val="both"/>
              <w:rPr>
                <w:sz w:val="20"/>
                <w:lang w:val="fr-CA"/>
              </w:rPr>
            </w:pPr>
          </w:p>
        </w:tc>
      </w:tr>
      <w:tr w:rsidR="005221C4" w:rsidRPr="00301D1E" w:rsidTr="00E95A6A">
        <w:tc>
          <w:tcPr>
            <w:tcW w:w="2427" w:type="pct"/>
            <w:gridSpan w:val="2"/>
          </w:tcPr>
          <w:p w:rsidR="005221C4" w:rsidRPr="00301D1E" w:rsidRDefault="005221C4" w:rsidP="00A866C4">
            <w:pPr>
              <w:jc w:val="both"/>
              <w:rPr>
                <w:sz w:val="20"/>
                <w:lang w:val="fr-CA"/>
              </w:rPr>
            </w:pPr>
            <w:r w:rsidRPr="00301D1E">
              <w:rPr>
                <w:sz w:val="20"/>
                <w:lang w:val="fr-CA"/>
              </w:rPr>
              <w:t>6 septembre 2019</w:t>
            </w:r>
          </w:p>
          <w:p w:rsidR="005221C4" w:rsidRPr="00301D1E" w:rsidRDefault="005221C4" w:rsidP="00A866C4">
            <w:pPr>
              <w:jc w:val="both"/>
              <w:rPr>
                <w:sz w:val="20"/>
                <w:lang w:val="fr-CA"/>
              </w:rPr>
            </w:pPr>
            <w:r w:rsidRPr="00301D1E">
              <w:rPr>
                <w:sz w:val="20"/>
                <w:lang w:val="fr-CA"/>
              </w:rPr>
              <w:t>Cour suprême du Canada</w:t>
            </w:r>
          </w:p>
        </w:tc>
        <w:tc>
          <w:tcPr>
            <w:tcW w:w="243" w:type="pct"/>
          </w:tcPr>
          <w:p w:rsidR="005221C4" w:rsidRPr="00301D1E" w:rsidRDefault="005221C4" w:rsidP="00A866C4">
            <w:pPr>
              <w:jc w:val="both"/>
              <w:rPr>
                <w:sz w:val="20"/>
                <w:lang w:val="fr-CA"/>
              </w:rPr>
            </w:pPr>
          </w:p>
        </w:tc>
        <w:tc>
          <w:tcPr>
            <w:tcW w:w="2330" w:type="pct"/>
          </w:tcPr>
          <w:p w:rsidR="005221C4" w:rsidRPr="00301D1E" w:rsidRDefault="005221C4" w:rsidP="00A866C4">
            <w:pPr>
              <w:jc w:val="both"/>
              <w:rPr>
                <w:sz w:val="20"/>
                <w:lang w:val="fr-CA"/>
              </w:rPr>
            </w:pPr>
            <w:r w:rsidRPr="00301D1E">
              <w:rPr>
                <w:sz w:val="20"/>
                <w:lang w:val="fr-CA"/>
              </w:rPr>
              <w:t>Dépôt de la demande d’autorisation d’appel</w:t>
            </w:r>
          </w:p>
          <w:p w:rsidR="005221C4" w:rsidRPr="00301D1E" w:rsidRDefault="005221C4" w:rsidP="00A866C4">
            <w:pPr>
              <w:jc w:val="both"/>
              <w:rPr>
                <w:sz w:val="20"/>
                <w:lang w:val="fr-CA"/>
              </w:rPr>
            </w:pPr>
          </w:p>
        </w:tc>
      </w:tr>
    </w:tbl>
    <w:p w:rsidR="005221C4" w:rsidRPr="00301D1E" w:rsidRDefault="005221C4" w:rsidP="00A866C4">
      <w:pPr>
        <w:jc w:val="both"/>
        <w:rPr>
          <w:sz w:val="20"/>
          <w:lang w:val="fr-CA"/>
        </w:rPr>
      </w:pPr>
    </w:p>
    <w:p w:rsidR="00A37BE5" w:rsidRPr="00301D1E" w:rsidRDefault="00F37A97" w:rsidP="00A866C4">
      <w:pPr>
        <w:jc w:val="both"/>
        <w:rPr>
          <w:sz w:val="20"/>
          <w:lang w:val="fr-CA"/>
        </w:rPr>
      </w:pPr>
      <w:r w:rsidRPr="00301D1E">
        <w:rPr>
          <w:sz w:val="20"/>
        </w:rPr>
        <w:pict>
          <v:rect id="_x0000_i1045" style="width:2in;height:1pt" o:hrpct="0" o:hralign="center" o:hrstd="t" o:hrnoshade="t" o:hr="t" fillcolor="black [3213]" stroked="f"/>
        </w:pict>
      </w:r>
    </w:p>
    <w:p w:rsidR="005221C4" w:rsidRPr="00301D1E" w:rsidRDefault="005221C4" w:rsidP="000179A6">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179A6" w:rsidRPr="00301D1E" w:rsidTr="00A53DFB">
        <w:trPr>
          <w:gridAfter w:val="1"/>
          <w:wAfter w:w="48" w:type="pct"/>
        </w:trPr>
        <w:tc>
          <w:tcPr>
            <w:tcW w:w="538" w:type="pct"/>
          </w:tcPr>
          <w:p w:rsidR="000179A6" w:rsidRPr="00301D1E" w:rsidRDefault="000179A6" w:rsidP="000179A6">
            <w:pPr>
              <w:jc w:val="both"/>
              <w:rPr>
                <w:sz w:val="20"/>
              </w:rPr>
            </w:pPr>
            <w:r w:rsidRPr="00301D1E">
              <w:rPr>
                <w:rStyle w:val="SCCFileNumberChar"/>
                <w:sz w:val="20"/>
                <w:szCs w:val="20"/>
              </w:rPr>
              <w:t>38706</w:t>
            </w:r>
          </w:p>
        </w:tc>
        <w:tc>
          <w:tcPr>
            <w:tcW w:w="4414" w:type="pct"/>
            <w:gridSpan w:val="3"/>
          </w:tcPr>
          <w:p w:rsidR="000179A6" w:rsidRPr="00301D1E" w:rsidRDefault="000179A6" w:rsidP="000179A6">
            <w:pPr>
              <w:pStyle w:val="SCCLsocParty"/>
              <w:jc w:val="both"/>
              <w:rPr>
                <w:b/>
                <w:sz w:val="20"/>
                <w:szCs w:val="20"/>
                <w:lang w:val="en-US"/>
              </w:rPr>
            </w:pPr>
            <w:r w:rsidRPr="00301D1E">
              <w:rPr>
                <w:b/>
                <w:sz w:val="20"/>
                <w:szCs w:val="20"/>
                <w:lang w:val="en-US"/>
              </w:rPr>
              <w:t>Roger Townsend v. Her Majesty the Queen</w:t>
            </w:r>
          </w:p>
          <w:p w:rsidR="000179A6" w:rsidRPr="00301D1E" w:rsidRDefault="000179A6" w:rsidP="000179A6">
            <w:pPr>
              <w:jc w:val="both"/>
              <w:rPr>
                <w:sz w:val="20"/>
              </w:rPr>
            </w:pPr>
            <w:r w:rsidRPr="00301D1E">
              <w:rPr>
                <w:sz w:val="20"/>
              </w:rPr>
              <w:t>(Ont.) (Criminal) (By Leave)</w:t>
            </w:r>
          </w:p>
        </w:tc>
      </w:tr>
      <w:tr w:rsidR="000179A6" w:rsidRPr="00301D1E" w:rsidTr="00A53DFB">
        <w:trPr>
          <w:gridAfter w:val="1"/>
          <w:wAfter w:w="48" w:type="pct"/>
        </w:trPr>
        <w:tc>
          <w:tcPr>
            <w:tcW w:w="4952" w:type="pct"/>
            <w:gridSpan w:val="4"/>
          </w:tcPr>
          <w:p w:rsidR="000179A6" w:rsidRPr="00301D1E" w:rsidRDefault="000179A6" w:rsidP="000179A6">
            <w:pPr>
              <w:jc w:val="both"/>
              <w:rPr>
                <w:sz w:val="20"/>
              </w:rPr>
            </w:pPr>
            <w:r w:rsidRPr="00301D1E">
              <w:rPr>
                <w:i/>
                <w:sz w:val="20"/>
              </w:rPr>
              <w:t>Charter of Rights</w:t>
            </w:r>
            <w:r w:rsidRPr="00301D1E">
              <w:rPr>
                <w:sz w:val="20"/>
              </w:rPr>
              <w:t xml:space="preserve"> – Right to a fair trial – Applicant’s application for legal aid denied – Whether the applicant’s right to adequate legal representation was infringed – Whether the applicant’s constitutional right to a fair trial was infringed – Whether the assistance of counsel is essential to a fair criminal trial – s. 11(d) of the </w:t>
            </w:r>
            <w:r w:rsidRPr="00301D1E">
              <w:rPr>
                <w:i/>
                <w:sz w:val="20"/>
              </w:rPr>
              <w:t>Charter of Rights and Freedoms</w:t>
            </w:r>
            <w:r w:rsidRPr="00301D1E">
              <w:rPr>
                <w:sz w:val="20"/>
              </w:rPr>
              <w:t>.</w:t>
            </w:r>
          </w:p>
          <w:p w:rsidR="000179A6" w:rsidRPr="00301D1E" w:rsidRDefault="000179A6" w:rsidP="000179A6">
            <w:pPr>
              <w:jc w:val="both"/>
              <w:rPr>
                <w:sz w:val="20"/>
              </w:rPr>
            </w:pPr>
          </w:p>
        </w:tc>
      </w:tr>
      <w:tr w:rsidR="000179A6" w:rsidRPr="00301D1E" w:rsidTr="00A53DFB">
        <w:trPr>
          <w:gridAfter w:val="1"/>
          <w:wAfter w:w="48" w:type="pct"/>
        </w:trPr>
        <w:tc>
          <w:tcPr>
            <w:tcW w:w="4952" w:type="pct"/>
            <w:gridSpan w:val="4"/>
          </w:tcPr>
          <w:p w:rsidR="000179A6" w:rsidRPr="00301D1E" w:rsidRDefault="000179A6" w:rsidP="000179A6">
            <w:pPr>
              <w:jc w:val="both"/>
              <w:rPr>
                <w:sz w:val="20"/>
              </w:rPr>
            </w:pPr>
            <w:r w:rsidRPr="00301D1E">
              <w:rPr>
                <w:sz w:val="20"/>
              </w:rPr>
              <w:t>The applicant and his wife were married in 2004. They had one son together. They had a very tumultuous relationship. The wife brought a motion for a restraining order. A motions judge granted the restraining order. The applicant was convicted of two counts of breaching a court order, and one count of criminal harassment. The applicant’s appeal was dismissed. The applicant’s motion for leave to appeal was dismissed by the Court of Appeal.</w:t>
            </w:r>
          </w:p>
        </w:tc>
      </w:tr>
      <w:tr w:rsidR="000179A6" w:rsidRPr="00301D1E" w:rsidTr="00A53DFB">
        <w:trPr>
          <w:gridAfter w:val="1"/>
          <w:wAfter w:w="48" w:type="pct"/>
        </w:trPr>
        <w:tc>
          <w:tcPr>
            <w:tcW w:w="4952" w:type="pct"/>
            <w:gridSpan w:val="4"/>
          </w:tcPr>
          <w:p w:rsidR="000179A6" w:rsidRPr="00301D1E" w:rsidRDefault="000179A6" w:rsidP="000179A6">
            <w:pPr>
              <w:jc w:val="both"/>
              <w:rPr>
                <w:sz w:val="20"/>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rPr>
            </w:pPr>
            <w:r w:rsidRPr="00301D1E">
              <w:rPr>
                <w:sz w:val="20"/>
              </w:rPr>
              <w:t>March 3, 2015</w:t>
            </w:r>
          </w:p>
          <w:p w:rsidR="000179A6" w:rsidRPr="00301D1E" w:rsidRDefault="000179A6" w:rsidP="000179A6">
            <w:pPr>
              <w:jc w:val="both"/>
              <w:rPr>
                <w:sz w:val="20"/>
              </w:rPr>
            </w:pPr>
            <w:r w:rsidRPr="00301D1E">
              <w:rPr>
                <w:sz w:val="20"/>
              </w:rPr>
              <w:t>Ontario Court of Justice</w:t>
            </w:r>
          </w:p>
          <w:p w:rsidR="000179A6" w:rsidRPr="00301D1E" w:rsidRDefault="000179A6" w:rsidP="000179A6">
            <w:pPr>
              <w:jc w:val="both"/>
              <w:rPr>
                <w:sz w:val="20"/>
              </w:rPr>
            </w:pPr>
            <w:r w:rsidRPr="00301D1E">
              <w:rPr>
                <w:sz w:val="20"/>
              </w:rPr>
              <w:t xml:space="preserve">(Lahaie J.) </w:t>
            </w:r>
          </w:p>
          <w:p w:rsidR="000179A6" w:rsidRPr="00301D1E" w:rsidRDefault="000179A6" w:rsidP="000179A6">
            <w:pPr>
              <w:jc w:val="both"/>
              <w:rPr>
                <w:sz w:val="20"/>
              </w:rPr>
            </w:pPr>
            <w:r w:rsidRPr="00301D1E">
              <w:rPr>
                <w:sz w:val="20"/>
              </w:rPr>
              <w:t>(unreported)</w:t>
            </w:r>
          </w:p>
          <w:p w:rsidR="000179A6" w:rsidRPr="00301D1E" w:rsidRDefault="000179A6" w:rsidP="000179A6">
            <w:pPr>
              <w:jc w:val="both"/>
              <w:rPr>
                <w:sz w:val="20"/>
              </w:rPr>
            </w:pPr>
          </w:p>
        </w:tc>
        <w:tc>
          <w:tcPr>
            <w:tcW w:w="267" w:type="pct"/>
          </w:tcPr>
          <w:p w:rsidR="000179A6" w:rsidRPr="00301D1E" w:rsidRDefault="000179A6" w:rsidP="000179A6">
            <w:pPr>
              <w:jc w:val="both"/>
              <w:rPr>
                <w:sz w:val="20"/>
              </w:rPr>
            </w:pPr>
          </w:p>
        </w:tc>
        <w:tc>
          <w:tcPr>
            <w:tcW w:w="2366" w:type="pct"/>
            <w:gridSpan w:val="2"/>
          </w:tcPr>
          <w:p w:rsidR="000179A6" w:rsidRPr="00301D1E" w:rsidRDefault="000179A6" w:rsidP="000179A6">
            <w:pPr>
              <w:jc w:val="both"/>
              <w:rPr>
                <w:sz w:val="20"/>
              </w:rPr>
            </w:pPr>
            <w:r w:rsidRPr="00301D1E">
              <w:rPr>
                <w:sz w:val="20"/>
              </w:rPr>
              <w:t>Convictions: two counts of breaching a court order, one count of criminal harassment</w:t>
            </w:r>
          </w:p>
          <w:p w:rsidR="000179A6" w:rsidRPr="00301D1E" w:rsidRDefault="000179A6" w:rsidP="000179A6">
            <w:pPr>
              <w:jc w:val="both"/>
              <w:rPr>
                <w:sz w:val="20"/>
              </w:rPr>
            </w:pPr>
          </w:p>
          <w:p w:rsidR="000179A6" w:rsidRPr="00301D1E" w:rsidRDefault="000179A6" w:rsidP="000179A6">
            <w:pPr>
              <w:jc w:val="both"/>
              <w:rPr>
                <w:sz w:val="20"/>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rPr>
            </w:pPr>
            <w:r w:rsidRPr="00301D1E">
              <w:rPr>
                <w:sz w:val="20"/>
              </w:rPr>
              <w:t>April 10, 2017</w:t>
            </w:r>
          </w:p>
          <w:p w:rsidR="000179A6" w:rsidRPr="00301D1E" w:rsidRDefault="000179A6" w:rsidP="000179A6">
            <w:pPr>
              <w:jc w:val="both"/>
              <w:rPr>
                <w:sz w:val="20"/>
              </w:rPr>
            </w:pPr>
            <w:r w:rsidRPr="00301D1E">
              <w:rPr>
                <w:sz w:val="20"/>
              </w:rPr>
              <w:t>Ontario Superior Court of Justice</w:t>
            </w:r>
          </w:p>
          <w:p w:rsidR="000179A6" w:rsidRPr="00301D1E" w:rsidRDefault="000179A6" w:rsidP="000179A6">
            <w:pPr>
              <w:jc w:val="both"/>
              <w:rPr>
                <w:sz w:val="20"/>
              </w:rPr>
            </w:pPr>
            <w:r w:rsidRPr="00301D1E">
              <w:rPr>
                <w:sz w:val="20"/>
              </w:rPr>
              <w:t>(Parfett J.)</w:t>
            </w:r>
          </w:p>
          <w:p w:rsidR="000179A6" w:rsidRPr="00301D1E" w:rsidRDefault="000179A6" w:rsidP="000179A6">
            <w:pPr>
              <w:jc w:val="both"/>
              <w:rPr>
                <w:sz w:val="20"/>
              </w:rPr>
            </w:pPr>
            <w:r w:rsidRPr="00301D1E">
              <w:rPr>
                <w:sz w:val="20"/>
              </w:rPr>
              <w:t>2017 ONSC 5920 (unreported)</w:t>
            </w:r>
          </w:p>
          <w:p w:rsidR="000179A6" w:rsidRPr="00301D1E" w:rsidRDefault="000179A6" w:rsidP="000179A6">
            <w:pPr>
              <w:jc w:val="both"/>
              <w:rPr>
                <w:sz w:val="20"/>
              </w:rPr>
            </w:pPr>
          </w:p>
        </w:tc>
        <w:tc>
          <w:tcPr>
            <w:tcW w:w="267" w:type="pct"/>
          </w:tcPr>
          <w:p w:rsidR="000179A6" w:rsidRPr="00301D1E" w:rsidRDefault="000179A6" w:rsidP="000179A6">
            <w:pPr>
              <w:jc w:val="both"/>
              <w:rPr>
                <w:sz w:val="20"/>
              </w:rPr>
            </w:pPr>
          </w:p>
        </w:tc>
        <w:tc>
          <w:tcPr>
            <w:tcW w:w="2366" w:type="pct"/>
            <w:gridSpan w:val="2"/>
          </w:tcPr>
          <w:p w:rsidR="000179A6" w:rsidRPr="00301D1E" w:rsidRDefault="000179A6" w:rsidP="000179A6">
            <w:pPr>
              <w:jc w:val="both"/>
              <w:rPr>
                <w:sz w:val="20"/>
              </w:rPr>
            </w:pPr>
            <w:r w:rsidRPr="00301D1E">
              <w:rPr>
                <w:sz w:val="20"/>
              </w:rPr>
              <w:t>Appeal dismissed</w:t>
            </w:r>
          </w:p>
          <w:p w:rsidR="000179A6" w:rsidRPr="00301D1E" w:rsidRDefault="000179A6" w:rsidP="000179A6">
            <w:pPr>
              <w:jc w:val="both"/>
              <w:rPr>
                <w:sz w:val="20"/>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rPr>
            </w:pPr>
            <w:r w:rsidRPr="00301D1E">
              <w:rPr>
                <w:sz w:val="20"/>
              </w:rPr>
              <w:t>April 4, 2018</w:t>
            </w:r>
          </w:p>
          <w:p w:rsidR="000179A6" w:rsidRPr="00301D1E" w:rsidRDefault="000179A6" w:rsidP="000179A6">
            <w:pPr>
              <w:jc w:val="both"/>
              <w:rPr>
                <w:sz w:val="20"/>
              </w:rPr>
            </w:pPr>
            <w:r w:rsidRPr="00301D1E">
              <w:rPr>
                <w:sz w:val="20"/>
              </w:rPr>
              <w:t>Court of Appeal for Ontario</w:t>
            </w:r>
          </w:p>
          <w:p w:rsidR="000179A6" w:rsidRPr="00301D1E" w:rsidRDefault="000179A6" w:rsidP="000179A6">
            <w:pPr>
              <w:jc w:val="both"/>
              <w:rPr>
                <w:sz w:val="20"/>
              </w:rPr>
            </w:pPr>
            <w:r w:rsidRPr="00301D1E">
              <w:rPr>
                <w:sz w:val="20"/>
              </w:rPr>
              <w:t>(Doherty, van Rensburg, Nordheimer JJ.A.)</w:t>
            </w:r>
          </w:p>
          <w:p w:rsidR="000179A6" w:rsidRPr="00301D1E" w:rsidRDefault="000179A6" w:rsidP="000179A6">
            <w:pPr>
              <w:jc w:val="both"/>
              <w:rPr>
                <w:sz w:val="20"/>
              </w:rPr>
            </w:pPr>
            <w:r w:rsidRPr="00301D1E">
              <w:rPr>
                <w:sz w:val="20"/>
              </w:rPr>
              <w:t>M48477</w:t>
            </w:r>
          </w:p>
          <w:p w:rsidR="000179A6" w:rsidRPr="00301D1E" w:rsidRDefault="000179A6" w:rsidP="000179A6">
            <w:pPr>
              <w:jc w:val="both"/>
              <w:rPr>
                <w:sz w:val="20"/>
              </w:rPr>
            </w:pPr>
            <w:r w:rsidRPr="00301D1E">
              <w:rPr>
                <w:sz w:val="20"/>
              </w:rPr>
              <w:t>(unreported)</w:t>
            </w:r>
          </w:p>
          <w:p w:rsidR="000179A6" w:rsidRPr="00301D1E" w:rsidRDefault="000179A6" w:rsidP="000179A6">
            <w:pPr>
              <w:jc w:val="both"/>
              <w:rPr>
                <w:sz w:val="20"/>
              </w:rPr>
            </w:pPr>
          </w:p>
        </w:tc>
        <w:tc>
          <w:tcPr>
            <w:tcW w:w="267" w:type="pct"/>
          </w:tcPr>
          <w:p w:rsidR="000179A6" w:rsidRPr="00301D1E" w:rsidRDefault="000179A6" w:rsidP="000179A6">
            <w:pPr>
              <w:jc w:val="both"/>
              <w:rPr>
                <w:sz w:val="20"/>
              </w:rPr>
            </w:pPr>
          </w:p>
        </w:tc>
        <w:tc>
          <w:tcPr>
            <w:tcW w:w="2366" w:type="pct"/>
            <w:gridSpan w:val="2"/>
          </w:tcPr>
          <w:p w:rsidR="000179A6" w:rsidRPr="00301D1E" w:rsidRDefault="000179A6" w:rsidP="000179A6">
            <w:pPr>
              <w:jc w:val="both"/>
              <w:rPr>
                <w:sz w:val="20"/>
              </w:rPr>
            </w:pPr>
            <w:r w:rsidRPr="00301D1E">
              <w:rPr>
                <w:sz w:val="20"/>
              </w:rPr>
              <w:t>Motion for leave to appeal dismissed</w:t>
            </w:r>
          </w:p>
          <w:p w:rsidR="000179A6" w:rsidRPr="00301D1E" w:rsidRDefault="000179A6" w:rsidP="000179A6">
            <w:pPr>
              <w:jc w:val="both"/>
              <w:rPr>
                <w:sz w:val="20"/>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rPr>
            </w:pPr>
            <w:r w:rsidRPr="00301D1E">
              <w:rPr>
                <w:sz w:val="20"/>
              </w:rPr>
              <w:t>May 28, 2018</w:t>
            </w:r>
          </w:p>
          <w:p w:rsidR="000179A6" w:rsidRPr="00301D1E" w:rsidRDefault="000179A6" w:rsidP="000179A6">
            <w:pPr>
              <w:jc w:val="both"/>
              <w:rPr>
                <w:sz w:val="20"/>
              </w:rPr>
            </w:pPr>
            <w:r w:rsidRPr="00301D1E">
              <w:rPr>
                <w:sz w:val="20"/>
              </w:rPr>
              <w:t>Supreme Court of Canada</w:t>
            </w:r>
          </w:p>
        </w:tc>
        <w:tc>
          <w:tcPr>
            <w:tcW w:w="267" w:type="pct"/>
          </w:tcPr>
          <w:p w:rsidR="000179A6" w:rsidRPr="00301D1E" w:rsidRDefault="000179A6" w:rsidP="000179A6">
            <w:pPr>
              <w:jc w:val="both"/>
              <w:rPr>
                <w:sz w:val="20"/>
              </w:rPr>
            </w:pPr>
          </w:p>
        </w:tc>
        <w:tc>
          <w:tcPr>
            <w:tcW w:w="2366" w:type="pct"/>
            <w:gridSpan w:val="2"/>
          </w:tcPr>
          <w:p w:rsidR="000179A6" w:rsidRPr="00301D1E" w:rsidRDefault="000179A6" w:rsidP="000179A6">
            <w:pPr>
              <w:jc w:val="both"/>
              <w:rPr>
                <w:sz w:val="20"/>
              </w:rPr>
            </w:pPr>
            <w:r w:rsidRPr="00301D1E">
              <w:rPr>
                <w:sz w:val="20"/>
              </w:rPr>
              <w:t>Motion to appoint counsel and adduce evidence and application for leave to appeal filed</w:t>
            </w:r>
          </w:p>
        </w:tc>
      </w:tr>
    </w:tbl>
    <w:p w:rsidR="000179A6" w:rsidRPr="00301D1E" w:rsidRDefault="000179A6" w:rsidP="000179A6">
      <w:pPr>
        <w:jc w:val="both"/>
        <w:rPr>
          <w:sz w:val="20"/>
          <w:lang w:eastAsia="en-CA"/>
        </w:rPr>
      </w:pPr>
    </w:p>
    <w:p w:rsidR="000179A6" w:rsidRPr="00301D1E" w:rsidRDefault="00F37A97" w:rsidP="000179A6">
      <w:pPr>
        <w:jc w:val="both"/>
        <w:rPr>
          <w:sz w:val="20"/>
        </w:rPr>
      </w:pPr>
      <w:r w:rsidRPr="00301D1E">
        <w:rPr>
          <w:sz w:val="20"/>
        </w:rPr>
        <w:pict>
          <v:rect id="_x0000_i1046" style="width:2in;height:1pt" o:hrpct="0" o:hralign="center" o:hrstd="t" o:hrnoshade="t" o:hr="t" fillcolor="black [3213]" stroked="f"/>
        </w:pict>
      </w:r>
    </w:p>
    <w:p w:rsidR="000179A6" w:rsidRPr="00301D1E" w:rsidRDefault="000179A6" w:rsidP="000179A6">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179A6" w:rsidRPr="00301D1E" w:rsidTr="00A53DFB">
        <w:trPr>
          <w:gridAfter w:val="1"/>
          <w:wAfter w:w="48" w:type="pct"/>
        </w:trPr>
        <w:tc>
          <w:tcPr>
            <w:tcW w:w="538" w:type="pct"/>
          </w:tcPr>
          <w:p w:rsidR="000179A6" w:rsidRPr="00301D1E" w:rsidRDefault="000179A6" w:rsidP="000179A6">
            <w:pPr>
              <w:jc w:val="both"/>
              <w:rPr>
                <w:sz w:val="20"/>
                <w:lang w:val="fr-CA"/>
              </w:rPr>
            </w:pPr>
            <w:r w:rsidRPr="00301D1E">
              <w:rPr>
                <w:rStyle w:val="SCCFileNumberChar"/>
                <w:sz w:val="20"/>
                <w:szCs w:val="20"/>
                <w:lang w:val="fr-CA"/>
              </w:rPr>
              <w:t>38706</w:t>
            </w:r>
          </w:p>
        </w:tc>
        <w:tc>
          <w:tcPr>
            <w:tcW w:w="4414" w:type="pct"/>
            <w:gridSpan w:val="3"/>
          </w:tcPr>
          <w:p w:rsidR="000179A6" w:rsidRPr="00301D1E" w:rsidRDefault="000179A6" w:rsidP="000179A6">
            <w:pPr>
              <w:pStyle w:val="SCCLsocParty"/>
              <w:jc w:val="both"/>
              <w:rPr>
                <w:b/>
                <w:sz w:val="20"/>
                <w:szCs w:val="20"/>
              </w:rPr>
            </w:pPr>
            <w:r w:rsidRPr="00301D1E">
              <w:rPr>
                <w:b/>
                <w:sz w:val="20"/>
                <w:szCs w:val="20"/>
              </w:rPr>
              <w:t>Roger Townsend c. Sa Majesté la Reine</w:t>
            </w:r>
          </w:p>
          <w:p w:rsidR="000179A6" w:rsidRPr="00301D1E" w:rsidRDefault="000179A6" w:rsidP="000179A6">
            <w:pPr>
              <w:jc w:val="both"/>
              <w:rPr>
                <w:sz w:val="20"/>
                <w:lang w:val="fr-CA"/>
              </w:rPr>
            </w:pPr>
            <w:r w:rsidRPr="00301D1E">
              <w:rPr>
                <w:sz w:val="20"/>
                <w:lang w:val="fr-CA"/>
              </w:rPr>
              <w:t>(Ont.) (Criminelle) (Sur autorisation)</w:t>
            </w:r>
          </w:p>
        </w:tc>
      </w:tr>
      <w:tr w:rsidR="000179A6" w:rsidRPr="00301D1E" w:rsidTr="00A53DFB">
        <w:trPr>
          <w:gridAfter w:val="1"/>
          <w:wAfter w:w="48" w:type="pct"/>
        </w:trPr>
        <w:tc>
          <w:tcPr>
            <w:tcW w:w="4952" w:type="pct"/>
            <w:gridSpan w:val="4"/>
          </w:tcPr>
          <w:p w:rsidR="000179A6" w:rsidRPr="00301D1E" w:rsidRDefault="000179A6" w:rsidP="000179A6">
            <w:pPr>
              <w:jc w:val="both"/>
              <w:rPr>
                <w:sz w:val="20"/>
                <w:lang w:val="fr-CA"/>
              </w:rPr>
            </w:pPr>
            <w:r w:rsidRPr="00301D1E">
              <w:rPr>
                <w:i/>
                <w:sz w:val="20"/>
                <w:lang w:val="fr-CA"/>
              </w:rPr>
              <w:t>Charte des droits</w:t>
            </w:r>
            <w:r w:rsidRPr="00301D1E">
              <w:rPr>
                <w:sz w:val="20"/>
                <w:lang w:val="fr-CA"/>
              </w:rPr>
              <w:t xml:space="preserve"> — Procès équitable — Demande d’aide juridique du demandeur rejetée — Y a</w:t>
            </w:r>
            <w:r w:rsidRPr="00301D1E">
              <w:rPr>
                <w:sz w:val="20"/>
                <w:lang w:val="fr-CA"/>
              </w:rPr>
              <w:noBreakHyphen/>
              <w:t>t</w:t>
            </w:r>
            <w:r w:rsidRPr="00301D1E">
              <w:rPr>
                <w:sz w:val="20"/>
                <w:lang w:val="fr-CA"/>
              </w:rPr>
              <w:noBreakHyphen/>
              <w:t>il eu atteinte au droit du demandeur d’être représenté adéquatement par un avocat? — Y a</w:t>
            </w:r>
            <w:r w:rsidRPr="00301D1E">
              <w:rPr>
                <w:sz w:val="20"/>
                <w:lang w:val="fr-CA"/>
              </w:rPr>
              <w:noBreakHyphen/>
              <w:t>t</w:t>
            </w:r>
            <w:r w:rsidRPr="00301D1E">
              <w:rPr>
                <w:sz w:val="20"/>
                <w:lang w:val="fr-CA"/>
              </w:rPr>
              <w:noBreakHyphen/>
              <w:t>il eu atteinte au droit constitutionnel du demandeur à un procès équitable? — L’assistance d’un avocat est</w:t>
            </w:r>
            <w:r w:rsidRPr="00301D1E">
              <w:rPr>
                <w:sz w:val="20"/>
                <w:lang w:val="fr-CA"/>
              </w:rPr>
              <w:noBreakHyphen/>
              <w:t xml:space="preserve">elle essentielle à un procès pénal équitable? — Art. 11d) de la </w:t>
            </w:r>
            <w:r w:rsidRPr="00301D1E">
              <w:rPr>
                <w:i/>
                <w:sz w:val="20"/>
                <w:lang w:val="fr-CA"/>
              </w:rPr>
              <w:t>Charte canadienne des droits et libertés</w:t>
            </w:r>
            <w:r w:rsidRPr="00301D1E">
              <w:rPr>
                <w:sz w:val="20"/>
                <w:lang w:val="fr-CA"/>
              </w:rPr>
              <w:t>.</w:t>
            </w:r>
          </w:p>
          <w:p w:rsidR="000179A6" w:rsidRPr="00301D1E" w:rsidRDefault="000179A6" w:rsidP="000179A6">
            <w:pPr>
              <w:jc w:val="both"/>
              <w:rPr>
                <w:sz w:val="20"/>
                <w:lang w:val="fr-CA"/>
              </w:rPr>
            </w:pPr>
          </w:p>
        </w:tc>
      </w:tr>
      <w:tr w:rsidR="000179A6" w:rsidRPr="00301D1E" w:rsidTr="00A53DFB">
        <w:trPr>
          <w:gridAfter w:val="1"/>
          <w:wAfter w:w="48" w:type="pct"/>
        </w:trPr>
        <w:tc>
          <w:tcPr>
            <w:tcW w:w="4952" w:type="pct"/>
            <w:gridSpan w:val="4"/>
          </w:tcPr>
          <w:p w:rsidR="000179A6" w:rsidRPr="00301D1E" w:rsidRDefault="000179A6" w:rsidP="000179A6">
            <w:pPr>
              <w:jc w:val="both"/>
              <w:rPr>
                <w:sz w:val="20"/>
                <w:lang w:val="fr-CA"/>
              </w:rPr>
            </w:pPr>
            <w:r w:rsidRPr="00301D1E">
              <w:rPr>
                <w:sz w:val="20"/>
                <w:lang w:val="fr-CA"/>
              </w:rPr>
              <w:t>Le demandeur et sa femme se sont mariés en 2004 et ils ont eu un fils ensemble. Leur relation était très tumultueuse. L’épouse a présenté une requête afin d’obtenir une ordonnance de non</w:t>
            </w:r>
            <w:r w:rsidRPr="00301D1E">
              <w:rPr>
                <w:sz w:val="20"/>
                <w:lang w:val="fr-CA"/>
              </w:rPr>
              <w:noBreakHyphen/>
              <w:t>communication, que le juge des requêtes a accordée. Le demandeur a été déclaré coupable de deux chefs d’accusation de violation d’une ordonnance judiciaire et d’un chef de harcèlement criminel. L’appel du demandeur a été rejeté. La Cour d’appel a rejeté sa demande d’autorisation d’appel.</w:t>
            </w:r>
          </w:p>
        </w:tc>
      </w:tr>
      <w:tr w:rsidR="000179A6" w:rsidRPr="00301D1E" w:rsidTr="00A53DFB">
        <w:trPr>
          <w:gridAfter w:val="1"/>
          <w:wAfter w:w="48" w:type="pct"/>
        </w:trPr>
        <w:tc>
          <w:tcPr>
            <w:tcW w:w="4952" w:type="pct"/>
            <w:gridSpan w:val="4"/>
          </w:tcPr>
          <w:p w:rsidR="000179A6" w:rsidRPr="00301D1E" w:rsidRDefault="000179A6" w:rsidP="000179A6">
            <w:pPr>
              <w:jc w:val="both"/>
              <w:rPr>
                <w:sz w:val="20"/>
                <w:lang w:val="fr-CA"/>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lang w:val="fr-CA"/>
              </w:rPr>
            </w:pPr>
            <w:r w:rsidRPr="00301D1E">
              <w:rPr>
                <w:sz w:val="20"/>
                <w:lang w:val="fr-CA"/>
              </w:rPr>
              <w:t>3 mars 2015</w:t>
            </w:r>
          </w:p>
          <w:p w:rsidR="000179A6" w:rsidRPr="00301D1E" w:rsidRDefault="000179A6" w:rsidP="000179A6">
            <w:pPr>
              <w:jc w:val="both"/>
              <w:rPr>
                <w:sz w:val="20"/>
                <w:lang w:val="fr-CA"/>
              </w:rPr>
            </w:pPr>
            <w:r w:rsidRPr="00301D1E">
              <w:rPr>
                <w:sz w:val="20"/>
                <w:lang w:val="fr-CA"/>
              </w:rPr>
              <w:t>Cour de justice de l’Ontario</w:t>
            </w:r>
          </w:p>
          <w:p w:rsidR="000179A6" w:rsidRPr="00301D1E" w:rsidRDefault="000179A6" w:rsidP="000179A6">
            <w:pPr>
              <w:jc w:val="both"/>
              <w:rPr>
                <w:sz w:val="20"/>
                <w:lang w:val="fr-CA"/>
              </w:rPr>
            </w:pPr>
            <w:r w:rsidRPr="00301D1E">
              <w:rPr>
                <w:sz w:val="20"/>
                <w:lang w:val="fr-CA"/>
              </w:rPr>
              <w:t xml:space="preserve">(Juge </w:t>
            </w:r>
            <w:proofErr w:type="spellStart"/>
            <w:r w:rsidRPr="00301D1E">
              <w:rPr>
                <w:sz w:val="20"/>
                <w:lang w:val="fr-CA"/>
              </w:rPr>
              <w:t>Lahaie</w:t>
            </w:r>
            <w:proofErr w:type="spellEnd"/>
            <w:r w:rsidRPr="00301D1E">
              <w:rPr>
                <w:sz w:val="20"/>
                <w:lang w:val="fr-CA"/>
              </w:rPr>
              <w:t>)</w:t>
            </w:r>
          </w:p>
          <w:p w:rsidR="000179A6" w:rsidRPr="00301D1E" w:rsidRDefault="000179A6" w:rsidP="000179A6">
            <w:pPr>
              <w:jc w:val="both"/>
              <w:rPr>
                <w:sz w:val="20"/>
                <w:lang w:val="fr-CA"/>
              </w:rPr>
            </w:pPr>
            <w:r w:rsidRPr="00301D1E">
              <w:rPr>
                <w:sz w:val="20"/>
                <w:lang w:val="fr-CA"/>
              </w:rPr>
              <w:t>(non publié)</w:t>
            </w:r>
          </w:p>
          <w:p w:rsidR="000179A6" w:rsidRPr="00301D1E" w:rsidRDefault="000179A6" w:rsidP="000179A6">
            <w:pPr>
              <w:jc w:val="both"/>
              <w:rPr>
                <w:sz w:val="20"/>
                <w:lang w:val="fr-CA"/>
              </w:rPr>
            </w:pPr>
          </w:p>
        </w:tc>
        <w:tc>
          <w:tcPr>
            <w:tcW w:w="267" w:type="pct"/>
          </w:tcPr>
          <w:p w:rsidR="000179A6" w:rsidRPr="00301D1E" w:rsidRDefault="000179A6" w:rsidP="000179A6">
            <w:pPr>
              <w:jc w:val="both"/>
              <w:rPr>
                <w:sz w:val="20"/>
                <w:lang w:val="fr-CA"/>
              </w:rPr>
            </w:pPr>
          </w:p>
        </w:tc>
        <w:tc>
          <w:tcPr>
            <w:tcW w:w="2366" w:type="pct"/>
            <w:gridSpan w:val="2"/>
          </w:tcPr>
          <w:p w:rsidR="000179A6" w:rsidRPr="00301D1E" w:rsidRDefault="000179A6" w:rsidP="000179A6">
            <w:pPr>
              <w:jc w:val="both"/>
              <w:rPr>
                <w:sz w:val="20"/>
                <w:lang w:val="fr-CA"/>
              </w:rPr>
            </w:pPr>
            <w:r w:rsidRPr="00301D1E">
              <w:rPr>
                <w:sz w:val="20"/>
                <w:lang w:val="fr-CA"/>
              </w:rPr>
              <w:t xml:space="preserve">Déclarations de culpabilité : deux chefs de violation d’une ordonnance judiciaire et un chef de harcèlement criminel </w:t>
            </w:r>
          </w:p>
          <w:p w:rsidR="000179A6" w:rsidRPr="00301D1E" w:rsidRDefault="000179A6" w:rsidP="000179A6">
            <w:pPr>
              <w:jc w:val="both"/>
              <w:rPr>
                <w:sz w:val="20"/>
                <w:lang w:val="fr-CA"/>
              </w:rPr>
            </w:pPr>
          </w:p>
          <w:p w:rsidR="000179A6" w:rsidRPr="00301D1E" w:rsidRDefault="000179A6" w:rsidP="000179A6">
            <w:pPr>
              <w:jc w:val="both"/>
              <w:rPr>
                <w:sz w:val="20"/>
                <w:lang w:val="fr-CA"/>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lang w:val="fr-CA"/>
              </w:rPr>
            </w:pPr>
            <w:r w:rsidRPr="00301D1E">
              <w:rPr>
                <w:sz w:val="20"/>
                <w:lang w:val="fr-CA"/>
              </w:rPr>
              <w:t>10 avril 2017</w:t>
            </w:r>
          </w:p>
          <w:p w:rsidR="000179A6" w:rsidRPr="00301D1E" w:rsidRDefault="000179A6" w:rsidP="000179A6">
            <w:pPr>
              <w:jc w:val="both"/>
              <w:rPr>
                <w:sz w:val="20"/>
                <w:lang w:val="fr-CA"/>
              </w:rPr>
            </w:pPr>
            <w:r w:rsidRPr="00301D1E">
              <w:rPr>
                <w:sz w:val="20"/>
                <w:lang w:val="fr-CA"/>
              </w:rPr>
              <w:t>Cour supérieure de justice de l’Ontario</w:t>
            </w:r>
          </w:p>
          <w:p w:rsidR="000179A6" w:rsidRPr="00301D1E" w:rsidRDefault="000179A6" w:rsidP="000179A6">
            <w:pPr>
              <w:jc w:val="both"/>
              <w:rPr>
                <w:sz w:val="20"/>
                <w:lang w:val="fr-CA"/>
              </w:rPr>
            </w:pPr>
            <w:r w:rsidRPr="00301D1E">
              <w:rPr>
                <w:sz w:val="20"/>
                <w:lang w:val="fr-CA"/>
              </w:rPr>
              <w:t xml:space="preserve">(Juge </w:t>
            </w:r>
            <w:proofErr w:type="spellStart"/>
            <w:r w:rsidRPr="00301D1E">
              <w:rPr>
                <w:sz w:val="20"/>
                <w:lang w:val="fr-CA"/>
              </w:rPr>
              <w:t>Parfett</w:t>
            </w:r>
            <w:proofErr w:type="spellEnd"/>
            <w:r w:rsidRPr="00301D1E">
              <w:rPr>
                <w:sz w:val="20"/>
                <w:lang w:val="fr-CA"/>
              </w:rPr>
              <w:t>)</w:t>
            </w:r>
          </w:p>
          <w:p w:rsidR="000179A6" w:rsidRPr="00301D1E" w:rsidRDefault="000179A6" w:rsidP="000179A6">
            <w:pPr>
              <w:jc w:val="both"/>
              <w:rPr>
                <w:sz w:val="20"/>
                <w:lang w:val="fr-CA"/>
              </w:rPr>
            </w:pPr>
            <w:r w:rsidRPr="00301D1E">
              <w:rPr>
                <w:sz w:val="20"/>
                <w:lang w:val="fr-CA"/>
              </w:rPr>
              <w:t>2017 ONSC 5920 (non publié)</w:t>
            </w:r>
          </w:p>
          <w:p w:rsidR="000179A6" w:rsidRPr="00301D1E" w:rsidRDefault="000179A6" w:rsidP="000179A6">
            <w:pPr>
              <w:jc w:val="both"/>
              <w:rPr>
                <w:sz w:val="20"/>
                <w:lang w:val="fr-CA"/>
              </w:rPr>
            </w:pPr>
          </w:p>
        </w:tc>
        <w:tc>
          <w:tcPr>
            <w:tcW w:w="267" w:type="pct"/>
          </w:tcPr>
          <w:p w:rsidR="000179A6" w:rsidRPr="00301D1E" w:rsidRDefault="000179A6" w:rsidP="000179A6">
            <w:pPr>
              <w:jc w:val="both"/>
              <w:rPr>
                <w:sz w:val="20"/>
                <w:lang w:val="fr-CA"/>
              </w:rPr>
            </w:pPr>
          </w:p>
        </w:tc>
        <w:tc>
          <w:tcPr>
            <w:tcW w:w="2366" w:type="pct"/>
            <w:gridSpan w:val="2"/>
          </w:tcPr>
          <w:p w:rsidR="000179A6" w:rsidRPr="00301D1E" w:rsidRDefault="000179A6" w:rsidP="000179A6">
            <w:pPr>
              <w:jc w:val="both"/>
              <w:rPr>
                <w:sz w:val="20"/>
                <w:lang w:val="fr-CA"/>
              </w:rPr>
            </w:pPr>
            <w:r w:rsidRPr="00301D1E">
              <w:rPr>
                <w:sz w:val="20"/>
                <w:lang w:val="fr-CA"/>
              </w:rPr>
              <w:t>Rejet de l’appel</w:t>
            </w:r>
          </w:p>
          <w:p w:rsidR="000179A6" w:rsidRPr="00301D1E" w:rsidRDefault="000179A6" w:rsidP="000179A6">
            <w:pPr>
              <w:jc w:val="both"/>
              <w:rPr>
                <w:sz w:val="20"/>
                <w:lang w:val="fr-CA"/>
              </w:rPr>
            </w:pPr>
          </w:p>
        </w:tc>
      </w:tr>
      <w:tr w:rsidR="000179A6" w:rsidRPr="00301D1E" w:rsidTr="00A53DFB">
        <w:tblPrEx>
          <w:tblCellMar>
            <w:bottom w:w="0" w:type="dxa"/>
          </w:tblCellMar>
        </w:tblPrEx>
        <w:tc>
          <w:tcPr>
            <w:tcW w:w="2367" w:type="pct"/>
            <w:gridSpan w:val="2"/>
          </w:tcPr>
          <w:p w:rsidR="000179A6" w:rsidRPr="00301D1E" w:rsidRDefault="000179A6" w:rsidP="000179A6">
            <w:pPr>
              <w:jc w:val="both"/>
              <w:rPr>
                <w:sz w:val="20"/>
                <w:lang w:val="fr-CA"/>
              </w:rPr>
            </w:pPr>
            <w:r w:rsidRPr="00301D1E">
              <w:rPr>
                <w:sz w:val="20"/>
                <w:lang w:val="fr-CA"/>
              </w:rPr>
              <w:t>4 avril 2018</w:t>
            </w:r>
          </w:p>
          <w:p w:rsidR="000179A6" w:rsidRPr="00301D1E" w:rsidRDefault="000179A6" w:rsidP="000179A6">
            <w:pPr>
              <w:jc w:val="both"/>
              <w:rPr>
                <w:sz w:val="20"/>
                <w:lang w:val="fr-CA"/>
              </w:rPr>
            </w:pPr>
            <w:r w:rsidRPr="00301D1E">
              <w:rPr>
                <w:sz w:val="20"/>
                <w:lang w:val="fr-CA"/>
              </w:rPr>
              <w:t>Cour d’appel de l’Ontario</w:t>
            </w:r>
          </w:p>
          <w:p w:rsidR="000179A6" w:rsidRPr="00301D1E" w:rsidRDefault="000179A6" w:rsidP="000179A6">
            <w:pPr>
              <w:jc w:val="both"/>
              <w:rPr>
                <w:sz w:val="20"/>
                <w:lang w:val="fr-CA"/>
              </w:rPr>
            </w:pPr>
            <w:r w:rsidRPr="00301D1E">
              <w:rPr>
                <w:sz w:val="20"/>
                <w:lang w:val="fr-CA"/>
              </w:rPr>
              <w:t xml:space="preserve">(Juges Doherty, van </w:t>
            </w:r>
            <w:proofErr w:type="spellStart"/>
            <w:r w:rsidRPr="00301D1E">
              <w:rPr>
                <w:sz w:val="20"/>
                <w:lang w:val="fr-CA"/>
              </w:rPr>
              <w:t>Rensburg</w:t>
            </w:r>
            <w:proofErr w:type="spellEnd"/>
            <w:r w:rsidRPr="00301D1E">
              <w:rPr>
                <w:sz w:val="20"/>
                <w:lang w:val="fr-CA"/>
              </w:rPr>
              <w:t xml:space="preserve"> et Nordheimer)</w:t>
            </w:r>
          </w:p>
          <w:p w:rsidR="000179A6" w:rsidRPr="00301D1E" w:rsidRDefault="000179A6" w:rsidP="000179A6">
            <w:pPr>
              <w:jc w:val="both"/>
              <w:rPr>
                <w:sz w:val="20"/>
                <w:lang w:val="fr-CA"/>
              </w:rPr>
            </w:pPr>
            <w:r w:rsidRPr="00301D1E">
              <w:rPr>
                <w:sz w:val="20"/>
                <w:lang w:val="fr-CA"/>
              </w:rPr>
              <w:t>M48477</w:t>
            </w:r>
          </w:p>
          <w:p w:rsidR="000179A6" w:rsidRPr="00301D1E" w:rsidRDefault="000179A6" w:rsidP="000179A6">
            <w:pPr>
              <w:jc w:val="both"/>
              <w:rPr>
                <w:sz w:val="20"/>
                <w:lang w:val="fr-CA"/>
              </w:rPr>
            </w:pPr>
            <w:r w:rsidRPr="00301D1E">
              <w:rPr>
                <w:sz w:val="20"/>
                <w:lang w:val="fr-CA"/>
              </w:rPr>
              <w:t>(non publié)</w:t>
            </w:r>
          </w:p>
          <w:p w:rsidR="000179A6" w:rsidRPr="00301D1E" w:rsidRDefault="000179A6" w:rsidP="000179A6">
            <w:pPr>
              <w:jc w:val="both"/>
              <w:rPr>
                <w:sz w:val="20"/>
                <w:lang w:val="fr-CA"/>
              </w:rPr>
            </w:pPr>
          </w:p>
        </w:tc>
        <w:tc>
          <w:tcPr>
            <w:tcW w:w="267" w:type="pct"/>
          </w:tcPr>
          <w:p w:rsidR="000179A6" w:rsidRPr="00301D1E" w:rsidRDefault="000179A6" w:rsidP="000179A6">
            <w:pPr>
              <w:jc w:val="both"/>
              <w:rPr>
                <w:sz w:val="20"/>
                <w:lang w:val="fr-CA"/>
              </w:rPr>
            </w:pPr>
          </w:p>
        </w:tc>
        <w:tc>
          <w:tcPr>
            <w:tcW w:w="2366" w:type="pct"/>
            <w:gridSpan w:val="2"/>
          </w:tcPr>
          <w:p w:rsidR="000179A6" w:rsidRPr="00301D1E" w:rsidRDefault="000179A6" w:rsidP="000179A6">
            <w:pPr>
              <w:jc w:val="both"/>
              <w:rPr>
                <w:sz w:val="20"/>
                <w:lang w:val="fr-CA"/>
              </w:rPr>
            </w:pPr>
            <w:r w:rsidRPr="00301D1E">
              <w:rPr>
                <w:sz w:val="20"/>
                <w:lang w:val="fr-CA"/>
              </w:rPr>
              <w:t>Rejet de la demande d’autorisation d’appel</w:t>
            </w:r>
          </w:p>
          <w:p w:rsidR="000179A6" w:rsidRPr="00301D1E" w:rsidRDefault="000179A6" w:rsidP="000179A6">
            <w:pPr>
              <w:jc w:val="both"/>
              <w:rPr>
                <w:sz w:val="20"/>
                <w:lang w:val="fr-CA"/>
              </w:rPr>
            </w:pPr>
          </w:p>
        </w:tc>
      </w:tr>
      <w:tr w:rsidR="000179A6" w:rsidRPr="00301D1E" w:rsidTr="00301D1E">
        <w:tblPrEx>
          <w:tblCellMar>
            <w:bottom w:w="0" w:type="dxa"/>
          </w:tblCellMar>
        </w:tblPrEx>
        <w:trPr>
          <w:trHeight w:val="778"/>
        </w:trPr>
        <w:tc>
          <w:tcPr>
            <w:tcW w:w="2367" w:type="pct"/>
            <w:gridSpan w:val="2"/>
          </w:tcPr>
          <w:p w:rsidR="000179A6" w:rsidRPr="00301D1E" w:rsidRDefault="000179A6" w:rsidP="000179A6">
            <w:pPr>
              <w:jc w:val="both"/>
              <w:rPr>
                <w:sz w:val="20"/>
                <w:lang w:val="fr-CA"/>
              </w:rPr>
            </w:pPr>
            <w:r w:rsidRPr="00301D1E">
              <w:rPr>
                <w:sz w:val="20"/>
                <w:lang w:val="fr-CA"/>
              </w:rPr>
              <w:t>May 28, 2018</w:t>
            </w:r>
          </w:p>
          <w:p w:rsidR="000179A6" w:rsidRPr="00301D1E" w:rsidRDefault="000179A6" w:rsidP="000179A6">
            <w:pPr>
              <w:jc w:val="both"/>
              <w:rPr>
                <w:sz w:val="20"/>
                <w:lang w:val="fr-CA"/>
              </w:rPr>
            </w:pPr>
            <w:r w:rsidRPr="00301D1E">
              <w:rPr>
                <w:sz w:val="20"/>
                <w:lang w:val="fr-CA"/>
              </w:rPr>
              <w:t>Cour suprême du Canada</w:t>
            </w:r>
          </w:p>
        </w:tc>
        <w:tc>
          <w:tcPr>
            <w:tcW w:w="267" w:type="pct"/>
          </w:tcPr>
          <w:p w:rsidR="000179A6" w:rsidRPr="00301D1E" w:rsidRDefault="000179A6" w:rsidP="000179A6">
            <w:pPr>
              <w:jc w:val="both"/>
              <w:rPr>
                <w:sz w:val="20"/>
                <w:lang w:val="fr-CA"/>
              </w:rPr>
            </w:pPr>
          </w:p>
        </w:tc>
        <w:tc>
          <w:tcPr>
            <w:tcW w:w="2366" w:type="pct"/>
            <w:gridSpan w:val="2"/>
          </w:tcPr>
          <w:p w:rsidR="000179A6" w:rsidRPr="00301D1E" w:rsidRDefault="000179A6" w:rsidP="000179A6">
            <w:pPr>
              <w:jc w:val="both"/>
              <w:rPr>
                <w:sz w:val="20"/>
                <w:lang w:val="fr-CA"/>
              </w:rPr>
            </w:pPr>
            <w:r w:rsidRPr="00301D1E">
              <w:rPr>
                <w:sz w:val="20"/>
                <w:lang w:val="fr-CA"/>
              </w:rPr>
              <w:t>Dépôt de la requête en désignation d’un avocat et en production de preuve et de la demande d’autorisation d’appel</w:t>
            </w:r>
          </w:p>
        </w:tc>
      </w:tr>
    </w:tbl>
    <w:p w:rsidR="000179A6" w:rsidRPr="00301D1E" w:rsidRDefault="000179A6" w:rsidP="00A866C4">
      <w:pPr>
        <w:ind w:left="142" w:hanging="142"/>
        <w:jc w:val="both"/>
        <w:rPr>
          <w:sz w:val="20"/>
          <w:lang w:val="fr-CA"/>
        </w:rPr>
      </w:pPr>
    </w:p>
    <w:p w:rsidR="000179A6" w:rsidRPr="00431381" w:rsidRDefault="00F37A97" w:rsidP="00A866C4">
      <w:pPr>
        <w:ind w:left="142" w:hanging="142"/>
        <w:jc w:val="both"/>
        <w:rPr>
          <w:sz w:val="20"/>
          <w:lang w:val="fr-CA"/>
        </w:rPr>
      </w:pPr>
      <w:r w:rsidRPr="00431381">
        <w:rPr>
          <w:sz w:val="20"/>
        </w:rPr>
        <w:pict>
          <v:rect id="_x0000_i1047" style="width:2in;height:1pt" o:hrpct="0" o:hralign="center" o:hrstd="t" o:hrnoshade="t" o:hr="t" fillcolor="black [3213]" stroked="f"/>
        </w:pict>
      </w:r>
    </w:p>
    <w:p w:rsidR="000179A6" w:rsidRPr="00431381" w:rsidRDefault="000179A6"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rPr>
            </w:pPr>
            <w:r w:rsidRPr="00431381">
              <w:rPr>
                <w:rStyle w:val="SCCFileNumberChar"/>
                <w:sz w:val="20"/>
                <w:szCs w:val="20"/>
              </w:rPr>
              <w:t>38809</w:t>
            </w:r>
          </w:p>
        </w:tc>
        <w:tc>
          <w:tcPr>
            <w:tcW w:w="4457" w:type="pct"/>
            <w:gridSpan w:val="3"/>
          </w:tcPr>
          <w:p w:rsidR="00D9526D" w:rsidRPr="00431381" w:rsidRDefault="00D9526D" w:rsidP="00A866C4">
            <w:pPr>
              <w:pStyle w:val="SCCLsocParty"/>
              <w:jc w:val="both"/>
              <w:rPr>
                <w:b/>
                <w:sz w:val="20"/>
                <w:szCs w:val="20"/>
                <w:lang w:val="en-US"/>
              </w:rPr>
            </w:pPr>
            <w:r w:rsidRPr="00431381">
              <w:rPr>
                <w:b/>
                <w:sz w:val="20"/>
                <w:szCs w:val="20"/>
                <w:lang w:val="en-US"/>
              </w:rPr>
              <w:t>Sean Lyndon Horse v. Her Majesty the Queen</w:t>
            </w:r>
          </w:p>
          <w:p w:rsidR="00D9526D" w:rsidRPr="00431381" w:rsidRDefault="00D9526D" w:rsidP="00A866C4">
            <w:pPr>
              <w:jc w:val="both"/>
              <w:rPr>
                <w:sz w:val="20"/>
              </w:rPr>
            </w:pPr>
            <w:r w:rsidRPr="00431381">
              <w:rPr>
                <w:sz w:val="20"/>
              </w:rPr>
              <w:t>(Sask.) (Criminal) (By Leave)</w:t>
            </w:r>
          </w:p>
        </w:tc>
      </w:tr>
      <w:tr w:rsidR="00D9526D" w:rsidRPr="00431381" w:rsidTr="00E95A6A">
        <w:tc>
          <w:tcPr>
            <w:tcW w:w="5000" w:type="pct"/>
            <w:gridSpan w:val="4"/>
          </w:tcPr>
          <w:p w:rsidR="00D9526D" w:rsidRPr="00431381" w:rsidRDefault="00D9526D" w:rsidP="00A866C4">
            <w:pPr>
              <w:jc w:val="both"/>
              <w:rPr>
                <w:sz w:val="20"/>
              </w:rPr>
            </w:pPr>
            <w:r w:rsidRPr="00431381">
              <w:rPr>
                <w:sz w:val="20"/>
              </w:rPr>
              <w:t xml:space="preserve">Criminal law — </w:t>
            </w:r>
            <w:proofErr w:type="spellStart"/>
            <w:r w:rsidRPr="00431381">
              <w:rPr>
                <w:sz w:val="20"/>
              </w:rPr>
              <w:t>Defences</w:t>
            </w:r>
            <w:proofErr w:type="spellEnd"/>
            <w:r w:rsidRPr="00431381">
              <w:rPr>
                <w:sz w:val="20"/>
              </w:rPr>
              <w:t xml:space="preserve"> — Colour of right — Offences — Elements of offence — Theft — Accused allegedly attempting to steal cell phone but asserting belief in right to borrow phone with permission — Trial judge convicting accused of theft, concluding that asserted defence of colour of right was unavailable — Subsequent appeals from conviction dismissed — What is the proper analysis to be used in determining the </w:t>
            </w:r>
            <w:proofErr w:type="spellStart"/>
            <w:r w:rsidRPr="00431381">
              <w:rPr>
                <w:i/>
                <w:sz w:val="20"/>
              </w:rPr>
              <w:t>mens</w:t>
            </w:r>
            <w:proofErr w:type="spellEnd"/>
            <w:r w:rsidRPr="00431381">
              <w:rPr>
                <w:i/>
                <w:sz w:val="20"/>
              </w:rPr>
              <w:t xml:space="preserve"> rea</w:t>
            </w:r>
            <w:r w:rsidRPr="00431381">
              <w:rPr>
                <w:sz w:val="20"/>
              </w:rPr>
              <w:t xml:space="preserve"> for theft? — </w:t>
            </w:r>
            <w:r w:rsidRPr="00431381">
              <w:rPr>
                <w:i/>
                <w:sz w:val="20"/>
              </w:rPr>
              <w:t>Criminal Code</w:t>
            </w:r>
            <w:r w:rsidRPr="00431381">
              <w:rPr>
                <w:sz w:val="20"/>
              </w:rPr>
              <w:t>, R.S.C. 1985, c. C</w:t>
            </w:r>
            <w:r w:rsidRPr="00431381">
              <w:rPr>
                <w:sz w:val="20"/>
              </w:rPr>
              <w:noBreakHyphen/>
              <w:t>46, s. 322.</w:t>
            </w:r>
          </w:p>
        </w:tc>
      </w:tr>
      <w:tr w:rsidR="00D9526D" w:rsidRPr="00431381" w:rsidTr="00E95A6A">
        <w:tc>
          <w:tcPr>
            <w:tcW w:w="5000" w:type="pct"/>
            <w:gridSpan w:val="4"/>
          </w:tcPr>
          <w:p w:rsidR="00D9526D" w:rsidRPr="00431381" w:rsidRDefault="00D9526D" w:rsidP="00A866C4">
            <w:pPr>
              <w:jc w:val="both"/>
              <w:rPr>
                <w:sz w:val="20"/>
              </w:rPr>
            </w:pPr>
          </w:p>
          <w:p w:rsidR="00D9526D" w:rsidRPr="00431381" w:rsidRDefault="00D9526D" w:rsidP="00A866C4">
            <w:pPr>
              <w:jc w:val="both"/>
              <w:rPr>
                <w:sz w:val="20"/>
              </w:rPr>
            </w:pPr>
            <w:r w:rsidRPr="00431381">
              <w:rPr>
                <w:sz w:val="20"/>
              </w:rPr>
              <w:t>On January 4, 2016, the applicant, Mr. Horse, approached the complainant, Mr. Lalonde, asking to borrow his cell phone in an effort to help the applicant find his dog. Mr. Horse then abruptly left with the phone, which he then dropped on the ground nearby. Mr. Horse’s version of the facts suggests that he had heard his dog barking, which prompted him to run away, with the cell phone mistakenly in his hand. When Mr. Horse came to the realization that he still had the cell phone in his possession, he dropped it in close proximity to Mr. Lalonde’s property and apologized. Later that same day, a police officer noticed an individual matching the description of Mr. Horse, and arrested him. Mr. Horse was charged with theft of property of a value not exceeding $5,000.</w:t>
            </w:r>
          </w:p>
        </w:tc>
      </w:tr>
      <w:tr w:rsidR="00D9526D" w:rsidRPr="00431381" w:rsidTr="00E95A6A">
        <w:tc>
          <w:tcPr>
            <w:tcW w:w="5000" w:type="pct"/>
            <w:gridSpan w:val="4"/>
          </w:tcPr>
          <w:p w:rsidR="00D9526D" w:rsidRPr="00431381" w:rsidRDefault="00D9526D" w:rsidP="00A866C4">
            <w:pPr>
              <w:jc w:val="both"/>
              <w:rPr>
                <w:sz w:val="20"/>
              </w:rPr>
            </w:pPr>
            <w:r w:rsidRPr="00431381">
              <w:rPr>
                <w:sz w:val="20"/>
              </w:rPr>
              <w:t>The trial judge convicted Mr. Horse of theft, finding that it was clear that Mr. Horse took the phone away from Mr. Lalonde and left the property with the intention of stealing it. Although Mr. Horse may have had an initial colour of right defence to explain his continued possession of the cell phone while he was on Mr. Lalonde’s property, this alleged defence was no longer available once Mr. Horse ran away with the phone. Mr. Horse’s appeals from his conviction, before the Court of Queen’s Bench and then the Court of Appeal, were dismissed.</w:t>
            </w:r>
          </w:p>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August 31, 2016</w:t>
            </w:r>
          </w:p>
          <w:p w:rsidR="00D9526D" w:rsidRPr="00431381" w:rsidRDefault="00D9526D" w:rsidP="00A866C4">
            <w:pPr>
              <w:jc w:val="both"/>
              <w:rPr>
                <w:sz w:val="20"/>
              </w:rPr>
            </w:pPr>
            <w:r w:rsidRPr="00431381">
              <w:rPr>
                <w:sz w:val="20"/>
              </w:rPr>
              <w:t>Provincial Court of Saskatchewan</w:t>
            </w:r>
          </w:p>
          <w:p w:rsidR="00D9526D" w:rsidRPr="00431381" w:rsidRDefault="00D9526D" w:rsidP="00A866C4">
            <w:pPr>
              <w:jc w:val="both"/>
              <w:rPr>
                <w:sz w:val="20"/>
              </w:rPr>
            </w:pPr>
            <w:r w:rsidRPr="00431381">
              <w:rPr>
                <w:sz w:val="20"/>
              </w:rPr>
              <w:t>(</w:t>
            </w:r>
            <w:proofErr w:type="spellStart"/>
            <w:r w:rsidRPr="00431381">
              <w:rPr>
                <w:sz w:val="20"/>
              </w:rPr>
              <w:t>Dyck</w:t>
            </w:r>
            <w:proofErr w:type="spellEnd"/>
            <w:r w:rsidRPr="00431381">
              <w:rPr>
                <w:sz w:val="20"/>
              </w:rPr>
              <w:t xml:space="preserve"> J.)</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Mr. Horse convicted of theft of property of a value not exceeding $5,000.</w:t>
            </w:r>
          </w:p>
        </w:tc>
      </w:tr>
      <w:tr w:rsidR="00D9526D" w:rsidRPr="00431381" w:rsidTr="00E95A6A">
        <w:tc>
          <w:tcPr>
            <w:tcW w:w="2427" w:type="pct"/>
            <w:gridSpan w:val="2"/>
          </w:tcPr>
          <w:p w:rsidR="00D9526D" w:rsidRPr="00431381" w:rsidRDefault="00D9526D" w:rsidP="00A866C4">
            <w:pPr>
              <w:jc w:val="both"/>
              <w:rPr>
                <w:sz w:val="20"/>
              </w:rPr>
            </w:pPr>
            <w:r w:rsidRPr="00431381">
              <w:rPr>
                <w:sz w:val="20"/>
              </w:rPr>
              <w:t>November 13, 2018</w:t>
            </w:r>
          </w:p>
          <w:p w:rsidR="00D9526D" w:rsidRPr="00431381" w:rsidRDefault="00D9526D" w:rsidP="00A866C4">
            <w:pPr>
              <w:jc w:val="both"/>
              <w:rPr>
                <w:sz w:val="20"/>
              </w:rPr>
            </w:pPr>
            <w:r w:rsidRPr="00431381">
              <w:rPr>
                <w:sz w:val="20"/>
              </w:rPr>
              <w:t>Court of Queen’s Bench of Saskatchewan</w:t>
            </w:r>
          </w:p>
          <w:p w:rsidR="00D9526D" w:rsidRPr="00431381" w:rsidRDefault="00D9526D" w:rsidP="00A866C4">
            <w:pPr>
              <w:jc w:val="both"/>
              <w:rPr>
                <w:sz w:val="20"/>
              </w:rPr>
            </w:pPr>
            <w:r w:rsidRPr="00431381">
              <w:rPr>
                <w:sz w:val="20"/>
              </w:rPr>
              <w:t>(</w:t>
            </w:r>
            <w:proofErr w:type="spellStart"/>
            <w:r w:rsidRPr="00431381">
              <w:rPr>
                <w:sz w:val="20"/>
              </w:rPr>
              <w:t>Zuk</w:t>
            </w:r>
            <w:proofErr w:type="spellEnd"/>
            <w:r w:rsidRPr="00431381">
              <w:rPr>
                <w:sz w:val="20"/>
              </w:rPr>
              <w:t xml:space="preserve"> J.)</w:t>
            </w:r>
          </w:p>
          <w:p w:rsidR="00D9526D" w:rsidRPr="00431381" w:rsidRDefault="00D9526D" w:rsidP="00A866C4">
            <w:pPr>
              <w:jc w:val="both"/>
              <w:rPr>
                <w:sz w:val="20"/>
              </w:rPr>
            </w:pPr>
            <w:r w:rsidRPr="00431381">
              <w:rPr>
                <w:sz w:val="20"/>
              </w:rPr>
              <w:t xml:space="preserve">Neutral citation: </w:t>
            </w:r>
            <w:hyperlink r:id="rId65" w:history="1">
              <w:r w:rsidRPr="00431381">
                <w:rPr>
                  <w:rStyle w:val="Hyperlink"/>
                  <w:sz w:val="20"/>
                </w:rPr>
                <w:t>2018 SKQB 308</w:t>
              </w:r>
            </w:hyperlink>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Mr. Horse’s appeal — dismissed</w:t>
            </w:r>
          </w:p>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June 18, 2019</w:t>
            </w:r>
          </w:p>
          <w:p w:rsidR="00D9526D" w:rsidRPr="00431381" w:rsidRDefault="00D9526D" w:rsidP="00A866C4">
            <w:pPr>
              <w:jc w:val="both"/>
              <w:rPr>
                <w:sz w:val="20"/>
              </w:rPr>
            </w:pPr>
            <w:r w:rsidRPr="00431381">
              <w:rPr>
                <w:sz w:val="20"/>
              </w:rPr>
              <w:t>Court of Appeal for Saskatchewan</w:t>
            </w:r>
          </w:p>
          <w:p w:rsidR="00D9526D" w:rsidRPr="00431381" w:rsidRDefault="00D9526D" w:rsidP="00A866C4">
            <w:pPr>
              <w:jc w:val="both"/>
              <w:rPr>
                <w:sz w:val="20"/>
              </w:rPr>
            </w:pPr>
            <w:r w:rsidRPr="00431381">
              <w:rPr>
                <w:sz w:val="20"/>
              </w:rPr>
              <w:t xml:space="preserve">(Schwann, </w:t>
            </w:r>
            <w:proofErr w:type="spellStart"/>
            <w:r w:rsidRPr="00431381">
              <w:rPr>
                <w:sz w:val="20"/>
              </w:rPr>
              <w:t>Leurer</w:t>
            </w:r>
            <w:proofErr w:type="spellEnd"/>
            <w:r w:rsidRPr="00431381">
              <w:rPr>
                <w:sz w:val="20"/>
              </w:rPr>
              <w:t xml:space="preserve"> and </w:t>
            </w:r>
            <w:proofErr w:type="spellStart"/>
            <w:r w:rsidRPr="00431381">
              <w:rPr>
                <w:sz w:val="20"/>
              </w:rPr>
              <w:t>Tholl</w:t>
            </w:r>
            <w:proofErr w:type="spellEnd"/>
            <w:r w:rsidRPr="00431381">
              <w:rPr>
                <w:sz w:val="20"/>
              </w:rPr>
              <w:t xml:space="preserve"> JJ.A.)</w:t>
            </w:r>
          </w:p>
          <w:p w:rsidR="00D9526D" w:rsidRPr="00431381" w:rsidRDefault="00D9526D" w:rsidP="00A866C4">
            <w:pPr>
              <w:jc w:val="both"/>
              <w:rPr>
                <w:sz w:val="20"/>
              </w:rPr>
            </w:pPr>
            <w:r w:rsidRPr="00431381">
              <w:rPr>
                <w:sz w:val="20"/>
              </w:rPr>
              <w:t xml:space="preserve">Neutral citation: </w:t>
            </w:r>
            <w:hyperlink r:id="rId66" w:history="1">
              <w:r w:rsidRPr="00431381">
                <w:rPr>
                  <w:rStyle w:val="Hyperlink"/>
                  <w:sz w:val="20"/>
                </w:rPr>
                <w:t>2019 SKCA 56</w:t>
              </w:r>
            </w:hyperlink>
            <w:r w:rsidRPr="00431381">
              <w:rPr>
                <w:sz w:val="20"/>
              </w:rPr>
              <w:t xml:space="preserve"> </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Mr. Horse’s further appeal — dismissed</w:t>
            </w:r>
          </w:p>
          <w:p w:rsidR="00D9526D" w:rsidRPr="00431381" w:rsidRDefault="00D9526D" w:rsidP="00A866C4">
            <w:pPr>
              <w:jc w:val="both"/>
              <w:rPr>
                <w:sz w:val="20"/>
              </w:rPr>
            </w:pPr>
          </w:p>
        </w:tc>
      </w:tr>
      <w:tr w:rsidR="00D9526D" w:rsidRPr="00431381" w:rsidTr="008E19BC">
        <w:tc>
          <w:tcPr>
            <w:tcW w:w="2427" w:type="pct"/>
            <w:gridSpan w:val="2"/>
          </w:tcPr>
          <w:p w:rsidR="00D9526D" w:rsidRPr="00431381" w:rsidRDefault="00D9526D" w:rsidP="00A866C4">
            <w:pPr>
              <w:jc w:val="both"/>
              <w:rPr>
                <w:sz w:val="20"/>
              </w:rPr>
            </w:pPr>
            <w:r w:rsidRPr="00431381">
              <w:rPr>
                <w:sz w:val="20"/>
              </w:rPr>
              <w:t>September 20, 2019</w:t>
            </w:r>
          </w:p>
          <w:p w:rsidR="00D9526D" w:rsidRPr="00431381" w:rsidRDefault="00D9526D" w:rsidP="00A866C4">
            <w:pPr>
              <w:jc w:val="both"/>
              <w:rPr>
                <w:sz w:val="20"/>
              </w:rPr>
            </w:pPr>
            <w:r w:rsidRPr="00431381">
              <w:rPr>
                <w:sz w:val="20"/>
              </w:rPr>
              <w:t>Supreme Court of Canada</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Motion for extension of time in which to serve and file application for leave to appeal, and application for leave to appeal, filed</w:t>
            </w:r>
            <w:r w:rsidRPr="00431381" w:rsidDel="00773CF6">
              <w:rPr>
                <w:sz w:val="20"/>
              </w:rPr>
              <w:t xml:space="preserve"> </w:t>
            </w:r>
            <w:r w:rsidRPr="00431381">
              <w:rPr>
                <w:sz w:val="20"/>
              </w:rPr>
              <w:t>by Mr. Horse</w:t>
            </w:r>
          </w:p>
        </w:tc>
      </w:tr>
    </w:tbl>
    <w:p w:rsidR="00D9526D" w:rsidRPr="00431381" w:rsidRDefault="00D9526D" w:rsidP="00A866C4">
      <w:pPr>
        <w:jc w:val="both"/>
        <w:rPr>
          <w:sz w:val="20"/>
        </w:rPr>
      </w:pPr>
    </w:p>
    <w:p w:rsidR="00A37BE5" w:rsidRPr="00431381" w:rsidRDefault="00F37A97" w:rsidP="00A866C4">
      <w:pPr>
        <w:jc w:val="both"/>
        <w:rPr>
          <w:sz w:val="20"/>
        </w:rPr>
      </w:pPr>
      <w:r w:rsidRPr="00431381">
        <w:rPr>
          <w:sz w:val="20"/>
        </w:rPr>
        <w:pict>
          <v:rect id="_x0000_i1048" style="width:2in;height:1pt" o:hrpct="0" o:hralign="center" o:hrstd="t" o:hrnoshade="t" o:hr="t" fillcolor="black [3213]" stroked="f"/>
        </w:pict>
      </w:r>
    </w:p>
    <w:p w:rsidR="00D9526D" w:rsidRPr="00431381" w:rsidRDefault="00D9526D"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lang w:val="fr-CA"/>
              </w:rPr>
            </w:pPr>
            <w:r w:rsidRPr="00431381">
              <w:rPr>
                <w:rStyle w:val="SCCFileNumberChar"/>
                <w:sz w:val="20"/>
                <w:szCs w:val="20"/>
                <w:lang w:val="fr-CA"/>
              </w:rPr>
              <w:t>38809</w:t>
            </w:r>
          </w:p>
        </w:tc>
        <w:tc>
          <w:tcPr>
            <w:tcW w:w="4457" w:type="pct"/>
            <w:gridSpan w:val="3"/>
          </w:tcPr>
          <w:p w:rsidR="00D9526D" w:rsidRPr="00431381" w:rsidRDefault="00D9526D" w:rsidP="00A866C4">
            <w:pPr>
              <w:pStyle w:val="SCCLsocParty"/>
              <w:jc w:val="both"/>
              <w:rPr>
                <w:b/>
                <w:sz w:val="20"/>
                <w:szCs w:val="20"/>
              </w:rPr>
            </w:pPr>
            <w:r w:rsidRPr="00431381">
              <w:rPr>
                <w:b/>
                <w:sz w:val="20"/>
                <w:szCs w:val="20"/>
              </w:rPr>
              <w:t>Sean Lyndon Horse c. Sa Majesté la Reine</w:t>
            </w:r>
          </w:p>
          <w:p w:rsidR="00D9526D" w:rsidRPr="00431381" w:rsidRDefault="00D9526D" w:rsidP="00A866C4">
            <w:pPr>
              <w:jc w:val="both"/>
              <w:rPr>
                <w:sz w:val="20"/>
                <w:lang w:val="fr-CA"/>
              </w:rPr>
            </w:pPr>
            <w:r w:rsidRPr="00431381">
              <w:rPr>
                <w:sz w:val="20"/>
                <w:lang w:val="fr-CA"/>
              </w:rPr>
              <w:t>(Sask.) (Criminelle) (Autorisation)</w:t>
            </w:r>
          </w:p>
        </w:tc>
      </w:tr>
      <w:tr w:rsidR="00D9526D" w:rsidRPr="00431381" w:rsidTr="00E95A6A">
        <w:tc>
          <w:tcPr>
            <w:tcW w:w="5000" w:type="pct"/>
            <w:gridSpan w:val="4"/>
          </w:tcPr>
          <w:p w:rsidR="00D9526D" w:rsidRPr="00431381" w:rsidRDefault="00D9526D" w:rsidP="00A866C4">
            <w:pPr>
              <w:jc w:val="both"/>
              <w:rPr>
                <w:sz w:val="20"/>
                <w:lang w:val="fr-CA"/>
              </w:rPr>
            </w:pPr>
            <w:r w:rsidRPr="00431381">
              <w:rPr>
                <w:sz w:val="20"/>
                <w:lang w:val="fr-CA"/>
              </w:rPr>
              <w:t xml:space="preserve">Droit criminel — Moyens de défense — Apparence de droit — Infractions — Éléments de l’infraction — Vol — On reproche à l’accusé d’avoir tenté de voler un téléphone cellulaire, mais il dit croire avoir eu le droit d’emprunter le téléphone avec permission — Le juge du procès a déclaré l’accusé coupable de vol, concluant que le moyen de défense d’apparence de droit était irrecevable — Les appels subséquents de la déclaration de culpabilité ont été rejetés — Quel cadre d’analyse permet de déterminer la </w:t>
            </w:r>
            <w:r w:rsidRPr="00431381">
              <w:rPr>
                <w:i/>
                <w:sz w:val="20"/>
                <w:lang w:val="fr-CA"/>
              </w:rPr>
              <w:t xml:space="preserve">mens </w:t>
            </w:r>
            <w:proofErr w:type="spellStart"/>
            <w:r w:rsidRPr="00431381">
              <w:rPr>
                <w:i/>
                <w:sz w:val="20"/>
                <w:lang w:val="fr-CA"/>
              </w:rPr>
              <w:t>rea</w:t>
            </w:r>
            <w:proofErr w:type="spellEnd"/>
            <w:r w:rsidRPr="00431381">
              <w:rPr>
                <w:sz w:val="20"/>
                <w:lang w:val="fr-CA"/>
              </w:rPr>
              <w:t xml:space="preserve"> du vol? — </w:t>
            </w:r>
            <w:r w:rsidRPr="00431381">
              <w:rPr>
                <w:i/>
                <w:sz w:val="20"/>
                <w:lang w:val="fr-CA"/>
              </w:rPr>
              <w:t>Code criminel</w:t>
            </w:r>
            <w:r w:rsidRPr="00431381">
              <w:rPr>
                <w:sz w:val="20"/>
                <w:lang w:val="fr-CA"/>
              </w:rPr>
              <w:t>, L.R.C. 1985, ch. C</w:t>
            </w:r>
            <w:r w:rsidRPr="00431381">
              <w:rPr>
                <w:sz w:val="20"/>
                <w:lang w:val="fr-CA"/>
              </w:rPr>
              <w:noBreakHyphen/>
              <w:t>46, art. 322.</w:t>
            </w:r>
          </w:p>
        </w:tc>
      </w:tr>
      <w:tr w:rsidR="00D9526D" w:rsidRPr="00431381" w:rsidTr="00E95A6A">
        <w:tc>
          <w:tcPr>
            <w:tcW w:w="5000" w:type="pct"/>
            <w:gridSpan w:val="4"/>
          </w:tcPr>
          <w:p w:rsidR="00D9526D" w:rsidRPr="00431381" w:rsidRDefault="00D9526D" w:rsidP="00A866C4">
            <w:pPr>
              <w:jc w:val="both"/>
              <w:rPr>
                <w:sz w:val="20"/>
                <w:lang w:val="fr-CA"/>
              </w:rPr>
            </w:pPr>
          </w:p>
          <w:p w:rsidR="00D9526D" w:rsidRPr="00431381" w:rsidRDefault="00D9526D" w:rsidP="00A866C4">
            <w:pPr>
              <w:jc w:val="both"/>
              <w:rPr>
                <w:sz w:val="20"/>
                <w:lang w:val="fr-CA"/>
              </w:rPr>
            </w:pPr>
            <w:r w:rsidRPr="00431381">
              <w:rPr>
                <w:sz w:val="20"/>
                <w:lang w:val="fr-CA"/>
              </w:rPr>
              <w:t>Le 4 janvier 2016, le demandeur, M. Horse, a abordé le plaignant, M. Lalonde, lui demandant d’emprunter son téléphone cellulaire pour tenter d’aider le demandeur à retrouver son chien. Monsieur Horse est alors parti abruptement avec le téléphone, qu’il a laissé tomber par terre non loin de là. Selon la version des faits présentée par M. Horse, il aurait entendu son chien aboyer,  ce qui l’aurait poussé à partir en courant, emportant avec lui par erreur le cellulaire. Lorsque M. Horse s’est aperçu qu’il avait toujours le cellulaire en sa possession, il l’a laissé tomber près de la propriété de M. Lalonde et s’est excusé. Plus tard le même jour, un policier a remarqué un individu dont la description correspondait à celle de M. Horse et l’a arrêté. Monsieur Horse a été accusé de vol d’un bien d’une valeur ne dépassant pas 5 000 $.</w:t>
            </w:r>
          </w:p>
        </w:tc>
      </w:tr>
      <w:tr w:rsidR="00D9526D" w:rsidRPr="00431381" w:rsidTr="00E95A6A">
        <w:tc>
          <w:tcPr>
            <w:tcW w:w="5000" w:type="pct"/>
            <w:gridSpan w:val="4"/>
          </w:tcPr>
          <w:p w:rsidR="00D9526D" w:rsidRPr="00431381" w:rsidRDefault="00D9526D" w:rsidP="00A866C4">
            <w:pPr>
              <w:jc w:val="both"/>
              <w:rPr>
                <w:sz w:val="20"/>
                <w:lang w:val="fr-CA"/>
              </w:rPr>
            </w:pPr>
            <w:r w:rsidRPr="00431381">
              <w:rPr>
                <w:sz w:val="20"/>
                <w:lang w:val="fr-CA"/>
              </w:rPr>
              <w:t>Le juge du procès a déclaré M. Horse coupable de vol, concluant qu’il était manifeste que M. Horse avait enlevé le téléphone de M. Lalonde et qu’il avait quitté la propriété dans l’intention de voler l’appareil. Même si M. Horse pouvait faire valoir une défense d’apparence de droit pour expliquer sa possession continue du téléphone cellulaire tant qu’il se trouvait sur la propriété de M. Lalonde, ce moyen de défense n’était plus recevable dès que M. Horse était parti en courant avec le téléphone. Les appels interjetés par M. Horse de la déclaration de culpabilité, devant la Cour du Banc de la Reine et de la Cour d’appel, ont été rejetés.</w:t>
            </w:r>
          </w:p>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31 août 2016</w:t>
            </w:r>
          </w:p>
          <w:p w:rsidR="00D9526D" w:rsidRPr="00431381" w:rsidRDefault="00D9526D" w:rsidP="00A866C4">
            <w:pPr>
              <w:jc w:val="both"/>
              <w:rPr>
                <w:sz w:val="20"/>
                <w:lang w:val="fr-CA"/>
              </w:rPr>
            </w:pPr>
            <w:r w:rsidRPr="00431381">
              <w:rPr>
                <w:sz w:val="20"/>
                <w:lang w:val="fr-CA"/>
              </w:rPr>
              <w:t>Cour provinciale de la Saskatchewan</w:t>
            </w:r>
          </w:p>
          <w:p w:rsidR="00D9526D" w:rsidRPr="00431381" w:rsidRDefault="00D9526D" w:rsidP="00A866C4">
            <w:pPr>
              <w:jc w:val="both"/>
              <w:rPr>
                <w:sz w:val="20"/>
                <w:lang w:val="fr-CA"/>
              </w:rPr>
            </w:pPr>
            <w:r w:rsidRPr="00431381">
              <w:rPr>
                <w:sz w:val="20"/>
                <w:lang w:val="fr-CA"/>
              </w:rPr>
              <w:t>(Juge Dyck)</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Déclaration de culpabilité de M. Horse pour vol d’un bien d’une valeur ne dépassant pas  5 000 $.</w:t>
            </w: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13 novembre 2018</w:t>
            </w:r>
          </w:p>
          <w:p w:rsidR="00D9526D" w:rsidRPr="00431381" w:rsidRDefault="00D9526D" w:rsidP="00A866C4">
            <w:pPr>
              <w:jc w:val="both"/>
              <w:rPr>
                <w:sz w:val="20"/>
                <w:lang w:val="fr-CA"/>
              </w:rPr>
            </w:pPr>
            <w:r w:rsidRPr="00431381">
              <w:rPr>
                <w:sz w:val="20"/>
                <w:lang w:val="fr-CA"/>
              </w:rPr>
              <w:t>Cour du Banc de la Reine de la Saskatchewan</w:t>
            </w:r>
          </w:p>
          <w:p w:rsidR="00D9526D" w:rsidRPr="00431381" w:rsidRDefault="00D9526D" w:rsidP="00A866C4">
            <w:pPr>
              <w:jc w:val="both"/>
              <w:rPr>
                <w:sz w:val="20"/>
                <w:lang w:val="fr-CA"/>
              </w:rPr>
            </w:pPr>
            <w:r w:rsidRPr="00431381">
              <w:rPr>
                <w:sz w:val="20"/>
                <w:lang w:val="fr-CA"/>
              </w:rPr>
              <w:t xml:space="preserve">(Juge </w:t>
            </w:r>
            <w:proofErr w:type="spellStart"/>
            <w:r w:rsidRPr="00431381">
              <w:rPr>
                <w:sz w:val="20"/>
                <w:lang w:val="fr-CA"/>
              </w:rPr>
              <w:t>Zuk</w:t>
            </w:r>
            <w:proofErr w:type="spellEnd"/>
            <w:r w:rsidRPr="00431381">
              <w:rPr>
                <w:sz w:val="20"/>
                <w:lang w:val="fr-CA"/>
              </w:rPr>
              <w:t>)</w:t>
            </w:r>
          </w:p>
          <w:p w:rsidR="00D9526D" w:rsidRPr="00431381" w:rsidRDefault="00D9526D" w:rsidP="00A866C4">
            <w:pPr>
              <w:jc w:val="both"/>
              <w:rPr>
                <w:sz w:val="20"/>
                <w:lang w:val="fr-CA"/>
              </w:rPr>
            </w:pPr>
            <w:r w:rsidRPr="00431381">
              <w:rPr>
                <w:sz w:val="20"/>
                <w:lang w:val="fr-CA"/>
              </w:rPr>
              <w:t xml:space="preserve">Référence neutre : </w:t>
            </w:r>
            <w:hyperlink r:id="rId67" w:history="1">
              <w:r w:rsidRPr="00431381">
                <w:rPr>
                  <w:rStyle w:val="Hyperlink"/>
                  <w:sz w:val="20"/>
                  <w:lang w:val="fr-CA"/>
                </w:rPr>
                <w:t>2018 SKQB 308</w:t>
              </w:r>
            </w:hyperlink>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Rejet de l’appel de M. Horse</w:t>
            </w:r>
          </w:p>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18 juin 2019</w:t>
            </w:r>
          </w:p>
          <w:p w:rsidR="00D9526D" w:rsidRPr="00431381" w:rsidRDefault="00D9526D" w:rsidP="00A866C4">
            <w:pPr>
              <w:jc w:val="both"/>
              <w:rPr>
                <w:sz w:val="20"/>
                <w:lang w:val="fr-CA"/>
              </w:rPr>
            </w:pPr>
            <w:r w:rsidRPr="00431381">
              <w:rPr>
                <w:sz w:val="20"/>
                <w:lang w:val="fr-CA"/>
              </w:rPr>
              <w:t>Cour d’appel de la Saskatchewan</w:t>
            </w:r>
          </w:p>
          <w:p w:rsidR="00D9526D" w:rsidRPr="00431381" w:rsidRDefault="00D9526D" w:rsidP="00A866C4">
            <w:pPr>
              <w:jc w:val="both"/>
              <w:rPr>
                <w:sz w:val="20"/>
                <w:lang w:val="fr-CA"/>
              </w:rPr>
            </w:pPr>
            <w:r w:rsidRPr="00431381">
              <w:rPr>
                <w:sz w:val="20"/>
                <w:lang w:val="fr-CA"/>
              </w:rPr>
              <w:t xml:space="preserve">(Juges Schwann, </w:t>
            </w:r>
            <w:proofErr w:type="spellStart"/>
            <w:r w:rsidRPr="00431381">
              <w:rPr>
                <w:sz w:val="20"/>
                <w:lang w:val="fr-CA"/>
              </w:rPr>
              <w:t>Leurer</w:t>
            </w:r>
            <w:proofErr w:type="spellEnd"/>
            <w:r w:rsidRPr="00431381">
              <w:rPr>
                <w:sz w:val="20"/>
                <w:lang w:val="fr-CA"/>
              </w:rPr>
              <w:t xml:space="preserve"> et </w:t>
            </w:r>
            <w:proofErr w:type="spellStart"/>
            <w:r w:rsidRPr="00431381">
              <w:rPr>
                <w:sz w:val="20"/>
                <w:lang w:val="fr-CA"/>
              </w:rPr>
              <w:t>Tholl</w:t>
            </w:r>
            <w:proofErr w:type="spellEnd"/>
            <w:r w:rsidRPr="00431381">
              <w:rPr>
                <w:sz w:val="20"/>
                <w:lang w:val="fr-CA"/>
              </w:rPr>
              <w:t>)</w:t>
            </w:r>
          </w:p>
          <w:p w:rsidR="00D9526D" w:rsidRPr="00431381" w:rsidRDefault="00D9526D" w:rsidP="00A866C4">
            <w:pPr>
              <w:jc w:val="both"/>
              <w:rPr>
                <w:sz w:val="20"/>
                <w:lang w:val="fr-CA"/>
              </w:rPr>
            </w:pPr>
            <w:r w:rsidRPr="00431381">
              <w:rPr>
                <w:sz w:val="20"/>
                <w:lang w:val="fr-CA"/>
              </w:rPr>
              <w:t xml:space="preserve">Référence neutre : </w:t>
            </w:r>
            <w:hyperlink r:id="rId68" w:history="1">
              <w:r w:rsidRPr="00431381">
                <w:rPr>
                  <w:rStyle w:val="Hyperlink"/>
                  <w:sz w:val="20"/>
                  <w:lang w:val="fr-CA"/>
                </w:rPr>
                <w:t>2019 SKCA 56</w:t>
              </w:r>
            </w:hyperlink>
            <w:r w:rsidRPr="00431381">
              <w:rPr>
                <w:sz w:val="20"/>
                <w:lang w:val="fr-CA"/>
              </w:rPr>
              <w:t xml:space="preserve"> </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Rejet du deuxième appel de M. Horse</w:t>
            </w:r>
          </w:p>
          <w:p w:rsidR="00D9526D" w:rsidRPr="00431381" w:rsidRDefault="00D9526D" w:rsidP="00A866C4">
            <w:pPr>
              <w:jc w:val="both"/>
              <w:rPr>
                <w:sz w:val="20"/>
                <w:lang w:val="fr-CA"/>
              </w:rPr>
            </w:pPr>
          </w:p>
        </w:tc>
      </w:tr>
      <w:tr w:rsidR="00D9526D" w:rsidRPr="00431381" w:rsidTr="008E19BC">
        <w:tc>
          <w:tcPr>
            <w:tcW w:w="2427" w:type="pct"/>
            <w:gridSpan w:val="2"/>
          </w:tcPr>
          <w:p w:rsidR="00D9526D" w:rsidRPr="00431381" w:rsidRDefault="00D9526D" w:rsidP="00A866C4">
            <w:pPr>
              <w:jc w:val="both"/>
              <w:rPr>
                <w:sz w:val="20"/>
                <w:lang w:val="fr-CA"/>
              </w:rPr>
            </w:pPr>
            <w:r w:rsidRPr="00431381">
              <w:rPr>
                <w:sz w:val="20"/>
                <w:lang w:val="fr-CA"/>
              </w:rPr>
              <w:t>20 septembre 2019</w:t>
            </w:r>
          </w:p>
          <w:p w:rsidR="00D9526D" w:rsidRPr="00431381" w:rsidRDefault="00D9526D" w:rsidP="00A866C4">
            <w:pPr>
              <w:jc w:val="both"/>
              <w:rPr>
                <w:sz w:val="20"/>
                <w:lang w:val="fr-CA"/>
              </w:rPr>
            </w:pPr>
            <w:r w:rsidRPr="00431381">
              <w:rPr>
                <w:sz w:val="20"/>
                <w:lang w:val="fr-CA"/>
              </w:rPr>
              <w:t>Cour suprême du Canada</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Dépôt, par M. Horse, de la requête en prorogation du délai de signification et de dépôt de la demande d’autorisation d’appel et de la demande d’autorisation d’appel</w:t>
            </w:r>
          </w:p>
        </w:tc>
      </w:tr>
    </w:tbl>
    <w:p w:rsidR="00D9526D" w:rsidRPr="00431381" w:rsidRDefault="00D9526D" w:rsidP="00A866C4">
      <w:pPr>
        <w:jc w:val="both"/>
        <w:rPr>
          <w:sz w:val="20"/>
          <w:lang w:val="fr-CA"/>
        </w:rPr>
      </w:pPr>
    </w:p>
    <w:p w:rsidR="00A37BE5" w:rsidRPr="00431381" w:rsidRDefault="00F37A97" w:rsidP="00A866C4">
      <w:pPr>
        <w:jc w:val="both"/>
        <w:rPr>
          <w:sz w:val="20"/>
          <w:lang w:val="fr-CA"/>
        </w:rPr>
      </w:pPr>
      <w:r w:rsidRPr="00431381">
        <w:rPr>
          <w:sz w:val="20"/>
        </w:rPr>
        <w:pict>
          <v:rect id="_x0000_i1049" style="width:2in;height:1pt" o:hrpct="0" o:hralign="center" o:hrstd="t" o:hrnoshade="t" o:hr="t" fillcolor="black [3213]" stroked="f"/>
        </w:pict>
      </w:r>
    </w:p>
    <w:p w:rsidR="005221C4" w:rsidRPr="00431381" w:rsidRDefault="005221C4"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rPr>
            </w:pPr>
            <w:r w:rsidRPr="00431381">
              <w:rPr>
                <w:rStyle w:val="SCCFileNumberChar"/>
                <w:sz w:val="20"/>
                <w:szCs w:val="20"/>
              </w:rPr>
              <w:t>38815</w:t>
            </w:r>
          </w:p>
        </w:tc>
        <w:tc>
          <w:tcPr>
            <w:tcW w:w="4457" w:type="pct"/>
            <w:gridSpan w:val="3"/>
          </w:tcPr>
          <w:p w:rsidR="00D9526D" w:rsidRPr="00431381" w:rsidRDefault="00D9526D" w:rsidP="00A866C4">
            <w:pPr>
              <w:pStyle w:val="SCCLsocParty"/>
              <w:jc w:val="both"/>
              <w:rPr>
                <w:b/>
                <w:sz w:val="20"/>
                <w:szCs w:val="20"/>
                <w:lang w:val="en-US"/>
              </w:rPr>
            </w:pPr>
            <w:r w:rsidRPr="00431381">
              <w:rPr>
                <w:b/>
                <w:sz w:val="20"/>
                <w:szCs w:val="20"/>
                <w:lang w:val="en-US"/>
              </w:rPr>
              <w:t>Many Mansions Spiritual Center, Inc. v. Minister of National Revenue</w:t>
            </w:r>
          </w:p>
          <w:p w:rsidR="00D9526D" w:rsidRPr="00431381" w:rsidRDefault="00D9526D" w:rsidP="00A866C4">
            <w:pPr>
              <w:jc w:val="both"/>
              <w:rPr>
                <w:sz w:val="20"/>
              </w:rPr>
            </w:pPr>
            <w:r w:rsidRPr="00431381">
              <w:rPr>
                <w:sz w:val="20"/>
              </w:rPr>
              <w:t>(F</w:t>
            </w:r>
            <w:r w:rsidR="00EB6335" w:rsidRPr="00431381">
              <w:rPr>
                <w:sz w:val="20"/>
              </w:rPr>
              <w:t>.</w:t>
            </w:r>
            <w:r w:rsidRPr="00431381">
              <w:rPr>
                <w:sz w:val="20"/>
              </w:rPr>
              <w:t>C</w:t>
            </w:r>
            <w:r w:rsidR="00EB6335" w:rsidRPr="00431381">
              <w:rPr>
                <w:sz w:val="20"/>
              </w:rPr>
              <w:t>.</w:t>
            </w:r>
            <w:r w:rsidRPr="00431381">
              <w:rPr>
                <w:sz w:val="20"/>
              </w:rPr>
              <w:t>) (Civil) (By Leave)</w:t>
            </w:r>
          </w:p>
        </w:tc>
      </w:tr>
      <w:tr w:rsidR="00D9526D" w:rsidRPr="00431381" w:rsidTr="00E95A6A">
        <w:tc>
          <w:tcPr>
            <w:tcW w:w="5000" w:type="pct"/>
            <w:gridSpan w:val="4"/>
          </w:tcPr>
          <w:p w:rsidR="00D9526D" w:rsidRPr="00431381" w:rsidRDefault="00D9526D" w:rsidP="00A866C4">
            <w:pPr>
              <w:jc w:val="both"/>
              <w:rPr>
                <w:sz w:val="20"/>
              </w:rPr>
            </w:pPr>
            <w:r w:rsidRPr="00431381">
              <w:rPr>
                <w:sz w:val="20"/>
              </w:rPr>
              <w:t xml:space="preserve">Taxation — Charitable status — Revocation — To what extent should the Minister consider or determine whether an organization is “sufficiently Christian” in revoking charitable status — What is the proper application of the “own activities” test in order to determine whether a charity has devoted all its resources to charitable activities carried on by the organization itself — </w:t>
            </w:r>
            <w:r w:rsidRPr="00431381">
              <w:rPr>
                <w:i/>
                <w:sz w:val="20"/>
              </w:rPr>
              <w:t>Income Tax Act</w:t>
            </w:r>
            <w:r w:rsidRPr="00431381">
              <w:rPr>
                <w:sz w:val="20"/>
              </w:rPr>
              <w:t>, R.S.C. 1985, c. 1 (5th Supp.).</w:t>
            </w:r>
          </w:p>
        </w:tc>
      </w:tr>
      <w:tr w:rsidR="00D9526D" w:rsidRPr="00431381" w:rsidTr="00E95A6A">
        <w:tc>
          <w:tcPr>
            <w:tcW w:w="5000" w:type="pct"/>
            <w:gridSpan w:val="4"/>
          </w:tcPr>
          <w:p w:rsidR="00D9526D" w:rsidRPr="00431381" w:rsidRDefault="00D9526D" w:rsidP="00A866C4">
            <w:pPr>
              <w:jc w:val="both"/>
              <w:rPr>
                <w:sz w:val="20"/>
              </w:rPr>
            </w:pPr>
          </w:p>
        </w:tc>
      </w:tr>
      <w:tr w:rsidR="00D9526D" w:rsidRPr="00431381" w:rsidTr="00E95A6A">
        <w:tc>
          <w:tcPr>
            <w:tcW w:w="5000" w:type="pct"/>
            <w:gridSpan w:val="4"/>
          </w:tcPr>
          <w:p w:rsidR="00D9526D" w:rsidRPr="00431381" w:rsidRDefault="00D9526D" w:rsidP="00A866C4">
            <w:pPr>
              <w:jc w:val="both"/>
              <w:rPr>
                <w:sz w:val="20"/>
              </w:rPr>
            </w:pPr>
            <w:r w:rsidRPr="00431381">
              <w:rPr>
                <w:sz w:val="20"/>
              </w:rPr>
              <w:t>The respondent, Minister of National Revenue</w:t>
            </w:r>
            <w:r w:rsidRPr="00431381">
              <w:rPr>
                <w:i/>
                <w:sz w:val="20"/>
              </w:rPr>
              <w:t xml:space="preserve"> </w:t>
            </w:r>
            <w:r w:rsidRPr="00431381">
              <w:rPr>
                <w:sz w:val="20"/>
              </w:rPr>
              <w:t>revoked the applicant, Many Mansions Spiritual Center, Inc.’s registration as a charity. The Minister’s decision followed an audit of Many Mansions’ 2011 and 2012 fiscal periods, the issuance of a notice of proposed revocation, an objection by Many Mansions, and reconsideration of the proposed revocation by the Tax and Charities Directorate of the Canada Revenue Agency. Many Mansions appealed the Minister’s decision but the appeal was dismissed.</w:t>
            </w:r>
          </w:p>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August 9, 2016</w:t>
            </w:r>
          </w:p>
          <w:p w:rsidR="00D9526D" w:rsidRPr="00431381" w:rsidRDefault="00D9526D" w:rsidP="00A866C4">
            <w:pPr>
              <w:jc w:val="both"/>
              <w:rPr>
                <w:sz w:val="20"/>
              </w:rPr>
            </w:pPr>
            <w:r w:rsidRPr="00431381">
              <w:rPr>
                <w:sz w:val="20"/>
              </w:rPr>
              <w:t>Tax and Charities Appeal Directorate</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Minister’s proposal to revoke applicant’s registration as a charity confirmed</w:t>
            </w:r>
          </w:p>
        </w:tc>
      </w:tr>
      <w:tr w:rsidR="00D9526D" w:rsidRPr="00431381" w:rsidTr="00E95A6A">
        <w:tc>
          <w:tcPr>
            <w:tcW w:w="2427" w:type="pct"/>
            <w:gridSpan w:val="2"/>
          </w:tcPr>
          <w:p w:rsidR="00D9526D" w:rsidRPr="00431381" w:rsidRDefault="00D9526D" w:rsidP="00A866C4">
            <w:pPr>
              <w:jc w:val="both"/>
              <w:rPr>
                <w:sz w:val="20"/>
              </w:rPr>
            </w:pPr>
            <w:r w:rsidRPr="00431381">
              <w:rPr>
                <w:sz w:val="20"/>
              </w:rPr>
              <w:t>June 24, 2019</w:t>
            </w:r>
          </w:p>
          <w:p w:rsidR="00D9526D" w:rsidRPr="00431381" w:rsidRDefault="00D9526D" w:rsidP="00A866C4">
            <w:pPr>
              <w:jc w:val="both"/>
              <w:rPr>
                <w:sz w:val="20"/>
              </w:rPr>
            </w:pPr>
            <w:r w:rsidRPr="00431381">
              <w:rPr>
                <w:sz w:val="20"/>
              </w:rPr>
              <w:t>Federal Court of Appeal</w:t>
            </w:r>
          </w:p>
          <w:p w:rsidR="00D9526D" w:rsidRPr="00431381" w:rsidRDefault="00D9526D" w:rsidP="00A866C4">
            <w:pPr>
              <w:jc w:val="both"/>
              <w:rPr>
                <w:sz w:val="20"/>
              </w:rPr>
            </w:pPr>
            <w:r w:rsidRPr="00431381">
              <w:rPr>
                <w:sz w:val="20"/>
              </w:rPr>
              <w:t xml:space="preserve">(Gauthier, </w:t>
            </w:r>
            <w:proofErr w:type="spellStart"/>
            <w:r w:rsidRPr="00431381">
              <w:rPr>
                <w:sz w:val="20"/>
              </w:rPr>
              <w:t>Stratas</w:t>
            </w:r>
            <w:proofErr w:type="spellEnd"/>
            <w:r w:rsidRPr="00431381">
              <w:rPr>
                <w:sz w:val="20"/>
              </w:rPr>
              <w:t xml:space="preserve"> and </w:t>
            </w:r>
            <w:proofErr w:type="spellStart"/>
            <w:r w:rsidRPr="00431381">
              <w:rPr>
                <w:sz w:val="20"/>
              </w:rPr>
              <w:t>Laskin</w:t>
            </w:r>
            <w:proofErr w:type="spellEnd"/>
            <w:r w:rsidRPr="00431381">
              <w:rPr>
                <w:sz w:val="20"/>
              </w:rPr>
              <w:t xml:space="preserve"> JJ.A.)</w:t>
            </w:r>
          </w:p>
          <w:p w:rsidR="00D9526D" w:rsidRPr="00431381" w:rsidRDefault="00F37A97" w:rsidP="00A866C4">
            <w:pPr>
              <w:jc w:val="both"/>
              <w:rPr>
                <w:sz w:val="20"/>
              </w:rPr>
            </w:pPr>
            <w:hyperlink r:id="rId69" w:history="1">
              <w:r w:rsidR="00D9526D" w:rsidRPr="00431381">
                <w:rPr>
                  <w:rStyle w:val="Hyperlink"/>
                  <w:sz w:val="20"/>
                </w:rPr>
                <w:t>2019 FCA 189</w:t>
              </w:r>
            </w:hyperlink>
            <w:r w:rsidR="00D9526D" w:rsidRPr="00431381">
              <w:rPr>
                <w:sz w:val="20"/>
              </w:rPr>
              <w:t>; A</w:t>
            </w:r>
            <w:r w:rsidR="00D9526D" w:rsidRPr="00431381">
              <w:rPr>
                <w:sz w:val="20"/>
              </w:rPr>
              <w:noBreakHyphen/>
              <w:t>307</w:t>
            </w:r>
            <w:r w:rsidR="00D9526D" w:rsidRPr="00431381">
              <w:rPr>
                <w:sz w:val="20"/>
              </w:rPr>
              <w:noBreakHyphen/>
              <w:t>16</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Appeal dismissed</w:t>
            </w:r>
          </w:p>
        </w:tc>
      </w:tr>
      <w:tr w:rsidR="00D9526D" w:rsidRPr="00431381" w:rsidTr="00E95A6A">
        <w:tc>
          <w:tcPr>
            <w:tcW w:w="2427" w:type="pct"/>
            <w:gridSpan w:val="2"/>
          </w:tcPr>
          <w:p w:rsidR="00D9526D" w:rsidRPr="00431381" w:rsidRDefault="00D9526D" w:rsidP="00A866C4">
            <w:pPr>
              <w:jc w:val="both"/>
              <w:rPr>
                <w:sz w:val="20"/>
              </w:rPr>
            </w:pPr>
            <w:r w:rsidRPr="00431381">
              <w:rPr>
                <w:sz w:val="20"/>
              </w:rPr>
              <w:t>September 23, 2019</w:t>
            </w:r>
          </w:p>
          <w:p w:rsidR="00D9526D" w:rsidRPr="00431381" w:rsidRDefault="00D9526D" w:rsidP="00A866C4">
            <w:pPr>
              <w:jc w:val="both"/>
              <w:rPr>
                <w:sz w:val="20"/>
              </w:rPr>
            </w:pPr>
            <w:r w:rsidRPr="00431381">
              <w:rPr>
                <w:sz w:val="20"/>
              </w:rPr>
              <w:t>Supreme Court of Canada</w:t>
            </w: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Application for leave to appeal filed</w:t>
            </w:r>
          </w:p>
          <w:p w:rsidR="00D9526D" w:rsidRPr="00431381" w:rsidRDefault="00D9526D" w:rsidP="00A866C4">
            <w:pPr>
              <w:jc w:val="both"/>
              <w:rPr>
                <w:sz w:val="20"/>
              </w:rPr>
            </w:pPr>
          </w:p>
        </w:tc>
      </w:tr>
    </w:tbl>
    <w:p w:rsidR="00D9526D" w:rsidRPr="00431381" w:rsidRDefault="00D9526D" w:rsidP="00A866C4">
      <w:pPr>
        <w:jc w:val="both"/>
        <w:rPr>
          <w:sz w:val="20"/>
        </w:rPr>
      </w:pPr>
    </w:p>
    <w:p w:rsidR="00A37BE5" w:rsidRPr="00431381" w:rsidRDefault="00F37A97" w:rsidP="00A866C4">
      <w:pPr>
        <w:jc w:val="both"/>
        <w:rPr>
          <w:sz w:val="20"/>
        </w:rPr>
      </w:pPr>
      <w:r w:rsidRPr="00431381">
        <w:rPr>
          <w:sz w:val="20"/>
        </w:rPr>
        <w:pict>
          <v:rect id="_x0000_i1050" style="width:2in;height:1pt" o:hrpct="0" o:hralign="center" o:hrstd="t" o:hrnoshade="t" o:hr="t" fillcolor="black [3213]" stroked="f"/>
        </w:pict>
      </w:r>
    </w:p>
    <w:p w:rsidR="00D9526D" w:rsidRPr="00431381" w:rsidRDefault="00D9526D"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lang w:val="fr-CA"/>
              </w:rPr>
            </w:pPr>
            <w:r w:rsidRPr="00431381">
              <w:rPr>
                <w:rStyle w:val="SCCFileNumberChar"/>
                <w:sz w:val="20"/>
                <w:szCs w:val="20"/>
                <w:lang w:val="fr-CA"/>
              </w:rPr>
              <w:t>38815</w:t>
            </w:r>
          </w:p>
        </w:tc>
        <w:tc>
          <w:tcPr>
            <w:tcW w:w="4457" w:type="pct"/>
            <w:gridSpan w:val="3"/>
          </w:tcPr>
          <w:p w:rsidR="00D9526D" w:rsidRPr="00431381" w:rsidRDefault="00D9526D" w:rsidP="00A866C4">
            <w:pPr>
              <w:pStyle w:val="SCCLsocParty"/>
              <w:jc w:val="both"/>
              <w:rPr>
                <w:b/>
                <w:sz w:val="20"/>
                <w:szCs w:val="20"/>
              </w:rPr>
            </w:pPr>
            <w:r w:rsidRPr="00431381">
              <w:rPr>
                <w:b/>
                <w:sz w:val="20"/>
                <w:szCs w:val="20"/>
              </w:rPr>
              <w:t>Many Mansions Spiritual Center, Inc. c. Ministre du Revenu national</w:t>
            </w:r>
          </w:p>
          <w:p w:rsidR="00D9526D" w:rsidRPr="00431381" w:rsidRDefault="00D9526D" w:rsidP="00A866C4">
            <w:pPr>
              <w:jc w:val="both"/>
              <w:rPr>
                <w:sz w:val="20"/>
                <w:lang w:val="fr-CA"/>
              </w:rPr>
            </w:pPr>
            <w:r w:rsidRPr="00431381">
              <w:rPr>
                <w:sz w:val="20"/>
                <w:lang w:val="fr-CA"/>
              </w:rPr>
              <w:t>(C</w:t>
            </w:r>
            <w:r w:rsidR="00EB6335" w:rsidRPr="00431381">
              <w:rPr>
                <w:sz w:val="20"/>
                <w:lang w:val="fr-CA"/>
              </w:rPr>
              <w:t>.</w:t>
            </w:r>
            <w:r w:rsidRPr="00431381">
              <w:rPr>
                <w:sz w:val="20"/>
                <w:lang w:val="fr-CA"/>
              </w:rPr>
              <w:t>F</w:t>
            </w:r>
            <w:r w:rsidR="00EB6335" w:rsidRPr="00431381">
              <w:rPr>
                <w:sz w:val="20"/>
                <w:lang w:val="fr-CA"/>
              </w:rPr>
              <w:t>.</w:t>
            </w:r>
            <w:r w:rsidRPr="00431381">
              <w:rPr>
                <w:sz w:val="20"/>
                <w:lang w:val="fr-CA"/>
              </w:rPr>
              <w:t>) (Civile) (Autorisation)</w:t>
            </w:r>
          </w:p>
        </w:tc>
      </w:tr>
      <w:tr w:rsidR="00D9526D" w:rsidRPr="00431381" w:rsidTr="00E95A6A">
        <w:tc>
          <w:tcPr>
            <w:tcW w:w="5000" w:type="pct"/>
            <w:gridSpan w:val="4"/>
          </w:tcPr>
          <w:p w:rsidR="00D9526D" w:rsidRPr="00431381" w:rsidRDefault="00D9526D" w:rsidP="00A866C4">
            <w:pPr>
              <w:jc w:val="both"/>
              <w:rPr>
                <w:sz w:val="20"/>
                <w:lang w:val="fr-CA"/>
              </w:rPr>
            </w:pPr>
            <w:r w:rsidRPr="00431381">
              <w:rPr>
                <w:sz w:val="20"/>
                <w:lang w:val="fr-CA"/>
              </w:rPr>
              <w:t>Droit fiscal — Statut d’organisme de bienfaisance — Révocation — Dans quelle mesure le ministre doit</w:t>
            </w:r>
            <w:r w:rsidRPr="00431381">
              <w:rPr>
                <w:sz w:val="20"/>
                <w:lang w:val="fr-CA"/>
              </w:rPr>
              <w:noBreakHyphen/>
              <w:t>il se demander ou décider si un organisme est [</w:t>
            </w:r>
            <w:r w:rsidRPr="00431381">
              <w:rPr>
                <w:smallCaps/>
                <w:sz w:val="20"/>
                <w:lang w:val="fr-CA"/>
              </w:rPr>
              <w:t>traduction</w:t>
            </w:r>
            <w:r w:rsidRPr="00431381">
              <w:rPr>
                <w:sz w:val="20"/>
                <w:lang w:val="fr-CA"/>
              </w:rPr>
              <w:t>] « suffisamment chrétien » lors de la révocation du statut d’organisme de bienfaisance? — Quelle est bonne façon d’appliquer le critère des « activités propres » pour déterminer si un organisme de bienfaisance a consacré l’ensemble de ses ressources aux activités de bienfaisance exercées par l’organisme lui</w:t>
            </w:r>
            <w:r w:rsidRPr="00431381">
              <w:rPr>
                <w:sz w:val="20"/>
                <w:lang w:val="fr-CA"/>
              </w:rPr>
              <w:noBreakHyphen/>
              <w:t xml:space="preserve">même? — </w:t>
            </w:r>
            <w:r w:rsidRPr="00431381">
              <w:rPr>
                <w:i/>
                <w:sz w:val="20"/>
                <w:lang w:val="fr-CA"/>
              </w:rPr>
              <w:t>Loi de l’impôt sur le revenu</w:t>
            </w:r>
            <w:r w:rsidRPr="00431381">
              <w:rPr>
                <w:sz w:val="20"/>
                <w:lang w:val="fr-CA"/>
              </w:rPr>
              <w:t>, L.R.C. 1985, ch. 1 (5</w:t>
            </w:r>
            <w:r w:rsidRPr="00431381">
              <w:rPr>
                <w:sz w:val="20"/>
                <w:vertAlign w:val="superscript"/>
                <w:lang w:val="fr-CA"/>
              </w:rPr>
              <w:t>e</w:t>
            </w:r>
            <w:r w:rsidRPr="00431381">
              <w:rPr>
                <w:sz w:val="20"/>
                <w:lang w:val="fr-CA"/>
              </w:rPr>
              <w:t xml:space="preserve"> suppl.).</w:t>
            </w:r>
          </w:p>
        </w:tc>
      </w:tr>
      <w:tr w:rsidR="00D9526D" w:rsidRPr="00431381" w:rsidTr="00E95A6A">
        <w:tc>
          <w:tcPr>
            <w:tcW w:w="5000" w:type="pct"/>
            <w:gridSpan w:val="4"/>
          </w:tcPr>
          <w:p w:rsidR="00D9526D" w:rsidRPr="00431381" w:rsidRDefault="00D9526D" w:rsidP="00A866C4">
            <w:pPr>
              <w:jc w:val="both"/>
              <w:rPr>
                <w:sz w:val="20"/>
                <w:lang w:val="fr-CA"/>
              </w:rPr>
            </w:pPr>
          </w:p>
        </w:tc>
      </w:tr>
      <w:tr w:rsidR="00D9526D" w:rsidRPr="00431381" w:rsidTr="00E95A6A">
        <w:tc>
          <w:tcPr>
            <w:tcW w:w="5000" w:type="pct"/>
            <w:gridSpan w:val="4"/>
          </w:tcPr>
          <w:p w:rsidR="00D9526D" w:rsidRPr="00431381" w:rsidRDefault="00D9526D" w:rsidP="00A866C4">
            <w:pPr>
              <w:jc w:val="both"/>
              <w:rPr>
                <w:sz w:val="20"/>
                <w:lang w:val="fr-CA"/>
              </w:rPr>
            </w:pPr>
            <w:r w:rsidRPr="00431381">
              <w:rPr>
                <w:sz w:val="20"/>
                <w:lang w:val="fr-CA"/>
              </w:rPr>
              <w:t>L’intimé, le ministre du Revenu national, a révoqué l’enregistrement de la demanderesse,</w:t>
            </w:r>
            <w:r w:rsidRPr="00431381">
              <w:rPr>
                <w:i/>
                <w:sz w:val="20"/>
                <w:lang w:val="fr-CA"/>
              </w:rPr>
              <w:t xml:space="preserve"> </w:t>
            </w:r>
            <w:r w:rsidRPr="00431381">
              <w:rPr>
                <w:sz w:val="20"/>
                <w:lang w:val="fr-CA"/>
              </w:rPr>
              <w:t>Many Mansions Spiritual Center, Inc. à titre d’organisme de bienfaisance. Le ministre a pris cette décision à la suite d’une vérification des exercices financiers 2011 et 2012 de Many Mansions, de la délivrance d’un avis de révocation proposée, d’une opposition de Many Mansions, et du réexamen de la révocation par la Direction des appels en matière fiscale et de bienfaisance de l’Agence du revenu du Canada. Many Mansions a interjeté appel de la décision du ministre, mais l’appel a été rejeté.</w:t>
            </w:r>
          </w:p>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9 août 2016</w:t>
            </w:r>
          </w:p>
          <w:p w:rsidR="00D9526D" w:rsidRPr="00431381" w:rsidRDefault="00D9526D" w:rsidP="00A866C4">
            <w:pPr>
              <w:jc w:val="both"/>
              <w:rPr>
                <w:sz w:val="20"/>
                <w:lang w:val="fr-CA"/>
              </w:rPr>
            </w:pPr>
            <w:r w:rsidRPr="00431381">
              <w:rPr>
                <w:sz w:val="20"/>
                <w:lang w:val="fr-CA"/>
              </w:rPr>
              <w:t>Direction des appels en matière fiscale et de bienfaisance</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Confirmation de la proposition du ministre de révoquer l’enregistrement de la demanderesse à titre d’organisme de bienfaisance</w:t>
            </w: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24 juin 2019</w:t>
            </w:r>
          </w:p>
          <w:p w:rsidR="00D9526D" w:rsidRPr="00431381" w:rsidRDefault="00D9526D" w:rsidP="00A866C4">
            <w:pPr>
              <w:jc w:val="both"/>
              <w:rPr>
                <w:sz w:val="20"/>
                <w:lang w:val="fr-CA"/>
              </w:rPr>
            </w:pPr>
            <w:r w:rsidRPr="00431381">
              <w:rPr>
                <w:sz w:val="20"/>
                <w:lang w:val="fr-CA"/>
              </w:rPr>
              <w:t>Cour d’appel fédérale</w:t>
            </w:r>
          </w:p>
          <w:p w:rsidR="00D9526D" w:rsidRPr="00431381" w:rsidRDefault="00D9526D" w:rsidP="00A866C4">
            <w:pPr>
              <w:jc w:val="both"/>
              <w:rPr>
                <w:sz w:val="20"/>
                <w:lang w:val="fr-CA"/>
              </w:rPr>
            </w:pPr>
            <w:r w:rsidRPr="00431381">
              <w:rPr>
                <w:sz w:val="20"/>
                <w:lang w:val="fr-CA"/>
              </w:rPr>
              <w:t>(Juges Gauthier, Stratas et Laskin)</w:t>
            </w:r>
          </w:p>
          <w:p w:rsidR="00D9526D" w:rsidRPr="00431381" w:rsidRDefault="00F37A97" w:rsidP="00A866C4">
            <w:pPr>
              <w:jc w:val="both"/>
              <w:rPr>
                <w:sz w:val="20"/>
                <w:lang w:val="fr-CA"/>
              </w:rPr>
            </w:pPr>
            <w:hyperlink r:id="rId70" w:history="1">
              <w:r w:rsidR="00D9526D" w:rsidRPr="00431381">
                <w:rPr>
                  <w:rStyle w:val="Hyperlink"/>
                  <w:sz w:val="20"/>
                  <w:lang w:val="fr-CA"/>
                </w:rPr>
                <w:t>2019 FCA 189</w:t>
              </w:r>
            </w:hyperlink>
            <w:r w:rsidR="00D9526D" w:rsidRPr="00431381">
              <w:rPr>
                <w:sz w:val="20"/>
                <w:lang w:val="fr-CA"/>
              </w:rPr>
              <w:t>; A</w:t>
            </w:r>
            <w:r w:rsidR="00D9526D" w:rsidRPr="00431381">
              <w:rPr>
                <w:sz w:val="20"/>
                <w:lang w:val="fr-CA"/>
              </w:rPr>
              <w:noBreakHyphen/>
              <w:t>307</w:t>
            </w:r>
            <w:r w:rsidR="00D9526D" w:rsidRPr="00431381">
              <w:rPr>
                <w:sz w:val="20"/>
                <w:lang w:val="fr-CA"/>
              </w:rPr>
              <w:noBreakHyphen/>
              <w:t>16</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Rejet de l’appel</w:t>
            </w: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23 septembre 2019</w:t>
            </w:r>
          </w:p>
          <w:p w:rsidR="00D9526D" w:rsidRPr="00431381" w:rsidRDefault="00D9526D" w:rsidP="00A866C4">
            <w:pPr>
              <w:jc w:val="both"/>
              <w:rPr>
                <w:sz w:val="20"/>
                <w:lang w:val="fr-CA"/>
              </w:rPr>
            </w:pPr>
            <w:r w:rsidRPr="00431381">
              <w:rPr>
                <w:sz w:val="20"/>
                <w:lang w:val="fr-CA"/>
              </w:rPr>
              <w:t>Cour suprême du Canada</w:t>
            </w: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Dépôt de la demande d’autorisation d’appel</w:t>
            </w:r>
          </w:p>
          <w:p w:rsidR="00D9526D" w:rsidRPr="00431381" w:rsidRDefault="00D9526D" w:rsidP="00A866C4">
            <w:pPr>
              <w:jc w:val="both"/>
              <w:rPr>
                <w:sz w:val="20"/>
                <w:lang w:val="fr-CA"/>
              </w:rPr>
            </w:pPr>
          </w:p>
        </w:tc>
      </w:tr>
    </w:tbl>
    <w:p w:rsidR="00D9526D" w:rsidRPr="00431381" w:rsidRDefault="00D9526D" w:rsidP="00A866C4">
      <w:pPr>
        <w:jc w:val="both"/>
        <w:rPr>
          <w:sz w:val="20"/>
          <w:lang w:val="fr-CA"/>
        </w:rPr>
      </w:pPr>
    </w:p>
    <w:p w:rsidR="00A37BE5" w:rsidRPr="00431381" w:rsidRDefault="00F37A97" w:rsidP="00A866C4">
      <w:pPr>
        <w:jc w:val="both"/>
        <w:rPr>
          <w:sz w:val="20"/>
          <w:lang w:val="fr-CA"/>
        </w:rPr>
      </w:pPr>
      <w:r w:rsidRPr="00431381">
        <w:rPr>
          <w:sz w:val="20"/>
        </w:rPr>
        <w:pict>
          <v:rect id="_x0000_i1051" style="width:2in;height:1pt" o:hrpct="0" o:hralign="center" o:hrstd="t" o:hrnoshade="t" o:hr="t" fillcolor="black [3213]" stroked="f"/>
        </w:pict>
      </w:r>
    </w:p>
    <w:p w:rsidR="005221C4" w:rsidRPr="00431381" w:rsidRDefault="005221C4"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rPr>
            </w:pPr>
            <w:r w:rsidRPr="00431381">
              <w:rPr>
                <w:rStyle w:val="SCCFileNumberChar"/>
                <w:sz w:val="20"/>
                <w:szCs w:val="20"/>
              </w:rPr>
              <w:t>38789</w:t>
            </w:r>
          </w:p>
        </w:tc>
        <w:tc>
          <w:tcPr>
            <w:tcW w:w="4457" w:type="pct"/>
            <w:gridSpan w:val="3"/>
          </w:tcPr>
          <w:p w:rsidR="00D9526D" w:rsidRPr="00431381" w:rsidRDefault="00D9526D" w:rsidP="00A866C4">
            <w:pPr>
              <w:pStyle w:val="SCCLsocParty"/>
              <w:jc w:val="both"/>
              <w:rPr>
                <w:b/>
                <w:sz w:val="20"/>
                <w:szCs w:val="20"/>
                <w:lang w:val="en-US"/>
              </w:rPr>
            </w:pPr>
            <w:r w:rsidRPr="00431381">
              <w:rPr>
                <w:b/>
                <w:sz w:val="20"/>
                <w:szCs w:val="20"/>
                <w:lang w:val="en-US"/>
              </w:rPr>
              <w:t>Her Majesty the Queen in Right of the Province of British Columbia v. Teal Cedar Products Ltd.</w:t>
            </w:r>
          </w:p>
          <w:p w:rsidR="00D9526D" w:rsidRPr="00431381" w:rsidRDefault="00D9526D" w:rsidP="00A866C4">
            <w:pPr>
              <w:jc w:val="both"/>
              <w:rPr>
                <w:sz w:val="20"/>
              </w:rPr>
            </w:pPr>
            <w:r w:rsidRPr="00431381">
              <w:rPr>
                <w:sz w:val="20"/>
              </w:rPr>
              <w:t>(B.C.) (Civil) (By Leave)</w:t>
            </w:r>
          </w:p>
        </w:tc>
      </w:tr>
      <w:tr w:rsidR="00D9526D" w:rsidRPr="00431381" w:rsidTr="00E95A6A">
        <w:tc>
          <w:tcPr>
            <w:tcW w:w="5000" w:type="pct"/>
            <w:gridSpan w:val="4"/>
          </w:tcPr>
          <w:p w:rsidR="00D9526D" w:rsidRPr="00431381" w:rsidRDefault="00D9526D" w:rsidP="00A866C4">
            <w:pPr>
              <w:jc w:val="both"/>
              <w:rPr>
                <w:sz w:val="20"/>
              </w:rPr>
            </w:pPr>
            <w:r w:rsidRPr="00431381">
              <w:rPr>
                <w:sz w:val="20"/>
              </w:rPr>
              <w:t xml:space="preserve">Civil Procedure — Appeal — </w:t>
            </w:r>
            <w:r w:rsidRPr="00431381">
              <w:rPr>
                <w:iCs/>
                <w:sz w:val="20"/>
                <w:lang w:val="en"/>
              </w:rPr>
              <w:t xml:space="preserve">Applicant’s application to have respondent’s claim against the defendant Haida Gwaii Management Council struck dismissed </w:t>
            </w:r>
            <w:r w:rsidRPr="00431381">
              <w:rPr>
                <w:sz w:val="20"/>
              </w:rPr>
              <w:t>— Whether the Court of Appeal erred in stating and applying the test for determining the capacity of a statutory body to be sued — Whether the Court of Appeal erred by importing a consideration of the nature and complexity of the claim advanced, into the test for determining the capacity of a statutory body to be sued in an action for damages — Whether the Court of Appeal for British Columbia erred by failing to characterize the capacity of a statutory body to be sued in an action for damages as a jurisdictional issue, thereby contradicting previous jurisprudence from the New Brunswick Court of Appeal and from the Court of Appeal for British Columbia itself — Whether the Court of Appeal erred by considering legislation beyond the constituting legislation of the statutory body, the Haida Gwaii Management Council.</w:t>
            </w:r>
          </w:p>
          <w:p w:rsidR="00D9526D" w:rsidRPr="00431381" w:rsidRDefault="00D9526D" w:rsidP="00A866C4">
            <w:pPr>
              <w:jc w:val="both"/>
              <w:rPr>
                <w:sz w:val="20"/>
              </w:rPr>
            </w:pPr>
          </w:p>
        </w:tc>
      </w:tr>
      <w:tr w:rsidR="00D9526D" w:rsidRPr="00431381" w:rsidTr="00E95A6A">
        <w:tc>
          <w:tcPr>
            <w:tcW w:w="5000" w:type="pct"/>
            <w:gridSpan w:val="4"/>
          </w:tcPr>
          <w:p w:rsidR="00D9526D" w:rsidRPr="00431381" w:rsidRDefault="00D9526D" w:rsidP="00A866C4">
            <w:pPr>
              <w:jc w:val="both"/>
              <w:rPr>
                <w:sz w:val="20"/>
              </w:rPr>
            </w:pPr>
            <w:r w:rsidRPr="00431381">
              <w:rPr>
                <w:sz w:val="20"/>
                <w:lang w:val="en"/>
              </w:rPr>
              <w:t xml:space="preserve">The respondent, Teal Cedar Products Ltd. (Teal), held two licenses to harvest timber on Haida Gwaii. Teal brought an action against the applicant, the Haida Nation and the </w:t>
            </w:r>
            <w:r w:rsidRPr="00431381">
              <w:rPr>
                <w:iCs/>
                <w:sz w:val="20"/>
                <w:lang w:val="en"/>
              </w:rPr>
              <w:t>Haida Gwaii Management Council (</w:t>
            </w:r>
            <w:r w:rsidRPr="00431381">
              <w:rPr>
                <w:sz w:val="20"/>
                <w:lang w:val="en"/>
              </w:rPr>
              <w:t xml:space="preserve">HGMC) to recover losses it says flowed from the reduction of its allowable annual cut and restrictions on harvesting in certain areas of Haida Gwaii. </w:t>
            </w:r>
            <w:r w:rsidRPr="00431381">
              <w:rPr>
                <w:iCs/>
                <w:sz w:val="20"/>
                <w:lang w:val="en"/>
              </w:rPr>
              <w:t>The applicant brought an application under the British Columbia Supreme Court Civil Rule 6</w:t>
            </w:r>
            <w:r w:rsidRPr="00431381">
              <w:rPr>
                <w:iCs/>
                <w:sz w:val="20"/>
                <w:lang w:val="en"/>
              </w:rPr>
              <w:noBreakHyphen/>
              <w:t xml:space="preserve">2 to remove the HGMC as a party on the basis that it lacked capacity to be sued </w:t>
            </w:r>
            <w:r w:rsidRPr="00431381">
              <w:rPr>
                <w:sz w:val="20"/>
                <w:lang w:val="en"/>
              </w:rPr>
              <w:t>and to strike Teal’s claim against the HGMC.</w:t>
            </w:r>
            <w:r w:rsidRPr="00431381">
              <w:rPr>
                <w:iCs/>
                <w:sz w:val="20"/>
                <w:lang w:val="en"/>
              </w:rPr>
              <w:t xml:space="preserve"> The applicant’s application was dismissed by </w:t>
            </w:r>
            <w:r w:rsidRPr="00431381">
              <w:rPr>
                <w:iCs/>
                <w:sz w:val="20"/>
              </w:rPr>
              <w:t xml:space="preserve">the </w:t>
            </w:r>
            <w:r w:rsidRPr="00431381">
              <w:rPr>
                <w:iCs/>
                <w:sz w:val="20"/>
                <w:lang w:val="en"/>
              </w:rPr>
              <w:t xml:space="preserve">chambers judge. </w:t>
            </w:r>
            <w:r w:rsidRPr="00431381">
              <w:rPr>
                <w:sz w:val="20"/>
              </w:rPr>
              <w:t xml:space="preserve">The Court of Appeal </w:t>
            </w:r>
            <w:r w:rsidRPr="00431381">
              <w:rPr>
                <w:iCs/>
                <w:sz w:val="20"/>
                <w:lang w:val="en"/>
              </w:rPr>
              <w:t>dismissed the appeal.</w:t>
            </w:r>
          </w:p>
        </w:tc>
      </w:tr>
      <w:tr w:rsidR="00D9526D" w:rsidRPr="00431381" w:rsidTr="00E95A6A">
        <w:tc>
          <w:tcPr>
            <w:tcW w:w="5000" w:type="pct"/>
            <w:gridSpan w:val="4"/>
          </w:tcPr>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October 25, 2018</w:t>
            </w:r>
          </w:p>
          <w:p w:rsidR="00D9526D" w:rsidRPr="00431381" w:rsidRDefault="00D9526D" w:rsidP="00A866C4">
            <w:pPr>
              <w:jc w:val="both"/>
              <w:rPr>
                <w:sz w:val="20"/>
              </w:rPr>
            </w:pPr>
            <w:r w:rsidRPr="00431381">
              <w:rPr>
                <w:sz w:val="20"/>
              </w:rPr>
              <w:t>Supreme Court of British Columbia</w:t>
            </w:r>
          </w:p>
          <w:p w:rsidR="00D9526D" w:rsidRPr="00431381" w:rsidRDefault="00D9526D" w:rsidP="00A866C4">
            <w:pPr>
              <w:jc w:val="both"/>
              <w:rPr>
                <w:sz w:val="20"/>
              </w:rPr>
            </w:pPr>
            <w:r w:rsidRPr="00431381">
              <w:rPr>
                <w:sz w:val="20"/>
              </w:rPr>
              <w:t>(Smith J.)</w:t>
            </w:r>
          </w:p>
          <w:p w:rsidR="00D9526D" w:rsidRPr="00431381" w:rsidRDefault="00F37A97" w:rsidP="00A866C4">
            <w:pPr>
              <w:jc w:val="both"/>
              <w:rPr>
                <w:sz w:val="20"/>
              </w:rPr>
            </w:pPr>
            <w:hyperlink r:id="rId71" w:history="1">
              <w:r w:rsidR="00D9526D" w:rsidRPr="00431381">
                <w:rPr>
                  <w:rStyle w:val="Hyperlink"/>
                  <w:sz w:val="20"/>
                </w:rPr>
                <w:t>2018 BCSC 1850</w:t>
              </w:r>
            </w:hyperlink>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Applicant’s application dismissed with costs in the cause</w:t>
            </w:r>
          </w:p>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June 4, 2019</w:t>
            </w:r>
          </w:p>
          <w:p w:rsidR="00D9526D" w:rsidRPr="00431381" w:rsidRDefault="00D9526D" w:rsidP="00A866C4">
            <w:pPr>
              <w:jc w:val="both"/>
              <w:rPr>
                <w:sz w:val="20"/>
              </w:rPr>
            </w:pPr>
            <w:r w:rsidRPr="00431381">
              <w:rPr>
                <w:sz w:val="20"/>
              </w:rPr>
              <w:t xml:space="preserve">Court of Appeal for British Columbia </w:t>
            </w:r>
          </w:p>
          <w:p w:rsidR="00D9526D" w:rsidRPr="00431381" w:rsidRDefault="00D9526D" w:rsidP="00A866C4">
            <w:pPr>
              <w:jc w:val="both"/>
              <w:rPr>
                <w:sz w:val="20"/>
                <w:lang w:val="fr-CA"/>
              </w:rPr>
            </w:pPr>
            <w:r w:rsidRPr="00431381">
              <w:rPr>
                <w:sz w:val="20"/>
                <w:lang w:val="fr-CA"/>
              </w:rPr>
              <w:t>(Vancouver)</w:t>
            </w:r>
          </w:p>
          <w:p w:rsidR="00D9526D" w:rsidRPr="00431381" w:rsidRDefault="00D9526D" w:rsidP="00A866C4">
            <w:pPr>
              <w:jc w:val="both"/>
              <w:rPr>
                <w:sz w:val="20"/>
                <w:lang w:val="fr-CA"/>
              </w:rPr>
            </w:pPr>
            <w:r w:rsidRPr="00431381">
              <w:rPr>
                <w:sz w:val="20"/>
                <w:lang w:val="fr-CA"/>
              </w:rPr>
              <w:t>(</w:t>
            </w:r>
            <w:proofErr w:type="spellStart"/>
            <w:r w:rsidRPr="00431381">
              <w:rPr>
                <w:sz w:val="20"/>
                <w:lang w:val="fr-CA"/>
              </w:rPr>
              <w:t>MacKenzie</w:t>
            </w:r>
            <w:proofErr w:type="spellEnd"/>
            <w:r w:rsidRPr="00431381">
              <w:rPr>
                <w:sz w:val="20"/>
                <w:lang w:val="fr-CA"/>
              </w:rPr>
              <w:t xml:space="preserve">, </w:t>
            </w:r>
            <w:proofErr w:type="spellStart"/>
            <w:r w:rsidRPr="00431381">
              <w:rPr>
                <w:sz w:val="20"/>
                <w:lang w:val="fr-CA"/>
              </w:rPr>
              <w:t>Fenlon</w:t>
            </w:r>
            <w:proofErr w:type="spellEnd"/>
            <w:r w:rsidRPr="00431381">
              <w:rPr>
                <w:sz w:val="20"/>
                <w:lang w:val="fr-CA"/>
              </w:rPr>
              <w:t xml:space="preserve">, </w:t>
            </w:r>
            <w:proofErr w:type="spellStart"/>
            <w:r w:rsidRPr="00431381">
              <w:rPr>
                <w:sz w:val="20"/>
                <w:lang w:val="fr-CA"/>
              </w:rPr>
              <w:t>Abrioux</w:t>
            </w:r>
            <w:proofErr w:type="spellEnd"/>
            <w:r w:rsidRPr="00431381">
              <w:rPr>
                <w:sz w:val="20"/>
                <w:lang w:val="fr-CA"/>
              </w:rPr>
              <w:t xml:space="preserve"> JJ.A.)</w:t>
            </w:r>
          </w:p>
          <w:p w:rsidR="00D9526D" w:rsidRPr="00431381" w:rsidRDefault="00F37A97" w:rsidP="00A866C4">
            <w:pPr>
              <w:jc w:val="both"/>
              <w:rPr>
                <w:sz w:val="20"/>
              </w:rPr>
            </w:pPr>
            <w:hyperlink r:id="rId72" w:history="1">
              <w:r w:rsidR="00D9526D" w:rsidRPr="00431381">
                <w:rPr>
                  <w:rStyle w:val="Hyperlink"/>
                  <w:sz w:val="20"/>
                </w:rPr>
                <w:t>2019 BCCA 194</w:t>
              </w:r>
            </w:hyperlink>
            <w:r w:rsidR="00D9526D" w:rsidRPr="00431381">
              <w:rPr>
                <w:sz w:val="20"/>
              </w:rPr>
              <w:t xml:space="preserve"> </w:t>
            </w:r>
          </w:p>
          <w:p w:rsidR="00D9526D" w:rsidRPr="00431381" w:rsidRDefault="00D9526D" w:rsidP="00A866C4">
            <w:pPr>
              <w:jc w:val="both"/>
              <w:rPr>
                <w:sz w:val="20"/>
              </w:rPr>
            </w:pPr>
            <w:r w:rsidRPr="00431381">
              <w:rPr>
                <w:sz w:val="20"/>
              </w:rPr>
              <w:t>CA45730</w:t>
            </w:r>
          </w:p>
          <w:p w:rsidR="00D9526D" w:rsidRPr="00431381" w:rsidRDefault="00D9526D" w:rsidP="00A866C4">
            <w:pPr>
              <w:jc w:val="both"/>
              <w:rPr>
                <w:sz w:val="20"/>
              </w:rPr>
            </w:pP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Appeal dismissed with costs</w:t>
            </w:r>
          </w:p>
          <w:p w:rsidR="00D9526D" w:rsidRPr="00431381" w:rsidRDefault="00D9526D" w:rsidP="00A866C4">
            <w:pPr>
              <w:jc w:val="both"/>
              <w:rPr>
                <w:sz w:val="20"/>
              </w:rPr>
            </w:pPr>
          </w:p>
        </w:tc>
      </w:tr>
      <w:tr w:rsidR="00D9526D" w:rsidRPr="00431381" w:rsidTr="00E95A6A">
        <w:tc>
          <w:tcPr>
            <w:tcW w:w="2427" w:type="pct"/>
            <w:gridSpan w:val="2"/>
          </w:tcPr>
          <w:p w:rsidR="00D9526D" w:rsidRPr="00431381" w:rsidRDefault="00D9526D" w:rsidP="00A866C4">
            <w:pPr>
              <w:jc w:val="both"/>
              <w:rPr>
                <w:sz w:val="20"/>
              </w:rPr>
            </w:pPr>
            <w:r w:rsidRPr="00431381">
              <w:rPr>
                <w:sz w:val="20"/>
              </w:rPr>
              <w:t>August 30, 2019</w:t>
            </w:r>
          </w:p>
          <w:p w:rsidR="00D9526D" w:rsidRPr="00431381" w:rsidRDefault="00D9526D" w:rsidP="00A866C4">
            <w:pPr>
              <w:jc w:val="both"/>
              <w:rPr>
                <w:sz w:val="20"/>
              </w:rPr>
            </w:pPr>
            <w:r w:rsidRPr="00431381">
              <w:rPr>
                <w:sz w:val="20"/>
              </w:rPr>
              <w:t>Supreme Court of Canada</w:t>
            </w:r>
          </w:p>
        </w:tc>
        <w:tc>
          <w:tcPr>
            <w:tcW w:w="243" w:type="pct"/>
          </w:tcPr>
          <w:p w:rsidR="00D9526D" w:rsidRPr="00431381" w:rsidRDefault="00D9526D" w:rsidP="00A866C4">
            <w:pPr>
              <w:jc w:val="both"/>
              <w:rPr>
                <w:sz w:val="20"/>
              </w:rPr>
            </w:pPr>
          </w:p>
        </w:tc>
        <w:tc>
          <w:tcPr>
            <w:tcW w:w="2330" w:type="pct"/>
          </w:tcPr>
          <w:p w:rsidR="00D9526D" w:rsidRPr="00431381" w:rsidRDefault="00D9526D" w:rsidP="00A866C4">
            <w:pPr>
              <w:jc w:val="both"/>
              <w:rPr>
                <w:sz w:val="20"/>
              </w:rPr>
            </w:pPr>
            <w:r w:rsidRPr="00431381">
              <w:rPr>
                <w:sz w:val="20"/>
              </w:rPr>
              <w:t>Application for leave to appeal filed</w:t>
            </w:r>
          </w:p>
          <w:p w:rsidR="00D9526D" w:rsidRPr="00431381" w:rsidRDefault="00D9526D" w:rsidP="00A866C4">
            <w:pPr>
              <w:jc w:val="both"/>
              <w:rPr>
                <w:sz w:val="20"/>
              </w:rPr>
            </w:pPr>
          </w:p>
        </w:tc>
      </w:tr>
    </w:tbl>
    <w:p w:rsidR="00D9526D" w:rsidRPr="00431381" w:rsidRDefault="00D9526D" w:rsidP="00A866C4">
      <w:pPr>
        <w:jc w:val="both"/>
        <w:rPr>
          <w:sz w:val="20"/>
        </w:rPr>
      </w:pPr>
    </w:p>
    <w:p w:rsidR="00A37BE5" w:rsidRPr="00431381" w:rsidRDefault="00F37A97" w:rsidP="00A866C4">
      <w:pPr>
        <w:jc w:val="both"/>
        <w:rPr>
          <w:sz w:val="20"/>
        </w:rPr>
      </w:pPr>
      <w:r w:rsidRPr="00431381">
        <w:rPr>
          <w:sz w:val="20"/>
        </w:rPr>
        <w:pict>
          <v:rect id="_x0000_i1052" style="width:2in;height:1pt" o:hrpct="0" o:hralign="center" o:hrstd="t" o:hrnoshade="t" o:hr="t" fillcolor="black [3213]" stroked="f"/>
        </w:pict>
      </w:r>
    </w:p>
    <w:p w:rsidR="00D9526D" w:rsidRPr="00431381" w:rsidRDefault="00D9526D"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526D" w:rsidRPr="00431381" w:rsidTr="00E95A6A">
        <w:tc>
          <w:tcPr>
            <w:tcW w:w="543" w:type="pct"/>
          </w:tcPr>
          <w:p w:rsidR="00D9526D" w:rsidRPr="00431381" w:rsidRDefault="00D9526D" w:rsidP="00A866C4">
            <w:pPr>
              <w:jc w:val="both"/>
              <w:rPr>
                <w:sz w:val="20"/>
                <w:lang w:val="fr-CA"/>
              </w:rPr>
            </w:pPr>
            <w:r w:rsidRPr="00431381">
              <w:rPr>
                <w:rStyle w:val="SCCFileNumberChar"/>
                <w:sz w:val="20"/>
                <w:szCs w:val="20"/>
                <w:lang w:val="fr-CA"/>
              </w:rPr>
              <w:t>38789</w:t>
            </w:r>
          </w:p>
        </w:tc>
        <w:tc>
          <w:tcPr>
            <w:tcW w:w="4457" w:type="pct"/>
            <w:gridSpan w:val="3"/>
          </w:tcPr>
          <w:p w:rsidR="00D9526D" w:rsidRPr="00431381" w:rsidRDefault="00D9526D" w:rsidP="00A866C4">
            <w:pPr>
              <w:pStyle w:val="SCCLsocParty"/>
              <w:jc w:val="both"/>
              <w:rPr>
                <w:b/>
                <w:sz w:val="20"/>
                <w:szCs w:val="20"/>
              </w:rPr>
            </w:pPr>
            <w:r w:rsidRPr="00431381">
              <w:rPr>
                <w:b/>
                <w:sz w:val="20"/>
                <w:szCs w:val="20"/>
              </w:rPr>
              <w:t>Sa Majesté la Reine du chef de la province de la Colombie-Britannique c. Teal Cedar Products Ltd.</w:t>
            </w:r>
          </w:p>
          <w:p w:rsidR="00D9526D" w:rsidRPr="00431381" w:rsidRDefault="00D9526D" w:rsidP="00A866C4">
            <w:pPr>
              <w:jc w:val="both"/>
              <w:rPr>
                <w:sz w:val="20"/>
                <w:lang w:val="fr-CA"/>
              </w:rPr>
            </w:pPr>
            <w:r w:rsidRPr="00431381">
              <w:rPr>
                <w:sz w:val="20"/>
                <w:lang w:val="fr-CA"/>
              </w:rPr>
              <w:t>(C.</w:t>
            </w:r>
            <w:r w:rsidRPr="00431381">
              <w:rPr>
                <w:sz w:val="20"/>
                <w:lang w:val="fr-CA"/>
              </w:rPr>
              <w:noBreakHyphen/>
              <w:t>B.) (Civile) (Autorisation)</w:t>
            </w:r>
          </w:p>
        </w:tc>
      </w:tr>
      <w:tr w:rsidR="00D9526D" w:rsidRPr="00431381" w:rsidTr="00E95A6A">
        <w:tc>
          <w:tcPr>
            <w:tcW w:w="5000" w:type="pct"/>
            <w:gridSpan w:val="4"/>
          </w:tcPr>
          <w:p w:rsidR="00D9526D" w:rsidRPr="00431381" w:rsidRDefault="00D9526D" w:rsidP="00A866C4">
            <w:pPr>
              <w:jc w:val="both"/>
              <w:rPr>
                <w:sz w:val="20"/>
                <w:lang w:val="fr-CA"/>
              </w:rPr>
            </w:pPr>
            <w:r w:rsidRPr="00431381">
              <w:rPr>
                <w:sz w:val="20"/>
                <w:lang w:val="fr-CA"/>
              </w:rPr>
              <w:t xml:space="preserve">Procédure civile — Appel — </w:t>
            </w:r>
            <w:r w:rsidRPr="00431381">
              <w:rPr>
                <w:iCs/>
                <w:sz w:val="20"/>
                <w:lang w:val="fr-CA"/>
              </w:rPr>
              <w:t xml:space="preserve">La requête de la demanderesse en radiation de l’action de l’intimée contre le défendeur Haida Gwaii Management Council a été rejetée </w:t>
            </w:r>
            <w:r w:rsidRPr="00431381">
              <w:rPr>
                <w:sz w:val="20"/>
                <w:lang w:val="fr-CA"/>
              </w:rPr>
              <w:t>— La Cour d’appel a</w:t>
            </w:r>
            <w:r w:rsidRPr="00431381">
              <w:rPr>
                <w:sz w:val="20"/>
                <w:lang w:val="fr-CA"/>
              </w:rPr>
              <w:noBreakHyphen/>
              <w:t>t</w:t>
            </w:r>
            <w:r w:rsidRPr="00431381">
              <w:rPr>
                <w:sz w:val="20"/>
                <w:lang w:val="fr-CA"/>
              </w:rPr>
              <w:noBreakHyphen/>
              <w:t>elle commis une erreur dans sa formulation et dans son application du critère permettant de déterminer la capacité d’un organisme créé par la loi d’être poursuivie? — La Cour d’appel a</w:t>
            </w:r>
            <w:r w:rsidRPr="00431381">
              <w:rPr>
                <w:sz w:val="20"/>
                <w:lang w:val="fr-CA"/>
              </w:rPr>
              <w:noBreakHyphen/>
              <w:t>t</w:t>
            </w:r>
            <w:r w:rsidRPr="00431381">
              <w:rPr>
                <w:sz w:val="20"/>
                <w:lang w:val="fr-CA"/>
              </w:rPr>
              <w:noBreakHyphen/>
              <w:t>elle eu tort d’importer une considération de la nature et de la complexité de la demande intentée dans le critère permettant de déterminer la capacité d’un organisme créé par la loi d’être poursuivie en dommages</w:t>
            </w:r>
            <w:r w:rsidRPr="00431381">
              <w:rPr>
                <w:sz w:val="20"/>
                <w:lang w:val="fr-CA"/>
              </w:rPr>
              <w:noBreakHyphen/>
              <w:t>intérêts? — La Cour d’appel a</w:t>
            </w:r>
            <w:r w:rsidRPr="00431381">
              <w:rPr>
                <w:sz w:val="20"/>
                <w:lang w:val="fr-CA"/>
              </w:rPr>
              <w:noBreakHyphen/>
              <w:t>t</w:t>
            </w:r>
            <w:r w:rsidRPr="00431381">
              <w:rPr>
                <w:sz w:val="20"/>
                <w:lang w:val="fr-CA"/>
              </w:rPr>
              <w:noBreakHyphen/>
              <w:t>elle eu tort d’avoir omis de caractériser la capacité d’un organisme créé par la loi d’être poursuivie en dommages</w:t>
            </w:r>
            <w:r w:rsidRPr="00431381">
              <w:rPr>
                <w:sz w:val="20"/>
                <w:lang w:val="fr-CA"/>
              </w:rPr>
              <w:noBreakHyphen/>
              <w:t>intérêts comme une question de compétence, contredisant ainsi la jurisprudence antérieure de la Cour d’appel du Nouveau</w:t>
            </w:r>
            <w:r w:rsidRPr="00431381">
              <w:rPr>
                <w:sz w:val="20"/>
                <w:lang w:val="fr-CA"/>
              </w:rPr>
              <w:noBreakHyphen/>
              <w:t>Brunswick et de la Cour d’appel de la Colombie</w:t>
            </w:r>
            <w:r w:rsidRPr="00431381">
              <w:rPr>
                <w:sz w:val="20"/>
                <w:lang w:val="fr-CA"/>
              </w:rPr>
              <w:noBreakHyphen/>
              <w:t>Britannique elle</w:t>
            </w:r>
            <w:r w:rsidRPr="00431381">
              <w:rPr>
                <w:sz w:val="20"/>
                <w:lang w:val="fr-CA"/>
              </w:rPr>
              <w:noBreakHyphen/>
              <w:t>même?  — La Cour d’appel a</w:t>
            </w:r>
            <w:r w:rsidRPr="00431381">
              <w:rPr>
                <w:sz w:val="20"/>
                <w:lang w:val="fr-CA"/>
              </w:rPr>
              <w:noBreakHyphen/>
              <w:t>t</w:t>
            </w:r>
            <w:r w:rsidRPr="00431381">
              <w:rPr>
                <w:sz w:val="20"/>
                <w:lang w:val="fr-CA"/>
              </w:rPr>
              <w:noBreakHyphen/>
              <w:t>elle eu tort de prendre en considération des textes législatifs autres que la loi constitutive de l’organisme en cause, le Haida Gwaii Management Council?</w:t>
            </w:r>
          </w:p>
          <w:p w:rsidR="00D9526D" w:rsidRPr="00431381" w:rsidRDefault="00D9526D" w:rsidP="00A866C4">
            <w:pPr>
              <w:jc w:val="both"/>
              <w:rPr>
                <w:sz w:val="20"/>
                <w:lang w:val="fr-CA"/>
              </w:rPr>
            </w:pPr>
          </w:p>
        </w:tc>
      </w:tr>
      <w:tr w:rsidR="00D9526D" w:rsidRPr="00431381" w:rsidTr="00E95A6A">
        <w:tc>
          <w:tcPr>
            <w:tcW w:w="5000" w:type="pct"/>
            <w:gridSpan w:val="4"/>
          </w:tcPr>
          <w:p w:rsidR="00D9526D" w:rsidRPr="00431381" w:rsidRDefault="00D9526D" w:rsidP="00A866C4">
            <w:pPr>
              <w:jc w:val="both"/>
              <w:rPr>
                <w:sz w:val="20"/>
                <w:lang w:val="fr-CA"/>
              </w:rPr>
            </w:pPr>
            <w:proofErr w:type="spellStart"/>
            <w:r w:rsidRPr="00431381">
              <w:rPr>
                <w:sz w:val="20"/>
              </w:rPr>
              <w:t>L’intimée</w:t>
            </w:r>
            <w:proofErr w:type="spellEnd"/>
            <w:r w:rsidRPr="00431381">
              <w:rPr>
                <w:sz w:val="20"/>
              </w:rPr>
              <w:t xml:space="preserve">, Teal Cedar Products Ltd. </w:t>
            </w:r>
            <w:r w:rsidRPr="00431381">
              <w:rPr>
                <w:sz w:val="20"/>
                <w:lang w:val="fr-CA"/>
              </w:rPr>
              <w:t>(</w:t>
            </w:r>
            <w:proofErr w:type="spellStart"/>
            <w:r w:rsidRPr="00431381">
              <w:rPr>
                <w:sz w:val="20"/>
                <w:lang w:val="fr-CA"/>
              </w:rPr>
              <w:t>Teal</w:t>
            </w:r>
            <w:proofErr w:type="spellEnd"/>
            <w:r w:rsidRPr="00431381">
              <w:rPr>
                <w:sz w:val="20"/>
                <w:lang w:val="fr-CA"/>
              </w:rPr>
              <w:t xml:space="preserve">), était titulaire de deux permis lui permettant de couper du bois dans Haida Gwaii. Teal a intenté une action contre la demanderesse, la Nation Haida et le </w:t>
            </w:r>
            <w:r w:rsidRPr="00431381">
              <w:rPr>
                <w:iCs/>
                <w:sz w:val="20"/>
                <w:lang w:val="fr-CA"/>
              </w:rPr>
              <w:t>Haida Gwaii Management Council (</w:t>
            </w:r>
            <w:r w:rsidRPr="00431381">
              <w:rPr>
                <w:sz w:val="20"/>
                <w:lang w:val="fr-CA"/>
              </w:rPr>
              <w:t>HGMC) pour récupérer les pertes qu’elle prétend avoir subies en raison de la réduction de la coupe annuelle permise et de restrictions à la coupe dans certaines zones de Haida Gwaii. La demanderesse a présenté une requête fondée sur la règle 6</w:t>
            </w:r>
            <w:r w:rsidRPr="00431381">
              <w:rPr>
                <w:sz w:val="20"/>
                <w:lang w:val="fr-CA"/>
              </w:rPr>
              <w:noBreakHyphen/>
              <w:t xml:space="preserve">2 des </w:t>
            </w:r>
            <w:r w:rsidRPr="00431381">
              <w:rPr>
                <w:i/>
                <w:iCs/>
                <w:sz w:val="20"/>
                <w:lang w:val="fr-CA"/>
              </w:rPr>
              <w:t xml:space="preserve">Supreme Court Civil </w:t>
            </w:r>
            <w:proofErr w:type="spellStart"/>
            <w:r w:rsidRPr="00431381">
              <w:rPr>
                <w:i/>
                <w:iCs/>
                <w:sz w:val="20"/>
                <w:lang w:val="fr-CA"/>
              </w:rPr>
              <w:t>Rules</w:t>
            </w:r>
            <w:proofErr w:type="spellEnd"/>
            <w:r w:rsidRPr="00431381">
              <w:rPr>
                <w:iCs/>
                <w:sz w:val="20"/>
                <w:lang w:val="fr-CA"/>
              </w:rPr>
              <w:t xml:space="preserve"> de la Colombie</w:t>
            </w:r>
            <w:r w:rsidRPr="00431381">
              <w:rPr>
                <w:iCs/>
                <w:sz w:val="20"/>
                <w:lang w:val="fr-CA"/>
              </w:rPr>
              <w:noBreakHyphen/>
              <w:t xml:space="preserve">Britannique pour mettre hors de cause HGMC comme partie au motif qu’il n’a pas la capacité d’être poursuivi et pour radier l’action de Teal contre le </w:t>
            </w:r>
            <w:r w:rsidRPr="00431381">
              <w:rPr>
                <w:sz w:val="20"/>
                <w:lang w:val="fr-CA"/>
              </w:rPr>
              <w:t>HGMC.</w:t>
            </w:r>
            <w:r w:rsidRPr="00431381">
              <w:rPr>
                <w:iCs/>
                <w:sz w:val="20"/>
                <w:lang w:val="fr-CA"/>
              </w:rPr>
              <w:t xml:space="preserve"> Le juge siégeant en cabinet a rejeté la requête de la demanderesse. </w:t>
            </w:r>
            <w:r w:rsidRPr="00431381">
              <w:rPr>
                <w:sz w:val="20"/>
                <w:lang w:val="fr-CA"/>
              </w:rPr>
              <w:t>La Cour d’appel a rejeté l’appel</w:t>
            </w:r>
            <w:r w:rsidRPr="00431381">
              <w:rPr>
                <w:iCs/>
                <w:sz w:val="20"/>
                <w:lang w:val="fr-CA"/>
              </w:rPr>
              <w:t>.</w:t>
            </w:r>
          </w:p>
        </w:tc>
      </w:tr>
      <w:tr w:rsidR="00D9526D" w:rsidRPr="00431381" w:rsidTr="00E95A6A">
        <w:tc>
          <w:tcPr>
            <w:tcW w:w="5000" w:type="pct"/>
            <w:gridSpan w:val="4"/>
          </w:tcPr>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25 octobre 2018</w:t>
            </w:r>
          </w:p>
          <w:p w:rsidR="00D9526D" w:rsidRPr="00431381" w:rsidRDefault="00D9526D" w:rsidP="00A866C4">
            <w:pPr>
              <w:jc w:val="both"/>
              <w:rPr>
                <w:sz w:val="20"/>
                <w:lang w:val="fr-CA"/>
              </w:rPr>
            </w:pPr>
            <w:r w:rsidRPr="00431381">
              <w:rPr>
                <w:sz w:val="20"/>
                <w:lang w:val="fr-CA"/>
              </w:rPr>
              <w:t>Cour suprême de la Colombie</w:t>
            </w:r>
            <w:r w:rsidRPr="00431381">
              <w:rPr>
                <w:sz w:val="20"/>
                <w:lang w:val="fr-CA"/>
              </w:rPr>
              <w:noBreakHyphen/>
              <w:t>Britannique</w:t>
            </w:r>
          </w:p>
          <w:p w:rsidR="00D9526D" w:rsidRPr="00431381" w:rsidRDefault="00D9526D" w:rsidP="00A866C4">
            <w:pPr>
              <w:jc w:val="both"/>
              <w:rPr>
                <w:sz w:val="20"/>
                <w:lang w:val="fr-CA"/>
              </w:rPr>
            </w:pPr>
            <w:r w:rsidRPr="00431381">
              <w:rPr>
                <w:sz w:val="20"/>
                <w:lang w:val="fr-CA"/>
              </w:rPr>
              <w:t>(Juge Smith)</w:t>
            </w:r>
          </w:p>
          <w:p w:rsidR="00D9526D" w:rsidRPr="00431381" w:rsidRDefault="00F37A97" w:rsidP="00A866C4">
            <w:pPr>
              <w:jc w:val="both"/>
              <w:rPr>
                <w:sz w:val="20"/>
                <w:lang w:val="fr-CA"/>
              </w:rPr>
            </w:pPr>
            <w:hyperlink r:id="rId73" w:history="1">
              <w:r w:rsidR="00D9526D" w:rsidRPr="00431381">
                <w:rPr>
                  <w:rStyle w:val="Hyperlink"/>
                  <w:sz w:val="20"/>
                  <w:lang w:val="fr-CA"/>
                </w:rPr>
                <w:t>2018 BCSC 1850</w:t>
              </w:r>
            </w:hyperlink>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Rejet de la requête de la demanderesse, frais à suivre le sort de la cause</w:t>
            </w:r>
          </w:p>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4 juin 2019</w:t>
            </w:r>
          </w:p>
          <w:p w:rsidR="00D9526D" w:rsidRPr="00431381" w:rsidRDefault="00D9526D" w:rsidP="00A866C4">
            <w:pPr>
              <w:jc w:val="both"/>
              <w:rPr>
                <w:sz w:val="20"/>
                <w:lang w:val="fr-CA"/>
              </w:rPr>
            </w:pPr>
            <w:r w:rsidRPr="00431381">
              <w:rPr>
                <w:sz w:val="20"/>
                <w:lang w:val="fr-CA"/>
              </w:rPr>
              <w:t>Cour d’appel de la Colombie</w:t>
            </w:r>
            <w:r w:rsidRPr="00431381">
              <w:rPr>
                <w:sz w:val="20"/>
                <w:lang w:val="fr-CA"/>
              </w:rPr>
              <w:noBreakHyphen/>
              <w:t xml:space="preserve">Britannique </w:t>
            </w:r>
          </w:p>
          <w:p w:rsidR="00D9526D" w:rsidRPr="00431381" w:rsidRDefault="00D9526D" w:rsidP="00A866C4">
            <w:pPr>
              <w:jc w:val="both"/>
              <w:rPr>
                <w:sz w:val="20"/>
                <w:lang w:val="fr-CA"/>
              </w:rPr>
            </w:pPr>
            <w:r w:rsidRPr="00431381">
              <w:rPr>
                <w:sz w:val="20"/>
                <w:lang w:val="fr-CA"/>
              </w:rPr>
              <w:t>(Vancouver)</w:t>
            </w:r>
          </w:p>
          <w:p w:rsidR="00D9526D" w:rsidRPr="00431381" w:rsidRDefault="00D9526D" w:rsidP="00A866C4">
            <w:pPr>
              <w:jc w:val="both"/>
              <w:rPr>
                <w:sz w:val="20"/>
                <w:lang w:val="fr-CA"/>
              </w:rPr>
            </w:pPr>
            <w:r w:rsidRPr="00431381">
              <w:rPr>
                <w:sz w:val="20"/>
                <w:lang w:val="fr-CA"/>
              </w:rPr>
              <w:t>(Juges MacKenzie, Fenlon et Abrioux)</w:t>
            </w:r>
          </w:p>
          <w:p w:rsidR="00D9526D" w:rsidRPr="00431381" w:rsidRDefault="00F37A97" w:rsidP="00A866C4">
            <w:pPr>
              <w:jc w:val="both"/>
              <w:rPr>
                <w:sz w:val="20"/>
                <w:lang w:val="fr-CA"/>
              </w:rPr>
            </w:pPr>
            <w:hyperlink r:id="rId74" w:history="1">
              <w:r w:rsidR="00D9526D" w:rsidRPr="00431381">
                <w:rPr>
                  <w:rStyle w:val="Hyperlink"/>
                  <w:sz w:val="20"/>
                  <w:lang w:val="fr-CA"/>
                </w:rPr>
                <w:t>2019 BCCA 194</w:t>
              </w:r>
            </w:hyperlink>
            <w:r w:rsidR="00D9526D" w:rsidRPr="00431381">
              <w:rPr>
                <w:sz w:val="20"/>
                <w:lang w:val="fr-CA"/>
              </w:rPr>
              <w:t xml:space="preserve"> </w:t>
            </w:r>
          </w:p>
          <w:p w:rsidR="00D9526D" w:rsidRPr="00431381" w:rsidRDefault="00D9526D" w:rsidP="00A866C4">
            <w:pPr>
              <w:jc w:val="both"/>
              <w:rPr>
                <w:sz w:val="20"/>
                <w:lang w:val="fr-CA"/>
              </w:rPr>
            </w:pPr>
            <w:r w:rsidRPr="00431381">
              <w:rPr>
                <w:sz w:val="20"/>
                <w:lang w:val="fr-CA"/>
              </w:rPr>
              <w:t>CA45730</w:t>
            </w:r>
          </w:p>
          <w:p w:rsidR="00D9526D" w:rsidRPr="00431381" w:rsidRDefault="00D9526D" w:rsidP="00A866C4">
            <w:pPr>
              <w:jc w:val="both"/>
              <w:rPr>
                <w:sz w:val="20"/>
                <w:lang w:val="fr-CA"/>
              </w:rPr>
            </w:pP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Rejet de l’appel avec dépens</w:t>
            </w:r>
          </w:p>
          <w:p w:rsidR="00D9526D" w:rsidRPr="00431381" w:rsidRDefault="00D9526D" w:rsidP="00A866C4">
            <w:pPr>
              <w:jc w:val="both"/>
              <w:rPr>
                <w:sz w:val="20"/>
                <w:lang w:val="fr-CA"/>
              </w:rPr>
            </w:pPr>
          </w:p>
        </w:tc>
      </w:tr>
      <w:tr w:rsidR="00D9526D" w:rsidRPr="00431381" w:rsidTr="00E95A6A">
        <w:tc>
          <w:tcPr>
            <w:tcW w:w="2427" w:type="pct"/>
            <w:gridSpan w:val="2"/>
          </w:tcPr>
          <w:p w:rsidR="00D9526D" w:rsidRPr="00431381" w:rsidRDefault="00D9526D" w:rsidP="00A866C4">
            <w:pPr>
              <w:jc w:val="both"/>
              <w:rPr>
                <w:sz w:val="20"/>
                <w:lang w:val="fr-CA"/>
              </w:rPr>
            </w:pPr>
            <w:r w:rsidRPr="00431381">
              <w:rPr>
                <w:sz w:val="20"/>
                <w:lang w:val="fr-CA"/>
              </w:rPr>
              <w:t>30 août 2019</w:t>
            </w:r>
          </w:p>
          <w:p w:rsidR="00D9526D" w:rsidRPr="00431381" w:rsidRDefault="00D9526D" w:rsidP="00A866C4">
            <w:pPr>
              <w:jc w:val="both"/>
              <w:rPr>
                <w:sz w:val="20"/>
                <w:lang w:val="fr-CA"/>
              </w:rPr>
            </w:pPr>
            <w:r w:rsidRPr="00431381">
              <w:rPr>
                <w:sz w:val="20"/>
                <w:lang w:val="fr-CA"/>
              </w:rPr>
              <w:t>Cour suprême du Canada</w:t>
            </w:r>
          </w:p>
        </w:tc>
        <w:tc>
          <w:tcPr>
            <w:tcW w:w="243" w:type="pct"/>
          </w:tcPr>
          <w:p w:rsidR="00D9526D" w:rsidRPr="00431381" w:rsidRDefault="00D9526D" w:rsidP="00A866C4">
            <w:pPr>
              <w:jc w:val="both"/>
              <w:rPr>
                <w:sz w:val="20"/>
                <w:lang w:val="fr-CA"/>
              </w:rPr>
            </w:pPr>
          </w:p>
        </w:tc>
        <w:tc>
          <w:tcPr>
            <w:tcW w:w="2330" w:type="pct"/>
          </w:tcPr>
          <w:p w:rsidR="00D9526D" w:rsidRPr="00431381" w:rsidRDefault="00D9526D" w:rsidP="00A866C4">
            <w:pPr>
              <w:jc w:val="both"/>
              <w:rPr>
                <w:sz w:val="20"/>
                <w:lang w:val="fr-CA"/>
              </w:rPr>
            </w:pPr>
            <w:r w:rsidRPr="00431381">
              <w:rPr>
                <w:sz w:val="20"/>
                <w:lang w:val="fr-CA"/>
              </w:rPr>
              <w:t>Dépôt de la demande d’autorisation d’appel</w:t>
            </w:r>
          </w:p>
          <w:p w:rsidR="00D9526D" w:rsidRPr="00431381" w:rsidRDefault="00D9526D" w:rsidP="00A866C4">
            <w:pPr>
              <w:jc w:val="both"/>
              <w:rPr>
                <w:sz w:val="20"/>
                <w:lang w:val="fr-CA"/>
              </w:rPr>
            </w:pPr>
          </w:p>
        </w:tc>
      </w:tr>
    </w:tbl>
    <w:p w:rsidR="00D9526D" w:rsidRPr="00431381" w:rsidRDefault="00D9526D" w:rsidP="00A866C4">
      <w:pPr>
        <w:jc w:val="both"/>
        <w:rPr>
          <w:sz w:val="20"/>
          <w:lang w:val="fr-CA"/>
        </w:rPr>
      </w:pPr>
    </w:p>
    <w:p w:rsidR="00A37BE5" w:rsidRPr="00431381" w:rsidRDefault="00F37A97" w:rsidP="00A866C4">
      <w:pPr>
        <w:jc w:val="both"/>
        <w:rPr>
          <w:sz w:val="20"/>
          <w:lang w:val="fr-CA"/>
        </w:rPr>
      </w:pPr>
      <w:r w:rsidRPr="00431381">
        <w:rPr>
          <w:sz w:val="20"/>
        </w:rPr>
        <w:pict>
          <v:rect id="_x0000_i1053" style="width:2in;height:1pt" o:hrpct="0" o:hralign="center" o:hrstd="t" o:hrnoshade="t" o:hr="t" fillcolor="black [3213]" stroked="f"/>
        </w:pict>
      </w:r>
    </w:p>
    <w:p w:rsidR="005221C4" w:rsidRPr="00431381" w:rsidRDefault="005221C4"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rPr>
            </w:pPr>
            <w:r w:rsidRPr="00431381">
              <w:rPr>
                <w:rStyle w:val="SCCFileNumberChar"/>
                <w:sz w:val="20"/>
                <w:szCs w:val="20"/>
              </w:rPr>
              <w:t>38816</w:t>
            </w:r>
          </w:p>
        </w:tc>
        <w:tc>
          <w:tcPr>
            <w:tcW w:w="4457" w:type="pct"/>
            <w:gridSpan w:val="3"/>
          </w:tcPr>
          <w:p w:rsidR="00CA32B5" w:rsidRPr="00431381" w:rsidRDefault="00CA32B5" w:rsidP="00A866C4">
            <w:pPr>
              <w:pStyle w:val="SCCLsocParty"/>
              <w:jc w:val="both"/>
              <w:rPr>
                <w:b/>
                <w:sz w:val="20"/>
                <w:szCs w:val="20"/>
                <w:lang w:val="en-US"/>
              </w:rPr>
            </w:pPr>
            <w:r w:rsidRPr="00431381">
              <w:rPr>
                <w:b/>
                <w:sz w:val="20"/>
                <w:szCs w:val="20"/>
                <w:lang w:val="en-US"/>
              </w:rPr>
              <w:t>Susan Leah Santics v. Bob Cristofoli, Animal Control Officer for the City of Vancouver</w:t>
            </w:r>
          </w:p>
          <w:p w:rsidR="00CA32B5" w:rsidRPr="00431381" w:rsidRDefault="00CA32B5" w:rsidP="00A866C4">
            <w:pPr>
              <w:jc w:val="both"/>
              <w:rPr>
                <w:sz w:val="20"/>
              </w:rPr>
            </w:pPr>
            <w:r w:rsidRPr="00431381">
              <w:rPr>
                <w:sz w:val="20"/>
              </w:rPr>
              <w:t>(B.C.) (Civil) (By Leave)</w:t>
            </w:r>
          </w:p>
        </w:tc>
      </w:tr>
      <w:tr w:rsidR="00CA32B5" w:rsidRPr="00431381" w:rsidTr="00E95A6A">
        <w:tc>
          <w:tcPr>
            <w:tcW w:w="5000" w:type="pct"/>
            <w:gridSpan w:val="4"/>
          </w:tcPr>
          <w:p w:rsidR="00CA32B5" w:rsidRPr="00431381" w:rsidRDefault="00CA32B5" w:rsidP="00A866C4">
            <w:pPr>
              <w:jc w:val="both"/>
              <w:rPr>
                <w:sz w:val="20"/>
              </w:rPr>
            </w:pPr>
            <w:r w:rsidRPr="00431381">
              <w:rPr>
                <w:sz w:val="20"/>
              </w:rPr>
              <w:t xml:space="preserve">Municipal law — Animals — Dangerous dogs — Jurisdiction and powers of provincial court — Statutory interpretation — Whether provincial courts have jurisdiction — implied or ancillary —to grant orders other than to destroy or return a “dangerous dog” under the </w:t>
            </w:r>
            <w:r w:rsidRPr="00431381">
              <w:rPr>
                <w:i/>
                <w:sz w:val="20"/>
              </w:rPr>
              <w:t>Vancouver Charter</w:t>
            </w:r>
            <w:r w:rsidRPr="00431381">
              <w:rPr>
                <w:sz w:val="20"/>
              </w:rPr>
              <w:t xml:space="preserve">, S.B.C. 1953, c. 55, and </w:t>
            </w:r>
            <w:r w:rsidRPr="00431381">
              <w:rPr>
                <w:i/>
                <w:sz w:val="20"/>
              </w:rPr>
              <w:t>Community Charter</w:t>
            </w:r>
            <w:r w:rsidRPr="00431381">
              <w:rPr>
                <w:sz w:val="20"/>
              </w:rPr>
              <w:t xml:space="preserve">, S.B.C. 2003, c. 26 — What is the appropriate legal test to determine that a dog is so dangerous that he or she must be destroyed, and who bears the onus of satisfying that test? — </w:t>
            </w:r>
            <w:r w:rsidRPr="00431381">
              <w:rPr>
                <w:i/>
                <w:sz w:val="20"/>
              </w:rPr>
              <w:t>Vancouver Charter</w:t>
            </w:r>
            <w:r w:rsidRPr="00431381">
              <w:rPr>
                <w:sz w:val="20"/>
              </w:rPr>
              <w:t xml:space="preserve">, S.B.C. 1953, c. 55, s. 324.1. — </w:t>
            </w:r>
            <w:r w:rsidRPr="00431381">
              <w:rPr>
                <w:i/>
                <w:sz w:val="20"/>
              </w:rPr>
              <w:t>Community Charter</w:t>
            </w:r>
            <w:r w:rsidRPr="00431381">
              <w:rPr>
                <w:sz w:val="20"/>
              </w:rPr>
              <w:t>, S.B.C. 2003, c. 26, s. 49.</w:t>
            </w:r>
          </w:p>
        </w:tc>
      </w:tr>
      <w:tr w:rsidR="00CA32B5" w:rsidRPr="00431381" w:rsidTr="00E95A6A">
        <w:tc>
          <w:tcPr>
            <w:tcW w:w="5000" w:type="pct"/>
            <w:gridSpan w:val="4"/>
          </w:tcPr>
          <w:p w:rsidR="00CA32B5" w:rsidRPr="00431381" w:rsidRDefault="00CA32B5" w:rsidP="00A866C4">
            <w:pPr>
              <w:jc w:val="both"/>
              <w:rPr>
                <w:sz w:val="20"/>
              </w:rPr>
            </w:pPr>
          </w:p>
          <w:p w:rsidR="00CA32B5" w:rsidRPr="00431381" w:rsidRDefault="00CA32B5" w:rsidP="00A866C4">
            <w:pPr>
              <w:jc w:val="both"/>
              <w:rPr>
                <w:sz w:val="20"/>
              </w:rPr>
            </w:pPr>
            <w:r w:rsidRPr="00431381">
              <w:rPr>
                <w:sz w:val="20"/>
              </w:rPr>
              <w:t xml:space="preserve">An animal control officer applied to the Provincial Court of British Columbia to have the applicant’s dog, Punky, destroyed pursuant to s. 324.1(10) of the </w:t>
            </w:r>
            <w:r w:rsidRPr="00431381">
              <w:rPr>
                <w:i/>
                <w:sz w:val="20"/>
              </w:rPr>
              <w:t>Vancouver Charter</w:t>
            </w:r>
            <w:r w:rsidRPr="00431381">
              <w:rPr>
                <w:sz w:val="20"/>
              </w:rPr>
              <w:t xml:space="preserve">, following its attack on a woman in a park in Vancouver. The Provincial Court of British Columbia found that Punky was a “dangerous dog” within the meaning of s. 324.1(1) of the </w:t>
            </w:r>
            <w:r w:rsidRPr="00431381">
              <w:rPr>
                <w:i/>
                <w:sz w:val="20"/>
              </w:rPr>
              <w:t xml:space="preserve">Vancouver Charter </w:t>
            </w:r>
            <w:r w:rsidRPr="00431381">
              <w:rPr>
                <w:sz w:val="20"/>
              </w:rPr>
              <w:t xml:space="preserve">and ordered that he be “destroyed” by a qualified veterinarian pursuant to s. 324.1(10). Both the Supreme Court of British Columbia and the Court of Appeal for British Columbia dismissed the applicant’s appeal from the Provincial Court of British Columbia’s order. </w:t>
            </w:r>
          </w:p>
        </w:tc>
      </w:tr>
      <w:tr w:rsidR="00CA32B5" w:rsidRPr="00431381" w:rsidTr="00E95A6A">
        <w:tc>
          <w:tcPr>
            <w:tcW w:w="5000" w:type="pct"/>
            <w:gridSpan w:val="4"/>
          </w:tcPr>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July 25, 2018</w:t>
            </w:r>
          </w:p>
          <w:p w:rsidR="00CA32B5" w:rsidRPr="00431381" w:rsidRDefault="00CA32B5" w:rsidP="00A866C4">
            <w:pPr>
              <w:jc w:val="both"/>
              <w:rPr>
                <w:sz w:val="20"/>
              </w:rPr>
            </w:pPr>
            <w:r w:rsidRPr="00431381">
              <w:rPr>
                <w:sz w:val="20"/>
              </w:rPr>
              <w:t>Provincial Court of British Columbia</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r w:rsidRPr="00431381">
              <w:rPr>
                <w:sz w:val="20"/>
              </w:rPr>
              <w:t>Judge Lee</w:t>
            </w:r>
          </w:p>
          <w:p w:rsidR="00CA32B5" w:rsidRPr="00431381" w:rsidRDefault="00F37A97" w:rsidP="00A866C4">
            <w:pPr>
              <w:jc w:val="both"/>
              <w:rPr>
                <w:rStyle w:val="Hyperlink"/>
                <w:color w:val="auto"/>
                <w:sz w:val="20"/>
              </w:rPr>
            </w:pPr>
            <w:hyperlink r:id="rId75" w:history="1">
              <w:r w:rsidR="00CA32B5" w:rsidRPr="00431381">
                <w:rPr>
                  <w:rStyle w:val="Hyperlink"/>
                  <w:sz w:val="20"/>
                </w:rPr>
                <w:t>2018 BCPC 381</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 xml:space="preserve">Applicant’s dog found to be “dangerous dog” within the meaning of s. 324.1 of the </w:t>
            </w:r>
            <w:r w:rsidRPr="00431381">
              <w:rPr>
                <w:i/>
                <w:sz w:val="20"/>
              </w:rPr>
              <w:t>Vancouver Charter</w:t>
            </w:r>
            <w:r w:rsidRPr="00431381">
              <w:rPr>
                <w:sz w:val="20"/>
              </w:rPr>
              <w:t>, S.B.C. 1953, c. 55, and ordered to be destroyed.</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January 10, 2019</w:t>
            </w:r>
          </w:p>
          <w:p w:rsidR="00CA32B5" w:rsidRPr="00431381" w:rsidRDefault="00CA32B5" w:rsidP="00A866C4">
            <w:pPr>
              <w:jc w:val="both"/>
              <w:rPr>
                <w:sz w:val="20"/>
              </w:rPr>
            </w:pPr>
            <w:r w:rsidRPr="00431381">
              <w:rPr>
                <w:sz w:val="20"/>
              </w:rPr>
              <w:t>Supreme Court of British Columbia</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proofErr w:type="spellStart"/>
            <w:r w:rsidRPr="00431381">
              <w:rPr>
                <w:sz w:val="20"/>
              </w:rPr>
              <w:t>Grauer</w:t>
            </w:r>
            <w:proofErr w:type="spellEnd"/>
            <w:r w:rsidRPr="00431381">
              <w:rPr>
                <w:sz w:val="20"/>
              </w:rPr>
              <w:t xml:space="preserve"> J.</w:t>
            </w:r>
          </w:p>
          <w:p w:rsidR="00CA32B5" w:rsidRPr="00431381" w:rsidRDefault="00F37A97" w:rsidP="00A866C4">
            <w:pPr>
              <w:jc w:val="both"/>
              <w:rPr>
                <w:rStyle w:val="Hyperlink"/>
                <w:color w:val="auto"/>
                <w:sz w:val="20"/>
              </w:rPr>
            </w:pPr>
            <w:hyperlink r:id="rId76" w:history="1">
              <w:r w:rsidR="00CA32B5" w:rsidRPr="00431381">
                <w:rPr>
                  <w:rStyle w:val="Hyperlink"/>
                  <w:sz w:val="20"/>
                </w:rPr>
                <w:t>2019 BCSC 24</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Appeal dismissed.</w:t>
            </w:r>
          </w:p>
        </w:tc>
      </w:tr>
      <w:tr w:rsidR="00CA32B5" w:rsidRPr="00431381" w:rsidTr="00E95A6A">
        <w:tc>
          <w:tcPr>
            <w:tcW w:w="2427" w:type="pct"/>
            <w:gridSpan w:val="2"/>
          </w:tcPr>
          <w:p w:rsidR="00CA32B5" w:rsidRPr="00431381" w:rsidRDefault="00CA32B5" w:rsidP="00A866C4">
            <w:pPr>
              <w:jc w:val="both"/>
              <w:rPr>
                <w:sz w:val="20"/>
              </w:rPr>
            </w:pPr>
            <w:r w:rsidRPr="00431381">
              <w:rPr>
                <w:sz w:val="20"/>
              </w:rPr>
              <w:t>August 9, 2019</w:t>
            </w:r>
          </w:p>
          <w:p w:rsidR="00CA32B5" w:rsidRPr="00431381" w:rsidRDefault="00CA32B5" w:rsidP="00A866C4">
            <w:pPr>
              <w:jc w:val="both"/>
              <w:rPr>
                <w:sz w:val="20"/>
              </w:rPr>
            </w:pPr>
            <w:r w:rsidRPr="00431381">
              <w:rPr>
                <w:sz w:val="20"/>
              </w:rPr>
              <w:t xml:space="preserve">Court of Appeal for British Columbia </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r w:rsidRPr="00431381">
              <w:rPr>
                <w:sz w:val="20"/>
              </w:rPr>
              <w:t xml:space="preserve">(Newbury, </w:t>
            </w:r>
            <w:proofErr w:type="spellStart"/>
            <w:r w:rsidRPr="00431381">
              <w:rPr>
                <w:sz w:val="20"/>
              </w:rPr>
              <w:t>Goepel</w:t>
            </w:r>
            <w:proofErr w:type="spellEnd"/>
            <w:r w:rsidRPr="00431381">
              <w:rPr>
                <w:sz w:val="20"/>
              </w:rPr>
              <w:t xml:space="preserve">, and </w:t>
            </w:r>
            <w:proofErr w:type="spellStart"/>
            <w:r w:rsidRPr="00431381">
              <w:rPr>
                <w:sz w:val="20"/>
              </w:rPr>
              <w:t>Abrioux</w:t>
            </w:r>
            <w:proofErr w:type="spellEnd"/>
            <w:r w:rsidRPr="00431381">
              <w:rPr>
                <w:sz w:val="20"/>
              </w:rPr>
              <w:t xml:space="preserve"> JJ.A.)</w:t>
            </w:r>
          </w:p>
          <w:p w:rsidR="00CA32B5" w:rsidRPr="00431381" w:rsidRDefault="00F37A97" w:rsidP="00A866C4">
            <w:pPr>
              <w:jc w:val="both"/>
              <w:rPr>
                <w:rStyle w:val="Hyperlink"/>
                <w:color w:val="auto"/>
                <w:sz w:val="20"/>
              </w:rPr>
            </w:pPr>
            <w:hyperlink r:id="rId77" w:history="1">
              <w:r w:rsidR="00CA32B5" w:rsidRPr="00431381">
                <w:rPr>
                  <w:rStyle w:val="Hyperlink"/>
                  <w:sz w:val="20"/>
                </w:rPr>
                <w:t>2019 BCCA 294</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 xml:space="preserve">Appeal dismissed. </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September 24, 2019</w:t>
            </w:r>
          </w:p>
          <w:p w:rsidR="00CA32B5" w:rsidRPr="00431381" w:rsidRDefault="00CA32B5" w:rsidP="00A866C4">
            <w:pPr>
              <w:jc w:val="both"/>
              <w:rPr>
                <w:sz w:val="20"/>
              </w:rPr>
            </w:pPr>
            <w:r w:rsidRPr="00431381">
              <w:rPr>
                <w:sz w:val="20"/>
              </w:rPr>
              <w:t>Supreme Court of Canada</w:t>
            </w: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Application for leave to appeal filed</w:t>
            </w:r>
          </w:p>
          <w:p w:rsidR="00CA32B5" w:rsidRPr="00431381" w:rsidRDefault="00CA32B5" w:rsidP="00A866C4">
            <w:pPr>
              <w:jc w:val="both"/>
              <w:rPr>
                <w:sz w:val="20"/>
              </w:rPr>
            </w:pPr>
          </w:p>
        </w:tc>
      </w:tr>
    </w:tbl>
    <w:p w:rsidR="00CA32B5" w:rsidRPr="00431381" w:rsidRDefault="00CA32B5" w:rsidP="00A866C4">
      <w:pPr>
        <w:jc w:val="both"/>
        <w:rPr>
          <w:sz w:val="20"/>
        </w:rPr>
      </w:pPr>
    </w:p>
    <w:p w:rsidR="00A37BE5" w:rsidRPr="00431381" w:rsidRDefault="00F37A97" w:rsidP="00A866C4">
      <w:pPr>
        <w:jc w:val="both"/>
        <w:rPr>
          <w:sz w:val="20"/>
        </w:rPr>
      </w:pPr>
      <w:r w:rsidRPr="00431381">
        <w:rPr>
          <w:sz w:val="20"/>
        </w:rPr>
        <w:pict>
          <v:rect id="_x0000_i1054" style="width:2in;height:1pt" o:hrpct="0" o:hralign="center" o:hrstd="t" o:hrnoshade="t" o:hr="t" fillcolor="black [3213]" stroked="f"/>
        </w:pict>
      </w:r>
    </w:p>
    <w:p w:rsidR="00CA32B5" w:rsidRPr="00431381" w:rsidRDefault="00CA32B5"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lang w:val="fr-CA"/>
              </w:rPr>
            </w:pPr>
            <w:r w:rsidRPr="00431381">
              <w:rPr>
                <w:rStyle w:val="SCCFileNumberChar"/>
                <w:sz w:val="20"/>
                <w:szCs w:val="20"/>
                <w:lang w:val="fr-CA"/>
              </w:rPr>
              <w:t>38816</w:t>
            </w:r>
          </w:p>
        </w:tc>
        <w:tc>
          <w:tcPr>
            <w:tcW w:w="4457" w:type="pct"/>
            <w:gridSpan w:val="3"/>
          </w:tcPr>
          <w:p w:rsidR="00CA32B5" w:rsidRPr="00431381" w:rsidRDefault="00CA32B5" w:rsidP="00A866C4">
            <w:pPr>
              <w:pStyle w:val="SCCLsocParty"/>
              <w:jc w:val="both"/>
              <w:rPr>
                <w:b/>
                <w:sz w:val="20"/>
                <w:szCs w:val="20"/>
              </w:rPr>
            </w:pPr>
            <w:r w:rsidRPr="00431381">
              <w:rPr>
                <w:b/>
                <w:sz w:val="20"/>
                <w:szCs w:val="20"/>
              </w:rPr>
              <w:t>Susan Leah Santics c. Bob Cristofoli, agent de contrôle des animaux de la Ville de Vancouver</w:t>
            </w:r>
          </w:p>
          <w:p w:rsidR="00CA32B5" w:rsidRPr="00431381" w:rsidRDefault="00CA32B5" w:rsidP="00A866C4">
            <w:pPr>
              <w:jc w:val="both"/>
              <w:rPr>
                <w:sz w:val="20"/>
                <w:lang w:val="fr-CA"/>
              </w:rPr>
            </w:pPr>
            <w:r w:rsidRPr="00431381">
              <w:rPr>
                <w:sz w:val="20"/>
                <w:lang w:val="fr-CA"/>
              </w:rPr>
              <w:t>(C.</w:t>
            </w:r>
            <w:r w:rsidRPr="00431381">
              <w:rPr>
                <w:sz w:val="20"/>
                <w:lang w:val="fr-CA"/>
              </w:rPr>
              <w:noBreakHyphen/>
              <w:t>B.) (Civile) (Autorisation)</w:t>
            </w:r>
          </w:p>
        </w:tc>
      </w:tr>
      <w:tr w:rsidR="00CA32B5" w:rsidRPr="00431381" w:rsidTr="00E95A6A">
        <w:tc>
          <w:tcPr>
            <w:tcW w:w="5000" w:type="pct"/>
            <w:gridSpan w:val="4"/>
          </w:tcPr>
          <w:p w:rsidR="00CA32B5" w:rsidRPr="00431381" w:rsidRDefault="00CA32B5" w:rsidP="00A866C4">
            <w:pPr>
              <w:jc w:val="both"/>
              <w:rPr>
                <w:sz w:val="20"/>
                <w:lang w:val="fr-CA"/>
              </w:rPr>
            </w:pPr>
            <w:r w:rsidRPr="00431381">
              <w:rPr>
                <w:sz w:val="20"/>
                <w:lang w:val="fr-CA"/>
              </w:rPr>
              <w:t>Droit municipal — Animaux — Chiens dangereux — Compétence et pouvoirs du tribunal provincial — Interprétation des lois — Les tribunaux provinciaux ont</w:t>
            </w:r>
            <w:r w:rsidRPr="00431381">
              <w:rPr>
                <w:sz w:val="20"/>
                <w:lang w:val="fr-CA"/>
              </w:rPr>
              <w:noBreakHyphen/>
              <w:t xml:space="preserve">ils compétence, implicite ou accessoire, pour prononcer des ordonnances autres que de détruire ou de rendre un « chien dangereux » en application de la </w:t>
            </w:r>
            <w:r w:rsidRPr="00431381">
              <w:rPr>
                <w:i/>
                <w:sz w:val="20"/>
                <w:lang w:val="fr-CA"/>
              </w:rPr>
              <w:t>Vancouver Charter</w:t>
            </w:r>
            <w:r w:rsidRPr="00431381">
              <w:rPr>
                <w:sz w:val="20"/>
                <w:lang w:val="fr-CA"/>
              </w:rPr>
              <w:t xml:space="preserve">, S.B.C. 1953, ch. 55, et de la </w:t>
            </w:r>
            <w:r w:rsidRPr="00431381">
              <w:rPr>
                <w:i/>
                <w:sz w:val="20"/>
                <w:lang w:val="fr-CA"/>
              </w:rPr>
              <w:t>Community Charter</w:t>
            </w:r>
            <w:r w:rsidRPr="00431381">
              <w:rPr>
                <w:sz w:val="20"/>
                <w:lang w:val="fr-CA"/>
              </w:rPr>
              <w:t xml:space="preserve">, S.B.C. 2003, ch. 26? — Quel est le critère juridique approprié qui permet de déterminer si un chien est à ce point dangereux qu’il doit être détruit et à qui incombe le fardeau de satisfaire à ce critère? — </w:t>
            </w:r>
            <w:r w:rsidRPr="00431381">
              <w:rPr>
                <w:i/>
                <w:sz w:val="20"/>
                <w:lang w:val="fr-CA"/>
              </w:rPr>
              <w:t>Vancouver Charter</w:t>
            </w:r>
            <w:r w:rsidRPr="00431381">
              <w:rPr>
                <w:sz w:val="20"/>
                <w:lang w:val="fr-CA"/>
              </w:rPr>
              <w:t xml:space="preserve">, S.B.C. 1953, ch. 55, art. 324.1. — </w:t>
            </w:r>
            <w:r w:rsidRPr="00431381">
              <w:rPr>
                <w:i/>
                <w:sz w:val="20"/>
                <w:lang w:val="fr-CA"/>
              </w:rPr>
              <w:t>Community Charter</w:t>
            </w:r>
            <w:r w:rsidRPr="00431381">
              <w:rPr>
                <w:sz w:val="20"/>
                <w:lang w:val="fr-CA"/>
              </w:rPr>
              <w:t>, S.B.C. 2003, ch. 26, art. 49.</w:t>
            </w:r>
          </w:p>
        </w:tc>
      </w:tr>
      <w:tr w:rsidR="00CA32B5" w:rsidRPr="00431381" w:rsidTr="00E95A6A">
        <w:tc>
          <w:tcPr>
            <w:tcW w:w="5000" w:type="pct"/>
            <w:gridSpan w:val="4"/>
          </w:tcPr>
          <w:p w:rsidR="00CA32B5" w:rsidRPr="00431381" w:rsidRDefault="00CA32B5" w:rsidP="00A866C4">
            <w:pPr>
              <w:jc w:val="both"/>
              <w:rPr>
                <w:sz w:val="20"/>
                <w:lang w:val="fr-CA"/>
              </w:rPr>
            </w:pPr>
          </w:p>
          <w:p w:rsidR="00CA32B5" w:rsidRPr="00431381" w:rsidRDefault="00CA32B5" w:rsidP="00A866C4">
            <w:pPr>
              <w:jc w:val="both"/>
              <w:rPr>
                <w:sz w:val="20"/>
                <w:lang w:val="fr-CA"/>
              </w:rPr>
            </w:pPr>
            <w:r w:rsidRPr="00431381">
              <w:rPr>
                <w:sz w:val="20"/>
                <w:lang w:val="fr-CA"/>
              </w:rPr>
              <w:t>Un agent de contrôle des animaux a présenté à la Cour provinciale de la Colombie</w:t>
            </w:r>
            <w:r w:rsidRPr="00431381">
              <w:rPr>
                <w:sz w:val="20"/>
                <w:lang w:val="fr-CA"/>
              </w:rPr>
              <w:noBreakHyphen/>
              <w:t xml:space="preserve">Britannique une demande pour faire détruire le chien de la demanderesse, Punky, en application du par. 324.1(10) de la </w:t>
            </w:r>
            <w:r w:rsidRPr="00431381">
              <w:rPr>
                <w:i/>
                <w:sz w:val="20"/>
                <w:lang w:val="fr-CA"/>
              </w:rPr>
              <w:t>Vancouver Charter</w:t>
            </w:r>
            <w:r w:rsidRPr="00431381">
              <w:rPr>
                <w:sz w:val="20"/>
                <w:lang w:val="fr-CA"/>
              </w:rPr>
              <w:t>, après que l’animal eut attaqué une femme dans un parc à Vancouver. La Cour provinciale de la Colombie-Britannique a conclu que Punky était un [</w:t>
            </w:r>
            <w:r w:rsidRPr="00431381">
              <w:rPr>
                <w:smallCaps/>
                <w:sz w:val="20"/>
                <w:lang w:val="fr-CA"/>
              </w:rPr>
              <w:t>traduction</w:t>
            </w:r>
            <w:r w:rsidRPr="00431381">
              <w:rPr>
                <w:sz w:val="20"/>
                <w:lang w:val="fr-CA"/>
              </w:rPr>
              <w:t xml:space="preserve">] « chien dangereux » au sens du par. 324.1(1) de la </w:t>
            </w:r>
            <w:r w:rsidRPr="00431381">
              <w:rPr>
                <w:i/>
                <w:sz w:val="20"/>
                <w:lang w:val="fr-CA"/>
              </w:rPr>
              <w:t xml:space="preserve">Vancouver Charter </w:t>
            </w:r>
            <w:r w:rsidRPr="00431381">
              <w:rPr>
                <w:sz w:val="20"/>
                <w:lang w:val="fr-CA"/>
              </w:rPr>
              <w:t>et a ordonné qu’il soit « détruit » par un vétérinaire qualifié en application du par. 324.1(10). La Cour suprême de la Colombie</w:t>
            </w:r>
            <w:r w:rsidRPr="00431381">
              <w:rPr>
                <w:sz w:val="20"/>
                <w:lang w:val="fr-CA"/>
              </w:rPr>
              <w:noBreakHyphen/>
              <w:t>Britannique ainsi que la Cour d’appel de la Colombie</w:t>
            </w:r>
            <w:r w:rsidRPr="00431381">
              <w:rPr>
                <w:sz w:val="20"/>
                <w:lang w:val="fr-CA"/>
              </w:rPr>
              <w:noBreakHyphen/>
              <w:t>Britannique ont rejeté l’appel interjeté par la demanderesse de l’ordonnance de la Cour provinciale de la Colombie</w:t>
            </w:r>
            <w:r w:rsidRPr="00431381">
              <w:rPr>
                <w:sz w:val="20"/>
                <w:lang w:val="fr-CA"/>
              </w:rPr>
              <w:noBreakHyphen/>
              <w:t>Britannique.</w:t>
            </w:r>
          </w:p>
        </w:tc>
      </w:tr>
      <w:tr w:rsidR="00CA32B5" w:rsidRPr="00431381" w:rsidTr="00E95A6A">
        <w:tc>
          <w:tcPr>
            <w:tcW w:w="5000" w:type="pct"/>
            <w:gridSpan w:val="4"/>
          </w:tcPr>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5 juillet 2018</w:t>
            </w:r>
          </w:p>
          <w:p w:rsidR="00CA32B5" w:rsidRPr="00431381" w:rsidRDefault="00CA32B5" w:rsidP="00A866C4">
            <w:pPr>
              <w:jc w:val="both"/>
              <w:rPr>
                <w:sz w:val="20"/>
                <w:lang w:val="fr-CA"/>
              </w:rPr>
            </w:pPr>
            <w:r w:rsidRPr="00431381">
              <w:rPr>
                <w:sz w:val="20"/>
                <w:lang w:val="fr-CA"/>
              </w:rPr>
              <w:t>Cour provinciale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Juge Lee</w:t>
            </w:r>
          </w:p>
          <w:p w:rsidR="00CA32B5" w:rsidRPr="00431381" w:rsidRDefault="00F37A97" w:rsidP="00A866C4">
            <w:pPr>
              <w:jc w:val="both"/>
              <w:rPr>
                <w:rStyle w:val="Hyperlink"/>
                <w:sz w:val="20"/>
                <w:lang w:val="fr-CA"/>
              </w:rPr>
            </w:pPr>
            <w:hyperlink r:id="rId78" w:history="1">
              <w:r w:rsidR="00CA32B5" w:rsidRPr="00431381">
                <w:rPr>
                  <w:rStyle w:val="Hyperlink"/>
                  <w:sz w:val="20"/>
                  <w:lang w:val="fr-CA"/>
                </w:rPr>
                <w:t>2018 BCPC 381</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 xml:space="preserve">Jugement concluant que le chien de la demanderesse est un « chien dangereux » au sens du par. 324.1 de la </w:t>
            </w:r>
            <w:r w:rsidRPr="00431381">
              <w:rPr>
                <w:i/>
                <w:sz w:val="20"/>
                <w:lang w:val="fr-CA"/>
              </w:rPr>
              <w:t>Vancouver Charter</w:t>
            </w:r>
            <w:r w:rsidRPr="00431381">
              <w:rPr>
                <w:sz w:val="20"/>
                <w:lang w:val="fr-CA"/>
              </w:rPr>
              <w:t>, S.B.C. 1953, ch. 55, et ordonnant la destruction de l’animal.</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10 janvier 2019</w:t>
            </w:r>
          </w:p>
          <w:p w:rsidR="00CA32B5" w:rsidRPr="00431381" w:rsidRDefault="00CA32B5" w:rsidP="00A866C4">
            <w:pPr>
              <w:jc w:val="both"/>
              <w:rPr>
                <w:sz w:val="20"/>
                <w:lang w:val="fr-CA"/>
              </w:rPr>
            </w:pPr>
            <w:r w:rsidRPr="00431381">
              <w:rPr>
                <w:sz w:val="20"/>
                <w:lang w:val="fr-CA"/>
              </w:rPr>
              <w:t>Cour suprême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Juge Grauer</w:t>
            </w:r>
          </w:p>
          <w:p w:rsidR="00CA32B5" w:rsidRPr="00431381" w:rsidRDefault="00F37A97" w:rsidP="00A866C4">
            <w:pPr>
              <w:jc w:val="both"/>
              <w:rPr>
                <w:rStyle w:val="Hyperlink"/>
                <w:sz w:val="20"/>
                <w:lang w:val="fr-CA"/>
              </w:rPr>
            </w:pPr>
            <w:hyperlink r:id="rId79" w:history="1">
              <w:r w:rsidR="00CA32B5" w:rsidRPr="00431381">
                <w:rPr>
                  <w:rStyle w:val="Hyperlink"/>
                  <w:sz w:val="20"/>
                  <w:lang w:val="fr-CA"/>
                </w:rPr>
                <w:t>2019 BCSC 24</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Rejet de l’appel.</w:t>
            </w: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9 août 2019</w:t>
            </w:r>
          </w:p>
          <w:p w:rsidR="00CA32B5" w:rsidRPr="00431381" w:rsidRDefault="00CA32B5" w:rsidP="00A866C4">
            <w:pPr>
              <w:jc w:val="both"/>
              <w:rPr>
                <w:sz w:val="20"/>
                <w:lang w:val="fr-CA"/>
              </w:rPr>
            </w:pPr>
            <w:r w:rsidRPr="00431381">
              <w:rPr>
                <w:sz w:val="20"/>
                <w:lang w:val="fr-CA"/>
              </w:rPr>
              <w:t>Cour d’appel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(Juges Newbury, Goepel et Abrioux)</w:t>
            </w:r>
          </w:p>
          <w:p w:rsidR="00CA32B5" w:rsidRPr="00431381" w:rsidRDefault="00F37A97" w:rsidP="00A866C4">
            <w:pPr>
              <w:jc w:val="both"/>
              <w:rPr>
                <w:rStyle w:val="Hyperlink"/>
                <w:color w:val="auto"/>
                <w:sz w:val="20"/>
                <w:lang w:val="fr-CA"/>
              </w:rPr>
            </w:pPr>
            <w:hyperlink r:id="rId80" w:history="1">
              <w:r w:rsidR="00CA32B5" w:rsidRPr="00431381">
                <w:rPr>
                  <w:rStyle w:val="Hyperlink"/>
                  <w:sz w:val="20"/>
                  <w:lang w:val="fr-CA"/>
                </w:rPr>
                <w:t>2019 BCCA 294</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Rejet de l’appel.</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24 septembre 2019</w:t>
            </w:r>
          </w:p>
          <w:p w:rsidR="00CA32B5" w:rsidRPr="00431381" w:rsidRDefault="00CA32B5" w:rsidP="00A866C4">
            <w:pPr>
              <w:jc w:val="both"/>
              <w:rPr>
                <w:sz w:val="20"/>
                <w:lang w:val="fr-CA"/>
              </w:rPr>
            </w:pPr>
            <w:r w:rsidRPr="00431381">
              <w:rPr>
                <w:sz w:val="20"/>
                <w:lang w:val="fr-CA"/>
              </w:rPr>
              <w:t>Cour suprême du Canada</w:t>
            </w: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Dépôt de la demande d’autorisation d’appel</w:t>
            </w:r>
          </w:p>
          <w:p w:rsidR="00CA32B5" w:rsidRPr="00431381" w:rsidRDefault="00CA32B5" w:rsidP="00A866C4">
            <w:pPr>
              <w:jc w:val="both"/>
              <w:rPr>
                <w:sz w:val="20"/>
                <w:lang w:val="fr-CA"/>
              </w:rPr>
            </w:pPr>
          </w:p>
        </w:tc>
      </w:tr>
    </w:tbl>
    <w:p w:rsidR="00CA32B5" w:rsidRPr="00431381" w:rsidRDefault="00CA32B5" w:rsidP="00A866C4">
      <w:pPr>
        <w:jc w:val="both"/>
        <w:rPr>
          <w:sz w:val="20"/>
          <w:lang w:val="fr-CA"/>
        </w:rPr>
      </w:pPr>
    </w:p>
    <w:p w:rsidR="00A37BE5" w:rsidRPr="00431381" w:rsidRDefault="00F37A97" w:rsidP="00A866C4">
      <w:pPr>
        <w:jc w:val="both"/>
        <w:rPr>
          <w:sz w:val="20"/>
          <w:lang w:val="fr-CA"/>
        </w:rPr>
      </w:pPr>
      <w:r w:rsidRPr="00431381">
        <w:rPr>
          <w:sz w:val="20"/>
        </w:rPr>
        <w:pict>
          <v:rect id="_x0000_i1055" style="width:2in;height:1pt" o:hrpct="0" o:hralign="center" o:hrstd="t" o:hrnoshade="t" o:hr="t" fillcolor="black [3213]" stroked="f"/>
        </w:pict>
      </w:r>
    </w:p>
    <w:p w:rsidR="00D9526D" w:rsidRPr="00431381" w:rsidRDefault="00D9526D"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rPr>
            </w:pPr>
            <w:r w:rsidRPr="00431381">
              <w:rPr>
                <w:rStyle w:val="SCCFileNumberChar"/>
                <w:sz w:val="20"/>
                <w:szCs w:val="20"/>
              </w:rPr>
              <w:t>38791</w:t>
            </w:r>
          </w:p>
        </w:tc>
        <w:tc>
          <w:tcPr>
            <w:tcW w:w="4457" w:type="pct"/>
            <w:gridSpan w:val="3"/>
          </w:tcPr>
          <w:p w:rsidR="00CA32B5" w:rsidRPr="00431381" w:rsidRDefault="00CA32B5" w:rsidP="00A866C4">
            <w:pPr>
              <w:pStyle w:val="SCCLsocParty"/>
              <w:jc w:val="both"/>
              <w:rPr>
                <w:b/>
                <w:sz w:val="20"/>
                <w:szCs w:val="20"/>
                <w:lang w:val="en-US"/>
              </w:rPr>
            </w:pPr>
            <w:r w:rsidRPr="00431381">
              <w:rPr>
                <w:b/>
                <w:sz w:val="20"/>
                <w:szCs w:val="20"/>
                <w:lang w:val="en-US"/>
              </w:rPr>
              <w:t xml:space="preserve">Rain Coast Water Corp. v. Her Majesty the Queen in </w:t>
            </w:r>
            <w:r w:rsidR="00EF6EAC" w:rsidRPr="00431381">
              <w:rPr>
                <w:b/>
                <w:sz w:val="20"/>
                <w:szCs w:val="20"/>
                <w:lang w:val="en-US"/>
              </w:rPr>
              <w:t>R</w:t>
            </w:r>
            <w:r w:rsidRPr="00431381">
              <w:rPr>
                <w:b/>
                <w:sz w:val="20"/>
                <w:szCs w:val="20"/>
                <w:lang w:val="en-US"/>
              </w:rPr>
              <w:t>ight of the Province of British Columbia, Bill Vander Zalm, Richard Roberts (also known as Dick Roberts)</w:t>
            </w:r>
          </w:p>
          <w:p w:rsidR="00CA32B5" w:rsidRPr="00431381" w:rsidRDefault="00CA32B5" w:rsidP="00A866C4">
            <w:pPr>
              <w:jc w:val="both"/>
              <w:rPr>
                <w:sz w:val="20"/>
              </w:rPr>
            </w:pPr>
            <w:r w:rsidRPr="00431381">
              <w:rPr>
                <w:sz w:val="20"/>
              </w:rPr>
              <w:t>(B.C.) (Civil) (By Leave)</w:t>
            </w:r>
          </w:p>
        </w:tc>
      </w:tr>
      <w:tr w:rsidR="00CA32B5" w:rsidRPr="00431381" w:rsidTr="00E95A6A">
        <w:tc>
          <w:tcPr>
            <w:tcW w:w="5000" w:type="pct"/>
            <w:gridSpan w:val="4"/>
          </w:tcPr>
          <w:p w:rsidR="00CA32B5" w:rsidRPr="00431381" w:rsidRDefault="00CA32B5" w:rsidP="00A866C4">
            <w:pPr>
              <w:jc w:val="both"/>
              <w:rPr>
                <w:sz w:val="20"/>
              </w:rPr>
            </w:pPr>
            <w:r w:rsidRPr="00431381">
              <w:rPr>
                <w:sz w:val="20"/>
              </w:rPr>
              <w:t>Torts — Municipalities — Misfeasance in public office — Unlawful means — Limitation of actions — Whether the Court of Appeal exceeded its appellate function — Whether the Court of Appeal engaged in faulty analysis</w:t>
            </w:r>
          </w:p>
        </w:tc>
      </w:tr>
      <w:tr w:rsidR="00CA32B5" w:rsidRPr="00431381" w:rsidTr="00E95A6A">
        <w:tc>
          <w:tcPr>
            <w:tcW w:w="5000" w:type="pct"/>
            <w:gridSpan w:val="4"/>
          </w:tcPr>
          <w:p w:rsidR="00CA32B5" w:rsidRPr="00431381" w:rsidRDefault="00CA32B5" w:rsidP="00A866C4">
            <w:pPr>
              <w:jc w:val="both"/>
              <w:rPr>
                <w:sz w:val="20"/>
              </w:rPr>
            </w:pPr>
          </w:p>
        </w:tc>
      </w:tr>
      <w:tr w:rsidR="00CA32B5" w:rsidRPr="00431381" w:rsidTr="00E95A6A">
        <w:tc>
          <w:tcPr>
            <w:tcW w:w="5000" w:type="pct"/>
            <w:gridSpan w:val="4"/>
          </w:tcPr>
          <w:p w:rsidR="00CA32B5" w:rsidRPr="00431381" w:rsidRDefault="00CA32B5" w:rsidP="00A866C4">
            <w:pPr>
              <w:jc w:val="both"/>
              <w:rPr>
                <w:sz w:val="20"/>
              </w:rPr>
            </w:pPr>
            <w:r w:rsidRPr="00431381">
              <w:rPr>
                <w:sz w:val="20"/>
              </w:rPr>
              <w:t>Rain Coast Water Corp was incorporated in 1983 for the bulk export and bottling of fresh water from British Columbia. Rain Coast obtained a foreshore licence of occupation over Crown land and licences to acquire provincial water. However, Rain Coast failed to pay, or was late in paying, the rentals due for these licenses and did not make use of them. As a result, the government terminated Rain Coast’s licenses. In November 1996, Rain Coast filed a claim against the respondents due to alleged conduct throughout the 1980s and 1990s. The statement of claim alleged the manipulation and curtailment of an export market for the sale of Crown water resulting in the loss of business opportunities for Rain Coast. The Supreme Court of British Columbia determined that British Columbia was liable for the misfeasance of public office by the Deputy Comptroller of Water Rights, Premier Bill Vander Zalm, and Richard Roberts. The trial judge also determined that Bill Vander Zalm and British Columbia committed the unlawful means tort. The Court of Appeal for British Columbia unanimously overturned the lower court decision and dismissed the action in its entirety.</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May 12, 2016</w:t>
            </w:r>
          </w:p>
          <w:p w:rsidR="00CA32B5" w:rsidRPr="00431381" w:rsidRDefault="00CA32B5" w:rsidP="00A866C4">
            <w:pPr>
              <w:jc w:val="both"/>
              <w:rPr>
                <w:sz w:val="20"/>
              </w:rPr>
            </w:pPr>
            <w:r w:rsidRPr="00431381">
              <w:rPr>
                <w:sz w:val="20"/>
              </w:rPr>
              <w:t>Supreme Court of British Columbia</w:t>
            </w:r>
          </w:p>
          <w:p w:rsidR="00CA32B5" w:rsidRPr="00431381" w:rsidRDefault="00CA32B5" w:rsidP="00A866C4">
            <w:pPr>
              <w:jc w:val="both"/>
              <w:rPr>
                <w:sz w:val="20"/>
              </w:rPr>
            </w:pPr>
            <w:r w:rsidRPr="00431381">
              <w:rPr>
                <w:sz w:val="20"/>
              </w:rPr>
              <w:t>(Leask J.)</w:t>
            </w:r>
          </w:p>
          <w:p w:rsidR="00CA32B5" w:rsidRPr="00431381" w:rsidRDefault="00F37A97" w:rsidP="00A866C4">
            <w:pPr>
              <w:jc w:val="both"/>
              <w:rPr>
                <w:sz w:val="20"/>
              </w:rPr>
            </w:pPr>
            <w:hyperlink r:id="rId81" w:history="1">
              <w:r w:rsidR="00CA32B5" w:rsidRPr="00431381">
                <w:rPr>
                  <w:rStyle w:val="Hyperlink"/>
                  <w:sz w:val="20"/>
                </w:rPr>
                <w:t>2016 BCSC 845</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Defendants each found liable for misfeasance in public office or the tort of unlawful means.</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June 6, 2019</w:t>
            </w:r>
          </w:p>
          <w:p w:rsidR="00CA32B5" w:rsidRPr="00431381" w:rsidRDefault="00CA32B5" w:rsidP="00A866C4">
            <w:pPr>
              <w:jc w:val="both"/>
              <w:rPr>
                <w:sz w:val="20"/>
              </w:rPr>
            </w:pPr>
            <w:r w:rsidRPr="00431381">
              <w:rPr>
                <w:sz w:val="20"/>
              </w:rPr>
              <w:t xml:space="preserve">Court of Appeal for British Columbia </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r w:rsidRPr="00431381">
              <w:rPr>
                <w:sz w:val="20"/>
              </w:rPr>
              <w:t>(Dickson, Fitch, and Fisher JJ.A.)</w:t>
            </w:r>
          </w:p>
          <w:p w:rsidR="00CA32B5" w:rsidRPr="00431381" w:rsidRDefault="00F37A97" w:rsidP="00A866C4">
            <w:pPr>
              <w:jc w:val="both"/>
              <w:rPr>
                <w:sz w:val="20"/>
              </w:rPr>
            </w:pPr>
            <w:hyperlink r:id="rId82" w:history="1">
              <w:r w:rsidR="00CA32B5" w:rsidRPr="00431381">
                <w:rPr>
                  <w:rStyle w:val="Hyperlink"/>
                  <w:sz w:val="20"/>
                </w:rPr>
                <w:t>2019 BCCA 201</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Appeal allowed; action dismissed in its entirety.</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September 5, 2019</w:t>
            </w:r>
          </w:p>
          <w:p w:rsidR="00CA32B5" w:rsidRPr="00431381" w:rsidRDefault="00CA32B5" w:rsidP="00A866C4">
            <w:pPr>
              <w:jc w:val="both"/>
              <w:rPr>
                <w:sz w:val="20"/>
              </w:rPr>
            </w:pPr>
            <w:r w:rsidRPr="00431381">
              <w:rPr>
                <w:sz w:val="20"/>
              </w:rPr>
              <w:t>Supreme Court of Canada</w:t>
            </w: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Application for leave to appeal filed</w:t>
            </w:r>
          </w:p>
          <w:p w:rsidR="00CA32B5" w:rsidRPr="00431381" w:rsidRDefault="00CA32B5" w:rsidP="00A866C4">
            <w:pPr>
              <w:jc w:val="both"/>
              <w:rPr>
                <w:sz w:val="20"/>
              </w:rPr>
            </w:pPr>
          </w:p>
        </w:tc>
      </w:tr>
    </w:tbl>
    <w:p w:rsidR="00CA32B5" w:rsidRPr="00431381" w:rsidRDefault="00CA32B5" w:rsidP="00A866C4">
      <w:pPr>
        <w:jc w:val="both"/>
        <w:rPr>
          <w:sz w:val="20"/>
        </w:rPr>
      </w:pPr>
    </w:p>
    <w:p w:rsidR="00A37BE5" w:rsidRPr="00431381" w:rsidRDefault="00F37A97" w:rsidP="00A866C4">
      <w:pPr>
        <w:jc w:val="both"/>
        <w:rPr>
          <w:sz w:val="20"/>
        </w:rPr>
      </w:pPr>
      <w:r w:rsidRPr="00431381">
        <w:rPr>
          <w:sz w:val="20"/>
        </w:rPr>
        <w:pict>
          <v:rect id="_x0000_i1056" style="width:2in;height:1pt" o:hrpct="0" o:hralign="center" o:hrstd="t" o:hrnoshade="t" o:hr="t" fillcolor="black [3213]" stroked="f"/>
        </w:pict>
      </w:r>
    </w:p>
    <w:p w:rsidR="00CA32B5" w:rsidRPr="00431381" w:rsidRDefault="00CA32B5"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lang w:val="fr-CA"/>
              </w:rPr>
            </w:pPr>
            <w:r w:rsidRPr="00431381">
              <w:rPr>
                <w:rStyle w:val="SCCFileNumberChar"/>
                <w:sz w:val="20"/>
                <w:szCs w:val="20"/>
                <w:lang w:val="fr-CA"/>
              </w:rPr>
              <w:t>38791</w:t>
            </w:r>
          </w:p>
        </w:tc>
        <w:tc>
          <w:tcPr>
            <w:tcW w:w="4457" w:type="pct"/>
            <w:gridSpan w:val="3"/>
          </w:tcPr>
          <w:p w:rsidR="00CA32B5" w:rsidRPr="00431381" w:rsidRDefault="00CA32B5" w:rsidP="00A866C4">
            <w:pPr>
              <w:pStyle w:val="SCCLsocParty"/>
              <w:jc w:val="both"/>
              <w:rPr>
                <w:b/>
                <w:sz w:val="20"/>
                <w:szCs w:val="20"/>
              </w:rPr>
            </w:pPr>
            <w:r w:rsidRPr="00431381">
              <w:rPr>
                <w:b/>
                <w:sz w:val="20"/>
                <w:szCs w:val="20"/>
              </w:rPr>
              <w:t>Rain Coast Water Corp. c. Sa Majesté la Reine du chef de la Colombie-Britannique, Bill Vander Zalm, Richard Roberts (alias Dick Roberts)</w:t>
            </w:r>
          </w:p>
          <w:p w:rsidR="00CA32B5" w:rsidRPr="00431381" w:rsidRDefault="00CA32B5" w:rsidP="00A866C4">
            <w:pPr>
              <w:jc w:val="both"/>
              <w:rPr>
                <w:sz w:val="20"/>
                <w:lang w:val="fr-CA"/>
              </w:rPr>
            </w:pPr>
            <w:r w:rsidRPr="00431381">
              <w:rPr>
                <w:sz w:val="20"/>
                <w:lang w:val="fr-CA"/>
              </w:rPr>
              <w:t>(C.</w:t>
            </w:r>
            <w:r w:rsidRPr="00431381">
              <w:rPr>
                <w:sz w:val="20"/>
                <w:lang w:val="fr-CA"/>
              </w:rPr>
              <w:noBreakHyphen/>
              <w:t>B.) (Civile) (Autorisation)</w:t>
            </w:r>
          </w:p>
        </w:tc>
      </w:tr>
      <w:tr w:rsidR="00CA32B5" w:rsidRPr="00431381" w:rsidTr="00E95A6A">
        <w:tc>
          <w:tcPr>
            <w:tcW w:w="5000" w:type="pct"/>
            <w:gridSpan w:val="4"/>
          </w:tcPr>
          <w:p w:rsidR="00CA32B5" w:rsidRPr="00431381" w:rsidRDefault="00CA32B5" w:rsidP="00A866C4">
            <w:pPr>
              <w:jc w:val="both"/>
              <w:rPr>
                <w:sz w:val="20"/>
                <w:lang w:val="fr-CA"/>
              </w:rPr>
            </w:pPr>
            <w:r w:rsidRPr="00431381">
              <w:rPr>
                <w:sz w:val="20"/>
                <w:lang w:val="fr-CA"/>
              </w:rPr>
              <w:t>Responsabilité délictuelle — Municipalités — Faute dans l’exercice d’une charge publique — Moyens illégaux — Prescription — La Cour d’appel a</w:t>
            </w:r>
            <w:r w:rsidRPr="00431381">
              <w:rPr>
                <w:sz w:val="20"/>
                <w:lang w:val="fr-CA"/>
              </w:rPr>
              <w:noBreakHyphen/>
              <w:t>t</w:t>
            </w:r>
            <w:r w:rsidRPr="00431381">
              <w:rPr>
                <w:sz w:val="20"/>
                <w:lang w:val="fr-CA"/>
              </w:rPr>
              <w:noBreakHyphen/>
              <w:t>elle outrepassé sa fonction de juridiction d’appel? — La Cour d’appel s’est</w:t>
            </w:r>
            <w:r w:rsidRPr="00431381">
              <w:rPr>
                <w:sz w:val="20"/>
                <w:lang w:val="fr-CA"/>
              </w:rPr>
              <w:noBreakHyphen/>
              <w:t>elle livrée à une analyse fautive?</w:t>
            </w:r>
          </w:p>
        </w:tc>
      </w:tr>
      <w:tr w:rsidR="00CA32B5" w:rsidRPr="00431381" w:rsidTr="00E95A6A">
        <w:tc>
          <w:tcPr>
            <w:tcW w:w="5000" w:type="pct"/>
            <w:gridSpan w:val="4"/>
          </w:tcPr>
          <w:p w:rsidR="00CA32B5" w:rsidRPr="00431381" w:rsidRDefault="00CA32B5" w:rsidP="00A866C4">
            <w:pPr>
              <w:jc w:val="both"/>
              <w:rPr>
                <w:sz w:val="20"/>
                <w:lang w:val="fr-CA"/>
              </w:rPr>
            </w:pPr>
          </w:p>
        </w:tc>
      </w:tr>
      <w:tr w:rsidR="00CA32B5" w:rsidRPr="00431381" w:rsidTr="00E95A6A">
        <w:tc>
          <w:tcPr>
            <w:tcW w:w="5000" w:type="pct"/>
            <w:gridSpan w:val="4"/>
          </w:tcPr>
          <w:p w:rsidR="00CA32B5" w:rsidRPr="00431381" w:rsidRDefault="00CA32B5" w:rsidP="00A866C4">
            <w:pPr>
              <w:jc w:val="both"/>
              <w:rPr>
                <w:sz w:val="20"/>
                <w:lang w:val="fr-CA"/>
              </w:rPr>
            </w:pPr>
            <w:r w:rsidRPr="00431381">
              <w:rPr>
                <w:sz w:val="20"/>
                <w:lang w:val="fr-CA"/>
              </w:rPr>
              <w:t>Rain Coast Water Corp a été constituée en personne morale en 1983 pour l’exportation en vrac et l’embouteillage d’eau douce de la Colombie</w:t>
            </w:r>
            <w:r w:rsidRPr="00431381">
              <w:rPr>
                <w:sz w:val="20"/>
                <w:lang w:val="fr-CA"/>
              </w:rPr>
              <w:noBreakHyphen/>
              <w:t>Britannique. Rain Coast a obtenu un permis d’occupation de l’estran à l’égard de terres publiques et des permis d’acquisition d’eau provinciale. Toutefois, Rain Coast a omis de payer, ou a payé en retard, les loyers exigibles pour ces permis et elle ne s’en est pas prévalu. En conséquence, le gouvernement a résilié les permis de Rain Coast. En novembre 1996, Rain Coast a déposé une action contre les intimés, leur reprochant leur conduite dans les années 1980 et 1990. Dans la déclaration, elle alléguait la manipulation et la restriction d’un marché d’exportation pour la vente d’eau publique, ce qui a privé Rain Coast de débouchés. La Cour suprême de la Colombie</w:t>
            </w:r>
            <w:r w:rsidRPr="00431381">
              <w:rPr>
                <w:sz w:val="20"/>
                <w:lang w:val="fr-CA"/>
              </w:rPr>
              <w:noBreakHyphen/>
              <w:t>Britannique a conclu que la Colombie-Britannique était responsable au titre de la faute dans l’exercice d’une charge publique du contrôleur adjoint aux droits de l’eau, du premier ministre Bill Vander Zalm et de Richard Roberts. Le juge de première instance a en outre conclu que Bill Vander Zalm et la Colombie</w:t>
            </w:r>
            <w:r w:rsidRPr="00431381">
              <w:rPr>
                <w:sz w:val="20"/>
                <w:lang w:val="fr-CA"/>
              </w:rPr>
              <w:noBreakHyphen/>
              <w:t>Britannique avaient commis le délit d’atteinte par un moyen illégal. La Cour d’appel de la Colombie</w:t>
            </w:r>
            <w:r w:rsidRPr="00431381">
              <w:rPr>
                <w:sz w:val="20"/>
                <w:lang w:val="fr-CA"/>
              </w:rPr>
              <w:noBreakHyphen/>
              <w:t>Britannique a infirmé à l’unanimité le jugement de première instance et rejeté l’action au complet.</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12 mai 2016</w:t>
            </w:r>
          </w:p>
          <w:p w:rsidR="00CA32B5" w:rsidRPr="00431381" w:rsidRDefault="00CA32B5" w:rsidP="00A866C4">
            <w:pPr>
              <w:jc w:val="both"/>
              <w:rPr>
                <w:sz w:val="20"/>
                <w:lang w:val="fr-CA"/>
              </w:rPr>
            </w:pPr>
            <w:r w:rsidRPr="00431381">
              <w:rPr>
                <w:sz w:val="20"/>
                <w:lang w:val="fr-CA"/>
              </w:rPr>
              <w:t>Cour suprême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(Juge Leask)</w:t>
            </w:r>
          </w:p>
          <w:p w:rsidR="00CA32B5" w:rsidRPr="00431381" w:rsidRDefault="00F37A97" w:rsidP="00A866C4">
            <w:pPr>
              <w:jc w:val="both"/>
              <w:rPr>
                <w:sz w:val="20"/>
                <w:lang w:val="fr-CA"/>
              </w:rPr>
            </w:pPr>
            <w:hyperlink r:id="rId83" w:history="1">
              <w:r w:rsidR="00CA32B5" w:rsidRPr="00431381">
                <w:rPr>
                  <w:rStyle w:val="Hyperlink"/>
                  <w:sz w:val="20"/>
                  <w:lang w:val="fr-CA"/>
                </w:rPr>
                <w:t>2016 BCSC 845</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Jugement concluant à la responsabilité de chacun des défendeurs pour faute dans l’exercice d’une charge publique ou le délit d’atteinte par un moyen illégal.</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6 juin 2019</w:t>
            </w:r>
          </w:p>
          <w:p w:rsidR="00CA32B5" w:rsidRPr="00431381" w:rsidRDefault="00CA32B5" w:rsidP="00A866C4">
            <w:pPr>
              <w:jc w:val="both"/>
              <w:rPr>
                <w:sz w:val="20"/>
                <w:lang w:val="fr-CA"/>
              </w:rPr>
            </w:pPr>
            <w:r w:rsidRPr="00431381">
              <w:rPr>
                <w:sz w:val="20"/>
                <w:lang w:val="fr-CA"/>
              </w:rPr>
              <w:t>Cour d’appel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(Juges Dickson, Fitch et Fisher)</w:t>
            </w:r>
          </w:p>
          <w:p w:rsidR="00CA32B5" w:rsidRPr="00431381" w:rsidRDefault="00F37A97" w:rsidP="00A866C4">
            <w:pPr>
              <w:jc w:val="both"/>
              <w:rPr>
                <w:sz w:val="20"/>
                <w:lang w:val="fr-CA"/>
              </w:rPr>
            </w:pPr>
            <w:hyperlink r:id="rId84" w:history="1">
              <w:r w:rsidR="00CA32B5" w:rsidRPr="00431381">
                <w:rPr>
                  <w:rStyle w:val="Hyperlink"/>
                  <w:sz w:val="20"/>
                  <w:lang w:val="fr-CA"/>
                </w:rPr>
                <w:t>2019 BCCA 201</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Arrêt accueillant l’appel et rejetant l’action au complet.</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5 septembre 2019</w:t>
            </w:r>
          </w:p>
          <w:p w:rsidR="00CA32B5" w:rsidRPr="00431381" w:rsidRDefault="00CA32B5" w:rsidP="004F4C76">
            <w:pPr>
              <w:jc w:val="both"/>
              <w:rPr>
                <w:sz w:val="20"/>
                <w:lang w:val="fr-CA"/>
              </w:rPr>
            </w:pPr>
            <w:r w:rsidRPr="00431381">
              <w:rPr>
                <w:sz w:val="20"/>
                <w:lang w:val="fr-CA"/>
              </w:rPr>
              <w:t>Cour suprême du Canada</w:t>
            </w: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Dépôt de la demande d’autorisation d’appel</w:t>
            </w:r>
          </w:p>
          <w:p w:rsidR="00CA32B5" w:rsidRPr="00431381" w:rsidRDefault="00CA32B5" w:rsidP="00A866C4">
            <w:pPr>
              <w:jc w:val="both"/>
              <w:rPr>
                <w:sz w:val="20"/>
                <w:lang w:val="fr-CA"/>
              </w:rPr>
            </w:pPr>
          </w:p>
        </w:tc>
      </w:tr>
    </w:tbl>
    <w:p w:rsidR="00CA32B5" w:rsidRPr="00431381" w:rsidRDefault="00CA32B5" w:rsidP="00A866C4">
      <w:pPr>
        <w:jc w:val="both"/>
        <w:rPr>
          <w:sz w:val="20"/>
          <w:lang w:val="fr-CA"/>
        </w:rPr>
      </w:pPr>
    </w:p>
    <w:p w:rsidR="00A37BE5" w:rsidRPr="00431381" w:rsidRDefault="00F37A97" w:rsidP="00A866C4">
      <w:pPr>
        <w:jc w:val="both"/>
        <w:rPr>
          <w:sz w:val="20"/>
          <w:lang w:val="fr-CA"/>
        </w:rPr>
      </w:pPr>
      <w:r w:rsidRPr="00431381">
        <w:rPr>
          <w:sz w:val="20"/>
        </w:rPr>
        <w:pict>
          <v:rect id="_x0000_i1057" style="width:2in;height:1pt" o:hrpct="0" o:hralign="center" o:hrstd="t" o:hrnoshade="t" o:hr="t" fillcolor="black [3213]" stroked="f"/>
        </w:pict>
      </w:r>
    </w:p>
    <w:p w:rsidR="00656911" w:rsidRPr="00431381" w:rsidRDefault="00656911" w:rsidP="00A866C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rPr>
            </w:pPr>
            <w:r w:rsidRPr="00431381">
              <w:rPr>
                <w:rStyle w:val="SCCFileNumberChar"/>
                <w:sz w:val="20"/>
                <w:szCs w:val="20"/>
              </w:rPr>
              <w:t>38711</w:t>
            </w:r>
          </w:p>
        </w:tc>
        <w:tc>
          <w:tcPr>
            <w:tcW w:w="4457" w:type="pct"/>
            <w:gridSpan w:val="3"/>
          </w:tcPr>
          <w:p w:rsidR="00CA32B5" w:rsidRPr="00431381" w:rsidRDefault="00CA32B5" w:rsidP="00A866C4">
            <w:pPr>
              <w:pStyle w:val="SCCLsocParty"/>
              <w:jc w:val="both"/>
              <w:rPr>
                <w:b/>
                <w:sz w:val="20"/>
                <w:szCs w:val="20"/>
                <w:lang w:val="en-US"/>
              </w:rPr>
            </w:pPr>
            <w:r w:rsidRPr="00431381">
              <w:rPr>
                <w:b/>
                <w:sz w:val="20"/>
                <w:szCs w:val="20"/>
                <w:lang w:val="en-US"/>
              </w:rPr>
              <w:t>West Van Holdings Ltd., West Van Lions Gate Dry Cleaners Ltd. v. Economical Mutual Insurance Company, Intact Insurance Company</w:t>
            </w:r>
          </w:p>
          <w:p w:rsidR="00CA32B5" w:rsidRPr="00431381" w:rsidRDefault="00CA32B5" w:rsidP="00A866C4">
            <w:pPr>
              <w:jc w:val="both"/>
              <w:rPr>
                <w:sz w:val="20"/>
              </w:rPr>
            </w:pPr>
            <w:r w:rsidRPr="00431381">
              <w:rPr>
                <w:sz w:val="20"/>
              </w:rPr>
              <w:t>(B.C.) (Civil) (By Leave)</w:t>
            </w:r>
          </w:p>
        </w:tc>
      </w:tr>
      <w:tr w:rsidR="00CA32B5" w:rsidRPr="00431381" w:rsidTr="00E95A6A">
        <w:tc>
          <w:tcPr>
            <w:tcW w:w="5000" w:type="pct"/>
            <w:gridSpan w:val="4"/>
          </w:tcPr>
          <w:p w:rsidR="00CA32B5" w:rsidRPr="00431381" w:rsidRDefault="00CA32B5" w:rsidP="00A866C4">
            <w:pPr>
              <w:autoSpaceDE w:val="0"/>
              <w:autoSpaceDN w:val="0"/>
              <w:adjustRightInd w:val="0"/>
              <w:ind w:left="-25" w:firstLine="25"/>
              <w:jc w:val="both"/>
              <w:rPr>
                <w:sz w:val="20"/>
              </w:rPr>
            </w:pPr>
            <w:r w:rsidRPr="00431381">
              <w:rPr>
                <w:sz w:val="20"/>
              </w:rPr>
              <w:t>Insurance — Insurer’s duty to defend — Civil procedure — Costs — Insurers relying on pollution exclusion clause to deny coverage to insureds — Insureds seeking to enforce insurers’ duty to defend in third party’s action for damages — Whether Court of Appeal erred in its approach to determining that respondents did not owe a duty, under “occurrence</w:t>
            </w:r>
            <w:r w:rsidRPr="00431381">
              <w:rPr>
                <w:sz w:val="20"/>
              </w:rPr>
              <w:noBreakHyphen/>
              <w:t>based” policies, to defend claims related to the migration of pollutants — Whether Court of Appeal erred in applying a broad approach in interpreting the pollution exclusions contained in respondents’ policies — What is proper approach in determining whether exclusions oust mere possibility of coverage and their application to liability that is not fault</w:t>
            </w:r>
            <w:r w:rsidRPr="00431381">
              <w:rPr>
                <w:sz w:val="20"/>
              </w:rPr>
              <w:noBreakHyphen/>
              <w:t>based, absolutely and retroactively imposed under statute? — Whether Court of Appeal erred in holding that insureds are not contractually entitled to recover their actual legal costs in successfully pursuing a duty to defend.</w:t>
            </w:r>
          </w:p>
        </w:tc>
      </w:tr>
      <w:tr w:rsidR="00CA32B5" w:rsidRPr="00431381" w:rsidTr="00E95A6A">
        <w:tc>
          <w:tcPr>
            <w:tcW w:w="5000" w:type="pct"/>
            <w:gridSpan w:val="4"/>
          </w:tcPr>
          <w:p w:rsidR="00CA32B5" w:rsidRPr="00431381" w:rsidRDefault="00CA32B5" w:rsidP="00A866C4">
            <w:pPr>
              <w:jc w:val="both"/>
              <w:rPr>
                <w:sz w:val="20"/>
              </w:rPr>
            </w:pPr>
          </w:p>
          <w:p w:rsidR="00CA32B5" w:rsidRPr="00431381" w:rsidRDefault="00CA32B5" w:rsidP="00A866C4">
            <w:pPr>
              <w:pStyle w:val="scjnumber1"/>
              <w:shd w:val="clear" w:color="auto" w:fill="FFFFFF"/>
              <w:jc w:val="both"/>
              <w:rPr>
                <w:rFonts w:ascii="Times New Roman" w:hAnsi="Times New Roman" w:cs="Times New Roman"/>
                <w:sz w:val="20"/>
                <w:szCs w:val="20"/>
                <w:lang w:val="en"/>
              </w:rPr>
            </w:pPr>
            <w:r w:rsidRPr="00431381">
              <w:rPr>
                <w:rFonts w:ascii="Times New Roman" w:hAnsi="Times New Roman" w:cs="Times New Roman"/>
                <w:sz w:val="20"/>
                <w:szCs w:val="20"/>
                <w:lang w:val="en-CA"/>
              </w:rPr>
              <w:t>Since 1976, the applicants</w:t>
            </w:r>
            <w:r w:rsidRPr="00431381">
              <w:rPr>
                <w:rFonts w:ascii="Times New Roman" w:hAnsi="Times New Roman" w:cs="Times New Roman"/>
                <w:sz w:val="20"/>
                <w:szCs w:val="20"/>
                <w:lang w:val="en"/>
              </w:rPr>
              <w:t xml:space="preserve"> (collectively, “West Van”) have owned and operated a dry cleaning business on land in West Vancouver (“West Van Lands”). Between 1998 and 2002, Intact Insurance Company insured West Van under a commercial general liability insurance policy (“CGL”). The policy included coverage for property damage liability, but also contained a clause limiting coverage for property damage liability arising from pollutants. Between 2002 and 2012, Economical Mutual Insurance Company insured West Van under a CGL. The policy included coverage for property damage liability, but similarly contained a clause limiting coverage arising from pollutants. In 2014, the owners of lands situated adjacent to the West Van Lands filed a Notice of Civil Claim against West Van, alleging that West Van had allowed dry</w:t>
            </w:r>
            <w:r w:rsidRPr="00431381">
              <w:rPr>
                <w:rFonts w:ascii="Times New Roman" w:hAnsi="Times New Roman" w:cs="Times New Roman"/>
                <w:sz w:val="20"/>
                <w:szCs w:val="20"/>
                <w:lang w:val="en"/>
              </w:rPr>
              <w:noBreakHyphen/>
              <w:t xml:space="preserve">cleaning chemicals and petroleum products to be discharged or deposited into the soils and groundwater of the plaintiffs’ lands, thereby damaging and contaminating their lands. The action was pleaded in strict liability, negligence, nuisance, and a statutory cause of action under the </w:t>
            </w:r>
            <w:hyperlink r:id="rId85" w:history="1">
              <w:r w:rsidRPr="00431381">
                <w:rPr>
                  <w:rFonts w:ascii="Times New Roman" w:hAnsi="Times New Roman" w:cs="Times New Roman"/>
                  <w:i/>
                  <w:iCs/>
                  <w:sz w:val="20"/>
                  <w:szCs w:val="20"/>
                  <w:lang w:val="en"/>
                </w:rPr>
                <w:t>Environmental Management Act</w:t>
              </w:r>
              <w:r w:rsidRPr="00431381">
                <w:rPr>
                  <w:rFonts w:ascii="Times New Roman" w:hAnsi="Times New Roman" w:cs="Times New Roman"/>
                  <w:sz w:val="20"/>
                  <w:szCs w:val="20"/>
                  <w:lang w:val="en"/>
                </w:rPr>
                <w:t>, S.B.C. 2003, c. 53</w:t>
              </w:r>
            </w:hyperlink>
            <w:r w:rsidRPr="00431381">
              <w:rPr>
                <w:rFonts w:ascii="Times New Roman" w:hAnsi="Times New Roman" w:cs="Times New Roman"/>
                <w:sz w:val="20"/>
                <w:szCs w:val="20"/>
                <w:lang w:val="en"/>
              </w:rPr>
              <w:t>,</w:t>
            </w:r>
          </w:p>
          <w:p w:rsidR="00CA32B5" w:rsidRPr="00431381" w:rsidRDefault="00CA32B5" w:rsidP="00A866C4">
            <w:pPr>
              <w:jc w:val="both"/>
              <w:rPr>
                <w:sz w:val="20"/>
              </w:rPr>
            </w:pPr>
            <w:r w:rsidRPr="00431381">
              <w:rPr>
                <w:sz w:val="20"/>
                <w:lang w:val="en"/>
              </w:rPr>
              <w:t xml:space="preserve">The insurers refused to defend West Van on the basis that the underlying action was outside the scope of their policy coverage based on the pollution exclusion clauses. West Van filed a notice of civil claim seeking declarations that Intact and Economical were required to defend them. </w:t>
            </w:r>
            <w:r w:rsidRPr="00431381">
              <w:rPr>
                <w:sz w:val="20"/>
              </w:rPr>
              <w:t>The application judge held that the insurers had a duty to defend and awarded costs to West Van on a full indemnity basis. The Court of Appeal overturned this judgment.</w:t>
            </w:r>
          </w:p>
        </w:tc>
      </w:tr>
      <w:tr w:rsidR="00CA32B5" w:rsidRPr="00431381" w:rsidTr="00E95A6A">
        <w:tc>
          <w:tcPr>
            <w:tcW w:w="5000" w:type="pct"/>
            <w:gridSpan w:val="4"/>
          </w:tcPr>
          <w:p w:rsidR="00CA32B5" w:rsidRPr="00431381" w:rsidRDefault="00CA32B5" w:rsidP="00A866C4">
            <w:pPr>
              <w:jc w:val="both"/>
              <w:rPr>
                <w:sz w:val="20"/>
                <w:lang w:val="en"/>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April 5, 2019</w:t>
            </w:r>
          </w:p>
          <w:p w:rsidR="00CA32B5" w:rsidRPr="00431381" w:rsidRDefault="00CA32B5" w:rsidP="00A866C4">
            <w:pPr>
              <w:jc w:val="both"/>
              <w:rPr>
                <w:sz w:val="20"/>
              </w:rPr>
            </w:pPr>
            <w:r w:rsidRPr="00431381">
              <w:rPr>
                <w:sz w:val="20"/>
              </w:rPr>
              <w:t xml:space="preserve">Court of Appeal for British Columbia </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r w:rsidRPr="00431381">
              <w:rPr>
                <w:sz w:val="20"/>
              </w:rPr>
              <w:t>(DeWitt</w:t>
            </w:r>
            <w:r w:rsidRPr="00431381">
              <w:rPr>
                <w:sz w:val="20"/>
              </w:rPr>
              <w:noBreakHyphen/>
              <w:t xml:space="preserve">Van </w:t>
            </w:r>
            <w:proofErr w:type="spellStart"/>
            <w:r w:rsidRPr="00431381">
              <w:rPr>
                <w:sz w:val="20"/>
              </w:rPr>
              <w:t>Oosten</w:t>
            </w:r>
            <w:proofErr w:type="spellEnd"/>
            <w:r w:rsidRPr="00431381">
              <w:rPr>
                <w:sz w:val="20"/>
              </w:rPr>
              <w:t xml:space="preserve"> J.)</w:t>
            </w:r>
          </w:p>
          <w:p w:rsidR="00CA32B5" w:rsidRPr="00431381" w:rsidRDefault="00F37A97" w:rsidP="00A866C4">
            <w:pPr>
              <w:jc w:val="both"/>
              <w:rPr>
                <w:rStyle w:val="Hyperlink"/>
                <w:color w:val="auto"/>
                <w:sz w:val="20"/>
              </w:rPr>
            </w:pPr>
            <w:hyperlink r:id="rId86" w:history="1">
              <w:r w:rsidR="00CA32B5" w:rsidRPr="00431381">
                <w:rPr>
                  <w:rStyle w:val="Hyperlink"/>
                  <w:sz w:val="20"/>
                </w:rPr>
                <w:t>2017 BCSC 2397</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Order that respondent insurers were under a duty to defend in action against applicants with costs on a solicitor and client basis</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April 5, 2019</w:t>
            </w:r>
          </w:p>
          <w:p w:rsidR="00CA32B5" w:rsidRPr="00431381" w:rsidRDefault="00CA32B5" w:rsidP="00A866C4">
            <w:pPr>
              <w:jc w:val="both"/>
              <w:rPr>
                <w:sz w:val="20"/>
              </w:rPr>
            </w:pPr>
            <w:r w:rsidRPr="00431381">
              <w:rPr>
                <w:sz w:val="20"/>
              </w:rPr>
              <w:t xml:space="preserve">Court of Appeal for British Columbia </w:t>
            </w:r>
          </w:p>
          <w:p w:rsidR="00CA32B5" w:rsidRPr="00431381" w:rsidRDefault="00CA32B5" w:rsidP="00A866C4">
            <w:pPr>
              <w:jc w:val="both"/>
              <w:rPr>
                <w:sz w:val="20"/>
              </w:rPr>
            </w:pPr>
            <w:r w:rsidRPr="00431381">
              <w:rPr>
                <w:sz w:val="20"/>
              </w:rPr>
              <w:t>(Vancouver)</w:t>
            </w:r>
          </w:p>
          <w:p w:rsidR="00CA32B5" w:rsidRPr="00431381" w:rsidRDefault="00CA32B5" w:rsidP="00A866C4">
            <w:pPr>
              <w:jc w:val="both"/>
              <w:rPr>
                <w:sz w:val="20"/>
              </w:rPr>
            </w:pPr>
            <w:r w:rsidRPr="00431381">
              <w:rPr>
                <w:sz w:val="20"/>
              </w:rPr>
              <w:t>(Goepel, Fenlon and Dickson JJ.A.)</w:t>
            </w:r>
          </w:p>
          <w:p w:rsidR="00CA32B5" w:rsidRPr="00431381" w:rsidRDefault="00F37A97" w:rsidP="00A866C4">
            <w:pPr>
              <w:jc w:val="both"/>
              <w:rPr>
                <w:sz w:val="20"/>
              </w:rPr>
            </w:pPr>
            <w:hyperlink r:id="rId87" w:history="1">
              <w:r w:rsidR="00CA32B5" w:rsidRPr="00431381">
                <w:rPr>
                  <w:rStyle w:val="Hyperlink"/>
                  <w:sz w:val="20"/>
                </w:rPr>
                <w:t>2019 BCCA 110</w:t>
              </w:r>
            </w:hyperlink>
          </w:p>
          <w:p w:rsidR="00CA32B5" w:rsidRPr="00431381" w:rsidRDefault="00CA32B5" w:rsidP="00A866C4">
            <w:pPr>
              <w:jc w:val="both"/>
              <w:rPr>
                <w:sz w:val="20"/>
              </w:rPr>
            </w:pP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Respondents’ appeals allowed</w:t>
            </w:r>
          </w:p>
          <w:p w:rsidR="00CA32B5" w:rsidRPr="00431381" w:rsidRDefault="00CA32B5" w:rsidP="00A866C4">
            <w:pPr>
              <w:jc w:val="both"/>
              <w:rPr>
                <w:sz w:val="20"/>
              </w:rPr>
            </w:pPr>
          </w:p>
        </w:tc>
      </w:tr>
      <w:tr w:rsidR="00CA32B5" w:rsidRPr="00431381" w:rsidTr="00E95A6A">
        <w:tc>
          <w:tcPr>
            <w:tcW w:w="2427" w:type="pct"/>
            <w:gridSpan w:val="2"/>
          </w:tcPr>
          <w:p w:rsidR="00CA32B5" w:rsidRPr="00431381" w:rsidRDefault="00CA32B5" w:rsidP="00A866C4">
            <w:pPr>
              <w:jc w:val="both"/>
              <w:rPr>
                <w:sz w:val="20"/>
              </w:rPr>
            </w:pPr>
            <w:r w:rsidRPr="00431381">
              <w:rPr>
                <w:sz w:val="20"/>
              </w:rPr>
              <w:t>July 4, 2019</w:t>
            </w:r>
          </w:p>
          <w:p w:rsidR="00CA32B5" w:rsidRPr="00431381" w:rsidRDefault="00CA32B5" w:rsidP="00A866C4">
            <w:pPr>
              <w:jc w:val="both"/>
              <w:rPr>
                <w:sz w:val="20"/>
              </w:rPr>
            </w:pPr>
            <w:r w:rsidRPr="00431381">
              <w:rPr>
                <w:sz w:val="20"/>
              </w:rPr>
              <w:t>Supreme Court of Canada</w:t>
            </w:r>
          </w:p>
        </w:tc>
        <w:tc>
          <w:tcPr>
            <w:tcW w:w="243" w:type="pct"/>
          </w:tcPr>
          <w:p w:rsidR="00CA32B5" w:rsidRPr="00431381" w:rsidRDefault="00CA32B5" w:rsidP="00A866C4">
            <w:pPr>
              <w:jc w:val="both"/>
              <w:rPr>
                <w:sz w:val="20"/>
              </w:rPr>
            </w:pPr>
          </w:p>
        </w:tc>
        <w:tc>
          <w:tcPr>
            <w:tcW w:w="2330" w:type="pct"/>
          </w:tcPr>
          <w:p w:rsidR="00CA32B5" w:rsidRPr="00431381" w:rsidRDefault="00CA32B5" w:rsidP="00A866C4">
            <w:pPr>
              <w:jc w:val="both"/>
              <w:rPr>
                <w:sz w:val="20"/>
              </w:rPr>
            </w:pPr>
            <w:r w:rsidRPr="00431381">
              <w:rPr>
                <w:sz w:val="20"/>
              </w:rPr>
              <w:t>Application for leave to appeal filed</w:t>
            </w:r>
          </w:p>
          <w:p w:rsidR="00CA32B5" w:rsidRPr="00431381" w:rsidRDefault="00CA32B5" w:rsidP="00A866C4">
            <w:pPr>
              <w:jc w:val="both"/>
              <w:rPr>
                <w:sz w:val="20"/>
              </w:rPr>
            </w:pPr>
          </w:p>
        </w:tc>
      </w:tr>
    </w:tbl>
    <w:p w:rsidR="00CA32B5" w:rsidRPr="00431381" w:rsidRDefault="00CA32B5" w:rsidP="00A866C4">
      <w:pPr>
        <w:jc w:val="both"/>
        <w:rPr>
          <w:sz w:val="20"/>
        </w:rPr>
      </w:pPr>
    </w:p>
    <w:p w:rsidR="00A37BE5" w:rsidRPr="00431381" w:rsidRDefault="00F37A97" w:rsidP="00A866C4">
      <w:pPr>
        <w:jc w:val="both"/>
        <w:rPr>
          <w:sz w:val="20"/>
        </w:rPr>
      </w:pPr>
      <w:r w:rsidRPr="00431381">
        <w:rPr>
          <w:sz w:val="20"/>
        </w:rPr>
        <w:pict>
          <v:rect id="_x0000_i1058" style="width:2in;height:1pt" o:hrpct="0" o:hralign="center" o:hrstd="t" o:hrnoshade="t" o:hr="t" fillcolor="black [3213]" stroked="f"/>
        </w:pict>
      </w:r>
    </w:p>
    <w:p w:rsidR="00CA32B5" w:rsidRPr="00431381" w:rsidRDefault="00CA32B5" w:rsidP="00A866C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A32B5" w:rsidRPr="00431381" w:rsidTr="00E95A6A">
        <w:tc>
          <w:tcPr>
            <w:tcW w:w="543" w:type="pct"/>
          </w:tcPr>
          <w:p w:rsidR="00CA32B5" w:rsidRPr="00431381" w:rsidRDefault="00CA32B5" w:rsidP="00A866C4">
            <w:pPr>
              <w:jc w:val="both"/>
              <w:rPr>
                <w:sz w:val="20"/>
                <w:lang w:val="fr-CA"/>
              </w:rPr>
            </w:pPr>
            <w:r w:rsidRPr="00431381">
              <w:rPr>
                <w:rStyle w:val="SCCFileNumberChar"/>
                <w:sz w:val="20"/>
                <w:szCs w:val="20"/>
                <w:lang w:val="fr-CA"/>
              </w:rPr>
              <w:t>38711</w:t>
            </w:r>
          </w:p>
        </w:tc>
        <w:tc>
          <w:tcPr>
            <w:tcW w:w="4457" w:type="pct"/>
            <w:gridSpan w:val="3"/>
          </w:tcPr>
          <w:p w:rsidR="00CA32B5" w:rsidRPr="00431381" w:rsidRDefault="00CA32B5" w:rsidP="00A866C4">
            <w:pPr>
              <w:pStyle w:val="SCCLsocParty"/>
              <w:jc w:val="both"/>
              <w:rPr>
                <w:b/>
                <w:sz w:val="20"/>
                <w:szCs w:val="20"/>
                <w:lang w:val="en-US"/>
              </w:rPr>
            </w:pPr>
            <w:r w:rsidRPr="00431381">
              <w:rPr>
                <w:b/>
                <w:sz w:val="20"/>
                <w:szCs w:val="20"/>
                <w:lang w:val="en-US"/>
              </w:rPr>
              <w:t xml:space="preserve">West Van Holdings Ltd., West Van Lions Gate Dry Cleaners Ltd. c. Economical, </w:t>
            </w:r>
            <w:proofErr w:type="spellStart"/>
            <w:r w:rsidRPr="00431381">
              <w:rPr>
                <w:b/>
                <w:sz w:val="20"/>
                <w:szCs w:val="20"/>
                <w:lang w:val="en-US"/>
              </w:rPr>
              <w:t>Compagnie</w:t>
            </w:r>
            <w:proofErr w:type="spellEnd"/>
            <w:r w:rsidRPr="00431381">
              <w:rPr>
                <w:b/>
                <w:sz w:val="20"/>
                <w:szCs w:val="20"/>
                <w:lang w:val="en-US"/>
              </w:rPr>
              <w:t xml:space="preserve"> </w:t>
            </w:r>
            <w:proofErr w:type="spellStart"/>
            <w:r w:rsidRPr="00431381">
              <w:rPr>
                <w:b/>
                <w:sz w:val="20"/>
                <w:szCs w:val="20"/>
                <w:lang w:val="en-US"/>
              </w:rPr>
              <w:t>Mutuelle</w:t>
            </w:r>
            <w:proofErr w:type="spellEnd"/>
            <w:r w:rsidRPr="00431381">
              <w:rPr>
                <w:b/>
                <w:sz w:val="20"/>
                <w:szCs w:val="20"/>
                <w:lang w:val="en-US"/>
              </w:rPr>
              <w:t xml:space="preserve"> </w:t>
            </w:r>
            <w:proofErr w:type="spellStart"/>
            <w:r w:rsidRPr="00431381">
              <w:rPr>
                <w:b/>
                <w:sz w:val="20"/>
                <w:szCs w:val="20"/>
                <w:lang w:val="en-US"/>
              </w:rPr>
              <w:t>d'Assurance</w:t>
            </w:r>
            <w:proofErr w:type="spellEnd"/>
            <w:r w:rsidRPr="00431381">
              <w:rPr>
                <w:b/>
                <w:sz w:val="20"/>
                <w:szCs w:val="20"/>
                <w:lang w:val="en-US"/>
              </w:rPr>
              <w:t>, Intact Assurance</w:t>
            </w:r>
          </w:p>
          <w:p w:rsidR="00CA32B5" w:rsidRPr="00431381" w:rsidRDefault="00CA32B5" w:rsidP="00A866C4">
            <w:pPr>
              <w:jc w:val="both"/>
              <w:rPr>
                <w:sz w:val="20"/>
                <w:lang w:val="fr-CA"/>
              </w:rPr>
            </w:pPr>
            <w:r w:rsidRPr="00431381">
              <w:rPr>
                <w:sz w:val="20"/>
                <w:lang w:val="fr-CA"/>
              </w:rPr>
              <w:t>(C.</w:t>
            </w:r>
            <w:r w:rsidRPr="00431381">
              <w:rPr>
                <w:sz w:val="20"/>
                <w:lang w:val="fr-CA"/>
              </w:rPr>
              <w:noBreakHyphen/>
              <w:t>B.) (Civile) (Autorisation)</w:t>
            </w:r>
          </w:p>
        </w:tc>
      </w:tr>
      <w:tr w:rsidR="00CA32B5" w:rsidRPr="00431381" w:rsidTr="00E95A6A">
        <w:tc>
          <w:tcPr>
            <w:tcW w:w="5000" w:type="pct"/>
            <w:gridSpan w:val="4"/>
          </w:tcPr>
          <w:p w:rsidR="00CA32B5" w:rsidRPr="00431381" w:rsidRDefault="00CA32B5" w:rsidP="00A866C4">
            <w:pPr>
              <w:autoSpaceDE w:val="0"/>
              <w:autoSpaceDN w:val="0"/>
              <w:adjustRightInd w:val="0"/>
              <w:ind w:left="-25" w:firstLine="25"/>
              <w:jc w:val="both"/>
              <w:rPr>
                <w:sz w:val="20"/>
                <w:lang w:val="fr-CA"/>
              </w:rPr>
            </w:pPr>
            <w:r w:rsidRPr="00431381">
              <w:rPr>
                <w:sz w:val="20"/>
                <w:lang w:val="fr-CA"/>
              </w:rPr>
              <w:t>Assurance — Obligation de défendre de l’assureur — Procédure civile — Dépens — Les assureurs s’appuient sur une clause d’exclusion de la pollution pour refuser d’indemniser les assurées — Les assurées cherchent à faire exécuter l’obligation de défendre des assureurs dans le cadre d’une action en dommages</w:t>
            </w:r>
            <w:r w:rsidRPr="00431381">
              <w:rPr>
                <w:sz w:val="20"/>
                <w:lang w:val="fr-CA"/>
              </w:rPr>
              <w:noBreakHyphen/>
              <w:t>intérêts intentée par un tiers — La Cour d’appel s’est</w:t>
            </w:r>
            <w:r w:rsidRPr="00431381">
              <w:rPr>
                <w:sz w:val="20"/>
                <w:lang w:val="fr-CA"/>
              </w:rPr>
              <w:noBreakHyphen/>
              <w:t>elle trompée dans son approche pour conclure que les intimées n’avaient aucune obligation, en exécution de polices « basées sur la survenance », de défendre contre des demandes liées à la migration de polluants? — La Cour d’appel a</w:t>
            </w:r>
            <w:r w:rsidRPr="00431381">
              <w:rPr>
                <w:sz w:val="20"/>
                <w:lang w:val="fr-CA"/>
              </w:rPr>
              <w:noBreakHyphen/>
              <w:t>t</w:t>
            </w:r>
            <w:r w:rsidRPr="00431381">
              <w:rPr>
                <w:sz w:val="20"/>
                <w:lang w:val="fr-CA"/>
              </w:rPr>
              <w:noBreakHyphen/>
              <w:t>elle eu tort d’appliquer une approche large dans l’interprétation des exclusions de la pollution stipulées dans les polices des intimées? — Quelle approche convient</w:t>
            </w:r>
            <w:r w:rsidRPr="00431381">
              <w:rPr>
                <w:sz w:val="20"/>
                <w:lang w:val="fr-CA"/>
              </w:rPr>
              <w:noBreakHyphen/>
              <w:t>il d’appliquer pour déterminer si les exclusions écartent la simple possibilité de couverture et leur application à la responsabilité sans égard à la faute, absolument et rétroactivement imposée par la loi? — La Cour d’appel a</w:t>
            </w:r>
            <w:r w:rsidRPr="00431381">
              <w:rPr>
                <w:sz w:val="20"/>
                <w:lang w:val="fr-CA"/>
              </w:rPr>
              <w:noBreakHyphen/>
              <w:t>t</w:t>
            </w:r>
            <w:r w:rsidRPr="00431381">
              <w:rPr>
                <w:sz w:val="20"/>
                <w:lang w:val="fr-CA"/>
              </w:rPr>
              <w:noBreakHyphen/>
              <w:t>elle eu tort de statuer que les assurées n’ont pas contractuellement droit de récupérer les frais réellement engagés en faisant valoir avec succès une obligation de défendre?</w:t>
            </w:r>
          </w:p>
        </w:tc>
      </w:tr>
      <w:tr w:rsidR="00CA32B5" w:rsidRPr="00431381" w:rsidTr="00E95A6A">
        <w:tc>
          <w:tcPr>
            <w:tcW w:w="5000" w:type="pct"/>
            <w:gridSpan w:val="4"/>
          </w:tcPr>
          <w:p w:rsidR="00CA32B5" w:rsidRPr="00431381" w:rsidRDefault="00CA32B5" w:rsidP="00A866C4">
            <w:pPr>
              <w:jc w:val="both"/>
              <w:rPr>
                <w:sz w:val="20"/>
                <w:lang w:val="fr-CA"/>
              </w:rPr>
            </w:pPr>
          </w:p>
          <w:p w:rsidR="00CA32B5" w:rsidRPr="00431381" w:rsidRDefault="00CA32B5" w:rsidP="00A866C4">
            <w:pPr>
              <w:pStyle w:val="scjnumber1"/>
              <w:shd w:val="clear" w:color="auto" w:fill="FFFFFF"/>
              <w:jc w:val="both"/>
              <w:rPr>
                <w:rFonts w:ascii="Times New Roman" w:hAnsi="Times New Roman" w:cs="Times New Roman"/>
                <w:sz w:val="20"/>
                <w:szCs w:val="20"/>
                <w:lang w:val="fr-CA"/>
              </w:rPr>
            </w:pPr>
            <w:r w:rsidRPr="00431381">
              <w:rPr>
                <w:rFonts w:ascii="Times New Roman" w:hAnsi="Times New Roman" w:cs="Times New Roman"/>
                <w:sz w:val="20"/>
                <w:szCs w:val="20"/>
                <w:lang w:val="fr-CA"/>
              </w:rPr>
              <w:t>Depuis 1976, les demanderesses (collectivement, « West Van ») sont propriétaires</w:t>
            </w:r>
            <w:r w:rsidRPr="00431381">
              <w:rPr>
                <w:rFonts w:ascii="Times New Roman" w:hAnsi="Times New Roman" w:cs="Times New Roman"/>
                <w:sz w:val="20"/>
                <w:szCs w:val="20"/>
                <w:lang w:val="fr-CA"/>
              </w:rPr>
              <w:noBreakHyphen/>
              <w:t>exploitantes d’une entreprise de nettoyage à sec sur un bien</w:t>
            </w:r>
            <w:r w:rsidRPr="00431381">
              <w:rPr>
                <w:rFonts w:ascii="Times New Roman" w:hAnsi="Times New Roman" w:cs="Times New Roman"/>
                <w:sz w:val="20"/>
                <w:szCs w:val="20"/>
                <w:lang w:val="fr-CA"/>
              </w:rPr>
              <w:noBreakHyphen/>
              <w:t>fonds situé à West Vancouver (« les biens</w:t>
            </w:r>
            <w:r w:rsidRPr="00431381">
              <w:rPr>
                <w:rFonts w:ascii="Times New Roman" w:hAnsi="Times New Roman" w:cs="Times New Roman"/>
                <w:sz w:val="20"/>
                <w:szCs w:val="20"/>
                <w:lang w:val="fr-CA"/>
              </w:rPr>
              <w:noBreakHyphen/>
              <w:t xml:space="preserve">fonds de West Van »). Entre 1998 et 2002, Intact Assurance assurait Van en vertu d’une police d’assurance responsabilité entreprise (« ARE »). La police comprenait une couverture au titre de la responsabilité civile pour dommages matériels, mais renfermait également une clause limitant la couverture au titre de la responsabilité civile pour dommages matériels découlant de polluants. Entre 2002 et 2012, </w:t>
            </w:r>
            <w:proofErr w:type="spellStart"/>
            <w:r w:rsidRPr="00431381">
              <w:rPr>
                <w:rFonts w:ascii="Times New Roman" w:hAnsi="Times New Roman" w:cs="Times New Roman"/>
                <w:sz w:val="20"/>
                <w:szCs w:val="20"/>
                <w:lang w:val="fr-CA"/>
              </w:rPr>
              <w:t>Economical</w:t>
            </w:r>
            <w:proofErr w:type="spellEnd"/>
            <w:r w:rsidRPr="00431381">
              <w:rPr>
                <w:rFonts w:ascii="Times New Roman" w:hAnsi="Times New Roman" w:cs="Times New Roman"/>
                <w:sz w:val="20"/>
                <w:szCs w:val="20"/>
                <w:lang w:val="fr-CA"/>
              </w:rPr>
              <w:t>, Compagnie Mutuelle d’Assurance assurait West Van en vertu d’une ARE. La police comprenait une couverture au titre de la responsabilité civile pour dommages matériels, mais renfermait pareillement une clause limitant la couverture au titre de la responsabilité civile pour dommages matériels découlant de polluants. En 2014, les propriétaires des biens</w:t>
            </w:r>
            <w:r w:rsidRPr="00431381">
              <w:rPr>
                <w:rFonts w:ascii="Times New Roman" w:hAnsi="Times New Roman" w:cs="Times New Roman"/>
                <w:sz w:val="20"/>
                <w:szCs w:val="20"/>
                <w:lang w:val="fr-CA"/>
              </w:rPr>
              <w:noBreakHyphen/>
              <w:t>fonds adjacents aux biens</w:t>
            </w:r>
            <w:r w:rsidRPr="00431381">
              <w:rPr>
                <w:rFonts w:ascii="Times New Roman" w:hAnsi="Times New Roman" w:cs="Times New Roman"/>
                <w:sz w:val="20"/>
                <w:szCs w:val="20"/>
                <w:lang w:val="fr-CA"/>
              </w:rPr>
              <w:noBreakHyphen/>
              <w:t>fonds de West Van ont déposé une demande contre West Van, alléguant que West Van avait permis que des produits chimiques de nettoyage à sec et des produits pétroliers soient rejetés ou déposés dans les sols et l’eau souterraine des biens</w:t>
            </w:r>
            <w:r w:rsidRPr="00431381">
              <w:rPr>
                <w:rFonts w:ascii="Times New Roman" w:hAnsi="Times New Roman" w:cs="Times New Roman"/>
                <w:sz w:val="20"/>
                <w:szCs w:val="20"/>
                <w:lang w:val="fr-CA"/>
              </w:rPr>
              <w:noBreakHyphen/>
              <w:t>fonds des demandeurs, endommageant et contaminant leurs biens</w:t>
            </w:r>
            <w:r w:rsidRPr="00431381">
              <w:rPr>
                <w:rFonts w:ascii="Times New Roman" w:hAnsi="Times New Roman" w:cs="Times New Roman"/>
                <w:sz w:val="20"/>
                <w:szCs w:val="20"/>
                <w:lang w:val="fr-CA"/>
              </w:rPr>
              <w:noBreakHyphen/>
              <w:t>fonds en conséquence. L’action a été plaidée sur le fondement de la responsabilité stricte, la négligence, la nuisance et une cause d’action légale en application de l’</w:t>
            </w:r>
            <w:hyperlink r:id="rId88" w:history="1">
              <w:r w:rsidRPr="00431381">
                <w:rPr>
                  <w:rFonts w:ascii="Times New Roman" w:hAnsi="Times New Roman" w:cs="Times New Roman"/>
                  <w:i/>
                  <w:iCs/>
                  <w:sz w:val="20"/>
                  <w:szCs w:val="20"/>
                  <w:lang w:val="fr-CA"/>
                </w:rPr>
                <w:t>Environmental Management Act</w:t>
              </w:r>
              <w:r w:rsidRPr="00431381">
                <w:rPr>
                  <w:rFonts w:ascii="Times New Roman" w:hAnsi="Times New Roman" w:cs="Times New Roman"/>
                  <w:sz w:val="20"/>
                  <w:szCs w:val="20"/>
                  <w:lang w:val="fr-CA"/>
                </w:rPr>
                <w:t>, S.B.C. 2003, ch. 53</w:t>
              </w:r>
            </w:hyperlink>
            <w:r w:rsidRPr="00431381">
              <w:rPr>
                <w:rFonts w:ascii="Times New Roman" w:hAnsi="Times New Roman" w:cs="Times New Roman"/>
                <w:sz w:val="20"/>
                <w:szCs w:val="20"/>
                <w:lang w:val="fr-CA"/>
              </w:rPr>
              <w:t>.</w:t>
            </w:r>
          </w:p>
          <w:p w:rsidR="00CA32B5" w:rsidRPr="00431381" w:rsidRDefault="00CA32B5" w:rsidP="00A866C4">
            <w:pPr>
              <w:jc w:val="both"/>
              <w:rPr>
                <w:sz w:val="20"/>
                <w:lang w:val="fr-CA"/>
              </w:rPr>
            </w:pPr>
            <w:r w:rsidRPr="00431381">
              <w:rPr>
                <w:sz w:val="20"/>
                <w:lang w:val="fr-CA"/>
              </w:rPr>
              <w:t>Les assureurs ont refusé de défendre West Van au motif que l’action sous</w:t>
            </w:r>
            <w:r w:rsidRPr="00431381">
              <w:rPr>
                <w:sz w:val="20"/>
                <w:lang w:val="fr-CA"/>
              </w:rPr>
              <w:noBreakHyphen/>
              <w:t xml:space="preserve">jacente n’est pas visée par la garantie prévue dans leur police en raison des clauses d’exclusions de la pollution. West Van a déposé une demande sollicitant un jugement déclarant qu’Intact et </w:t>
            </w:r>
            <w:proofErr w:type="spellStart"/>
            <w:r w:rsidRPr="00431381">
              <w:rPr>
                <w:sz w:val="20"/>
                <w:lang w:val="fr-CA"/>
              </w:rPr>
              <w:t>Economical</w:t>
            </w:r>
            <w:proofErr w:type="spellEnd"/>
            <w:r w:rsidRPr="00431381">
              <w:rPr>
                <w:sz w:val="20"/>
                <w:lang w:val="fr-CA"/>
              </w:rPr>
              <w:t xml:space="preserve"> étaient tenues de les défendre. La juge des requêtes a statué que les assureurs avaient l’obligation de défendre et a accordé les dépens à West Van sur la base de l’indemnisation intégrale. La Cour d’appel a infirmé ce jugement.</w:t>
            </w:r>
          </w:p>
        </w:tc>
      </w:tr>
      <w:tr w:rsidR="00CA32B5" w:rsidRPr="00431381" w:rsidTr="00E95A6A">
        <w:tc>
          <w:tcPr>
            <w:tcW w:w="5000" w:type="pct"/>
            <w:gridSpan w:val="4"/>
          </w:tcPr>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5 avril 2019</w:t>
            </w:r>
          </w:p>
          <w:p w:rsidR="00CA32B5" w:rsidRPr="00431381" w:rsidRDefault="00CA32B5" w:rsidP="00A866C4">
            <w:pPr>
              <w:jc w:val="both"/>
              <w:rPr>
                <w:sz w:val="20"/>
                <w:lang w:val="fr-CA"/>
              </w:rPr>
            </w:pPr>
            <w:r w:rsidRPr="00431381">
              <w:rPr>
                <w:sz w:val="20"/>
                <w:lang w:val="fr-CA"/>
              </w:rPr>
              <w:t>Cour d’appel de la Colombie</w:t>
            </w:r>
            <w:r w:rsidRPr="00431381">
              <w:rPr>
                <w:sz w:val="20"/>
                <w:lang w:val="fr-CA"/>
              </w:rPr>
              <w:noBreakHyphen/>
              <w:t>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 xml:space="preserve">(Juge </w:t>
            </w:r>
            <w:proofErr w:type="spellStart"/>
            <w:r w:rsidRPr="00431381">
              <w:rPr>
                <w:sz w:val="20"/>
                <w:lang w:val="fr-CA"/>
              </w:rPr>
              <w:t>DeWitt</w:t>
            </w:r>
            <w:proofErr w:type="spellEnd"/>
            <w:r w:rsidRPr="00431381">
              <w:rPr>
                <w:sz w:val="20"/>
                <w:lang w:val="fr-CA"/>
              </w:rPr>
              <w:noBreakHyphen/>
              <w:t xml:space="preserve">Van </w:t>
            </w:r>
            <w:proofErr w:type="spellStart"/>
            <w:r w:rsidRPr="00431381">
              <w:rPr>
                <w:sz w:val="20"/>
                <w:lang w:val="fr-CA"/>
              </w:rPr>
              <w:t>Oosten</w:t>
            </w:r>
            <w:proofErr w:type="spellEnd"/>
            <w:r w:rsidRPr="00431381">
              <w:rPr>
                <w:sz w:val="20"/>
                <w:lang w:val="fr-CA"/>
              </w:rPr>
              <w:t>)</w:t>
            </w:r>
          </w:p>
          <w:p w:rsidR="00CA32B5" w:rsidRPr="00431381" w:rsidRDefault="00F37A97" w:rsidP="00A866C4">
            <w:pPr>
              <w:jc w:val="both"/>
              <w:rPr>
                <w:rStyle w:val="Hyperlink"/>
                <w:sz w:val="20"/>
                <w:lang w:val="fr-CA"/>
              </w:rPr>
            </w:pPr>
            <w:hyperlink r:id="rId89" w:history="1">
              <w:r w:rsidR="00CA32B5" w:rsidRPr="00431381">
                <w:rPr>
                  <w:rStyle w:val="Hyperlink"/>
                  <w:sz w:val="20"/>
                  <w:lang w:val="fr-CA"/>
                </w:rPr>
                <w:t>2017 BCSC 2397</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Ordonnance portant que les assureurs intimés avaient l’obligation de défendre dans une action intentée contre les demanderesses avec dépens sur la base procureur</w:t>
            </w:r>
            <w:r w:rsidRPr="00431381">
              <w:rPr>
                <w:sz w:val="20"/>
                <w:lang w:val="fr-CA"/>
              </w:rPr>
              <w:noBreakHyphen/>
              <w:t>client</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5 avril 2019</w:t>
            </w:r>
          </w:p>
          <w:p w:rsidR="00CA32B5" w:rsidRPr="00431381" w:rsidRDefault="00CA32B5" w:rsidP="00A866C4">
            <w:pPr>
              <w:jc w:val="both"/>
              <w:rPr>
                <w:sz w:val="20"/>
                <w:lang w:val="fr-CA"/>
              </w:rPr>
            </w:pPr>
            <w:r w:rsidRPr="00431381">
              <w:rPr>
                <w:sz w:val="20"/>
                <w:lang w:val="fr-CA"/>
              </w:rPr>
              <w:t>Cour d’appel de la Colombie-Britannique</w:t>
            </w:r>
          </w:p>
          <w:p w:rsidR="00CA32B5" w:rsidRPr="00431381" w:rsidRDefault="00CA32B5" w:rsidP="00A866C4">
            <w:pPr>
              <w:jc w:val="both"/>
              <w:rPr>
                <w:sz w:val="20"/>
                <w:lang w:val="fr-CA"/>
              </w:rPr>
            </w:pPr>
            <w:r w:rsidRPr="00431381">
              <w:rPr>
                <w:sz w:val="20"/>
                <w:lang w:val="fr-CA"/>
              </w:rPr>
              <w:t>(Vancouver)</w:t>
            </w:r>
          </w:p>
          <w:p w:rsidR="00CA32B5" w:rsidRPr="00431381" w:rsidRDefault="00CA32B5" w:rsidP="00A866C4">
            <w:pPr>
              <w:jc w:val="both"/>
              <w:rPr>
                <w:sz w:val="20"/>
                <w:lang w:val="fr-CA"/>
              </w:rPr>
            </w:pPr>
            <w:r w:rsidRPr="00431381">
              <w:rPr>
                <w:sz w:val="20"/>
                <w:lang w:val="fr-CA"/>
              </w:rPr>
              <w:t xml:space="preserve">(Juges </w:t>
            </w:r>
            <w:proofErr w:type="spellStart"/>
            <w:r w:rsidRPr="00431381">
              <w:rPr>
                <w:sz w:val="20"/>
                <w:lang w:val="fr-CA"/>
              </w:rPr>
              <w:t>Goepel</w:t>
            </w:r>
            <w:proofErr w:type="spellEnd"/>
            <w:r w:rsidRPr="00431381">
              <w:rPr>
                <w:sz w:val="20"/>
                <w:lang w:val="fr-CA"/>
              </w:rPr>
              <w:t xml:space="preserve">, </w:t>
            </w:r>
            <w:proofErr w:type="spellStart"/>
            <w:r w:rsidRPr="00431381">
              <w:rPr>
                <w:sz w:val="20"/>
                <w:lang w:val="fr-CA"/>
              </w:rPr>
              <w:t>Fenlon</w:t>
            </w:r>
            <w:proofErr w:type="spellEnd"/>
            <w:r w:rsidRPr="00431381">
              <w:rPr>
                <w:sz w:val="20"/>
                <w:lang w:val="fr-CA"/>
              </w:rPr>
              <w:t xml:space="preserve"> et Dickson)</w:t>
            </w:r>
          </w:p>
          <w:p w:rsidR="00CA32B5" w:rsidRPr="00431381" w:rsidRDefault="00F37A97" w:rsidP="00A866C4">
            <w:pPr>
              <w:jc w:val="both"/>
              <w:rPr>
                <w:sz w:val="20"/>
                <w:lang w:val="fr-CA"/>
              </w:rPr>
            </w:pPr>
            <w:hyperlink r:id="rId90" w:history="1">
              <w:r w:rsidR="00CA32B5" w:rsidRPr="00431381">
                <w:rPr>
                  <w:rStyle w:val="Hyperlink"/>
                  <w:sz w:val="20"/>
                  <w:lang w:val="fr-CA"/>
                </w:rPr>
                <w:t>2019 BCCA 110</w:t>
              </w:r>
            </w:hyperlink>
          </w:p>
          <w:p w:rsidR="00CA32B5" w:rsidRPr="00431381" w:rsidRDefault="00CA32B5" w:rsidP="00A866C4">
            <w:pPr>
              <w:jc w:val="both"/>
              <w:rPr>
                <w:sz w:val="20"/>
                <w:lang w:val="fr-CA"/>
              </w:rPr>
            </w:pPr>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Arrêt accueillant les appels des intimées</w:t>
            </w:r>
          </w:p>
          <w:p w:rsidR="00CA32B5" w:rsidRPr="00431381" w:rsidRDefault="00CA32B5" w:rsidP="00A866C4">
            <w:pPr>
              <w:jc w:val="both"/>
              <w:rPr>
                <w:sz w:val="20"/>
                <w:lang w:val="fr-CA"/>
              </w:rPr>
            </w:pPr>
          </w:p>
        </w:tc>
      </w:tr>
      <w:tr w:rsidR="00CA32B5" w:rsidRPr="00431381" w:rsidTr="00E95A6A">
        <w:tc>
          <w:tcPr>
            <w:tcW w:w="2427" w:type="pct"/>
            <w:gridSpan w:val="2"/>
          </w:tcPr>
          <w:p w:rsidR="00CA32B5" w:rsidRPr="00431381" w:rsidRDefault="00CA32B5" w:rsidP="00A866C4">
            <w:pPr>
              <w:jc w:val="both"/>
              <w:rPr>
                <w:sz w:val="20"/>
                <w:lang w:val="fr-CA"/>
              </w:rPr>
            </w:pPr>
            <w:r w:rsidRPr="00431381">
              <w:rPr>
                <w:sz w:val="20"/>
                <w:lang w:val="fr-CA"/>
              </w:rPr>
              <w:t>4 juillet 2019</w:t>
            </w:r>
          </w:p>
          <w:p w:rsidR="00CA32B5" w:rsidRPr="00431381" w:rsidRDefault="00CA32B5" w:rsidP="00A866C4">
            <w:pPr>
              <w:jc w:val="both"/>
              <w:rPr>
                <w:sz w:val="20"/>
                <w:lang w:val="fr-CA"/>
              </w:rPr>
            </w:pPr>
            <w:r w:rsidRPr="00431381">
              <w:rPr>
                <w:sz w:val="20"/>
                <w:lang w:val="fr-CA"/>
              </w:rPr>
              <w:t>Cour suprême du Canada</w:t>
            </w:r>
            <w:bookmarkStart w:id="0" w:name="_GoBack"/>
            <w:bookmarkEnd w:id="0"/>
          </w:p>
        </w:tc>
        <w:tc>
          <w:tcPr>
            <w:tcW w:w="243" w:type="pct"/>
          </w:tcPr>
          <w:p w:rsidR="00CA32B5" w:rsidRPr="00431381" w:rsidRDefault="00CA32B5" w:rsidP="00A866C4">
            <w:pPr>
              <w:jc w:val="both"/>
              <w:rPr>
                <w:sz w:val="20"/>
                <w:lang w:val="fr-CA"/>
              </w:rPr>
            </w:pPr>
          </w:p>
        </w:tc>
        <w:tc>
          <w:tcPr>
            <w:tcW w:w="2330" w:type="pct"/>
          </w:tcPr>
          <w:p w:rsidR="00CA32B5" w:rsidRPr="00431381" w:rsidRDefault="00CA32B5" w:rsidP="00A866C4">
            <w:pPr>
              <w:jc w:val="both"/>
              <w:rPr>
                <w:sz w:val="20"/>
                <w:lang w:val="fr-CA"/>
              </w:rPr>
            </w:pPr>
            <w:r w:rsidRPr="00431381">
              <w:rPr>
                <w:sz w:val="20"/>
                <w:lang w:val="fr-CA"/>
              </w:rPr>
              <w:t>Dépôt de la demande d’autorisation d’appel</w:t>
            </w:r>
          </w:p>
          <w:p w:rsidR="00CA32B5" w:rsidRPr="00431381" w:rsidRDefault="00CA32B5" w:rsidP="00A866C4">
            <w:pPr>
              <w:jc w:val="both"/>
              <w:rPr>
                <w:sz w:val="20"/>
                <w:lang w:val="fr-CA"/>
              </w:rPr>
            </w:pPr>
          </w:p>
        </w:tc>
      </w:tr>
    </w:tbl>
    <w:p w:rsidR="00CA32B5" w:rsidRPr="00F37A97" w:rsidRDefault="00CA32B5" w:rsidP="003467AA">
      <w:pPr>
        <w:rPr>
          <w:sz w:val="20"/>
          <w:lang w:val="fr-CA"/>
        </w:rPr>
      </w:pPr>
    </w:p>
    <w:p w:rsidR="00A37BE5" w:rsidRPr="005E1E63" w:rsidRDefault="00F37A97" w:rsidP="003467AA">
      <w:pPr>
        <w:rPr>
          <w:szCs w:val="24"/>
          <w:lang w:val="fr-CA"/>
        </w:rPr>
      </w:pPr>
      <w:r w:rsidRPr="00431381">
        <w:rPr>
          <w:sz w:val="20"/>
        </w:rPr>
        <w:pict>
          <v:rect id="_x0000_i1059" style="width:2in;height:1pt" o:hrpct="0" o:hralign="center" o:hrstd="t" o:hrnoshade="t" o:hr="t" fillcolor="black [3213]" stroked="f"/>
        </w:pict>
      </w:r>
    </w:p>
    <w:p w:rsidR="005C7161" w:rsidRPr="00F579FF" w:rsidRDefault="005C7161" w:rsidP="006A22CA">
      <w:pPr>
        <w:ind w:left="142" w:hanging="142"/>
        <w:jc w:val="both"/>
        <w:rPr>
          <w:sz w:val="20"/>
          <w:lang w:val="fr-CA"/>
        </w:rPr>
      </w:pPr>
    </w:p>
    <w:p w:rsidR="005C7161" w:rsidRPr="00F579FF" w:rsidRDefault="005C7161" w:rsidP="006A22CA">
      <w:pPr>
        <w:ind w:left="142" w:hanging="142"/>
        <w:jc w:val="both"/>
        <w:rPr>
          <w:sz w:val="20"/>
          <w:lang w:val="fr-CA"/>
        </w:rPr>
      </w:pPr>
    </w:p>
    <w:p w:rsidR="00FD3FA0" w:rsidRPr="00F579FF" w:rsidRDefault="00FD3FA0" w:rsidP="006A22CA">
      <w:pPr>
        <w:ind w:left="142" w:hanging="142"/>
        <w:jc w:val="both"/>
        <w:rPr>
          <w:sz w:val="20"/>
          <w:lang w:val="fr-CA"/>
        </w:rPr>
      </w:pPr>
    </w:p>
    <w:p w:rsidR="00D3344A" w:rsidRPr="00F579FF" w:rsidRDefault="00D3344A" w:rsidP="00D3344A">
      <w:pPr>
        <w:widowControl w:val="0"/>
        <w:outlineLvl w:val="0"/>
      </w:pPr>
      <w:r w:rsidRPr="00F579FF">
        <w:t xml:space="preserve">Supreme Court of Canada / Cour suprême du </w:t>
      </w:r>
      <w:proofErr w:type="gramStart"/>
      <w:r w:rsidRPr="00F579FF">
        <w:t>Canad</w:t>
      </w:r>
      <w:r w:rsidR="00EE289F" w:rsidRPr="00F579FF">
        <w:t>a</w:t>
      </w:r>
      <w:r w:rsidRPr="00F579FF">
        <w:t xml:space="preserve"> :</w:t>
      </w:r>
      <w:proofErr w:type="gramEnd"/>
    </w:p>
    <w:p w:rsidR="00D3344A" w:rsidRPr="00F579FF" w:rsidRDefault="00F37A97" w:rsidP="00D3344A">
      <w:pPr>
        <w:widowControl w:val="0"/>
        <w:outlineLvl w:val="0"/>
        <w:rPr>
          <w:u w:val="single"/>
        </w:rPr>
      </w:pPr>
      <w:hyperlink r:id="rId91" w:history="1">
        <w:r w:rsidR="009B7391" w:rsidRPr="00F579FF">
          <w:rPr>
            <w:rStyle w:val="Hyperlink"/>
          </w:rPr>
          <w:t>comments-commentaires@scc-csc.ca</w:t>
        </w:r>
      </w:hyperlink>
    </w:p>
    <w:p w:rsidR="00D3344A" w:rsidRPr="00F579FF" w:rsidRDefault="0065588C" w:rsidP="00D3344A">
      <w:pPr>
        <w:widowControl w:val="0"/>
        <w:outlineLvl w:val="0"/>
      </w:pPr>
      <w:r w:rsidRPr="00F579FF">
        <w:t>613-</w:t>
      </w:r>
      <w:r w:rsidR="00D3344A" w:rsidRPr="00F579FF">
        <w:t>995-4330</w:t>
      </w:r>
    </w:p>
    <w:p w:rsidR="00497B5E" w:rsidRPr="00F579FF" w:rsidRDefault="00497B5E" w:rsidP="00497B5E">
      <w:pPr>
        <w:widowControl w:val="0"/>
        <w:rPr>
          <w:sz w:val="20"/>
        </w:rPr>
      </w:pPr>
    </w:p>
    <w:p w:rsidR="00F6251B" w:rsidRPr="006E558B" w:rsidRDefault="003F43E6" w:rsidP="00F6251B">
      <w:pPr>
        <w:pStyle w:val="Footer"/>
        <w:jc w:val="center"/>
      </w:pPr>
      <w:r w:rsidRPr="00F579FF">
        <w:t>- 30 -</w:t>
      </w:r>
    </w:p>
    <w:sectPr w:rsidR="00F6251B" w:rsidRPr="006E558B" w:rsidSect="006313B9">
      <w:headerReference w:type="even" r:id="rId92"/>
      <w:headerReference w:type="default" r:id="rId93"/>
      <w:footerReference w:type="even" r:id="rId94"/>
      <w:footerReference w:type="default" r:id="rId95"/>
      <w:headerReference w:type="first" r:id="rId96"/>
      <w:footerReference w:type="first" r:id="rId97"/>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4B" w:rsidRDefault="00D2514B" w:rsidP="0034178A">
      <w:r>
        <w:separator/>
      </w:r>
    </w:p>
  </w:endnote>
  <w:endnote w:type="continuationSeparator" w:id="0">
    <w:p w:rsidR="00D2514B" w:rsidRDefault="00D2514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Pr="009F77F0" w:rsidRDefault="00D2514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4B" w:rsidRDefault="00D2514B" w:rsidP="0034178A">
      <w:r>
        <w:separator/>
      </w:r>
    </w:p>
  </w:footnote>
  <w:footnote w:type="continuationSeparator" w:id="0">
    <w:p w:rsidR="00D2514B" w:rsidRDefault="00D2514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14B" w:rsidRDefault="00D25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7F4341"/>
    <w:multiLevelType w:val="hybridMultilevel"/>
    <w:tmpl w:val="5FF21A42"/>
    <w:lvl w:ilvl="0" w:tplc="2318C9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0C1F"/>
    <w:multiLevelType w:val="hybridMultilevel"/>
    <w:tmpl w:val="18A2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75AB"/>
    <w:multiLevelType w:val="hybridMultilevel"/>
    <w:tmpl w:val="E61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E45AB"/>
    <w:multiLevelType w:val="hybridMultilevel"/>
    <w:tmpl w:val="332C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FB0FAA"/>
    <w:multiLevelType w:val="hybridMultilevel"/>
    <w:tmpl w:val="606A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5E5F"/>
    <w:multiLevelType w:val="hybridMultilevel"/>
    <w:tmpl w:val="ACD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487F"/>
    <w:multiLevelType w:val="hybridMultilevel"/>
    <w:tmpl w:val="8D80EDF4"/>
    <w:lvl w:ilvl="0" w:tplc="9870AD3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D05E1"/>
    <w:multiLevelType w:val="hybridMultilevel"/>
    <w:tmpl w:val="70B6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80B19"/>
    <w:multiLevelType w:val="hybridMultilevel"/>
    <w:tmpl w:val="133C32A0"/>
    <w:lvl w:ilvl="0" w:tplc="AD74BF5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6D0E"/>
    <w:multiLevelType w:val="multilevel"/>
    <w:tmpl w:val="E50EE7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3588"/>
    <w:multiLevelType w:val="hybridMultilevel"/>
    <w:tmpl w:val="9F5AD0E6"/>
    <w:lvl w:ilvl="0" w:tplc="942C021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64C8B"/>
    <w:multiLevelType w:val="hybridMultilevel"/>
    <w:tmpl w:val="82B0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255FA"/>
    <w:multiLevelType w:val="hybridMultilevel"/>
    <w:tmpl w:val="67B88166"/>
    <w:lvl w:ilvl="0" w:tplc="86025964">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4"/>
  </w:num>
  <w:num w:numId="4">
    <w:abstractNumId w:val="22"/>
  </w:num>
  <w:num w:numId="5">
    <w:abstractNumId w:val="2"/>
  </w:num>
  <w:num w:numId="6">
    <w:abstractNumId w:val="23"/>
  </w:num>
  <w:num w:numId="7">
    <w:abstractNumId w:val="18"/>
  </w:num>
  <w:num w:numId="8">
    <w:abstractNumId w:val="16"/>
  </w:num>
  <w:num w:numId="9">
    <w:abstractNumId w:val="15"/>
  </w:num>
  <w:num w:numId="10">
    <w:abstractNumId w:val="14"/>
  </w:num>
  <w:num w:numId="11">
    <w:abstractNumId w:val="25"/>
  </w:num>
  <w:num w:numId="12">
    <w:abstractNumId w:val="1"/>
  </w:num>
  <w:num w:numId="13">
    <w:abstractNumId w:val="10"/>
  </w:num>
  <w:num w:numId="14">
    <w:abstractNumId w:val="4"/>
  </w:num>
  <w:num w:numId="15">
    <w:abstractNumId w:val="6"/>
  </w:num>
  <w:num w:numId="16">
    <w:abstractNumId w:val="12"/>
  </w:num>
  <w:num w:numId="17">
    <w:abstractNumId w:val="11"/>
  </w:num>
  <w:num w:numId="18">
    <w:abstractNumId w:val="0"/>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20"/>
  </w:num>
  <w:num w:numId="24">
    <w:abstractNumId w:val="9"/>
  </w:num>
  <w:num w:numId="25">
    <w:abstractNumId w:val="17"/>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6FB"/>
    <w:rsid w:val="000179A6"/>
    <w:rsid w:val="00017D08"/>
    <w:rsid w:val="00020797"/>
    <w:rsid w:val="00020816"/>
    <w:rsid w:val="00020A11"/>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1302"/>
    <w:rsid w:val="000414EB"/>
    <w:rsid w:val="0004159F"/>
    <w:rsid w:val="00041650"/>
    <w:rsid w:val="00041B58"/>
    <w:rsid w:val="00042069"/>
    <w:rsid w:val="00042390"/>
    <w:rsid w:val="0004298B"/>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BDC"/>
    <w:rsid w:val="00096F2F"/>
    <w:rsid w:val="000975EC"/>
    <w:rsid w:val="00097C55"/>
    <w:rsid w:val="000A0444"/>
    <w:rsid w:val="000A0472"/>
    <w:rsid w:val="000A0F64"/>
    <w:rsid w:val="000A152E"/>
    <w:rsid w:val="000A1691"/>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2A2"/>
    <w:rsid w:val="000B07FB"/>
    <w:rsid w:val="000B10DF"/>
    <w:rsid w:val="000B163F"/>
    <w:rsid w:val="000B2CB2"/>
    <w:rsid w:val="000B38C9"/>
    <w:rsid w:val="000B46A2"/>
    <w:rsid w:val="000B47C0"/>
    <w:rsid w:val="000B503B"/>
    <w:rsid w:val="000B5E52"/>
    <w:rsid w:val="000B6193"/>
    <w:rsid w:val="000B6AB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2C0"/>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1A18"/>
    <w:rsid w:val="001120A0"/>
    <w:rsid w:val="0011219D"/>
    <w:rsid w:val="00113F0C"/>
    <w:rsid w:val="0011442D"/>
    <w:rsid w:val="001147A4"/>
    <w:rsid w:val="00114929"/>
    <w:rsid w:val="00115CF1"/>
    <w:rsid w:val="001170C6"/>
    <w:rsid w:val="00117137"/>
    <w:rsid w:val="00117AF3"/>
    <w:rsid w:val="00117C0F"/>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69CE"/>
    <w:rsid w:val="0015754D"/>
    <w:rsid w:val="00157B04"/>
    <w:rsid w:val="00157BD4"/>
    <w:rsid w:val="0016057A"/>
    <w:rsid w:val="00160866"/>
    <w:rsid w:val="0016091C"/>
    <w:rsid w:val="00160E97"/>
    <w:rsid w:val="00161774"/>
    <w:rsid w:val="00161E40"/>
    <w:rsid w:val="00161F83"/>
    <w:rsid w:val="0016346F"/>
    <w:rsid w:val="00163837"/>
    <w:rsid w:val="00163A54"/>
    <w:rsid w:val="00164791"/>
    <w:rsid w:val="00165EAA"/>
    <w:rsid w:val="001665EA"/>
    <w:rsid w:val="00166949"/>
    <w:rsid w:val="00167721"/>
    <w:rsid w:val="00170788"/>
    <w:rsid w:val="001708BE"/>
    <w:rsid w:val="0017098A"/>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855"/>
    <w:rsid w:val="001819DA"/>
    <w:rsid w:val="00181FCF"/>
    <w:rsid w:val="00182693"/>
    <w:rsid w:val="001826A0"/>
    <w:rsid w:val="00182705"/>
    <w:rsid w:val="00182DFB"/>
    <w:rsid w:val="00182E38"/>
    <w:rsid w:val="001838E0"/>
    <w:rsid w:val="00183A15"/>
    <w:rsid w:val="001852AE"/>
    <w:rsid w:val="00185355"/>
    <w:rsid w:val="00185483"/>
    <w:rsid w:val="00185D52"/>
    <w:rsid w:val="0018601D"/>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5174"/>
    <w:rsid w:val="00266503"/>
    <w:rsid w:val="00266E0E"/>
    <w:rsid w:val="00266FD4"/>
    <w:rsid w:val="002671CC"/>
    <w:rsid w:val="00267241"/>
    <w:rsid w:val="002676FA"/>
    <w:rsid w:val="00267CA4"/>
    <w:rsid w:val="00270135"/>
    <w:rsid w:val="0027099E"/>
    <w:rsid w:val="002709E7"/>
    <w:rsid w:val="00271222"/>
    <w:rsid w:val="00271B2A"/>
    <w:rsid w:val="002728FA"/>
    <w:rsid w:val="0027369C"/>
    <w:rsid w:val="00273706"/>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235D"/>
    <w:rsid w:val="00292574"/>
    <w:rsid w:val="002926A4"/>
    <w:rsid w:val="00292EA2"/>
    <w:rsid w:val="00292F35"/>
    <w:rsid w:val="00292F9A"/>
    <w:rsid w:val="0029396A"/>
    <w:rsid w:val="00293DE2"/>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E75"/>
    <w:rsid w:val="002B0F51"/>
    <w:rsid w:val="002B15AC"/>
    <w:rsid w:val="002B193B"/>
    <w:rsid w:val="002B19FB"/>
    <w:rsid w:val="002B36C3"/>
    <w:rsid w:val="002B532E"/>
    <w:rsid w:val="002B543A"/>
    <w:rsid w:val="002B5525"/>
    <w:rsid w:val="002B5A2E"/>
    <w:rsid w:val="002B5A4B"/>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406"/>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1D1E"/>
    <w:rsid w:val="0030204B"/>
    <w:rsid w:val="003020C6"/>
    <w:rsid w:val="0030280A"/>
    <w:rsid w:val="00302C8C"/>
    <w:rsid w:val="00303EF4"/>
    <w:rsid w:val="00304ACA"/>
    <w:rsid w:val="00304F2A"/>
    <w:rsid w:val="003062D8"/>
    <w:rsid w:val="0030704A"/>
    <w:rsid w:val="003070B7"/>
    <w:rsid w:val="00307309"/>
    <w:rsid w:val="003075BC"/>
    <w:rsid w:val="00307E7E"/>
    <w:rsid w:val="003101EC"/>
    <w:rsid w:val="003106DE"/>
    <w:rsid w:val="00311663"/>
    <w:rsid w:val="00311B59"/>
    <w:rsid w:val="0031227B"/>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9B1"/>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6E07"/>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4E12"/>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23A7"/>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2DF"/>
    <w:rsid w:val="003B6357"/>
    <w:rsid w:val="003B64B3"/>
    <w:rsid w:val="003B693A"/>
    <w:rsid w:val="003B6AB8"/>
    <w:rsid w:val="003B6E18"/>
    <w:rsid w:val="003B7053"/>
    <w:rsid w:val="003B7102"/>
    <w:rsid w:val="003B774F"/>
    <w:rsid w:val="003B7D49"/>
    <w:rsid w:val="003B7E00"/>
    <w:rsid w:val="003B7EA2"/>
    <w:rsid w:val="003C02CC"/>
    <w:rsid w:val="003C0862"/>
    <w:rsid w:val="003C08A8"/>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FA"/>
    <w:rsid w:val="003E0A78"/>
    <w:rsid w:val="003E19E7"/>
    <w:rsid w:val="003E29B3"/>
    <w:rsid w:val="003E36C0"/>
    <w:rsid w:val="003E3724"/>
    <w:rsid w:val="003E3957"/>
    <w:rsid w:val="003E398D"/>
    <w:rsid w:val="003E4289"/>
    <w:rsid w:val="003E4800"/>
    <w:rsid w:val="003E487B"/>
    <w:rsid w:val="003E55E5"/>
    <w:rsid w:val="003E57F9"/>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90D"/>
    <w:rsid w:val="003F4DDB"/>
    <w:rsid w:val="003F5542"/>
    <w:rsid w:val="003F5842"/>
    <w:rsid w:val="003F61E1"/>
    <w:rsid w:val="003F704D"/>
    <w:rsid w:val="003F77FC"/>
    <w:rsid w:val="003F7E56"/>
    <w:rsid w:val="004000BE"/>
    <w:rsid w:val="00400122"/>
    <w:rsid w:val="004015C7"/>
    <w:rsid w:val="00401D3D"/>
    <w:rsid w:val="004020AB"/>
    <w:rsid w:val="004024ED"/>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1381"/>
    <w:rsid w:val="00431731"/>
    <w:rsid w:val="00431779"/>
    <w:rsid w:val="00431A2A"/>
    <w:rsid w:val="00431CE6"/>
    <w:rsid w:val="00431F2E"/>
    <w:rsid w:val="0043240F"/>
    <w:rsid w:val="00433C39"/>
    <w:rsid w:val="00433C3E"/>
    <w:rsid w:val="00433DA2"/>
    <w:rsid w:val="004343BC"/>
    <w:rsid w:val="00434AC5"/>
    <w:rsid w:val="00435A31"/>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67616"/>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824"/>
    <w:rsid w:val="00475E1A"/>
    <w:rsid w:val="004762ED"/>
    <w:rsid w:val="00476F6F"/>
    <w:rsid w:val="00477469"/>
    <w:rsid w:val="004774B6"/>
    <w:rsid w:val="004775E8"/>
    <w:rsid w:val="00477A87"/>
    <w:rsid w:val="00480487"/>
    <w:rsid w:val="0048052E"/>
    <w:rsid w:val="00481888"/>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AA"/>
    <w:rsid w:val="00495CE9"/>
    <w:rsid w:val="004962C7"/>
    <w:rsid w:val="004963CC"/>
    <w:rsid w:val="004970C9"/>
    <w:rsid w:val="00497428"/>
    <w:rsid w:val="00497574"/>
    <w:rsid w:val="004978DC"/>
    <w:rsid w:val="00497B5E"/>
    <w:rsid w:val="004A0C7E"/>
    <w:rsid w:val="004A1416"/>
    <w:rsid w:val="004A224A"/>
    <w:rsid w:val="004A275E"/>
    <w:rsid w:val="004A28DD"/>
    <w:rsid w:val="004A2F02"/>
    <w:rsid w:val="004A3074"/>
    <w:rsid w:val="004A32DD"/>
    <w:rsid w:val="004A570E"/>
    <w:rsid w:val="004A59B2"/>
    <w:rsid w:val="004A74F3"/>
    <w:rsid w:val="004A7CEC"/>
    <w:rsid w:val="004B00A4"/>
    <w:rsid w:val="004B06E1"/>
    <w:rsid w:val="004B116F"/>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022"/>
    <w:rsid w:val="004C7663"/>
    <w:rsid w:val="004C7FC6"/>
    <w:rsid w:val="004D055D"/>
    <w:rsid w:val="004D08E0"/>
    <w:rsid w:val="004D129E"/>
    <w:rsid w:val="004D25B5"/>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7DD"/>
    <w:rsid w:val="004F40AB"/>
    <w:rsid w:val="004F47F7"/>
    <w:rsid w:val="004F4C76"/>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971"/>
    <w:rsid w:val="00541FF9"/>
    <w:rsid w:val="00544481"/>
    <w:rsid w:val="005444FD"/>
    <w:rsid w:val="00544C2E"/>
    <w:rsid w:val="0054689F"/>
    <w:rsid w:val="00546DAD"/>
    <w:rsid w:val="0054701C"/>
    <w:rsid w:val="0055024A"/>
    <w:rsid w:val="0055040D"/>
    <w:rsid w:val="00550A88"/>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1B7D"/>
    <w:rsid w:val="005A1FB5"/>
    <w:rsid w:val="005A21F0"/>
    <w:rsid w:val="005A3592"/>
    <w:rsid w:val="005A4082"/>
    <w:rsid w:val="005A46DD"/>
    <w:rsid w:val="005A64FE"/>
    <w:rsid w:val="005A6C46"/>
    <w:rsid w:val="005B0AAB"/>
    <w:rsid w:val="005B2FBF"/>
    <w:rsid w:val="005B3F91"/>
    <w:rsid w:val="005B409A"/>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2DE"/>
    <w:rsid w:val="005C4651"/>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62CE"/>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7D76"/>
    <w:rsid w:val="00600709"/>
    <w:rsid w:val="00601639"/>
    <w:rsid w:val="006024F3"/>
    <w:rsid w:val="006028B7"/>
    <w:rsid w:val="00603543"/>
    <w:rsid w:val="00603572"/>
    <w:rsid w:val="00604ACB"/>
    <w:rsid w:val="006055FE"/>
    <w:rsid w:val="00605FE7"/>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58EF"/>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5EC"/>
    <w:rsid w:val="006D6B5E"/>
    <w:rsid w:val="006D6CA1"/>
    <w:rsid w:val="006D712E"/>
    <w:rsid w:val="006D7DA7"/>
    <w:rsid w:val="006E08F5"/>
    <w:rsid w:val="006E0EE2"/>
    <w:rsid w:val="006E0FAD"/>
    <w:rsid w:val="006E1E87"/>
    <w:rsid w:val="006E1F5A"/>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6B0"/>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AD1"/>
    <w:rsid w:val="007A2B71"/>
    <w:rsid w:val="007A2BE6"/>
    <w:rsid w:val="007A2C5D"/>
    <w:rsid w:val="007A340C"/>
    <w:rsid w:val="007A367F"/>
    <w:rsid w:val="007A36E5"/>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10A"/>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773"/>
    <w:rsid w:val="008549B1"/>
    <w:rsid w:val="008550BA"/>
    <w:rsid w:val="0085543E"/>
    <w:rsid w:val="00855820"/>
    <w:rsid w:val="008568B0"/>
    <w:rsid w:val="008578F2"/>
    <w:rsid w:val="00857A16"/>
    <w:rsid w:val="00857DB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67862"/>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6448"/>
    <w:rsid w:val="008872D7"/>
    <w:rsid w:val="00887E8C"/>
    <w:rsid w:val="00887F03"/>
    <w:rsid w:val="0089055E"/>
    <w:rsid w:val="00891448"/>
    <w:rsid w:val="008914A2"/>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561D"/>
    <w:rsid w:val="008C62EC"/>
    <w:rsid w:val="008C6316"/>
    <w:rsid w:val="008C7911"/>
    <w:rsid w:val="008C7FAF"/>
    <w:rsid w:val="008D0BE4"/>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6FE8"/>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0F8"/>
    <w:rsid w:val="00970584"/>
    <w:rsid w:val="00970F04"/>
    <w:rsid w:val="009710FB"/>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73F"/>
    <w:rsid w:val="00981FC9"/>
    <w:rsid w:val="00982327"/>
    <w:rsid w:val="009833CB"/>
    <w:rsid w:val="009836FB"/>
    <w:rsid w:val="009837A3"/>
    <w:rsid w:val="00983F27"/>
    <w:rsid w:val="009843E2"/>
    <w:rsid w:val="0098582B"/>
    <w:rsid w:val="009858DA"/>
    <w:rsid w:val="009861EE"/>
    <w:rsid w:val="00987566"/>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A7E2A"/>
    <w:rsid w:val="009B0602"/>
    <w:rsid w:val="009B0987"/>
    <w:rsid w:val="009B121B"/>
    <w:rsid w:val="009B144A"/>
    <w:rsid w:val="009B14F4"/>
    <w:rsid w:val="009B177F"/>
    <w:rsid w:val="009B17DB"/>
    <w:rsid w:val="009B3199"/>
    <w:rsid w:val="009B38BC"/>
    <w:rsid w:val="009B4EC5"/>
    <w:rsid w:val="009B50CC"/>
    <w:rsid w:val="009B51A4"/>
    <w:rsid w:val="009B5ACD"/>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1C6"/>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E01B8"/>
    <w:rsid w:val="009E0843"/>
    <w:rsid w:val="009E0B3D"/>
    <w:rsid w:val="009E18D5"/>
    <w:rsid w:val="009E1B79"/>
    <w:rsid w:val="009E1BC8"/>
    <w:rsid w:val="009E1E84"/>
    <w:rsid w:val="009E38AF"/>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5AE4"/>
    <w:rsid w:val="00A06B3C"/>
    <w:rsid w:val="00A06DB6"/>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37BE5"/>
    <w:rsid w:val="00A40262"/>
    <w:rsid w:val="00A40858"/>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64C7"/>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09A"/>
    <w:rsid w:val="00AF3BF4"/>
    <w:rsid w:val="00AF3F93"/>
    <w:rsid w:val="00AF48C9"/>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07ADC"/>
    <w:rsid w:val="00B1005C"/>
    <w:rsid w:val="00B11123"/>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2043"/>
    <w:rsid w:val="00B626BA"/>
    <w:rsid w:val="00B62901"/>
    <w:rsid w:val="00B633AD"/>
    <w:rsid w:val="00B63682"/>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E7C"/>
    <w:rsid w:val="00B809A7"/>
    <w:rsid w:val="00B80BD8"/>
    <w:rsid w:val="00B80F85"/>
    <w:rsid w:val="00B81892"/>
    <w:rsid w:val="00B81CDF"/>
    <w:rsid w:val="00B824E7"/>
    <w:rsid w:val="00B827FD"/>
    <w:rsid w:val="00B829D3"/>
    <w:rsid w:val="00B82AA3"/>
    <w:rsid w:val="00B82D29"/>
    <w:rsid w:val="00B83703"/>
    <w:rsid w:val="00B83B7C"/>
    <w:rsid w:val="00B83EBF"/>
    <w:rsid w:val="00B84F90"/>
    <w:rsid w:val="00B85A66"/>
    <w:rsid w:val="00B86E92"/>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B686D"/>
    <w:rsid w:val="00BB751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2D51"/>
    <w:rsid w:val="00C5317E"/>
    <w:rsid w:val="00C53FC7"/>
    <w:rsid w:val="00C548A9"/>
    <w:rsid w:val="00C54B57"/>
    <w:rsid w:val="00C54C93"/>
    <w:rsid w:val="00C5509F"/>
    <w:rsid w:val="00C5543B"/>
    <w:rsid w:val="00C55F27"/>
    <w:rsid w:val="00C573B1"/>
    <w:rsid w:val="00C600EE"/>
    <w:rsid w:val="00C60567"/>
    <w:rsid w:val="00C611F9"/>
    <w:rsid w:val="00C6294C"/>
    <w:rsid w:val="00C62B06"/>
    <w:rsid w:val="00C62DF8"/>
    <w:rsid w:val="00C62E03"/>
    <w:rsid w:val="00C64192"/>
    <w:rsid w:val="00C647CB"/>
    <w:rsid w:val="00C64B47"/>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715"/>
    <w:rsid w:val="00C9788C"/>
    <w:rsid w:val="00C97C59"/>
    <w:rsid w:val="00CA047B"/>
    <w:rsid w:val="00CA06A9"/>
    <w:rsid w:val="00CA08E3"/>
    <w:rsid w:val="00CA0C2B"/>
    <w:rsid w:val="00CA12D5"/>
    <w:rsid w:val="00CA2734"/>
    <w:rsid w:val="00CA32B5"/>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A1E"/>
    <w:rsid w:val="00CF0D83"/>
    <w:rsid w:val="00CF0EF2"/>
    <w:rsid w:val="00CF234B"/>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6E60"/>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569"/>
    <w:rsid w:val="00D43F58"/>
    <w:rsid w:val="00D43FC2"/>
    <w:rsid w:val="00D4457A"/>
    <w:rsid w:val="00D44932"/>
    <w:rsid w:val="00D44AF1"/>
    <w:rsid w:val="00D45734"/>
    <w:rsid w:val="00D45F69"/>
    <w:rsid w:val="00D46172"/>
    <w:rsid w:val="00D46610"/>
    <w:rsid w:val="00D46632"/>
    <w:rsid w:val="00D46D5A"/>
    <w:rsid w:val="00D47282"/>
    <w:rsid w:val="00D4779F"/>
    <w:rsid w:val="00D478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199"/>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A2"/>
    <w:rsid w:val="00E10F8D"/>
    <w:rsid w:val="00E112C9"/>
    <w:rsid w:val="00E114D9"/>
    <w:rsid w:val="00E11EF2"/>
    <w:rsid w:val="00E11FDF"/>
    <w:rsid w:val="00E126BB"/>
    <w:rsid w:val="00E1305B"/>
    <w:rsid w:val="00E134A9"/>
    <w:rsid w:val="00E135F9"/>
    <w:rsid w:val="00E13649"/>
    <w:rsid w:val="00E136F7"/>
    <w:rsid w:val="00E13771"/>
    <w:rsid w:val="00E140FF"/>
    <w:rsid w:val="00E14AED"/>
    <w:rsid w:val="00E14D31"/>
    <w:rsid w:val="00E150E0"/>
    <w:rsid w:val="00E155F6"/>
    <w:rsid w:val="00E167A2"/>
    <w:rsid w:val="00E17AB3"/>
    <w:rsid w:val="00E20C2E"/>
    <w:rsid w:val="00E2108D"/>
    <w:rsid w:val="00E214F0"/>
    <w:rsid w:val="00E218A3"/>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5C2"/>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6335"/>
    <w:rsid w:val="00EB722E"/>
    <w:rsid w:val="00EC091F"/>
    <w:rsid w:val="00EC0E72"/>
    <w:rsid w:val="00EC2028"/>
    <w:rsid w:val="00EC2317"/>
    <w:rsid w:val="00EC25BA"/>
    <w:rsid w:val="00EC2990"/>
    <w:rsid w:val="00EC2A4D"/>
    <w:rsid w:val="00EC3301"/>
    <w:rsid w:val="00EC340D"/>
    <w:rsid w:val="00EC348F"/>
    <w:rsid w:val="00EC3CE7"/>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94E"/>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DA4"/>
    <w:rsid w:val="00F01A7F"/>
    <w:rsid w:val="00F0227A"/>
    <w:rsid w:val="00F02E36"/>
    <w:rsid w:val="00F03426"/>
    <w:rsid w:val="00F036BA"/>
    <w:rsid w:val="00F03CE3"/>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115A"/>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D20"/>
    <w:rsid w:val="00F31E5C"/>
    <w:rsid w:val="00F32084"/>
    <w:rsid w:val="00F32457"/>
    <w:rsid w:val="00F32541"/>
    <w:rsid w:val="00F3254D"/>
    <w:rsid w:val="00F32569"/>
    <w:rsid w:val="00F32D1C"/>
    <w:rsid w:val="00F33889"/>
    <w:rsid w:val="00F347C0"/>
    <w:rsid w:val="00F351D3"/>
    <w:rsid w:val="00F357FA"/>
    <w:rsid w:val="00F35C22"/>
    <w:rsid w:val="00F377FB"/>
    <w:rsid w:val="00F37A97"/>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579FF"/>
    <w:rsid w:val="00F6027C"/>
    <w:rsid w:val="00F60415"/>
    <w:rsid w:val="00F60DAD"/>
    <w:rsid w:val="00F60DE0"/>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7FF"/>
    <w:rsid w:val="00F71C01"/>
    <w:rsid w:val="00F721AC"/>
    <w:rsid w:val="00F7246A"/>
    <w:rsid w:val="00F73A04"/>
    <w:rsid w:val="00F743A3"/>
    <w:rsid w:val="00F74A72"/>
    <w:rsid w:val="00F74DE7"/>
    <w:rsid w:val="00F74E5A"/>
    <w:rsid w:val="00F751B6"/>
    <w:rsid w:val="00F76A83"/>
    <w:rsid w:val="00F774C8"/>
    <w:rsid w:val="00F802C8"/>
    <w:rsid w:val="00F81D96"/>
    <w:rsid w:val="00F826E7"/>
    <w:rsid w:val="00F827AA"/>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5724"/>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684"/>
    <w:rsid w:val="00FD5E81"/>
    <w:rsid w:val="00FD5FF0"/>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paragraph" w:customStyle="1" w:styleId="subsection">
    <w:name w:val="subsection"/>
    <w:basedOn w:val="Normal"/>
    <w:rsid w:val="00467616"/>
    <w:pPr>
      <w:spacing w:before="168"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9/2019bcsc532/2019bcsc532.html?resultIndex=1" TargetMode="External"/><Relationship Id="rId21" Type="http://schemas.openxmlformats.org/officeDocument/2006/relationships/hyperlink" Target="https://www.scc-csc.ca/case-dossier/info/sum-som-eng.aspx?cas=38791" TargetMode="External"/><Relationship Id="rId34" Type="http://schemas.openxmlformats.org/officeDocument/2006/relationships/hyperlink" Target="https://www.canlii.org/en/bc/bcsc/doc/2018/2018bcsc1530/2018bcsc1530.html?searchUrlHash=AAAAAQAOMjAxOCBCQ1NDIDE1MzAAAAAAAQ&amp;resultIndex=1" TargetMode="External"/><Relationship Id="rId42" Type="http://schemas.openxmlformats.org/officeDocument/2006/relationships/hyperlink" Target="http://canlii.ca/t/j021s" TargetMode="External"/><Relationship Id="rId47" Type="http://schemas.openxmlformats.org/officeDocument/2006/relationships/hyperlink" Target="https://www.canlii.org/en/ca/tcc/doc/2016/2016tcc104/2016tcc104.html?autocompleteStr=2016%20TCC%20104&amp;autocompletePos=1" TargetMode="External"/><Relationship Id="rId50" Type="http://schemas.openxmlformats.org/officeDocument/2006/relationships/hyperlink" Target="https://www.canlii.org/en/ca/fca/doc/2019/2019fca191/2019fca191.html?autocompleteStr=2019%20FCA%20191&amp;autocompletePos=1" TargetMode="External"/><Relationship Id="rId55" Type="http://schemas.openxmlformats.org/officeDocument/2006/relationships/hyperlink" Target="https://www.canlii.org/en/on/laws/regu/o-reg-114-99/latest/o-reg-114-99.html" TargetMode="External"/><Relationship Id="rId63" Type="http://schemas.openxmlformats.org/officeDocument/2006/relationships/hyperlink" Target="http://canlii.ca/t/hwb95" TargetMode="External"/><Relationship Id="rId68" Type="http://schemas.openxmlformats.org/officeDocument/2006/relationships/hyperlink" Target="https://www.canlii.org/en/sk/skca/doc/2019/2019skca56/2019skca56.html?autocompleteStr=R%20v%20Horse%202019&amp;autocompletePos=1" TargetMode="External"/><Relationship Id="rId76" Type="http://schemas.openxmlformats.org/officeDocument/2006/relationships/hyperlink" Target="http://canlii.ca/t/hwx9h" TargetMode="External"/><Relationship Id="rId84" Type="http://schemas.openxmlformats.org/officeDocument/2006/relationships/hyperlink" Target="https://www.canlii.org/en/bc/bcca/doc/2019/2019bcca201/2019bcca201.html?autocompleteStr=2019%20BCCA%20201&amp;autocompletePos=1" TargetMode="External"/><Relationship Id="rId89" Type="http://schemas.openxmlformats.org/officeDocument/2006/relationships/hyperlink" Target="http://canlii.ca/t/hphvr"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bc/bcsc/doc/2018/2018bcsc1850/2018bcsc1850.html"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eng.aspx?cas=38706" TargetMode="External"/><Relationship Id="rId29" Type="http://schemas.openxmlformats.org/officeDocument/2006/relationships/hyperlink" Target="https://www.canlii.org/fr/qc/qccs/doc/2017/2017qccs5250/2017qccs5250.pdf" TargetMode="External"/><Relationship Id="rId11" Type="http://schemas.openxmlformats.org/officeDocument/2006/relationships/hyperlink" Target="https://www.scc-csc.ca/case-dossier/info/sum-som-fra.aspx?cas=38742" TargetMode="External"/><Relationship Id="rId24" Type="http://schemas.openxmlformats.org/officeDocument/2006/relationships/hyperlink" Target="https://www.canlii.org/en/bc/bcsc/doc/2019/2019bcsc532/2019bcsc532.html?resultIndex=1" TargetMode="External"/><Relationship Id="rId32" Type="http://schemas.openxmlformats.org/officeDocument/2006/relationships/hyperlink" Target="https://www.canlii.org/en/bc/bcca/doc/2018/2018bcca310/2018bcca310.html" TargetMode="External"/><Relationship Id="rId37" Type="http://schemas.openxmlformats.org/officeDocument/2006/relationships/hyperlink" Target="http://canlii.ca/t/hr122" TargetMode="External"/><Relationship Id="rId40" Type="http://schemas.openxmlformats.org/officeDocument/2006/relationships/hyperlink" Target="http://canlii.ca/t/hr122" TargetMode="External"/><Relationship Id="rId45" Type="http://schemas.openxmlformats.org/officeDocument/2006/relationships/hyperlink" Target="http://canlii.ca/t/hqqzl" TargetMode="External"/><Relationship Id="rId53" Type="http://schemas.openxmlformats.org/officeDocument/2006/relationships/hyperlink" Target="http://canlii.ca/t/hvx8s" TargetMode="External"/><Relationship Id="rId58" Type="http://schemas.openxmlformats.org/officeDocument/2006/relationships/hyperlink" Target="http://canlii.ca/t/hwb95" TargetMode="External"/><Relationship Id="rId66" Type="http://schemas.openxmlformats.org/officeDocument/2006/relationships/hyperlink" Target="https://www.canlii.org/en/sk/skca/doc/2019/2019skca56/2019skca56.html?autocompleteStr=R%20v%20Horse%202019&amp;autocompletePos=1" TargetMode="External"/><Relationship Id="rId74" Type="http://schemas.openxmlformats.org/officeDocument/2006/relationships/hyperlink" Target="https://www.canlii.org/en/bc/bcca/doc/2019/2019bcca194/2019bcca194.html?searchUrlHash=AAAAAQANMjAxOSBCQ0NBIDE5NAAAAAAB&amp;resultIndex=1" TargetMode="External"/><Relationship Id="rId79" Type="http://schemas.openxmlformats.org/officeDocument/2006/relationships/hyperlink" Target="http://canlii.ca/t/hwx9h" TargetMode="External"/><Relationship Id="rId87" Type="http://schemas.openxmlformats.org/officeDocument/2006/relationships/hyperlink" Target="http://canlii.ca/t/hzkdh" TargetMode="External"/><Relationship Id="rId5" Type="http://schemas.openxmlformats.org/officeDocument/2006/relationships/webSettings" Target="webSettings.xml"/><Relationship Id="rId61" Type="http://schemas.openxmlformats.org/officeDocument/2006/relationships/hyperlink" Target="https://www.canlii.org/en/on/laws/stat/rso-1990-c-f3/latest/rso-1990-c-f3.html" TargetMode="External"/><Relationship Id="rId82" Type="http://schemas.openxmlformats.org/officeDocument/2006/relationships/hyperlink" Target="https://www.canlii.org/en/bc/bcca/doc/2019/2019bcca201/2019bcca201.html?autocompleteStr=2019%20BCCA%20201&amp;autocompletePos=1" TargetMode="External"/><Relationship Id="rId90" Type="http://schemas.openxmlformats.org/officeDocument/2006/relationships/hyperlink" Target="http://canlii.ca/t/hzkdh" TargetMode="External"/><Relationship Id="rId95" Type="http://schemas.openxmlformats.org/officeDocument/2006/relationships/footer" Target="footer2.xml"/><Relationship Id="rId19" Type="http://schemas.openxmlformats.org/officeDocument/2006/relationships/hyperlink" Target="https://www.scc-csc.ca/case-dossier/info/sum-som-eng.aspx?cas=38789" TargetMode="External"/><Relationship Id="rId14" Type="http://schemas.openxmlformats.org/officeDocument/2006/relationships/hyperlink" Target="https://www.scc-csc.ca/case-dossier/info/sum-som-eng.aspx?cas=38843" TargetMode="External"/><Relationship Id="rId22" Type="http://schemas.openxmlformats.org/officeDocument/2006/relationships/hyperlink" Target="https://www.scc-csc.ca/case-dossier/info/sum-som-eng.aspx?cas=38711" TargetMode="External"/><Relationship Id="rId27" Type="http://schemas.openxmlformats.org/officeDocument/2006/relationships/hyperlink" Target="https://www.canlii.org/fr/qc/qccs/doc/2017/2017qccs5250/2017qccs5250.pdf" TargetMode="External"/><Relationship Id="rId30" Type="http://schemas.openxmlformats.org/officeDocument/2006/relationships/hyperlink" Target="https://www.canlii.org/fr/qc/qcca/doc/2019/2019qcca963/2019qcca963.pdf" TargetMode="External"/><Relationship Id="rId35" Type="http://schemas.openxmlformats.org/officeDocument/2006/relationships/hyperlink" Target="https://www.canlii.org/en/bc/bcca/doc/2018/2018bcca310/2018bcca310.html" TargetMode="External"/><Relationship Id="rId43" Type="http://schemas.openxmlformats.org/officeDocument/2006/relationships/hyperlink" Target="http://canlii.ca/t/hqqzl" TargetMode="External"/><Relationship Id="rId48" Type="http://schemas.openxmlformats.org/officeDocument/2006/relationships/hyperlink" Target="https://www.canlii.org/en/ca/fca/doc/2019/2019fca191/2019fca191.html?autocompleteStr=2019%20FCA%20191&amp;autocompletePos=1" TargetMode="External"/><Relationship Id="rId56" Type="http://schemas.openxmlformats.org/officeDocument/2006/relationships/hyperlink" Target="https://www.canlii.org/en/on/laws/stat/rso-1990-c-f3/latest/rso-1990-c-f3.html" TargetMode="External"/><Relationship Id="rId64" Type="http://schemas.openxmlformats.org/officeDocument/2006/relationships/hyperlink" Target="http://canlii.ca/t/j140j%3e" TargetMode="External"/><Relationship Id="rId69" Type="http://schemas.openxmlformats.org/officeDocument/2006/relationships/hyperlink" Target="https://www.canlii.org/en/ca/fca/doc/2019/2019fca189/2019fca189.html?resultIndex=1" TargetMode="External"/><Relationship Id="rId77" Type="http://schemas.openxmlformats.org/officeDocument/2006/relationships/hyperlink" Target="http://canlii.ca/t/j1w4t" TargetMode="External"/><Relationship Id="rId8" Type="http://schemas.openxmlformats.org/officeDocument/2006/relationships/hyperlink" Target="https://www.scc-csc.ca/case-dossier/info/sum-som-eng.aspx?cas=38672" TargetMode="External"/><Relationship Id="rId51" Type="http://schemas.openxmlformats.org/officeDocument/2006/relationships/hyperlink" Target="http://canlii.ca/t/hvx8s" TargetMode="External"/><Relationship Id="rId72" Type="http://schemas.openxmlformats.org/officeDocument/2006/relationships/hyperlink" Target="https://www.canlii.org/en/bc/bcca/doc/2019/2019bcca194/2019bcca194.html?searchUrlHash=AAAAAQANMjAxOSBCQ0NBIDE5NAAAAAAB&amp;resultIndex=1" TargetMode="External"/><Relationship Id="rId80" Type="http://schemas.openxmlformats.org/officeDocument/2006/relationships/hyperlink" Target="http://canlii.ca/t/j1w4t" TargetMode="External"/><Relationship Id="rId85" Type="http://schemas.openxmlformats.org/officeDocument/2006/relationships/hyperlink" Target="https://www.canlii.org/en/bc/laws/stat/sbc-2003-c-53/latest/sbc-2003-c-53.html"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793" TargetMode="External"/><Relationship Id="rId17" Type="http://schemas.openxmlformats.org/officeDocument/2006/relationships/hyperlink" Target="https://www.scc-csc.ca/case-dossier/info/sum-som-eng.aspx?cas=38809" TargetMode="External"/><Relationship Id="rId25" Type="http://schemas.openxmlformats.org/officeDocument/2006/relationships/hyperlink" Target="https://www.canlii.org/en/bc/bcsc/doc/2019/2019bcsc531/2019bcsc531.html?autocompleteStr=2019%20BCSC%20531&amp;autocompletePos=1" TargetMode="External"/><Relationship Id="rId33" Type="http://schemas.openxmlformats.org/officeDocument/2006/relationships/hyperlink" Target="https://www.canlii.org/en/bc/bcca/doc/2019/2019bcca267/2019bcca267.html?searchUrlHash=AAAAAQANMjAxOSBCQ0NBIDI2NwAAAAAB&amp;resultIndex=1" TargetMode="External"/><Relationship Id="rId38" Type="http://schemas.openxmlformats.org/officeDocument/2006/relationships/hyperlink" Target="http://canlii.ca/t/hr39m" TargetMode="External"/><Relationship Id="rId46" Type="http://schemas.openxmlformats.org/officeDocument/2006/relationships/hyperlink" Target="http://canlii.ca/t/j0vzn%3e" TargetMode="External"/><Relationship Id="rId59" Type="http://schemas.openxmlformats.org/officeDocument/2006/relationships/hyperlink" Target="http://canlii.ca/t/j140j%3e" TargetMode="External"/><Relationship Id="rId67" Type="http://schemas.openxmlformats.org/officeDocument/2006/relationships/hyperlink" Target="https://www.canlii.org/en/sk/skqb/doc/2018/2018skqb308/2018skqb308.html" TargetMode="External"/><Relationship Id="rId20" Type="http://schemas.openxmlformats.org/officeDocument/2006/relationships/hyperlink" Target="https://www.scc-csc.ca/case-dossier/info/sum-som-eng.aspx?cas=38816" TargetMode="External"/><Relationship Id="rId41" Type="http://schemas.openxmlformats.org/officeDocument/2006/relationships/hyperlink" Target="http://canlii.ca/t/hr39m" TargetMode="External"/><Relationship Id="rId54" Type="http://schemas.openxmlformats.org/officeDocument/2006/relationships/hyperlink" Target="http://canlii.ca/t/j1lbn" TargetMode="External"/><Relationship Id="rId62" Type="http://schemas.openxmlformats.org/officeDocument/2006/relationships/hyperlink" Target="https://www.canlii.org/en/on/laws/stat/rso-1990-c-c12/latest/rso-1990-c-c12.html" TargetMode="External"/><Relationship Id="rId70" Type="http://schemas.openxmlformats.org/officeDocument/2006/relationships/hyperlink" Target="https://www.canlii.org/en/ca/fca/doc/2019/2019fca189/2019fca189.html?resultIndex=1" TargetMode="External"/><Relationship Id="rId75" Type="http://schemas.openxmlformats.org/officeDocument/2006/relationships/hyperlink" Target="http://canlii.ca/t/hxgp7" TargetMode="External"/><Relationship Id="rId83" Type="http://schemas.openxmlformats.org/officeDocument/2006/relationships/hyperlink" Target="https://www.canlii.org/en/bc/bcsc/doc/2016/2016bcsc845/2016bcsc845.html?autocompleteStr=2016%20BCSC%20845&amp;autocompletePos=1" TargetMode="External"/><Relationship Id="rId88" Type="http://schemas.openxmlformats.org/officeDocument/2006/relationships/hyperlink" Target="https://www.canlii.org/en/bc/laws/stat/sbc-2003-c-53/latest/sbc-2003-c-53.html" TargetMode="External"/><Relationship Id="rId91" Type="http://schemas.openxmlformats.org/officeDocument/2006/relationships/hyperlink" Target="mailto:comments-commentaires@scc-csc.ca"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792" TargetMode="External"/><Relationship Id="rId23" Type="http://schemas.openxmlformats.org/officeDocument/2006/relationships/hyperlink" Target="https://www.canlii.org/en/bc/bcsc/doc/2019/2019bcsc531/2019bcsc531.html?autocompleteStr=2019%20BCSC%20531&amp;autocompletePos=1" TargetMode="External"/><Relationship Id="rId28" Type="http://schemas.openxmlformats.org/officeDocument/2006/relationships/hyperlink" Target="https://www.canlii.org/fr/qc/qcca/doc/2019/2019qcca963/2019qcca963.pdf" TargetMode="External"/><Relationship Id="rId36" Type="http://schemas.openxmlformats.org/officeDocument/2006/relationships/hyperlink" Target="https://www.canlii.org/en/bc/bcca/doc/2019/2019bcca267/2019bcca267.html?searchUrlHash=AAAAAQANMjAxOSBCQ0NBIDI2NwAAAAAB&amp;resultIndex=1" TargetMode="External"/><Relationship Id="rId49" Type="http://schemas.openxmlformats.org/officeDocument/2006/relationships/hyperlink" Target="https://www.canlii.org/en/ca/tcc/doc/2016/2016tcc104/2016tcc104.html?autocompleteStr=2016%20TCC%20104&amp;autocompletePos=1" TargetMode="External"/><Relationship Id="rId57" Type="http://schemas.openxmlformats.org/officeDocument/2006/relationships/hyperlink" Target="https://www.canlii.org/en/on/laws/stat/rso-1990-c-c12/latest/rso-1990-c-c12.html" TargetMode="External"/><Relationship Id="rId10" Type="http://schemas.openxmlformats.org/officeDocument/2006/relationships/hyperlink" Target="https://www.scc-csc.ca/case-dossier/info/sum-som-eng.aspx?cas=38841" TargetMode="External"/><Relationship Id="rId31" Type="http://schemas.openxmlformats.org/officeDocument/2006/relationships/hyperlink" Target="https://www.canlii.org/en/bc/bcsc/doc/2018/2018bcsc1530/2018bcsc1530.html?searchUrlHash=AAAAAQAOMjAxOCBCQ1NDIDE1MzAAAAAAAQ&amp;resultIndex=1" TargetMode="External"/><Relationship Id="rId44" Type="http://schemas.openxmlformats.org/officeDocument/2006/relationships/hyperlink" Target="http://canlii.ca/t/j0vzn%3e" TargetMode="External"/><Relationship Id="rId52" Type="http://schemas.openxmlformats.org/officeDocument/2006/relationships/hyperlink" Target="http://canlii.ca/t/j1lbn" TargetMode="External"/><Relationship Id="rId60" Type="http://schemas.openxmlformats.org/officeDocument/2006/relationships/hyperlink" Target="https://www.canlii.org/en/on/laws/regu/o-reg-114-99/latest/o-reg-114-99.html" TargetMode="External"/><Relationship Id="rId65" Type="http://schemas.openxmlformats.org/officeDocument/2006/relationships/hyperlink" Target="https://www.canlii.org/en/sk/skqb/doc/2018/2018skqb308/2018skqb308.html" TargetMode="External"/><Relationship Id="rId73" Type="http://schemas.openxmlformats.org/officeDocument/2006/relationships/hyperlink" Target="https://www.canlii.org/en/bc/bcsc/doc/2018/2018bcsc1850/2018bcsc1850.html" TargetMode="External"/><Relationship Id="rId78" Type="http://schemas.openxmlformats.org/officeDocument/2006/relationships/hyperlink" Target="http://canlii.ca/t/hxgp7" TargetMode="External"/><Relationship Id="rId81" Type="http://schemas.openxmlformats.org/officeDocument/2006/relationships/hyperlink" Target="https://www.canlii.org/en/bc/bcsc/doc/2016/2016bcsc845/2016bcsc845.html?autocompleteStr=2016%20BCSC%20845&amp;autocompletePos=1" TargetMode="External"/><Relationship Id="rId86" Type="http://schemas.openxmlformats.org/officeDocument/2006/relationships/hyperlink" Target="http://canlii.ca/t/hphvr"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769" TargetMode="External"/><Relationship Id="rId13" Type="http://schemas.openxmlformats.org/officeDocument/2006/relationships/hyperlink" Target="https://www.scc-csc.ca/case-dossier/info/sum-som-eng.aspx?cas=38810" TargetMode="External"/><Relationship Id="rId18" Type="http://schemas.openxmlformats.org/officeDocument/2006/relationships/hyperlink" Target="https://www.scc-csc.ca/case-dossier/info/sum-som-eng.aspx?cas=38815" TargetMode="External"/><Relationship Id="rId39" Type="http://schemas.openxmlformats.org/officeDocument/2006/relationships/hyperlink" Target="http://canlii.ca/t/j02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D601-1474-4A55-8B6B-4C94A376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13128</Words>
  <Characters>74830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87783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2019-12-17T19:10:00Z</dcterms:created>
  <dcterms:modified xsi:type="dcterms:W3CDTF">2020-01-10T15:39:00Z</dcterms:modified>
</cp:coreProperties>
</file>