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C5905" w:rsidRDefault="003F43E6" w:rsidP="003F43E6">
      <w:pPr>
        <w:pStyle w:val="Header"/>
        <w:jc w:val="center"/>
        <w:rPr>
          <w:b/>
          <w:sz w:val="32"/>
        </w:rPr>
      </w:pPr>
      <w:r w:rsidRPr="004C5905">
        <w:rPr>
          <w:b/>
          <w:sz w:val="32"/>
        </w:rPr>
        <w:t>Supreme Court of Canada / Cour suprême du Canada</w:t>
      </w:r>
    </w:p>
    <w:p w:rsidR="003F43E6" w:rsidRPr="004C5905" w:rsidRDefault="003F43E6" w:rsidP="006F2579">
      <w:pPr>
        <w:widowControl w:val="0"/>
        <w:rPr>
          <w:i/>
        </w:rPr>
      </w:pPr>
    </w:p>
    <w:p w:rsidR="003F43E6" w:rsidRPr="004C5905" w:rsidRDefault="003F43E6" w:rsidP="006F2579">
      <w:pPr>
        <w:widowControl w:val="0"/>
        <w:rPr>
          <w:i/>
        </w:rPr>
      </w:pPr>
    </w:p>
    <w:p w:rsidR="006F2579" w:rsidRPr="004C5905" w:rsidRDefault="006F2579" w:rsidP="006F2579">
      <w:pPr>
        <w:widowControl w:val="0"/>
        <w:rPr>
          <w:i/>
          <w:sz w:val="20"/>
          <w:lang w:val="fr-CA"/>
        </w:rPr>
      </w:pPr>
      <w:r w:rsidRPr="004C5905">
        <w:rPr>
          <w:i/>
          <w:sz w:val="20"/>
          <w:lang w:val="fr-CA"/>
        </w:rPr>
        <w:t>(</w:t>
      </w:r>
      <w:r w:rsidR="008F3C5D" w:rsidRPr="004C5905">
        <w:rPr>
          <w:i/>
          <w:sz w:val="20"/>
          <w:lang w:val="fr-CA"/>
        </w:rPr>
        <w:t>L</w:t>
      </w:r>
      <w:r w:rsidRPr="004C5905">
        <w:rPr>
          <w:i/>
          <w:sz w:val="20"/>
          <w:lang w:val="fr-CA"/>
        </w:rPr>
        <w:t>e français suit)</w:t>
      </w:r>
    </w:p>
    <w:p w:rsidR="006F2579" w:rsidRPr="004C5905" w:rsidRDefault="006F2579" w:rsidP="006F2579">
      <w:pPr>
        <w:widowControl w:val="0"/>
        <w:rPr>
          <w:lang w:val="fr-CA"/>
        </w:rPr>
      </w:pPr>
    </w:p>
    <w:p w:rsidR="006F2579" w:rsidRPr="004C5905" w:rsidRDefault="00C007C3" w:rsidP="006F2579">
      <w:pPr>
        <w:widowControl w:val="0"/>
        <w:jc w:val="center"/>
        <w:rPr>
          <w:b/>
          <w:lang w:val="fr-CA"/>
        </w:rPr>
      </w:pPr>
      <w:r w:rsidRPr="004C5905">
        <w:fldChar w:fldCharType="begin"/>
      </w:r>
      <w:r w:rsidR="006F2579" w:rsidRPr="004C5905">
        <w:rPr>
          <w:lang w:val="fr-CA"/>
        </w:rPr>
        <w:instrText xml:space="preserve"> SEQ CHAPTER \h \r 1</w:instrText>
      </w:r>
      <w:r w:rsidRPr="004C5905">
        <w:fldChar w:fldCharType="end"/>
      </w:r>
      <w:r w:rsidR="002767DF" w:rsidRPr="004C5905">
        <w:rPr>
          <w:b/>
          <w:lang w:val="fr-CA"/>
        </w:rPr>
        <w:t xml:space="preserve">JUDGMENTS </w:t>
      </w:r>
      <w:r w:rsidR="004C4C26" w:rsidRPr="004C5905">
        <w:rPr>
          <w:b/>
          <w:lang w:val="fr-CA"/>
        </w:rPr>
        <w:t>IN LEAVE APPLICATION</w:t>
      </w:r>
      <w:r w:rsidR="002375D8" w:rsidRPr="004C5905">
        <w:rPr>
          <w:b/>
          <w:lang w:val="fr-CA"/>
        </w:rPr>
        <w:t>S</w:t>
      </w:r>
    </w:p>
    <w:p w:rsidR="006F2579" w:rsidRPr="004C5905" w:rsidRDefault="006F2579" w:rsidP="006F2579">
      <w:pPr>
        <w:widowControl w:val="0"/>
        <w:rPr>
          <w:lang w:val="fr-CA"/>
        </w:rPr>
      </w:pPr>
    </w:p>
    <w:p w:rsidR="006F2579" w:rsidRPr="004C5905" w:rsidRDefault="002902CC" w:rsidP="006F2579">
      <w:pPr>
        <w:widowControl w:val="0"/>
      </w:pPr>
      <w:r w:rsidRPr="004C5905">
        <w:rPr>
          <w:b/>
        </w:rPr>
        <w:t>January</w:t>
      </w:r>
      <w:r w:rsidR="00C9475D" w:rsidRPr="004C5905">
        <w:rPr>
          <w:b/>
        </w:rPr>
        <w:t xml:space="preserve"> </w:t>
      </w:r>
      <w:r w:rsidR="00500C5E" w:rsidRPr="004C5905">
        <w:rPr>
          <w:b/>
        </w:rPr>
        <w:t>16</w:t>
      </w:r>
      <w:r w:rsidR="00170148" w:rsidRPr="004C5905">
        <w:rPr>
          <w:b/>
        </w:rPr>
        <w:t>,</w:t>
      </w:r>
      <w:r w:rsidR="008825DB" w:rsidRPr="004C5905">
        <w:rPr>
          <w:b/>
        </w:rPr>
        <w:t xml:space="preserve"> 20</w:t>
      </w:r>
      <w:r w:rsidRPr="004C5905">
        <w:rPr>
          <w:b/>
        </w:rPr>
        <w:t>20</w:t>
      </w:r>
    </w:p>
    <w:p w:rsidR="006F2579" w:rsidRPr="004C5905" w:rsidRDefault="006F2579" w:rsidP="006F2579">
      <w:pPr>
        <w:widowControl w:val="0"/>
        <w:rPr>
          <w:b/>
        </w:rPr>
      </w:pPr>
      <w:r w:rsidRPr="004C5905">
        <w:rPr>
          <w:b/>
        </w:rPr>
        <w:t>For immediate release</w:t>
      </w:r>
    </w:p>
    <w:p w:rsidR="006F2579" w:rsidRPr="004C5905" w:rsidRDefault="006F2579" w:rsidP="006F2579">
      <w:pPr>
        <w:widowControl w:val="0"/>
      </w:pPr>
    </w:p>
    <w:p w:rsidR="002767DF" w:rsidRPr="004C5905" w:rsidRDefault="002767DF" w:rsidP="002767DF">
      <w:pPr>
        <w:widowControl w:val="0"/>
      </w:pPr>
      <w:r w:rsidRPr="004C5905">
        <w:rPr>
          <w:b/>
        </w:rPr>
        <w:t>OTTAWA</w:t>
      </w:r>
      <w:r w:rsidRPr="004C5905">
        <w:t xml:space="preserve"> – The Suprem</w:t>
      </w:r>
      <w:r w:rsidR="00580213" w:rsidRPr="004C5905">
        <w:t>e</w:t>
      </w:r>
      <w:r w:rsidRPr="004C5905">
        <w:t xml:space="preserve"> Court of Canada has today deposited with the Registrar judgment</w:t>
      </w:r>
      <w:r w:rsidR="004D3B41" w:rsidRPr="004C5905">
        <w:t>s</w:t>
      </w:r>
      <w:r w:rsidRPr="004C5905">
        <w:t xml:space="preserve"> in the following </w:t>
      </w:r>
      <w:r w:rsidR="00063949" w:rsidRPr="004C5905">
        <w:t xml:space="preserve">leave </w:t>
      </w:r>
      <w:r w:rsidRPr="004C5905">
        <w:t>application</w:t>
      </w:r>
      <w:r w:rsidR="00CC044F" w:rsidRPr="004C5905">
        <w:t>s</w:t>
      </w:r>
      <w:r w:rsidRPr="004C5905">
        <w:t>.</w:t>
      </w:r>
    </w:p>
    <w:p w:rsidR="006F2579" w:rsidRPr="004C5905" w:rsidRDefault="006F2579" w:rsidP="006F2579">
      <w:pPr>
        <w:widowControl w:val="0"/>
      </w:pPr>
    </w:p>
    <w:p w:rsidR="006F2579" w:rsidRPr="004C5905" w:rsidRDefault="006F2579" w:rsidP="006F2579">
      <w:pPr>
        <w:widowControl w:val="0"/>
      </w:pPr>
    </w:p>
    <w:p w:rsidR="002767DF" w:rsidRPr="004C5905" w:rsidRDefault="002767DF" w:rsidP="002767DF">
      <w:pPr>
        <w:widowControl w:val="0"/>
        <w:jc w:val="center"/>
        <w:rPr>
          <w:lang w:val="fr-CA"/>
        </w:rPr>
      </w:pPr>
      <w:r w:rsidRPr="004C5905">
        <w:rPr>
          <w:b/>
          <w:lang w:val="fr-CA"/>
        </w:rPr>
        <w:t>JUGEMENT</w:t>
      </w:r>
      <w:r w:rsidR="004C4C26" w:rsidRPr="004C5905">
        <w:rPr>
          <w:b/>
          <w:lang w:val="fr-CA"/>
        </w:rPr>
        <w:t>S SUR DEMANDE</w:t>
      </w:r>
      <w:r w:rsidR="00CC044F" w:rsidRPr="004C5905">
        <w:rPr>
          <w:b/>
          <w:lang w:val="fr-CA"/>
        </w:rPr>
        <w:t>S</w:t>
      </w:r>
      <w:r w:rsidRPr="004C5905">
        <w:rPr>
          <w:b/>
          <w:lang w:val="fr-CA"/>
        </w:rPr>
        <w:t xml:space="preserve"> D’AUTORISATION</w:t>
      </w:r>
    </w:p>
    <w:p w:rsidR="006F2579" w:rsidRPr="004C5905" w:rsidRDefault="006F2579" w:rsidP="006F2579">
      <w:pPr>
        <w:widowControl w:val="0"/>
        <w:rPr>
          <w:lang w:val="fr-CA"/>
        </w:rPr>
      </w:pPr>
    </w:p>
    <w:p w:rsidR="006F2579" w:rsidRPr="004C5905" w:rsidRDefault="006F2579" w:rsidP="006F2579">
      <w:pPr>
        <w:widowControl w:val="0"/>
        <w:rPr>
          <w:lang w:val="fr-CA"/>
        </w:rPr>
      </w:pPr>
      <w:r w:rsidRPr="004C5905">
        <w:rPr>
          <w:b/>
          <w:lang w:val="fr-CA"/>
        </w:rPr>
        <w:t>Le</w:t>
      </w:r>
      <w:r w:rsidR="008825DB" w:rsidRPr="004C5905">
        <w:rPr>
          <w:b/>
          <w:lang w:val="fr-CA"/>
        </w:rPr>
        <w:t xml:space="preserve"> </w:t>
      </w:r>
      <w:r w:rsidR="00500C5E" w:rsidRPr="004C5905">
        <w:rPr>
          <w:b/>
          <w:lang w:val="fr-CA"/>
        </w:rPr>
        <w:t>16</w:t>
      </w:r>
      <w:r w:rsidR="00C9475D" w:rsidRPr="004C5905">
        <w:rPr>
          <w:b/>
          <w:lang w:val="fr-CA"/>
        </w:rPr>
        <w:t xml:space="preserve"> </w:t>
      </w:r>
      <w:r w:rsidR="002902CC" w:rsidRPr="004C5905">
        <w:rPr>
          <w:b/>
          <w:lang w:val="fr-CA"/>
        </w:rPr>
        <w:t>janvier</w:t>
      </w:r>
      <w:r w:rsidR="004E4B02" w:rsidRPr="004C5905">
        <w:rPr>
          <w:b/>
          <w:lang w:val="fr-CA"/>
        </w:rPr>
        <w:t xml:space="preserve"> </w:t>
      </w:r>
      <w:r w:rsidR="008825DB" w:rsidRPr="004C5905">
        <w:rPr>
          <w:b/>
          <w:lang w:val="fr-CA"/>
        </w:rPr>
        <w:t>20</w:t>
      </w:r>
      <w:r w:rsidR="002902CC" w:rsidRPr="004C5905">
        <w:rPr>
          <w:b/>
          <w:lang w:val="fr-CA"/>
        </w:rPr>
        <w:t>20</w:t>
      </w:r>
    </w:p>
    <w:p w:rsidR="006F2579" w:rsidRPr="004C5905" w:rsidRDefault="006F2579" w:rsidP="006F2579">
      <w:pPr>
        <w:widowControl w:val="0"/>
        <w:rPr>
          <w:b/>
          <w:lang w:val="fr-CA"/>
        </w:rPr>
      </w:pPr>
      <w:r w:rsidRPr="004C5905">
        <w:rPr>
          <w:b/>
          <w:lang w:val="fr-CA"/>
        </w:rPr>
        <w:t>Pour diffusion immédiate</w:t>
      </w:r>
    </w:p>
    <w:p w:rsidR="006F2579" w:rsidRPr="004C5905" w:rsidRDefault="006F2579" w:rsidP="006F2579">
      <w:pPr>
        <w:widowControl w:val="0"/>
        <w:rPr>
          <w:lang w:val="fr-CA"/>
        </w:rPr>
      </w:pPr>
    </w:p>
    <w:p w:rsidR="002767DF" w:rsidRPr="004C5905" w:rsidRDefault="002767DF" w:rsidP="002767DF">
      <w:pPr>
        <w:widowControl w:val="0"/>
        <w:rPr>
          <w:lang w:val="fr-CA"/>
        </w:rPr>
      </w:pPr>
      <w:r w:rsidRPr="004C5905">
        <w:rPr>
          <w:b/>
          <w:lang w:val="fr-CA"/>
        </w:rPr>
        <w:t>OTTAWA</w:t>
      </w:r>
      <w:r w:rsidRPr="004C5905">
        <w:rPr>
          <w:lang w:val="fr-CA"/>
        </w:rPr>
        <w:t xml:space="preserve"> – La Cour suprême du Canada a déposé aujourd’hui auprès du registraire les jugements dans </w:t>
      </w:r>
      <w:r w:rsidR="00CC044F" w:rsidRPr="004C5905">
        <w:rPr>
          <w:lang w:val="fr-CA"/>
        </w:rPr>
        <w:t>les</w:t>
      </w:r>
      <w:r w:rsidR="008C7CD9" w:rsidRPr="004C5905">
        <w:rPr>
          <w:lang w:val="fr-CA"/>
        </w:rPr>
        <w:t xml:space="preserve"> </w:t>
      </w:r>
      <w:r w:rsidR="004C4C26" w:rsidRPr="004C5905">
        <w:rPr>
          <w:lang w:val="fr-CA"/>
        </w:rPr>
        <w:t>demande</w:t>
      </w:r>
      <w:r w:rsidR="0088435A" w:rsidRPr="004C5905">
        <w:rPr>
          <w:lang w:val="fr-CA"/>
        </w:rPr>
        <w:t>s</w:t>
      </w:r>
      <w:r w:rsidRPr="004C5905">
        <w:rPr>
          <w:lang w:val="fr-CA"/>
        </w:rPr>
        <w:t xml:space="preserve"> d’au</w:t>
      </w:r>
      <w:r w:rsidR="00F24EF2" w:rsidRPr="004C5905">
        <w:rPr>
          <w:lang w:val="fr-CA"/>
        </w:rPr>
        <w:t xml:space="preserve">torisation </w:t>
      </w:r>
      <w:r w:rsidR="007F2922" w:rsidRPr="004C5905">
        <w:rPr>
          <w:lang w:val="fr-CA"/>
        </w:rPr>
        <w:t>sui</w:t>
      </w:r>
      <w:r w:rsidR="00F24EF2" w:rsidRPr="004C5905">
        <w:rPr>
          <w:lang w:val="fr-CA"/>
        </w:rPr>
        <w:t>v</w:t>
      </w:r>
      <w:r w:rsidR="007F2922" w:rsidRPr="004C5905">
        <w:rPr>
          <w:lang w:val="fr-CA"/>
        </w:rPr>
        <w:t>a</w:t>
      </w:r>
      <w:r w:rsidR="00F24EF2" w:rsidRPr="004C5905">
        <w:rPr>
          <w:lang w:val="fr-CA"/>
        </w:rPr>
        <w:t>nt</w:t>
      </w:r>
      <w:r w:rsidR="00C56657" w:rsidRPr="004C5905">
        <w:rPr>
          <w:lang w:val="fr-CA"/>
        </w:rPr>
        <w:t>s</w:t>
      </w:r>
      <w:r w:rsidR="00F24EF2" w:rsidRPr="004C5905">
        <w:rPr>
          <w:lang w:val="fr-CA"/>
        </w:rPr>
        <w:t>.</w:t>
      </w:r>
    </w:p>
    <w:p w:rsidR="00500C5E" w:rsidRPr="004C5905" w:rsidRDefault="00500C5E" w:rsidP="00645A91">
      <w:pPr>
        <w:jc w:val="both"/>
        <w:rPr>
          <w:sz w:val="20"/>
          <w:lang w:val="fr-CA"/>
        </w:rPr>
      </w:pPr>
    </w:p>
    <w:p w:rsidR="000830B6" w:rsidRPr="004C5905" w:rsidRDefault="006E0E16" w:rsidP="00645A91">
      <w:pPr>
        <w:jc w:val="both"/>
        <w:rPr>
          <w:sz w:val="20"/>
        </w:rPr>
      </w:pPr>
      <w:r>
        <w:rPr>
          <w:sz w:val="20"/>
        </w:rPr>
        <w:pict>
          <v:rect id="_x0000_i1025" style="width:2in;height:1pt" o:hrpct="0" o:hralign="center" o:hrstd="t" o:hrnoshade="t" o:hr="t" fillcolor="black [3213]" stroked="f"/>
        </w:pict>
      </w:r>
    </w:p>
    <w:p w:rsidR="00306B73" w:rsidRPr="004C5905" w:rsidRDefault="00306B73" w:rsidP="00645A91">
      <w:pPr>
        <w:jc w:val="both"/>
        <w:rPr>
          <w:sz w:val="20"/>
        </w:rPr>
      </w:pPr>
    </w:p>
    <w:p w:rsidR="00431DE2" w:rsidRPr="004C5905" w:rsidRDefault="00431DE2" w:rsidP="00431DE2">
      <w:pPr>
        <w:jc w:val="both"/>
        <w:rPr>
          <w:b/>
          <w:sz w:val="22"/>
          <w:szCs w:val="22"/>
        </w:rPr>
      </w:pPr>
      <w:r w:rsidRPr="004C5905">
        <w:rPr>
          <w:b/>
          <w:sz w:val="22"/>
          <w:szCs w:val="22"/>
        </w:rPr>
        <w:t>DISMISSED / REJETÉE</w:t>
      </w:r>
      <w:r w:rsidR="001B1618" w:rsidRPr="004C5905">
        <w:rPr>
          <w:b/>
          <w:sz w:val="22"/>
          <w:szCs w:val="22"/>
        </w:rPr>
        <w:t>S</w:t>
      </w:r>
    </w:p>
    <w:p w:rsidR="00431DE2" w:rsidRPr="004C5905" w:rsidRDefault="00431DE2" w:rsidP="000B5274">
      <w:pPr>
        <w:jc w:val="both"/>
        <w:rPr>
          <w:sz w:val="20"/>
        </w:rPr>
      </w:pPr>
    </w:p>
    <w:p w:rsidR="004E5BBE" w:rsidRPr="004C5905" w:rsidRDefault="004E5BBE" w:rsidP="004E5BBE">
      <w:pPr>
        <w:rPr>
          <w:sz w:val="22"/>
          <w:szCs w:val="22"/>
        </w:rPr>
      </w:pPr>
      <w:r w:rsidRPr="004C5905">
        <w:rPr>
          <w:i/>
          <w:sz w:val="22"/>
          <w:szCs w:val="22"/>
        </w:rPr>
        <w:t>Her Majesty the Queen v. Michael Philip Simard</w:t>
      </w:r>
      <w:r w:rsidRPr="004C5905">
        <w:rPr>
          <w:sz w:val="22"/>
          <w:szCs w:val="22"/>
        </w:rPr>
        <w:t xml:space="preserve"> (B.C.) (Criminal) (By Leave) (</w:t>
      </w:r>
      <w:hyperlink r:id="rId8" w:history="1">
        <w:r w:rsidRPr="004C5905">
          <w:rPr>
            <w:rStyle w:val="Hyperlink"/>
            <w:sz w:val="22"/>
            <w:szCs w:val="22"/>
          </w:rPr>
          <w:t>38672</w:t>
        </w:r>
      </w:hyperlink>
      <w:r w:rsidRPr="004C5905">
        <w:rPr>
          <w:sz w:val="22"/>
          <w:szCs w:val="22"/>
        </w:rPr>
        <w:t>)</w:t>
      </w:r>
    </w:p>
    <w:p w:rsidR="008660CA" w:rsidRPr="004C5905" w:rsidRDefault="008660CA" w:rsidP="008660CA">
      <w:pPr>
        <w:rPr>
          <w:sz w:val="20"/>
        </w:rPr>
      </w:pPr>
    </w:p>
    <w:p w:rsidR="00A30607" w:rsidRPr="004C5905" w:rsidRDefault="004E5BBE" w:rsidP="00A30607">
      <w:pPr>
        <w:widowControl w:val="0"/>
        <w:rPr>
          <w:sz w:val="20"/>
        </w:rPr>
      </w:pPr>
      <w:r w:rsidRPr="004C5905">
        <w:rPr>
          <w:sz w:val="20"/>
        </w:rPr>
        <w:t>The motion for an extension of time to serve and file the application for leave to appeal is granted. The application for leave to appeal from the judgment of the</w:t>
      </w:r>
      <w:bookmarkStart w:id="0" w:name="BM_1_"/>
      <w:bookmarkEnd w:id="0"/>
      <w:r w:rsidRPr="004C5905">
        <w:rPr>
          <w:sz w:val="20"/>
        </w:rPr>
        <w:t xml:space="preserve"> Supreme Court of British Columbia, Number 40400-2, 2019 BCSC 531, dated April 10, 2019, is dismissed.</w:t>
      </w:r>
    </w:p>
    <w:p w:rsidR="00A30607" w:rsidRPr="004C5905" w:rsidRDefault="00A30607" w:rsidP="00A30607">
      <w:pPr>
        <w:widowControl w:val="0"/>
        <w:rPr>
          <w:sz w:val="20"/>
        </w:rPr>
      </w:pPr>
    </w:p>
    <w:p w:rsidR="00A30607" w:rsidRPr="004C5905" w:rsidRDefault="004E5BBE" w:rsidP="00A30607">
      <w:pPr>
        <w:widowControl w:val="0"/>
        <w:rPr>
          <w:sz w:val="20"/>
          <w:lang w:val="fr-CA"/>
        </w:rPr>
      </w:pPr>
      <w:r w:rsidRPr="004C5905">
        <w:rPr>
          <w:sz w:val="20"/>
          <w:lang w:val="fr-CA"/>
        </w:rPr>
        <w:t xml:space="preserve">La requête en prorogation du délai de signification et de dépôt de la demande d’autorisation d’appel est accueillie. La demande d’autorisation d’appel de l’arrêt de la </w:t>
      </w:r>
      <w:r w:rsidRPr="004C5905">
        <w:rPr>
          <w:sz w:val="20"/>
          <w:lang w:val="fr-FR"/>
        </w:rPr>
        <w:t>Cour suprême de la Colombie-Britannique</w:t>
      </w:r>
      <w:r w:rsidRPr="004C5905">
        <w:rPr>
          <w:sz w:val="20"/>
          <w:lang w:val="fr-CA"/>
        </w:rPr>
        <w:t xml:space="preserve">, numéro </w:t>
      </w:r>
      <w:r w:rsidRPr="004C5905">
        <w:rPr>
          <w:sz w:val="20"/>
          <w:lang w:val="fr-FR"/>
        </w:rPr>
        <w:t>40400-2</w:t>
      </w:r>
      <w:r w:rsidRPr="004C5905">
        <w:rPr>
          <w:sz w:val="20"/>
          <w:lang w:val="fr-CA"/>
        </w:rPr>
        <w:t xml:space="preserve">, </w:t>
      </w:r>
      <w:r w:rsidRPr="004C5905">
        <w:rPr>
          <w:sz w:val="20"/>
          <w:lang w:val="fr-FR"/>
        </w:rPr>
        <w:t xml:space="preserve">2019 BCSC 531, </w:t>
      </w:r>
      <w:r w:rsidRPr="004C5905">
        <w:rPr>
          <w:sz w:val="20"/>
          <w:lang w:val="fr-CA"/>
        </w:rPr>
        <w:t xml:space="preserve">daté du </w:t>
      </w:r>
      <w:r w:rsidRPr="004C5905">
        <w:rPr>
          <w:sz w:val="20"/>
          <w:lang w:val="fr-FR"/>
        </w:rPr>
        <w:t>10 avril 2019</w:t>
      </w:r>
      <w:r w:rsidRPr="004C5905">
        <w:rPr>
          <w:sz w:val="20"/>
          <w:lang w:val="fr-CA"/>
        </w:rPr>
        <w:t>, est rejetée.</w:t>
      </w:r>
    </w:p>
    <w:p w:rsidR="00A30607" w:rsidRPr="004C5905" w:rsidRDefault="00A30607" w:rsidP="00A30607">
      <w:pPr>
        <w:widowControl w:val="0"/>
        <w:rPr>
          <w:sz w:val="20"/>
          <w:lang w:val="fr-CA"/>
        </w:rPr>
      </w:pPr>
    </w:p>
    <w:p w:rsidR="008660CA" w:rsidRPr="004C5905" w:rsidRDefault="006E0E16" w:rsidP="00A30607">
      <w:pPr>
        <w:widowControl w:val="0"/>
        <w:rPr>
          <w:sz w:val="20"/>
        </w:rPr>
      </w:pPr>
      <w:r>
        <w:rPr>
          <w:sz w:val="20"/>
        </w:rPr>
        <w:pict>
          <v:rect id="_x0000_i1026" style="width:2in;height:1pt" o:hrpct="0" o:hralign="center" o:hrstd="t" o:hrnoshade="t" o:hr="t" fillcolor="black [3213]" stroked="f"/>
        </w:pict>
      </w:r>
    </w:p>
    <w:p w:rsidR="008660CA" w:rsidRPr="004C5905" w:rsidRDefault="008660CA" w:rsidP="00A30607">
      <w:pPr>
        <w:widowControl w:val="0"/>
        <w:rPr>
          <w:sz w:val="20"/>
        </w:rPr>
      </w:pPr>
    </w:p>
    <w:p w:rsidR="00413F5D" w:rsidRPr="004C5905" w:rsidRDefault="00413F5D" w:rsidP="00413F5D">
      <w:pPr>
        <w:rPr>
          <w:sz w:val="22"/>
          <w:szCs w:val="22"/>
          <w:lang w:val="fr-FR"/>
        </w:rPr>
      </w:pPr>
      <w:r w:rsidRPr="004C5905">
        <w:rPr>
          <w:i/>
          <w:sz w:val="22"/>
          <w:szCs w:val="22"/>
          <w:lang w:val="fr-FR"/>
        </w:rPr>
        <w:t>Placements Antis inc. et Claudia Russo c. Raymond Chabot inc. - et - Banque Royale du Canada et Banque Toronto-Dominion</w:t>
      </w:r>
      <w:r w:rsidRPr="004C5905">
        <w:rPr>
          <w:sz w:val="22"/>
          <w:szCs w:val="22"/>
          <w:lang w:val="fr-FR"/>
        </w:rPr>
        <w:t xml:space="preserve"> (Qc) (Civile) (Autorisation) </w:t>
      </w:r>
      <w:r w:rsidRPr="004C5905">
        <w:rPr>
          <w:sz w:val="22"/>
          <w:szCs w:val="22"/>
          <w:lang w:val="fr-CA"/>
        </w:rPr>
        <w:t>(</w:t>
      </w:r>
      <w:hyperlink r:id="rId9" w:history="1">
        <w:r w:rsidRPr="004C5905">
          <w:rPr>
            <w:rStyle w:val="Hyperlink"/>
            <w:sz w:val="22"/>
            <w:szCs w:val="22"/>
            <w:lang w:val="fr-CA"/>
          </w:rPr>
          <w:t>38769</w:t>
        </w:r>
      </w:hyperlink>
      <w:r w:rsidRPr="004C5905">
        <w:rPr>
          <w:sz w:val="22"/>
          <w:szCs w:val="22"/>
          <w:lang w:val="fr-CA"/>
        </w:rPr>
        <w:t>)</w:t>
      </w:r>
    </w:p>
    <w:p w:rsidR="008660CA" w:rsidRPr="004C5905" w:rsidRDefault="008660CA" w:rsidP="00A30607">
      <w:pPr>
        <w:widowControl w:val="0"/>
        <w:rPr>
          <w:sz w:val="20"/>
          <w:lang w:val="fr-FR"/>
        </w:rPr>
      </w:pPr>
    </w:p>
    <w:p w:rsidR="006E69BD" w:rsidRPr="004C5905" w:rsidRDefault="00413F5D" w:rsidP="005B10D6">
      <w:pPr>
        <w:widowControl w:val="0"/>
        <w:rPr>
          <w:sz w:val="20"/>
          <w:lang w:val="fr-CA"/>
        </w:rPr>
      </w:pPr>
      <w:r w:rsidRPr="004C5905">
        <w:rPr>
          <w:sz w:val="20"/>
          <w:lang w:val="fr-CA"/>
        </w:rPr>
        <w:t>La requête en prorogation de délai de signification de la réponse à la demande d’autorisation d’appel aux intervenantes est accueillie. La demande d’autorisation d’appel de l’arrêt de la Cour d’appel du Québec (Montréal), numéro 500-09-027198-175, 2019 QCCA 963, daté du 4 juin 2019, est rejetée avec dépens en faveur de l’intimée, Raymond Chabot inc.</w:t>
      </w:r>
    </w:p>
    <w:p w:rsidR="00413F5D" w:rsidRPr="004C5905" w:rsidRDefault="00413F5D" w:rsidP="00A30607">
      <w:pPr>
        <w:widowControl w:val="0"/>
        <w:rPr>
          <w:sz w:val="20"/>
          <w:lang w:val="fr-CA"/>
        </w:rPr>
      </w:pPr>
    </w:p>
    <w:p w:rsidR="006E69BD" w:rsidRPr="004C5905" w:rsidRDefault="00413F5D" w:rsidP="00A30607">
      <w:pPr>
        <w:widowControl w:val="0"/>
        <w:rPr>
          <w:sz w:val="20"/>
        </w:rPr>
      </w:pPr>
      <w:r w:rsidRPr="004C5905">
        <w:rPr>
          <w:sz w:val="20"/>
          <w:lang w:val="en-CA"/>
        </w:rPr>
        <w:t xml:space="preserve">The motion for an extension of time to serve the response to the application for leave to appeal to the interveners is granted. The application for leave to appeal from the judgment of the </w:t>
      </w:r>
      <w:r w:rsidRPr="004C5905">
        <w:rPr>
          <w:sz w:val="20"/>
        </w:rPr>
        <w:t>Court of Appeal of Quebec (Montréal)</w:t>
      </w:r>
      <w:r w:rsidRPr="004C5905">
        <w:rPr>
          <w:sz w:val="20"/>
          <w:lang w:val="en-CA"/>
        </w:rPr>
        <w:t xml:space="preserve">, Number </w:t>
      </w:r>
      <w:r w:rsidRPr="004C5905">
        <w:rPr>
          <w:sz w:val="20"/>
        </w:rPr>
        <w:t>500-09-027198-175</w:t>
      </w:r>
      <w:r w:rsidRPr="004C5905">
        <w:rPr>
          <w:sz w:val="20"/>
          <w:lang w:val="en-CA"/>
        </w:rPr>
        <w:t xml:space="preserve">,  </w:t>
      </w:r>
      <w:r w:rsidRPr="004C5905">
        <w:rPr>
          <w:sz w:val="20"/>
        </w:rPr>
        <w:t xml:space="preserve">2019 QCCA 963, </w:t>
      </w:r>
      <w:r w:rsidRPr="004C5905">
        <w:rPr>
          <w:sz w:val="20"/>
          <w:lang w:val="en-CA"/>
        </w:rPr>
        <w:t xml:space="preserve">dated </w:t>
      </w:r>
      <w:r w:rsidRPr="004C5905">
        <w:rPr>
          <w:sz w:val="20"/>
        </w:rPr>
        <w:t>June 4, 2019,</w:t>
      </w:r>
      <w:r w:rsidRPr="004C5905">
        <w:rPr>
          <w:sz w:val="20"/>
          <w:lang w:val="en-CA"/>
        </w:rPr>
        <w:t xml:space="preserve"> is dismissed with costs to the respondent, Raymond Chabot inc.</w:t>
      </w:r>
    </w:p>
    <w:p w:rsidR="006E69BD" w:rsidRPr="004C5905" w:rsidRDefault="006E69BD" w:rsidP="00A30607">
      <w:pPr>
        <w:widowControl w:val="0"/>
        <w:rPr>
          <w:sz w:val="20"/>
        </w:rPr>
      </w:pPr>
    </w:p>
    <w:p w:rsidR="00A30607" w:rsidRPr="004C5905" w:rsidRDefault="006E0E16" w:rsidP="00A30607">
      <w:pPr>
        <w:widowControl w:val="0"/>
        <w:rPr>
          <w:sz w:val="20"/>
        </w:rPr>
      </w:pPr>
      <w:r>
        <w:rPr>
          <w:sz w:val="20"/>
        </w:rPr>
        <w:pict>
          <v:rect id="_x0000_i1027" style="width:2in;height:1pt" o:hrpct="0" o:hralign="center" o:hrstd="t" o:hrnoshade="t" o:hr="t" fillcolor="black [3213]" stroked="f"/>
        </w:pict>
      </w:r>
    </w:p>
    <w:p w:rsidR="008660CA" w:rsidRPr="004C5905" w:rsidRDefault="008660CA" w:rsidP="00A30607">
      <w:pPr>
        <w:widowControl w:val="0"/>
        <w:rPr>
          <w:sz w:val="20"/>
        </w:rPr>
      </w:pPr>
    </w:p>
    <w:p w:rsidR="007D604C" w:rsidRPr="004C5905" w:rsidRDefault="007D604C" w:rsidP="007D604C">
      <w:pPr>
        <w:rPr>
          <w:sz w:val="22"/>
          <w:szCs w:val="22"/>
        </w:rPr>
      </w:pPr>
      <w:r w:rsidRPr="004C5905">
        <w:rPr>
          <w:i/>
          <w:sz w:val="22"/>
          <w:szCs w:val="22"/>
        </w:rPr>
        <w:lastRenderedPageBreak/>
        <w:t>Cadine Boechler, Victor Brice, Corina Bye, Aaron Goodbaum, Brandon Gosnell, Diana Hardacher, Robert Allen Henrichsen, Judy Kalyan, Tavin Kemp, Sharon B. Kravitz, Louise Leclair, Quin Lawrence, Meeka Marsolais, Anneke Rotmeyer, Annemarie Mobach, Alexa Claire Wood, Carolyn (Frankie) McGee and Patricia White v. Regina</w:t>
      </w:r>
      <w:r w:rsidRPr="004C5905">
        <w:rPr>
          <w:sz w:val="22"/>
          <w:szCs w:val="22"/>
        </w:rPr>
        <w:t xml:space="preserve"> (B.C.) (Criminal) (By Leave) (</w:t>
      </w:r>
      <w:hyperlink r:id="rId10" w:history="1">
        <w:r w:rsidRPr="004C5905">
          <w:rPr>
            <w:rStyle w:val="Hyperlink"/>
            <w:sz w:val="22"/>
            <w:szCs w:val="22"/>
          </w:rPr>
          <w:t>38841</w:t>
        </w:r>
      </w:hyperlink>
      <w:r w:rsidRPr="004C5905">
        <w:rPr>
          <w:sz w:val="22"/>
          <w:szCs w:val="22"/>
        </w:rPr>
        <w:t>)</w:t>
      </w:r>
    </w:p>
    <w:p w:rsidR="008660CA" w:rsidRPr="004C5905" w:rsidRDefault="008660CA" w:rsidP="00A30607">
      <w:pPr>
        <w:widowControl w:val="0"/>
        <w:rPr>
          <w:sz w:val="20"/>
        </w:rPr>
      </w:pPr>
    </w:p>
    <w:p w:rsidR="006E69BD" w:rsidRPr="004C5905" w:rsidRDefault="007D604C" w:rsidP="00A30607">
      <w:pPr>
        <w:widowControl w:val="0"/>
        <w:rPr>
          <w:sz w:val="20"/>
        </w:rPr>
      </w:pPr>
      <w:r w:rsidRPr="004C5905">
        <w:rPr>
          <w:sz w:val="20"/>
        </w:rPr>
        <w:t>The application for leave to appeal from the judgment of the Court of Appeal for British Columbia (Vancouver), Numbers  CA45402, CA45403, CA45404, CA45405, CA45406, CA45407, CA45408, CA45409, CA45410, CA45411, CA45412, CA45413, CA45414, CA45415, CA45416, CA45417, CA45419 and CA45851, 2019 BCCA 267, dated July 23, 2019, is dismissed.</w:t>
      </w:r>
    </w:p>
    <w:p w:rsidR="007D604C" w:rsidRPr="004C5905" w:rsidRDefault="007D604C" w:rsidP="00A30607">
      <w:pPr>
        <w:widowControl w:val="0"/>
        <w:rPr>
          <w:sz w:val="20"/>
        </w:rPr>
      </w:pPr>
    </w:p>
    <w:p w:rsidR="007D604C" w:rsidRPr="004C5905" w:rsidRDefault="007D604C" w:rsidP="00A30607">
      <w:pPr>
        <w:widowControl w:val="0"/>
        <w:rPr>
          <w:sz w:val="20"/>
          <w:lang w:val="fr-CA"/>
        </w:rPr>
      </w:pPr>
      <w:r w:rsidRPr="004C5905">
        <w:rPr>
          <w:sz w:val="20"/>
          <w:lang w:val="fr-CA"/>
        </w:rPr>
        <w:t xml:space="preserve">La demande d’autorisation d’appel de l’arrêt de la </w:t>
      </w:r>
      <w:r w:rsidRPr="004C5905">
        <w:rPr>
          <w:sz w:val="20"/>
          <w:lang w:val="fr-FR"/>
        </w:rPr>
        <w:t>Cour d’appel de la Colombie-Britannique (Vancouver)</w:t>
      </w:r>
      <w:r w:rsidRPr="004C5905">
        <w:rPr>
          <w:sz w:val="20"/>
          <w:lang w:val="fr-CA"/>
        </w:rPr>
        <w:t xml:space="preserve">, numéros </w:t>
      </w:r>
      <w:r w:rsidRPr="004C5905">
        <w:rPr>
          <w:sz w:val="20"/>
          <w:lang w:val="fr-FR"/>
        </w:rPr>
        <w:t xml:space="preserve"> CA45402, CA45403, CA45404, CA45405, CA45406, CA45407, CA45408, CA45409, CA45410, CA45411, CA45412, CA45413, CA45414, CA45415, CA45416, CA45417, CA45419 et CA45851,</w:t>
      </w:r>
      <w:r w:rsidRPr="004C5905">
        <w:rPr>
          <w:sz w:val="20"/>
          <w:lang w:val="fr-CA"/>
        </w:rPr>
        <w:t xml:space="preserve"> </w:t>
      </w:r>
      <w:r w:rsidRPr="004C5905">
        <w:rPr>
          <w:sz w:val="20"/>
          <w:lang w:val="fr-FR"/>
        </w:rPr>
        <w:t xml:space="preserve">2019 BCCA 267, </w:t>
      </w:r>
      <w:r w:rsidRPr="004C5905">
        <w:rPr>
          <w:sz w:val="20"/>
          <w:lang w:val="fr-CA"/>
        </w:rPr>
        <w:t xml:space="preserve">daté du </w:t>
      </w:r>
      <w:r w:rsidRPr="004C5905">
        <w:rPr>
          <w:sz w:val="20"/>
          <w:lang w:val="fr-FR"/>
        </w:rPr>
        <w:t>23 juillet 2019</w:t>
      </w:r>
      <w:r w:rsidRPr="004C5905">
        <w:rPr>
          <w:sz w:val="20"/>
          <w:lang w:val="fr-CA"/>
        </w:rPr>
        <w:t>, est rejetée.</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28" style="width:2in;height:1pt" o:hrpct="0" o:hralign="center" o:hrstd="t" o:hrnoshade="t" o:hr="t" fillcolor="black [3213]" stroked="f"/>
        </w:pict>
      </w:r>
    </w:p>
    <w:p w:rsidR="008660CA" w:rsidRPr="004C5905" w:rsidRDefault="008660CA" w:rsidP="00A30607">
      <w:pPr>
        <w:widowControl w:val="0"/>
        <w:rPr>
          <w:sz w:val="20"/>
        </w:rPr>
      </w:pPr>
    </w:p>
    <w:p w:rsidR="008E517E" w:rsidRPr="004C5905" w:rsidRDefault="008E517E" w:rsidP="008E517E">
      <w:pPr>
        <w:rPr>
          <w:sz w:val="22"/>
          <w:szCs w:val="22"/>
          <w:lang w:val="fr-CA"/>
        </w:rPr>
      </w:pPr>
      <w:r w:rsidRPr="004C5905">
        <w:rPr>
          <w:i/>
          <w:sz w:val="22"/>
          <w:szCs w:val="22"/>
          <w:lang w:val="fr-FR"/>
        </w:rPr>
        <w:t xml:space="preserve">Marc Bibeau c. La Presse Ltée, Média QMI inc., Montreal Gazette, une division de Postmedia Network Inc., Directeur des poursuites criminelles et pénales et Honorable Julie Riendeau, J.C.Q. </w:t>
      </w:r>
      <w:r w:rsidRPr="004C5905">
        <w:rPr>
          <w:sz w:val="22"/>
          <w:szCs w:val="22"/>
          <w:lang w:val="fr-CA"/>
        </w:rPr>
        <w:t>(Qc) (Civile) (Autorisation) (</w:t>
      </w:r>
      <w:hyperlink r:id="rId11" w:history="1">
        <w:r w:rsidRPr="004C5905">
          <w:rPr>
            <w:rStyle w:val="Hyperlink"/>
            <w:sz w:val="22"/>
            <w:szCs w:val="22"/>
            <w:lang w:val="fr-CA"/>
          </w:rPr>
          <w:t>38742</w:t>
        </w:r>
      </w:hyperlink>
      <w:r w:rsidRPr="004C5905">
        <w:rPr>
          <w:sz w:val="22"/>
          <w:szCs w:val="22"/>
          <w:lang w:val="fr-CA"/>
        </w:rPr>
        <w:t>)</w:t>
      </w:r>
    </w:p>
    <w:p w:rsidR="008660CA" w:rsidRPr="004C5905" w:rsidRDefault="008660CA" w:rsidP="00A30607">
      <w:pPr>
        <w:widowControl w:val="0"/>
        <w:rPr>
          <w:sz w:val="20"/>
          <w:lang w:val="fr-CA"/>
        </w:rPr>
      </w:pPr>
    </w:p>
    <w:p w:rsidR="008E517E" w:rsidRPr="004C5905" w:rsidRDefault="008E517E" w:rsidP="008E517E">
      <w:pPr>
        <w:jc w:val="both"/>
        <w:rPr>
          <w:sz w:val="20"/>
          <w:lang w:val="fr-CA"/>
        </w:rPr>
      </w:pPr>
      <w:r w:rsidRPr="004C5905">
        <w:rPr>
          <w:sz w:val="20"/>
          <w:lang w:val="fr-CA"/>
        </w:rPr>
        <w:t>La demande d’autorisation d’appel de l’arrêt de la Cour d’appel du Québec (Montréal), numéro 500-10-006673-188, 2019 QCCA 756, daté du 30 avril 2019, est rejetée avec dépens en faveur des intimées, La Presse Ltée, Média QMI inc. et Montreal Gazette, une division de Postmedia Network Inc.</w:t>
      </w:r>
    </w:p>
    <w:p w:rsidR="008E517E" w:rsidRPr="004C5905" w:rsidRDefault="008E517E" w:rsidP="008E517E">
      <w:pPr>
        <w:jc w:val="both"/>
        <w:rPr>
          <w:sz w:val="20"/>
          <w:lang w:val="fr-CA"/>
        </w:rPr>
      </w:pPr>
    </w:p>
    <w:p w:rsidR="006E69BD" w:rsidRPr="004C5905" w:rsidRDefault="008E517E" w:rsidP="008E517E">
      <w:pPr>
        <w:widowControl w:val="0"/>
        <w:rPr>
          <w:sz w:val="20"/>
          <w:lang w:val="fr-CA"/>
        </w:rPr>
      </w:pPr>
      <w:r w:rsidRPr="004C5905">
        <w:rPr>
          <w:sz w:val="20"/>
          <w:lang w:val="fr-CA"/>
        </w:rPr>
        <w:t>La juge Côté n’a pas participé au jugement.</w:t>
      </w:r>
    </w:p>
    <w:p w:rsidR="008E517E" w:rsidRPr="004C5905" w:rsidRDefault="008E517E" w:rsidP="00A30607">
      <w:pPr>
        <w:widowControl w:val="0"/>
        <w:rPr>
          <w:sz w:val="20"/>
          <w:lang w:val="fr-CA"/>
        </w:rPr>
      </w:pPr>
    </w:p>
    <w:p w:rsidR="008E517E" w:rsidRPr="004C5905" w:rsidRDefault="008E517E" w:rsidP="008E517E">
      <w:pPr>
        <w:jc w:val="both"/>
        <w:rPr>
          <w:sz w:val="20"/>
          <w:lang w:val="en-CA"/>
        </w:rPr>
      </w:pPr>
      <w:r w:rsidRPr="004C5905">
        <w:rPr>
          <w:sz w:val="20"/>
          <w:lang w:val="en-CA"/>
        </w:rPr>
        <w:t xml:space="preserve">The application for leave to appeal from the judgment of the </w:t>
      </w:r>
      <w:r w:rsidRPr="004C5905">
        <w:rPr>
          <w:sz w:val="20"/>
        </w:rPr>
        <w:t>Court of Appeal of Quebec (Montréal)</w:t>
      </w:r>
      <w:r w:rsidRPr="004C5905">
        <w:rPr>
          <w:sz w:val="20"/>
          <w:lang w:val="en-CA"/>
        </w:rPr>
        <w:t xml:space="preserve">, Number </w:t>
      </w:r>
      <w:r w:rsidRPr="004C5905">
        <w:rPr>
          <w:sz w:val="20"/>
        </w:rPr>
        <w:t>500-10-006673-188</w:t>
      </w:r>
      <w:r w:rsidRPr="004C5905">
        <w:rPr>
          <w:sz w:val="20"/>
          <w:lang w:val="en-CA"/>
        </w:rPr>
        <w:t xml:space="preserve">,  </w:t>
      </w:r>
      <w:r w:rsidRPr="004C5905">
        <w:rPr>
          <w:sz w:val="20"/>
        </w:rPr>
        <w:t xml:space="preserve">2019 QCCA 756, </w:t>
      </w:r>
      <w:r w:rsidRPr="004C5905">
        <w:rPr>
          <w:sz w:val="20"/>
          <w:lang w:val="en-CA"/>
        </w:rPr>
        <w:t xml:space="preserve">dated </w:t>
      </w:r>
      <w:r w:rsidRPr="004C5905">
        <w:rPr>
          <w:sz w:val="20"/>
        </w:rPr>
        <w:t>April 30, 2019,</w:t>
      </w:r>
      <w:r w:rsidRPr="004C5905">
        <w:rPr>
          <w:sz w:val="20"/>
          <w:lang w:val="en-CA"/>
        </w:rPr>
        <w:t xml:space="preserve"> is dismissed with costs to the respondents, La Presse Ltée, Media QMI inc. and Montreal Gazette, a division of Postmedia Network Inc.</w:t>
      </w:r>
    </w:p>
    <w:p w:rsidR="008E517E" w:rsidRPr="004C5905" w:rsidRDefault="008E517E" w:rsidP="008E517E">
      <w:pPr>
        <w:jc w:val="both"/>
        <w:rPr>
          <w:sz w:val="20"/>
        </w:rPr>
      </w:pPr>
    </w:p>
    <w:p w:rsidR="006E69BD" w:rsidRPr="004C5905" w:rsidRDefault="008E517E" w:rsidP="008E517E">
      <w:pPr>
        <w:widowControl w:val="0"/>
        <w:rPr>
          <w:sz w:val="20"/>
        </w:rPr>
      </w:pPr>
      <w:r w:rsidRPr="004C5905">
        <w:rPr>
          <w:sz w:val="20"/>
        </w:rPr>
        <w:t>Côté J. took no part in the judgment.</w:t>
      </w:r>
    </w:p>
    <w:p w:rsidR="006E69BD" w:rsidRPr="004C5905" w:rsidRDefault="006E69BD" w:rsidP="00A30607">
      <w:pPr>
        <w:widowControl w:val="0"/>
        <w:rPr>
          <w:sz w:val="20"/>
        </w:rPr>
      </w:pPr>
    </w:p>
    <w:p w:rsidR="008660CA" w:rsidRPr="004C5905" w:rsidRDefault="006E0E16" w:rsidP="00A30607">
      <w:pPr>
        <w:widowControl w:val="0"/>
        <w:rPr>
          <w:sz w:val="20"/>
        </w:rPr>
      </w:pPr>
      <w:r>
        <w:rPr>
          <w:sz w:val="20"/>
        </w:rPr>
        <w:pict>
          <v:rect id="_x0000_i1029" style="width:2in;height:1pt" o:hrpct="0" o:hralign="center" o:hrstd="t" o:hrnoshade="t" o:hr="t" fillcolor="black [3213]" stroked="f"/>
        </w:pict>
      </w:r>
    </w:p>
    <w:p w:rsidR="008660CA" w:rsidRPr="004C5905" w:rsidRDefault="008660CA" w:rsidP="00A30607">
      <w:pPr>
        <w:widowControl w:val="0"/>
        <w:rPr>
          <w:sz w:val="20"/>
        </w:rPr>
      </w:pPr>
    </w:p>
    <w:p w:rsidR="00F93EAC" w:rsidRPr="004C5905" w:rsidRDefault="00F93EAC" w:rsidP="00F93EAC">
      <w:pPr>
        <w:pStyle w:val="SCCAppellantInfoAppellantInfo"/>
        <w:rPr>
          <w:sz w:val="22"/>
          <w:szCs w:val="22"/>
        </w:rPr>
      </w:pPr>
      <w:r w:rsidRPr="004C5905">
        <w:rPr>
          <w:rFonts w:eastAsia="Times New Roman"/>
          <w:i/>
          <w:sz w:val="22"/>
          <w:szCs w:val="22"/>
          <w:lang w:val="en-US"/>
        </w:rPr>
        <w:t xml:space="preserve">Betty Ann Wasylynuk v. </w:t>
      </w:r>
      <w:r w:rsidRPr="004C5905">
        <w:rPr>
          <w:i/>
          <w:sz w:val="22"/>
          <w:szCs w:val="22"/>
        </w:rPr>
        <w:t xml:space="preserve">Bernie Bouma, Lori Lee Scheck, Rick Bouma, Lindy Hager and Estate of Tette (Ted) Bouma </w:t>
      </w:r>
      <w:r w:rsidRPr="004C5905">
        <w:rPr>
          <w:rFonts w:eastAsia="Times New Roman"/>
          <w:sz w:val="22"/>
          <w:szCs w:val="22"/>
          <w:lang w:val="en-US"/>
        </w:rPr>
        <w:t>(Alta.) (Civil) (By Leave)</w:t>
      </w:r>
      <w:r w:rsidRPr="004C5905">
        <w:rPr>
          <w:sz w:val="22"/>
          <w:szCs w:val="22"/>
        </w:rPr>
        <w:t xml:space="preserve"> (</w:t>
      </w:r>
      <w:hyperlink r:id="rId12" w:history="1">
        <w:r w:rsidRPr="004C5905">
          <w:rPr>
            <w:rStyle w:val="Hyperlink"/>
            <w:sz w:val="22"/>
            <w:szCs w:val="22"/>
          </w:rPr>
          <w:t>38793</w:t>
        </w:r>
      </w:hyperlink>
      <w:r w:rsidRPr="004C5905">
        <w:rPr>
          <w:sz w:val="22"/>
          <w:szCs w:val="22"/>
        </w:rPr>
        <w:t>)</w:t>
      </w:r>
    </w:p>
    <w:p w:rsidR="008660CA" w:rsidRPr="004C5905" w:rsidRDefault="008660CA" w:rsidP="00A30607">
      <w:pPr>
        <w:widowControl w:val="0"/>
        <w:rPr>
          <w:sz w:val="20"/>
        </w:rPr>
      </w:pPr>
    </w:p>
    <w:p w:rsidR="006E69BD" w:rsidRPr="004C5905" w:rsidRDefault="00F93EAC" w:rsidP="00A30607">
      <w:pPr>
        <w:widowControl w:val="0"/>
        <w:rPr>
          <w:sz w:val="20"/>
        </w:rPr>
      </w:pPr>
      <w:r w:rsidRPr="004C5905">
        <w:rPr>
          <w:sz w:val="20"/>
        </w:rPr>
        <w:t>The application for leave to appeal from the judgment of the Court of Appeal of Alberta (Edmonton), Number 1803-0083-AC, 2019 ABCA 234, dated June 10, 2019, is dismissed with costs.</w:t>
      </w:r>
    </w:p>
    <w:p w:rsidR="00F93EAC" w:rsidRPr="004C5905" w:rsidRDefault="00F93EAC" w:rsidP="00A30607">
      <w:pPr>
        <w:widowControl w:val="0"/>
        <w:rPr>
          <w:sz w:val="20"/>
        </w:rPr>
      </w:pPr>
    </w:p>
    <w:p w:rsidR="006E69BD" w:rsidRPr="004C5905" w:rsidRDefault="00F93EAC" w:rsidP="00A30607">
      <w:pPr>
        <w:widowControl w:val="0"/>
        <w:rPr>
          <w:sz w:val="20"/>
          <w:lang w:val="fr-CA"/>
        </w:rPr>
      </w:pPr>
      <w:r w:rsidRPr="004C5905">
        <w:rPr>
          <w:sz w:val="20"/>
          <w:lang w:val="fr-CA"/>
        </w:rPr>
        <w:t>La demande d’autorisation d’appel de l’arrêt de la Cour d’appel de l’Alberta (Edmonton), numéro 1803-0083-AC, 2019 ABCA 234, daté du 10 juin 2019, est rejetée avec dépens.</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0" style="width:2in;height:1pt" o:hrpct="0" o:hralign="center" o:hrstd="t" o:hrnoshade="t" o:hr="t" fillcolor="black [3213]" stroked="f"/>
        </w:pict>
      </w:r>
    </w:p>
    <w:p w:rsidR="008660CA" w:rsidRPr="004C5905" w:rsidRDefault="008660CA" w:rsidP="00A30607">
      <w:pPr>
        <w:widowControl w:val="0"/>
        <w:rPr>
          <w:sz w:val="20"/>
        </w:rPr>
      </w:pPr>
    </w:p>
    <w:p w:rsidR="005E0A2E" w:rsidRPr="004C5905" w:rsidRDefault="005E0A2E" w:rsidP="005E0A2E">
      <w:pPr>
        <w:pStyle w:val="SCCAppellantInfoAppellantInfo"/>
        <w:rPr>
          <w:sz w:val="22"/>
          <w:szCs w:val="22"/>
        </w:rPr>
      </w:pPr>
      <w:r w:rsidRPr="004C5905">
        <w:rPr>
          <w:i/>
          <w:sz w:val="22"/>
          <w:szCs w:val="22"/>
        </w:rPr>
        <w:t>Michael Davies v. Her Majesty the Queen</w:t>
      </w:r>
      <w:r w:rsidRPr="004C5905">
        <w:rPr>
          <w:sz w:val="22"/>
          <w:szCs w:val="22"/>
        </w:rPr>
        <w:t xml:space="preserve"> (F.C.) (Civil) (By Leave) (</w:t>
      </w:r>
      <w:hyperlink r:id="rId13" w:history="1">
        <w:r w:rsidRPr="004C5905">
          <w:rPr>
            <w:rStyle w:val="Hyperlink"/>
            <w:sz w:val="22"/>
            <w:szCs w:val="22"/>
          </w:rPr>
          <w:t>38810</w:t>
        </w:r>
      </w:hyperlink>
      <w:r w:rsidRPr="004C5905">
        <w:rPr>
          <w:sz w:val="22"/>
          <w:szCs w:val="22"/>
        </w:rPr>
        <w:t>)</w:t>
      </w:r>
    </w:p>
    <w:p w:rsidR="008660CA" w:rsidRPr="004C5905" w:rsidRDefault="008660CA" w:rsidP="00A30607">
      <w:pPr>
        <w:widowControl w:val="0"/>
        <w:rPr>
          <w:sz w:val="20"/>
        </w:rPr>
      </w:pPr>
    </w:p>
    <w:p w:rsidR="006E69BD" w:rsidRPr="004C5905" w:rsidRDefault="005E0A2E" w:rsidP="00A30607">
      <w:pPr>
        <w:widowControl w:val="0"/>
        <w:rPr>
          <w:sz w:val="20"/>
        </w:rPr>
      </w:pPr>
      <w:r w:rsidRPr="004C5905">
        <w:rPr>
          <w:sz w:val="20"/>
        </w:rPr>
        <w:t>The application for leave to appeal from the judgment of the Federal Court of Appeal, Number A-171-16, 2019 FCA 191, dated June 25, 2019, is dismissed with costs.</w:t>
      </w:r>
    </w:p>
    <w:p w:rsidR="005E0A2E" w:rsidRPr="004C5905" w:rsidRDefault="005E0A2E" w:rsidP="00A30607">
      <w:pPr>
        <w:widowControl w:val="0"/>
        <w:rPr>
          <w:sz w:val="20"/>
        </w:rPr>
      </w:pPr>
    </w:p>
    <w:p w:rsidR="006E69BD" w:rsidRPr="004C5905" w:rsidRDefault="005E0A2E" w:rsidP="00A30607">
      <w:pPr>
        <w:widowControl w:val="0"/>
        <w:rPr>
          <w:sz w:val="20"/>
          <w:lang w:val="fr-CA"/>
        </w:rPr>
      </w:pPr>
      <w:r w:rsidRPr="004C5905">
        <w:rPr>
          <w:sz w:val="20"/>
          <w:lang w:val="fr-CA"/>
        </w:rPr>
        <w:t>La demande d’autorisation d’appel de l’arrêt de la Cour d’appel fédérale, numéro A-171-16, 2019 FCA 191, daté du 25 juin 2019, est rejetée avec dépens.</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1" style="width:2in;height:1pt" o:hrpct="0" o:hralign="center" o:hrstd="t" o:hrnoshade="t" o:hr="t" fillcolor="black [3213]" stroked="f"/>
        </w:pict>
      </w:r>
    </w:p>
    <w:p w:rsidR="008660CA" w:rsidRPr="004C5905" w:rsidRDefault="008660CA" w:rsidP="00A30607">
      <w:pPr>
        <w:widowControl w:val="0"/>
        <w:rPr>
          <w:sz w:val="20"/>
        </w:rPr>
      </w:pPr>
    </w:p>
    <w:p w:rsidR="00CD795C" w:rsidRPr="004C5905" w:rsidRDefault="00CD795C" w:rsidP="00CD795C">
      <w:pPr>
        <w:pStyle w:val="SCCAppellantInfoAppellantInfo"/>
        <w:rPr>
          <w:sz w:val="22"/>
          <w:szCs w:val="22"/>
        </w:rPr>
      </w:pPr>
      <w:r w:rsidRPr="004C5905">
        <w:rPr>
          <w:i/>
          <w:sz w:val="22"/>
          <w:szCs w:val="22"/>
          <w:lang w:val="en-US"/>
        </w:rPr>
        <w:t>Tonu Elmar Petersoo v. Karinna Margaret Gerda Petersoo</w:t>
      </w:r>
      <w:r w:rsidRPr="004C5905">
        <w:rPr>
          <w:sz w:val="22"/>
          <w:szCs w:val="22"/>
        </w:rPr>
        <w:t xml:space="preserve"> (Ont.) (Civil) (By Leave) (</w:t>
      </w:r>
      <w:hyperlink r:id="rId14" w:history="1">
        <w:r w:rsidRPr="004C5905">
          <w:rPr>
            <w:rStyle w:val="Hyperlink"/>
            <w:sz w:val="22"/>
            <w:szCs w:val="22"/>
          </w:rPr>
          <w:t>38843</w:t>
        </w:r>
      </w:hyperlink>
      <w:r w:rsidRPr="004C5905">
        <w:rPr>
          <w:sz w:val="22"/>
          <w:szCs w:val="22"/>
        </w:rPr>
        <w:t>)</w:t>
      </w:r>
    </w:p>
    <w:p w:rsidR="008660CA" w:rsidRPr="004C5905" w:rsidRDefault="008660CA" w:rsidP="00A30607">
      <w:pPr>
        <w:widowControl w:val="0"/>
        <w:rPr>
          <w:sz w:val="20"/>
        </w:rPr>
      </w:pPr>
    </w:p>
    <w:p w:rsidR="006E69BD" w:rsidRPr="006E0E16" w:rsidRDefault="00CD795C" w:rsidP="00A30607">
      <w:pPr>
        <w:widowControl w:val="0"/>
        <w:rPr>
          <w:sz w:val="20"/>
        </w:rPr>
      </w:pPr>
      <w:r w:rsidRPr="006E0E16">
        <w:rPr>
          <w:sz w:val="20"/>
        </w:rPr>
        <w:lastRenderedPageBreak/>
        <w:t>The application for leave to appeal from the judgment of the Court of Appeal for Ontario, Number C66775, 2019 ONCA 624, dated July 23, 2019, is dismissed with costs.</w:t>
      </w:r>
    </w:p>
    <w:p w:rsidR="00CD795C" w:rsidRPr="006E0E16" w:rsidRDefault="00CD795C" w:rsidP="00A30607">
      <w:pPr>
        <w:widowControl w:val="0"/>
        <w:rPr>
          <w:sz w:val="20"/>
        </w:rPr>
      </w:pPr>
    </w:p>
    <w:p w:rsidR="006E69BD" w:rsidRPr="006E0E16" w:rsidRDefault="00CD795C" w:rsidP="00A30607">
      <w:pPr>
        <w:widowControl w:val="0"/>
        <w:rPr>
          <w:sz w:val="20"/>
          <w:lang w:val="fr-CA"/>
        </w:rPr>
      </w:pPr>
      <w:r w:rsidRPr="006E0E16">
        <w:rPr>
          <w:sz w:val="20"/>
          <w:lang w:val="fr-CA"/>
        </w:rPr>
        <w:t>La demande d’autorisation d’appel de l’arrêt de la Cour d’appel de l’Ontario, numéro C66775, 2019 ONCA 624, daté du 23 juillet 2019, e</w:t>
      </w:r>
      <w:bookmarkStart w:id="1" w:name="_GoBack"/>
      <w:bookmarkEnd w:id="1"/>
      <w:r w:rsidRPr="006E0E16">
        <w:rPr>
          <w:sz w:val="20"/>
          <w:lang w:val="fr-CA"/>
        </w:rPr>
        <w:t>st rejetée avec dépens.</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2" style="width:2in;height:1pt" o:hrpct="0" o:hralign="center" o:hrstd="t" o:hrnoshade="t" o:hr="t" fillcolor="black [3213]" stroked="f"/>
        </w:pict>
      </w:r>
    </w:p>
    <w:p w:rsidR="008660CA" w:rsidRPr="004C5905" w:rsidRDefault="008660CA" w:rsidP="00A30607">
      <w:pPr>
        <w:widowControl w:val="0"/>
        <w:rPr>
          <w:sz w:val="20"/>
        </w:rPr>
      </w:pPr>
    </w:p>
    <w:p w:rsidR="0078586F" w:rsidRPr="004C5905" w:rsidRDefault="0078586F" w:rsidP="0078586F">
      <w:pPr>
        <w:pStyle w:val="SCCAppellantInfoAppellantInfo"/>
        <w:rPr>
          <w:sz w:val="22"/>
          <w:szCs w:val="22"/>
          <w:lang w:val="en-US"/>
        </w:rPr>
      </w:pPr>
      <w:r w:rsidRPr="004C5905">
        <w:rPr>
          <w:i/>
          <w:sz w:val="22"/>
          <w:szCs w:val="22"/>
          <w:lang w:val="en-US"/>
        </w:rPr>
        <w:t>Kenneth Hill v. Brittany Beaver</w:t>
      </w:r>
      <w:r w:rsidRPr="004C5905">
        <w:rPr>
          <w:sz w:val="22"/>
          <w:szCs w:val="22"/>
        </w:rPr>
        <w:t xml:space="preserve"> (Ont.) (Civil) (By Leave) (</w:t>
      </w:r>
      <w:hyperlink r:id="rId15" w:history="1">
        <w:r w:rsidRPr="004C5905">
          <w:rPr>
            <w:rStyle w:val="Hyperlink"/>
            <w:sz w:val="22"/>
            <w:szCs w:val="22"/>
          </w:rPr>
          <w:t>38792</w:t>
        </w:r>
      </w:hyperlink>
      <w:r w:rsidRPr="004C5905">
        <w:rPr>
          <w:sz w:val="22"/>
          <w:szCs w:val="22"/>
        </w:rPr>
        <w:t>)</w:t>
      </w:r>
    </w:p>
    <w:p w:rsidR="008660CA" w:rsidRPr="004C5905" w:rsidRDefault="008660CA" w:rsidP="00A30607">
      <w:pPr>
        <w:widowControl w:val="0"/>
        <w:rPr>
          <w:sz w:val="20"/>
        </w:rPr>
      </w:pPr>
    </w:p>
    <w:p w:rsidR="006E69BD" w:rsidRPr="004C5905" w:rsidRDefault="0078586F" w:rsidP="00A30607">
      <w:pPr>
        <w:widowControl w:val="0"/>
        <w:rPr>
          <w:sz w:val="20"/>
        </w:rPr>
      </w:pPr>
      <w:r w:rsidRPr="004C5905">
        <w:rPr>
          <w:sz w:val="20"/>
        </w:rPr>
        <w:t>The application for leave to appeal from the judgment of the Court of Appeal for Ontario, Number C66285/M50431, 2019 ONCA 520, dated June 21, 2019, is dismissed with costs.</w:t>
      </w:r>
    </w:p>
    <w:p w:rsidR="0078586F" w:rsidRPr="004C5905" w:rsidRDefault="0078586F" w:rsidP="00A30607">
      <w:pPr>
        <w:widowControl w:val="0"/>
        <w:rPr>
          <w:sz w:val="20"/>
        </w:rPr>
      </w:pPr>
    </w:p>
    <w:p w:rsidR="006E69BD" w:rsidRPr="004C5905" w:rsidRDefault="0078586F" w:rsidP="00A30607">
      <w:pPr>
        <w:widowControl w:val="0"/>
        <w:rPr>
          <w:sz w:val="20"/>
          <w:lang w:val="fr-CA"/>
        </w:rPr>
      </w:pPr>
      <w:r w:rsidRPr="004C5905">
        <w:rPr>
          <w:sz w:val="20"/>
          <w:lang w:val="fr-CA"/>
        </w:rPr>
        <w:t>La demande d’autorisation d’appel de l’arrêt de la Cour d’appel de l’Ontario, numéro C66285/M50431, 2019 ONCA 520, daté du 21 juin 2019, est rejetée avec dépens.</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3" style="width:2in;height:1pt" o:hrpct="0" o:hralign="center" o:hrstd="t" o:hrnoshade="t" o:hr="t" fillcolor="black [3213]" stroked="f"/>
        </w:pict>
      </w:r>
    </w:p>
    <w:p w:rsidR="008660CA" w:rsidRPr="004C5905" w:rsidRDefault="008660CA" w:rsidP="00A30607">
      <w:pPr>
        <w:widowControl w:val="0"/>
        <w:rPr>
          <w:sz w:val="20"/>
        </w:rPr>
      </w:pPr>
    </w:p>
    <w:p w:rsidR="00E62DE9" w:rsidRPr="004C5905" w:rsidRDefault="00E62DE9" w:rsidP="00E62DE9">
      <w:pPr>
        <w:rPr>
          <w:sz w:val="22"/>
          <w:szCs w:val="22"/>
        </w:rPr>
      </w:pPr>
      <w:r w:rsidRPr="004C5905">
        <w:rPr>
          <w:i/>
          <w:sz w:val="22"/>
          <w:szCs w:val="22"/>
        </w:rPr>
        <w:t>Roger Townsend v. Her Majesty the Queen</w:t>
      </w:r>
      <w:r w:rsidRPr="004C5905">
        <w:rPr>
          <w:sz w:val="22"/>
          <w:szCs w:val="22"/>
        </w:rPr>
        <w:t xml:space="preserve"> (Ont.) (Criminal) (By Leave) (</w:t>
      </w:r>
      <w:hyperlink r:id="rId16" w:history="1">
        <w:r w:rsidRPr="004C5905">
          <w:rPr>
            <w:rStyle w:val="Hyperlink"/>
            <w:sz w:val="22"/>
            <w:szCs w:val="22"/>
          </w:rPr>
          <w:t>38706</w:t>
        </w:r>
      </w:hyperlink>
      <w:r w:rsidRPr="004C5905">
        <w:rPr>
          <w:sz w:val="22"/>
          <w:szCs w:val="22"/>
        </w:rPr>
        <w:t>)</w:t>
      </w:r>
    </w:p>
    <w:p w:rsidR="008660CA" w:rsidRPr="004C5905" w:rsidRDefault="008660CA" w:rsidP="00A30607">
      <w:pPr>
        <w:widowControl w:val="0"/>
        <w:rPr>
          <w:sz w:val="20"/>
        </w:rPr>
      </w:pPr>
    </w:p>
    <w:p w:rsidR="006E69BD" w:rsidRPr="004C5905" w:rsidRDefault="00E62DE9" w:rsidP="00A30607">
      <w:pPr>
        <w:widowControl w:val="0"/>
        <w:rPr>
          <w:sz w:val="20"/>
        </w:rPr>
      </w:pPr>
      <w:r w:rsidRPr="004C5905">
        <w:rPr>
          <w:sz w:val="20"/>
        </w:rPr>
        <w:t>The motion to appoint counsel is dismissed. The motion to adduce new evidence is dismissed. The application for leave to appeal from the judgment of the Court of Appeal for Ontario, Number M48477, dated April 4, 2018, is dismissed.</w:t>
      </w:r>
    </w:p>
    <w:p w:rsidR="00E62DE9" w:rsidRPr="004C5905" w:rsidRDefault="00E62DE9" w:rsidP="00A30607">
      <w:pPr>
        <w:widowControl w:val="0"/>
        <w:rPr>
          <w:sz w:val="20"/>
        </w:rPr>
      </w:pPr>
    </w:p>
    <w:p w:rsidR="006E69BD" w:rsidRPr="004C5905" w:rsidRDefault="00E62DE9" w:rsidP="00A30607">
      <w:pPr>
        <w:widowControl w:val="0"/>
        <w:rPr>
          <w:sz w:val="20"/>
          <w:lang w:val="fr-CA"/>
        </w:rPr>
      </w:pPr>
      <w:r w:rsidRPr="004C5905">
        <w:rPr>
          <w:sz w:val="20"/>
          <w:lang w:val="fr-CA"/>
        </w:rPr>
        <w:t>La requête en nomination d’un procureur est rejetée. La requête sollicitant l’autorisation de présenter une nouvelle preuve est rejetée. La demande d’autorisation d’appel de l’arrêt de la Cour d’appel de l’Ontario, numéro M48477, daté du 4 avril 2018, est rejetée.</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4" style="width:2in;height:1pt" o:hrpct="0" o:hralign="center" o:hrstd="t" o:hrnoshade="t" o:hr="t" fillcolor="black [3213]" stroked="f"/>
        </w:pict>
      </w:r>
    </w:p>
    <w:p w:rsidR="008660CA" w:rsidRPr="004C5905" w:rsidRDefault="008660CA" w:rsidP="00A30607">
      <w:pPr>
        <w:widowControl w:val="0"/>
        <w:rPr>
          <w:sz w:val="20"/>
        </w:rPr>
      </w:pPr>
    </w:p>
    <w:p w:rsidR="00C75D70" w:rsidRPr="004C5905" w:rsidRDefault="00C75D70" w:rsidP="00C75D70">
      <w:pPr>
        <w:rPr>
          <w:sz w:val="22"/>
          <w:szCs w:val="22"/>
          <w:lang w:val="en-CA"/>
        </w:rPr>
      </w:pPr>
      <w:r w:rsidRPr="004C5905">
        <w:rPr>
          <w:i/>
          <w:sz w:val="22"/>
          <w:szCs w:val="22"/>
          <w:lang w:val="en-CA"/>
        </w:rPr>
        <w:t>Sean Lyndon Horse v. Her Majesty the Queen</w:t>
      </w:r>
      <w:r w:rsidRPr="004C5905">
        <w:rPr>
          <w:i/>
          <w:sz w:val="22"/>
          <w:szCs w:val="22"/>
        </w:rPr>
        <w:t xml:space="preserve"> </w:t>
      </w:r>
      <w:r w:rsidRPr="004C5905">
        <w:rPr>
          <w:sz w:val="22"/>
          <w:szCs w:val="22"/>
        </w:rPr>
        <w:t>(Sask.) (Criminal) (By Leave) (</w:t>
      </w:r>
      <w:hyperlink r:id="rId17" w:history="1">
        <w:r w:rsidRPr="004C5905">
          <w:rPr>
            <w:rStyle w:val="Hyperlink"/>
            <w:sz w:val="22"/>
            <w:szCs w:val="22"/>
          </w:rPr>
          <w:t>38809</w:t>
        </w:r>
      </w:hyperlink>
      <w:r w:rsidRPr="004C5905">
        <w:rPr>
          <w:sz w:val="22"/>
          <w:szCs w:val="22"/>
        </w:rPr>
        <w:t>)</w:t>
      </w:r>
    </w:p>
    <w:p w:rsidR="00F06D5C" w:rsidRPr="004C5905" w:rsidRDefault="00F06D5C" w:rsidP="00A30607">
      <w:pPr>
        <w:widowControl w:val="0"/>
        <w:rPr>
          <w:sz w:val="20"/>
        </w:rPr>
      </w:pPr>
    </w:p>
    <w:p w:rsidR="006E69BD" w:rsidRPr="004C5905" w:rsidRDefault="00C75D70" w:rsidP="00A30607">
      <w:pPr>
        <w:widowControl w:val="0"/>
        <w:rPr>
          <w:sz w:val="20"/>
        </w:rPr>
      </w:pPr>
      <w:r w:rsidRPr="004C5905">
        <w:rPr>
          <w:sz w:val="20"/>
        </w:rPr>
        <w:t>The motion for an extension of time to file the application for leave to appeal is granted. The application for leave to appeal from the judgment of the Court of Appeal for Saskatchewan, Number CACR3201, 2019 SKCA 56, dated June 18, 2019, is dismissed.</w:t>
      </w:r>
    </w:p>
    <w:p w:rsidR="00C75D70" w:rsidRPr="004C5905" w:rsidRDefault="00C75D70" w:rsidP="00A30607">
      <w:pPr>
        <w:widowControl w:val="0"/>
        <w:rPr>
          <w:sz w:val="20"/>
        </w:rPr>
      </w:pPr>
    </w:p>
    <w:p w:rsidR="006E69BD" w:rsidRPr="004C5905" w:rsidRDefault="00C75D70" w:rsidP="00A30607">
      <w:pPr>
        <w:widowControl w:val="0"/>
        <w:rPr>
          <w:sz w:val="20"/>
          <w:lang w:val="fr-CA"/>
        </w:rPr>
      </w:pPr>
      <w:r w:rsidRPr="004C5905">
        <w:rPr>
          <w:sz w:val="20"/>
          <w:lang w:val="fr-CA"/>
        </w:rPr>
        <w:t>La requête en prorogation du délai de dépôt de la demande d’autorisation d’appel est accueillie. La demande d’autorisation d’appel de l’arrêt de la Cour d’appel de la Saskatchewan, numéro CACR3201, 2019 SKCA 56, daté du 18 juin 2019, est rejetée.</w:t>
      </w:r>
    </w:p>
    <w:p w:rsidR="006E69BD" w:rsidRPr="004C5905" w:rsidRDefault="006E69BD" w:rsidP="00A30607">
      <w:pPr>
        <w:widowControl w:val="0"/>
        <w:rPr>
          <w:sz w:val="20"/>
          <w:lang w:val="fr-CA"/>
        </w:rPr>
      </w:pPr>
    </w:p>
    <w:p w:rsidR="00F06D5C" w:rsidRPr="004C5905" w:rsidRDefault="006E0E16" w:rsidP="00A30607">
      <w:pPr>
        <w:widowControl w:val="0"/>
        <w:rPr>
          <w:sz w:val="20"/>
        </w:rPr>
      </w:pPr>
      <w:r>
        <w:rPr>
          <w:sz w:val="20"/>
        </w:rPr>
        <w:pict>
          <v:rect id="_x0000_i1035" style="width:2in;height:1pt" o:hrpct="0" o:hralign="center" o:hrstd="t" o:hrnoshade="t" o:hr="t" fillcolor="black [3213]" stroked="f"/>
        </w:pict>
      </w:r>
    </w:p>
    <w:p w:rsidR="00F06D5C" w:rsidRPr="004C5905" w:rsidRDefault="00F06D5C" w:rsidP="00A30607">
      <w:pPr>
        <w:widowControl w:val="0"/>
        <w:rPr>
          <w:sz w:val="20"/>
        </w:rPr>
      </w:pPr>
    </w:p>
    <w:p w:rsidR="005069F4" w:rsidRPr="004C5905" w:rsidRDefault="005069F4" w:rsidP="005069F4">
      <w:pPr>
        <w:rPr>
          <w:sz w:val="22"/>
          <w:szCs w:val="22"/>
        </w:rPr>
      </w:pPr>
      <w:r w:rsidRPr="004C5905">
        <w:rPr>
          <w:i/>
          <w:sz w:val="22"/>
          <w:szCs w:val="22"/>
          <w:lang w:val="en-CA"/>
        </w:rPr>
        <w:t xml:space="preserve">Many Mansions Spiritual Center, Inc. </w:t>
      </w:r>
      <w:r w:rsidRPr="004C5905">
        <w:rPr>
          <w:i/>
          <w:sz w:val="22"/>
          <w:szCs w:val="22"/>
        </w:rPr>
        <w:t xml:space="preserve">v. </w:t>
      </w:r>
      <w:r w:rsidRPr="004C5905">
        <w:rPr>
          <w:i/>
          <w:sz w:val="22"/>
          <w:szCs w:val="22"/>
          <w:lang w:val="en-CA"/>
        </w:rPr>
        <w:t>Minister of National Revenue</w:t>
      </w:r>
      <w:r w:rsidRPr="004C5905">
        <w:rPr>
          <w:i/>
          <w:sz w:val="22"/>
          <w:szCs w:val="22"/>
        </w:rPr>
        <w:t xml:space="preserve"> </w:t>
      </w:r>
      <w:r w:rsidRPr="004C5905">
        <w:rPr>
          <w:sz w:val="22"/>
          <w:szCs w:val="22"/>
        </w:rPr>
        <w:t>(F.C.) (Civil) (By Leave) (</w:t>
      </w:r>
      <w:hyperlink r:id="rId18" w:history="1">
        <w:r w:rsidRPr="004C5905">
          <w:rPr>
            <w:rStyle w:val="Hyperlink"/>
            <w:sz w:val="22"/>
            <w:szCs w:val="22"/>
          </w:rPr>
          <w:t>38815</w:t>
        </w:r>
      </w:hyperlink>
      <w:r w:rsidRPr="004C5905">
        <w:rPr>
          <w:sz w:val="22"/>
          <w:szCs w:val="22"/>
        </w:rPr>
        <w:t>)</w:t>
      </w:r>
    </w:p>
    <w:p w:rsidR="00F06D5C" w:rsidRPr="006E0E16" w:rsidRDefault="00F06D5C" w:rsidP="00A30607">
      <w:pPr>
        <w:widowControl w:val="0"/>
        <w:rPr>
          <w:sz w:val="20"/>
        </w:rPr>
      </w:pPr>
    </w:p>
    <w:p w:rsidR="005069F4" w:rsidRPr="004C5905" w:rsidRDefault="005069F4" w:rsidP="00A30607">
      <w:pPr>
        <w:widowControl w:val="0"/>
        <w:rPr>
          <w:sz w:val="20"/>
        </w:rPr>
      </w:pPr>
      <w:r w:rsidRPr="004C5905">
        <w:rPr>
          <w:sz w:val="20"/>
        </w:rPr>
        <w:t>The application for leave to appeal from the judgment of the Federal Court of Appeal, Number A-307-16, 2019 FCA 189, dated June 24, 2019, is dismissed with costs.</w:t>
      </w:r>
    </w:p>
    <w:p w:rsidR="006E69BD" w:rsidRPr="004C5905" w:rsidRDefault="006E69BD" w:rsidP="00A30607">
      <w:pPr>
        <w:widowControl w:val="0"/>
        <w:rPr>
          <w:sz w:val="20"/>
        </w:rPr>
      </w:pPr>
    </w:p>
    <w:p w:rsidR="006E69BD" w:rsidRPr="004C5905" w:rsidRDefault="005069F4" w:rsidP="00A30607">
      <w:pPr>
        <w:widowControl w:val="0"/>
        <w:rPr>
          <w:sz w:val="20"/>
          <w:lang w:val="fr-CA"/>
        </w:rPr>
      </w:pPr>
      <w:r w:rsidRPr="004C5905">
        <w:rPr>
          <w:sz w:val="20"/>
          <w:lang w:val="fr-CA"/>
        </w:rPr>
        <w:t>La demande d’autorisation d’appel de l’arrêt de la Cour d’appel fédérale, numéro A-307-16, 2019 CAF 189, daté du 24 juin 2019, est rejetée avec dépens.</w:t>
      </w:r>
    </w:p>
    <w:p w:rsidR="006E69BD" w:rsidRPr="004C5905" w:rsidRDefault="006E69BD" w:rsidP="00A30607">
      <w:pPr>
        <w:widowControl w:val="0"/>
        <w:rPr>
          <w:sz w:val="20"/>
          <w:lang w:val="fr-CA"/>
        </w:rPr>
      </w:pPr>
    </w:p>
    <w:p w:rsidR="00F06D5C" w:rsidRPr="004C5905" w:rsidRDefault="006E0E16" w:rsidP="00A30607">
      <w:pPr>
        <w:widowControl w:val="0"/>
        <w:rPr>
          <w:sz w:val="20"/>
        </w:rPr>
      </w:pPr>
      <w:r>
        <w:rPr>
          <w:sz w:val="20"/>
        </w:rPr>
        <w:pict>
          <v:rect id="_x0000_i1036" style="width:2in;height:1pt" o:hrpct="0" o:hralign="center" o:hrstd="t" o:hrnoshade="t" o:hr="t" fillcolor="black [3213]" stroked="f"/>
        </w:pict>
      </w:r>
    </w:p>
    <w:p w:rsidR="008660CA" w:rsidRPr="004C5905" w:rsidRDefault="008660CA" w:rsidP="00A30607">
      <w:pPr>
        <w:widowControl w:val="0"/>
        <w:rPr>
          <w:sz w:val="20"/>
        </w:rPr>
      </w:pPr>
    </w:p>
    <w:p w:rsidR="007C2D5B" w:rsidRPr="004C5905" w:rsidRDefault="007C2D5B" w:rsidP="007C2D5B">
      <w:pPr>
        <w:rPr>
          <w:sz w:val="22"/>
          <w:szCs w:val="22"/>
        </w:rPr>
      </w:pPr>
      <w:r w:rsidRPr="004C5905">
        <w:rPr>
          <w:i/>
          <w:sz w:val="22"/>
          <w:szCs w:val="22"/>
          <w:lang w:val="en-CA"/>
        </w:rPr>
        <w:t xml:space="preserve">Her Majesty the Queen in Right of the Province of British Columbia </w:t>
      </w:r>
      <w:r w:rsidRPr="004C5905">
        <w:rPr>
          <w:i/>
          <w:sz w:val="22"/>
          <w:szCs w:val="22"/>
        </w:rPr>
        <w:t xml:space="preserve">v. </w:t>
      </w:r>
      <w:r w:rsidRPr="004C5905">
        <w:rPr>
          <w:i/>
          <w:sz w:val="22"/>
          <w:szCs w:val="22"/>
          <w:lang w:val="en-CA"/>
        </w:rPr>
        <w:t xml:space="preserve">Teal Cedar Products Ltd. </w:t>
      </w:r>
      <w:r w:rsidRPr="004C5905">
        <w:rPr>
          <w:sz w:val="22"/>
          <w:szCs w:val="22"/>
          <w:lang w:val="en-CA"/>
        </w:rPr>
        <w:t>(B.C.) (Civil) (By Leave)</w:t>
      </w:r>
      <w:r w:rsidRPr="004C5905">
        <w:rPr>
          <w:sz w:val="22"/>
          <w:szCs w:val="22"/>
        </w:rPr>
        <w:t xml:space="preserve"> (</w:t>
      </w:r>
      <w:hyperlink r:id="rId19" w:history="1">
        <w:r w:rsidRPr="004C5905">
          <w:rPr>
            <w:rStyle w:val="Hyperlink"/>
            <w:sz w:val="22"/>
            <w:szCs w:val="22"/>
          </w:rPr>
          <w:t>38789</w:t>
        </w:r>
      </w:hyperlink>
      <w:r w:rsidRPr="004C5905">
        <w:rPr>
          <w:sz w:val="22"/>
          <w:szCs w:val="22"/>
        </w:rPr>
        <w:t>)</w:t>
      </w:r>
    </w:p>
    <w:p w:rsidR="008660CA" w:rsidRPr="004C5905" w:rsidRDefault="008660CA" w:rsidP="00A30607">
      <w:pPr>
        <w:widowControl w:val="0"/>
        <w:rPr>
          <w:sz w:val="20"/>
        </w:rPr>
      </w:pPr>
    </w:p>
    <w:p w:rsidR="006E69BD" w:rsidRPr="004C5905" w:rsidRDefault="007C2D5B" w:rsidP="00A30607">
      <w:pPr>
        <w:widowControl w:val="0"/>
        <w:rPr>
          <w:sz w:val="20"/>
        </w:rPr>
      </w:pPr>
      <w:r w:rsidRPr="004C5905">
        <w:rPr>
          <w:sz w:val="20"/>
        </w:rPr>
        <w:t>The motion for an extension of time to file the reply is granted. The application for leave to appeal from the judgment of the Court of Appeal for British Columbia (Vancouver), Number CA45730, 2019 BCCA 194, dated June 4, 2019, is dismissed with costs.</w:t>
      </w:r>
    </w:p>
    <w:p w:rsidR="007C2D5B" w:rsidRPr="004C5905" w:rsidRDefault="007C2D5B" w:rsidP="00A30607">
      <w:pPr>
        <w:widowControl w:val="0"/>
        <w:rPr>
          <w:sz w:val="20"/>
        </w:rPr>
      </w:pPr>
    </w:p>
    <w:p w:rsidR="006E69BD" w:rsidRPr="004C5905" w:rsidRDefault="007C2D5B" w:rsidP="00A30607">
      <w:pPr>
        <w:widowControl w:val="0"/>
        <w:rPr>
          <w:sz w:val="20"/>
          <w:lang w:val="fr-CA"/>
        </w:rPr>
      </w:pPr>
      <w:r w:rsidRPr="004C5905">
        <w:rPr>
          <w:sz w:val="20"/>
          <w:lang w:val="fr-CA"/>
        </w:rPr>
        <w:t>La requête en prorogation du délai de dépôt de la réplique est accueillie. La demande d’autorisation d’appel de l’arrêt de la Cour d’appel de la Colombie-Britannique (Vancouver), numéro CA45730, 2019 BCCA 194, daté du 4 juin 2019, est rejetée avec dépens.</w:t>
      </w:r>
    </w:p>
    <w:p w:rsidR="006E69BD" w:rsidRPr="004C5905" w:rsidRDefault="006E69BD" w:rsidP="00A30607">
      <w:pPr>
        <w:widowControl w:val="0"/>
        <w:rPr>
          <w:sz w:val="20"/>
          <w:lang w:val="fr-CA"/>
        </w:rPr>
      </w:pPr>
    </w:p>
    <w:p w:rsidR="008660CA" w:rsidRPr="004C5905" w:rsidRDefault="006E0E16" w:rsidP="00A30607">
      <w:pPr>
        <w:widowControl w:val="0"/>
        <w:rPr>
          <w:sz w:val="20"/>
        </w:rPr>
      </w:pPr>
      <w:r>
        <w:rPr>
          <w:sz w:val="20"/>
        </w:rPr>
        <w:pict>
          <v:rect id="_x0000_i1037" style="width:2in;height:1pt" o:hrpct="0" o:hralign="center" o:hrstd="t" o:hrnoshade="t" o:hr="t" fillcolor="black [3213]" stroked="f"/>
        </w:pict>
      </w:r>
    </w:p>
    <w:p w:rsidR="002C70D4" w:rsidRPr="004C5905" w:rsidRDefault="002C70D4" w:rsidP="00A30607">
      <w:pPr>
        <w:widowControl w:val="0"/>
        <w:rPr>
          <w:sz w:val="20"/>
        </w:rPr>
      </w:pPr>
    </w:p>
    <w:p w:rsidR="000271A9" w:rsidRPr="004C5905" w:rsidRDefault="000271A9" w:rsidP="000271A9">
      <w:pPr>
        <w:rPr>
          <w:sz w:val="22"/>
          <w:szCs w:val="22"/>
        </w:rPr>
      </w:pPr>
      <w:r w:rsidRPr="004C5905">
        <w:rPr>
          <w:i/>
          <w:sz w:val="22"/>
          <w:szCs w:val="22"/>
          <w:lang w:val="en-CA"/>
        </w:rPr>
        <w:t xml:space="preserve">Susan Leah Santics </w:t>
      </w:r>
      <w:r w:rsidRPr="004C5905">
        <w:rPr>
          <w:i/>
          <w:sz w:val="22"/>
          <w:szCs w:val="22"/>
        </w:rPr>
        <w:t xml:space="preserve">v. </w:t>
      </w:r>
      <w:r w:rsidRPr="004C5905">
        <w:rPr>
          <w:i/>
          <w:sz w:val="22"/>
          <w:szCs w:val="22"/>
          <w:lang w:val="en-CA"/>
        </w:rPr>
        <w:t>Bob Cristofoli, Animal Control Officer for the City of Vancouver</w:t>
      </w:r>
      <w:r w:rsidRPr="004C5905">
        <w:rPr>
          <w:i/>
          <w:sz w:val="22"/>
          <w:szCs w:val="22"/>
        </w:rPr>
        <w:t xml:space="preserve"> </w:t>
      </w:r>
      <w:r w:rsidRPr="004C5905">
        <w:rPr>
          <w:sz w:val="22"/>
          <w:szCs w:val="22"/>
        </w:rPr>
        <w:t>(B.C.) (Civil) (By Leave) (</w:t>
      </w:r>
      <w:hyperlink r:id="rId20" w:history="1">
        <w:r w:rsidRPr="004C5905">
          <w:rPr>
            <w:rStyle w:val="Hyperlink"/>
            <w:sz w:val="22"/>
            <w:szCs w:val="22"/>
          </w:rPr>
          <w:t>38816</w:t>
        </w:r>
      </w:hyperlink>
      <w:r w:rsidRPr="004C5905">
        <w:rPr>
          <w:sz w:val="22"/>
          <w:szCs w:val="22"/>
        </w:rPr>
        <w:t>)</w:t>
      </w:r>
    </w:p>
    <w:p w:rsidR="000A1800" w:rsidRPr="004C5905" w:rsidRDefault="000A1800" w:rsidP="00D75521">
      <w:pPr>
        <w:jc w:val="both"/>
        <w:rPr>
          <w:sz w:val="20"/>
        </w:rPr>
      </w:pPr>
    </w:p>
    <w:p w:rsidR="006E56A4" w:rsidRPr="004C5905" w:rsidRDefault="000271A9" w:rsidP="00D75521">
      <w:pPr>
        <w:jc w:val="both"/>
        <w:rPr>
          <w:sz w:val="20"/>
        </w:rPr>
      </w:pPr>
      <w:r w:rsidRPr="004C5905">
        <w:rPr>
          <w:sz w:val="20"/>
        </w:rPr>
        <w:t>The application for leave to appeal from the judgment of the Court of Appeal for British Columbia (Vancouver), Number CA45880, 2019 BCCA 294, dated August 9, 2019, is dismissed with costs.</w:t>
      </w:r>
    </w:p>
    <w:p w:rsidR="000271A9" w:rsidRPr="004C5905" w:rsidRDefault="000271A9" w:rsidP="00D75521">
      <w:pPr>
        <w:jc w:val="both"/>
        <w:rPr>
          <w:sz w:val="20"/>
        </w:rPr>
      </w:pPr>
    </w:p>
    <w:p w:rsidR="006E69BD" w:rsidRPr="004C5905" w:rsidRDefault="000271A9" w:rsidP="00D75521">
      <w:pPr>
        <w:jc w:val="both"/>
        <w:rPr>
          <w:sz w:val="20"/>
          <w:lang w:val="fr-CA"/>
        </w:rPr>
      </w:pPr>
      <w:r w:rsidRPr="004C5905">
        <w:rPr>
          <w:sz w:val="20"/>
          <w:lang w:val="fr-CA"/>
        </w:rPr>
        <w:t>La demande d’autorisation d’appel de l’arrêt de la Cour d’appel de la Colombie-Britannique (Vancouver), numéro CA45880, 2019 BCCA 294, daté du 9 août 2019, est  rejetée avec dépens.</w:t>
      </w:r>
    </w:p>
    <w:p w:rsidR="006E69BD" w:rsidRPr="004C5905" w:rsidRDefault="006E69BD" w:rsidP="00D75521">
      <w:pPr>
        <w:jc w:val="both"/>
        <w:rPr>
          <w:sz w:val="20"/>
          <w:lang w:val="fr-CA"/>
        </w:rPr>
      </w:pPr>
    </w:p>
    <w:p w:rsidR="006E69BD" w:rsidRPr="004C5905" w:rsidRDefault="006E0E16" w:rsidP="00D75521">
      <w:pPr>
        <w:jc w:val="both"/>
        <w:rPr>
          <w:sz w:val="20"/>
        </w:rPr>
      </w:pPr>
      <w:r>
        <w:rPr>
          <w:sz w:val="20"/>
        </w:rPr>
        <w:pict>
          <v:rect id="_x0000_i1038" style="width:2in;height:1pt" o:hrpct="0" o:hralign="center" o:hrstd="t" o:hrnoshade="t" o:hr="t" fillcolor="black [3213]" stroked="f"/>
        </w:pict>
      </w:r>
    </w:p>
    <w:p w:rsidR="006E69BD" w:rsidRPr="004C5905" w:rsidRDefault="006E69BD" w:rsidP="00D75521">
      <w:pPr>
        <w:jc w:val="both"/>
        <w:rPr>
          <w:sz w:val="20"/>
        </w:rPr>
      </w:pPr>
    </w:p>
    <w:p w:rsidR="00CC469A" w:rsidRPr="004C5905" w:rsidRDefault="00CC469A" w:rsidP="00CC469A">
      <w:pPr>
        <w:rPr>
          <w:sz w:val="22"/>
          <w:szCs w:val="22"/>
        </w:rPr>
      </w:pPr>
      <w:r w:rsidRPr="004C5905">
        <w:rPr>
          <w:i/>
          <w:sz w:val="22"/>
          <w:szCs w:val="22"/>
          <w:lang w:val="en-CA"/>
        </w:rPr>
        <w:t xml:space="preserve">Rain Coast Water Corp. </w:t>
      </w:r>
      <w:r w:rsidRPr="004C5905">
        <w:rPr>
          <w:i/>
          <w:sz w:val="22"/>
          <w:szCs w:val="22"/>
        </w:rPr>
        <w:t xml:space="preserve">v. </w:t>
      </w:r>
      <w:r w:rsidRPr="004C5905">
        <w:rPr>
          <w:i/>
          <w:sz w:val="22"/>
          <w:szCs w:val="22"/>
          <w:lang w:val="en-CA"/>
        </w:rPr>
        <w:t xml:space="preserve">Her Majesty the Queen in Right of the Province of British Columbia, Bill Vander Zalm and Richard Roberts (a.k.a. Dick Roberts) </w:t>
      </w:r>
      <w:r w:rsidRPr="004C5905">
        <w:rPr>
          <w:sz w:val="22"/>
          <w:szCs w:val="22"/>
          <w:lang w:val="en-CA"/>
        </w:rPr>
        <w:t>(B.C.) (Civil) (By Leave)</w:t>
      </w:r>
      <w:r w:rsidRPr="004C5905">
        <w:rPr>
          <w:sz w:val="22"/>
          <w:szCs w:val="22"/>
        </w:rPr>
        <w:t xml:space="preserve"> (</w:t>
      </w:r>
      <w:hyperlink r:id="rId21" w:history="1">
        <w:r w:rsidRPr="004C5905">
          <w:rPr>
            <w:rStyle w:val="Hyperlink"/>
            <w:sz w:val="22"/>
            <w:szCs w:val="22"/>
          </w:rPr>
          <w:t>38791</w:t>
        </w:r>
      </w:hyperlink>
      <w:r w:rsidRPr="004C5905">
        <w:rPr>
          <w:sz w:val="22"/>
          <w:szCs w:val="22"/>
        </w:rPr>
        <w:t>)</w:t>
      </w:r>
    </w:p>
    <w:p w:rsidR="006E69BD" w:rsidRPr="004C5905" w:rsidRDefault="006E69BD" w:rsidP="00D75521">
      <w:pPr>
        <w:jc w:val="both"/>
        <w:rPr>
          <w:sz w:val="20"/>
        </w:rPr>
      </w:pPr>
    </w:p>
    <w:p w:rsidR="006E69BD" w:rsidRPr="004C5905" w:rsidRDefault="00CC469A" w:rsidP="00D75521">
      <w:pPr>
        <w:jc w:val="both"/>
        <w:rPr>
          <w:sz w:val="20"/>
        </w:rPr>
      </w:pPr>
      <w:r w:rsidRPr="004C5905">
        <w:rPr>
          <w:sz w:val="20"/>
        </w:rPr>
        <w:t>The application for leave to appeal from the judgment of the Court of Appeal for British Columbia (Vancouver), Number CA43698, 2019 BCCA 201, dated June 6, 2019, is dismissed with costs.</w:t>
      </w:r>
    </w:p>
    <w:p w:rsidR="00CC469A" w:rsidRPr="004C5905" w:rsidRDefault="00CC469A" w:rsidP="00D75521">
      <w:pPr>
        <w:jc w:val="both"/>
        <w:rPr>
          <w:sz w:val="20"/>
        </w:rPr>
      </w:pPr>
    </w:p>
    <w:p w:rsidR="006E69BD" w:rsidRPr="004C5905" w:rsidRDefault="00CC469A" w:rsidP="00D75521">
      <w:pPr>
        <w:jc w:val="both"/>
        <w:rPr>
          <w:sz w:val="20"/>
          <w:lang w:val="fr-CA"/>
        </w:rPr>
      </w:pPr>
      <w:r w:rsidRPr="004C5905">
        <w:rPr>
          <w:sz w:val="20"/>
          <w:lang w:val="fr-CA"/>
        </w:rPr>
        <w:t>La demande d’autorisation d’appel de l’arrêt de la Cour d’appel de la Colombie-Britannique (Vancouver), numéro CA43698, 2019 BCCA 201, daté du 6 juin 2019, est rejetée avec dépens.</w:t>
      </w:r>
    </w:p>
    <w:p w:rsidR="006E69BD" w:rsidRPr="004C5905" w:rsidRDefault="006E69BD" w:rsidP="00D75521">
      <w:pPr>
        <w:jc w:val="both"/>
        <w:rPr>
          <w:sz w:val="20"/>
          <w:lang w:val="fr-CA"/>
        </w:rPr>
      </w:pPr>
    </w:p>
    <w:p w:rsidR="006E69BD" w:rsidRPr="004C5905" w:rsidRDefault="006E0E16" w:rsidP="00D75521">
      <w:pPr>
        <w:jc w:val="both"/>
        <w:rPr>
          <w:sz w:val="20"/>
        </w:rPr>
      </w:pPr>
      <w:r>
        <w:rPr>
          <w:sz w:val="20"/>
        </w:rPr>
        <w:pict>
          <v:rect id="_x0000_i1039" style="width:2in;height:1pt" o:hrpct="0" o:hralign="center" o:hrstd="t" o:hrnoshade="t" o:hr="t" fillcolor="black [3213]" stroked="f"/>
        </w:pict>
      </w:r>
    </w:p>
    <w:p w:rsidR="006E69BD" w:rsidRPr="004C5905" w:rsidRDefault="006E69BD" w:rsidP="00D75521">
      <w:pPr>
        <w:jc w:val="both"/>
        <w:rPr>
          <w:sz w:val="20"/>
        </w:rPr>
      </w:pPr>
    </w:p>
    <w:p w:rsidR="00613E3C" w:rsidRPr="004C5905" w:rsidRDefault="00613E3C" w:rsidP="00613E3C">
      <w:pPr>
        <w:rPr>
          <w:sz w:val="22"/>
          <w:szCs w:val="22"/>
          <w:lang w:val="en-CA"/>
        </w:rPr>
      </w:pPr>
      <w:r w:rsidRPr="004C5905">
        <w:rPr>
          <w:i/>
          <w:sz w:val="22"/>
          <w:szCs w:val="22"/>
          <w:lang w:val="en-CA"/>
        </w:rPr>
        <w:t>West Van Holdings Ltd., and West Van Lions Gate Dry Cleaners Ltd. v. Economical Mutual Insurance Company and Intact Insurance Company</w:t>
      </w:r>
      <w:r w:rsidRPr="004C5905">
        <w:rPr>
          <w:i/>
          <w:sz w:val="22"/>
          <w:szCs w:val="22"/>
        </w:rPr>
        <w:t xml:space="preserve"> </w:t>
      </w:r>
      <w:r w:rsidRPr="004C5905">
        <w:rPr>
          <w:sz w:val="22"/>
          <w:szCs w:val="22"/>
        </w:rPr>
        <w:t>(</w:t>
      </w:r>
      <w:r w:rsidRPr="004C5905">
        <w:rPr>
          <w:sz w:val="22"/>
          <w:szCs w:val="22"/>
          <w:lang w:val="en-CA"/>
        </w:rPr>
        <w:t xml:space="preserve">B.C.) (Civil) (By Leave) </w:t>
      </w:r>
      <w:r w:rsidRPr="004C5905">
        <w:rPr>
          <w:sz w:val="22"/>
          <w:szCs w:val="22"/>
        </w:rPr>
        <w:t>(</w:t>
      </w:r>
      <w:hyperlink r:id="rId22" w:history="1">
        <w:r w:rsidRPr="004C5905">
          <w:rPr>
            <w:rStyle w:val="Hyperlink"/>
            <w:sz w:val="22"/>
            <w:szCs w:val="22"/>
          </w:rPr>
          <w:t>38711</w:t>
        </w:r>
      </w:hyperlink>
      <w:r w:rsidRPr="004C5905">
        <w:rPr>
          <w:sz w:val="22"/>
          <w:szCs w:val="22"/>
        </w:rPr>
        <w:t>)</w:t>
      </w:r>
    </w:p>
    <w:p w:rsidR="006E69BD" w:rsidRPr="004C5905" w:rsidRDefault="006E69BD" w:rsidP="00D75521">
      <w:pPr>
        <w:jc w:val="both"/>
        <w:rPr>
          <w:sz w:val="20"/>
        </w:rPr>
      </w:pPr>
    </w:p>
    <w:p w:rsidR="00613E3C" w:rsidRPr="004C5905" w:rsidRDefault="00613E3C" w:rsidP="00D75521">
      <w:pPr>
        <w:jc w:val="both"/>
        <w:rPr>
          <w:sz w:val="20"/>
        </w:rPr>
      </w:pPr>
      <w:r w:rsidRPr="004C5905">
        <w:rPr>
          <w:sz w:val="20"/>
        </w:rPr>
        <w:t>The motion for an extension of time to serve and file the application for leave to appeal is granted. The application for leave to appeal from the judgment of the Court of Appeal for British Columbia (Vancouver), Numbers CA45020 and CA45036, 2019 BCCA 110, dated April 5, 2019, is dismissed with costs.</w:t>
      </w:r>
    </w:p>
    <w:p w:rsidR="00613E3C" w:rsidRPr="004C5905" w:rsidRDefault="00613E3C" w:rsidP="00D75521">
      <w:pPr>
        <w:jc w:val="both"/>
        <w:rPr>
          <w:sz w:val="20"/>
        </w:rPr>
      </w:pPr>
    </w:p>
    <w:p w:rsidR="006E69BD" w:rsidRPr="004C5905" w:rsidRDefault="00613E3C" w:rsidP="00D75521">
      <w:pPr>
        <w:jc w:val="both"/>
        <w:rPr>
          <w:sz w:val="20"/>
          <w:lang w:val="fr-CA"/>
        </w:rPr>
      </w:pPr>
      <w:r w:rsidRPr="004C5905">
        <w:rPr>
          <w:sz w:val="20"/>
          <w:lang w:val="fr-CA"/>
        </w:rPr>
        <w:t>La requête en prorogation du délai de signification et de dépôt de la demande d’autorisation d’appel est accueillie. La demande d’autorisation d’appel de l’arrêt de la Cour d’appel de la Colombie</w:t>
      </w:r>
      <w:r w:rsidRPr="004C5905">
        <w:rPr>
          <w:sz w:val="20"/>
          <w:lang w:val="fr-CA"/>
        </w:rPr>
        <w:noBreakHyphen/>
        <w:t>Britannique (Vancouver), numéros CA45020 et CA45036, 2019 BCCA 110, daté du 5 avril 2019, est rejetée avec dépens.</w:t>
      </w:r>
    </w:p>
    <w:p w:rsidR="006E69BD" w:rsidRPr="004C5905" w:rsidRDefault="006E69BD" w:rsidP="00D75521">
      <w:pPr>
        <w:jc w:val="both"/>
        <w:rPr>
          <w:sz w:val="20"/>
          <w:lang w:val="fr-CA"/>
        </w:rPr>
      </w:pPr>
    </w:p>
    <w:p w:rsidR="00D3228D" w:rsidRPr="004C5905" w:rsidRDefault="006E0E16" w:rsidP="008660CA">
      <w:pPr>
        <w:jc w:val="both"/>
        <w:rPr>
          <w:sz w:val="20"/>
        </w:rPr>
      </w:pPr>
      <w:r>
        <w:rPr>
          <w:sz w:val="20"/>
        </w:rPr>
        <w:pict>
          <v:rect id="_x0000_i1040" style="width:2in;height:1pt" o:hrpct="0" o:hralign="center" o:hrstd="t" o:hrnoshade="t" o:hr="t" fillcolor="black [3213]" stroked="f"/>
        </w:pict>
      </w:r>
    </w:p>
    <w:p w:rsidR="006E69BD" w:rsidRPr="004C5905" w:rsidRDefault="006E69BD" w:rsidP="00D3228D">
      <w:pPr>
        <w:ind w:left="357" w:hanging="357"/>
        <w:jc w:val="both"/>
        <w:rPr>
          <w:sz w:val="20"/>
        </w:rPr>
      </w:pPr>
    </w:p>
    <w:p w:rsidR="006E69BD" w:rsidRPr="004C5905" w:rsidRDefault="006E69BD" w:rsidP="00D3228D">
      <w:pPr>
        <w:ind w:left="357" w:hanging="357"/>
        <w:jc w:val="both"/>
        <w:rPr>
          <w:sz w:val="20"/>
        </w:rPr>
      </w:pPr>
    </w:p>
    <w:p w:rsidR="00A30607" w:rsidRPr="004C5905" w:rsidRDefault="00A30607" w:rsidP="00D3228D">
      <w:pPr>
        <w:ind w:left="357" w:hanging="357"/>
        <w:jc w:val="both"/>
        <w:rPr>
          <w:sz w:val="20"/>
        </w:rPr>
      </w:pPr>
    </w:p>
    <w:p w:rsidR="00D3344A" w:rsidRPr="004C5905" w:rsidRDefault="00D3344A" w:rsidP="00D3344A">
      <w:pPr>
        <w:widowControl w:val="0"/>
        <w:outlineLvl w:val="0"/>
      </w:pPr>
      <w:r w:rsidRPr="004C5905">
        <w:t xml:space="preserve">Supreme Court of Canada / Cour suprême du </w:t>
      </w:r>
      <w:proofErr w:type="gramStart"/>
      <w:r w:rsidRPr="004C5905">
        <w:t>Canada :</w:t>
      </w:r>
      <w:proofErr w:type="gramEnd"/>
      <w:r w:rsidRPr="004C5905">
        <w:t xml:space="preserve"> </w:t>
      </w:r>
    </w:p>
    <w:p w:rsidR="00D3344A" w:rsidRPr="004C5905" w:rsidRDefault="006E0E16" w:rsidP="00D3344A">
      <w:pPr>
        <w:widowControl w:val="0"/>
        <w:outlineLvl w:val="0"/>
        <w:rPr>
          <w:color w:val="0000FF"/>
          <w:u w:val="single"/>
        </w:rPr>
      </w:pPr>
      <w:hyperlink r:id="rId23" w:history="1">
        <w:r w:rsidR="00D3344A" w:rsidRPr="004C5905">
          <w:rPr>
            <w:rStyle w:val="Hyperlink"/>
          </w:rPr>
          <w:t>comments-commentaires@scc-csc.ca</w:t>
        </w:r>
      </w:hyperlink>
    </w:p>
    <w:p w:rsidR="00D3344A" w:rsidRPr="004C5905" w:rsidRDefault="00D3344A" w:rsidP="00D3344A">
      <w:pPr>
        <w:widowControl w:val="0"/>
        <w:outlineLvl w:val="0"/>
      </w:pPr>
      <w:r w:rsidRPr="004C5905">
        <w:t>(613) 995-4330</w:t>
      </w:r>
    </w:p>
    <w:p w:rsidR="00497B5E" w:rsidRPr="004C5905" w:rsidRDefault="00497B5E" w:rsidP="00497B5E">
      <w:pPr>
        <w:widowControl w:val="0"/>
        <w:rPr>
          <w:sz w:val="20"/>
        </w:rPr>
      </w:pPr>
    </w:p>
    <w:p w:rsidR="003F43E6" w:rsidRPr="004C5905" w:rsidRDefault="003F43E6" w:rsidP="00497B5E">
      <w:pPr>
        <w:widowControl w:val="0"/>
        <w:rPr>
          <w:sz w:val="20"/>
        </w:rPr>
      </w:pPr>
    </w:p>
    <w:p w:rsidR="00224F26" w:rsidRPr="00910AEC" w:rsidRDefault="003F43E6" w:rsidP="00DE0F77">
      <w:pPr>
        <w:pStyle w:val="Footer"/>
        <w:jc w:val="center"/>
      </w:pPr>
      <w:r w:rsidRPr="004C5905">
        <w:t>- 30</w:t>
      </w:r>
      <w:r w:rsidR="00312438" w:rsidRPr="004C5905">
        <w:t xml:space="preserve"> -</w:t>
      </w:r>
    </w:p>
    <w:p w:rsidR="00C711D9" w:rsidRPr="00910AEC" w:rsidRDefault="00C711D9">
      <w:pPr>
        <w:pStyle w:val="Footer"/>
        <w:jc w:val="center"/>
      </w:pPr>
    </w:p>
    <w:sectPr w:rsidR="00C711D9" w:rsidRPr="00910AEC"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B3588"/>
    <w:multiLevelType w:val="hybridMultilevel"/>
    <w:tmpl w:val="9F5AD0E6"/>
    <w:lvl w:ilvl="0" w:tplc="942C021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3"/>
  </w:num>
  <w:num w:numId="6">
    <w:abstractNumId w:val="5"/>
  </w:num>
  <w:num w:numId="7">
    <w:abstractNumId w:val="11"/>
  </w:num>
  <w:num w:numId="8">
    <w:abstractNumId w:val="9"/>
  </w:num>
  <w:num w:numId="9">
    <w:abstractNumId w:val="1"/>
  </w:num>
  <w:num w:numId="10">
    <w:abstractNumId w:val="7"/>
  </w:num>
  <w:num w:numId="11">
    <w:abstractNumId w:val="14"/>
  </w:num>
  <w:num w:numId="12">
    <w:abstractNumId w:val="8"/>
  </w:num>
  <w:num w:numId="13">
    <w:abstractNumId w:val="4"/>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1A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1E37"/>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3B75"/>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1FF5"/>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294"/>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B73"/>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3D02"/>
    <w:rsid w:val="00413F5D"/>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5905"/>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BBE"/>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69F4"/>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B0AAB"/>
    <w:rsid w:val="005B0D9E"/>
    <w:rsid w:val="005B10D6"/>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A2E"/>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3E3C"/>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84C"/>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0E16"/>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3793"/>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EFB"/>
    <w:rsid w:val="007608A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86F"/>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D5B"/>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04C"/>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17E"/>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06FF"/>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283C"/>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6C2"/>
    <w:rsid w:val="00B467BD"/>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600B2"/>
    <w:rsid w:val="00B6031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9E7"/>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2CA8"/>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6626"/>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70"/>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FAF"/>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69A"/>
    <w:rsid w:val="00CC57C1"/>
    <w:rsid w:val="00CC594E"/>
    <w:rsid w:val="00CC759C"/>
    <w:rsid w:val="00CD0363"/>
    <w:rsid w:val="00CD171A"/>
    <w:rsid w:val="00CD1CCD"/>
    <w:rsid w:val="00CD47F7"/>
    <w:rsid w:val="00CD4BBB"/>
    <w:rsid w:val="00CD4F9A"/>
    <w:rsid w:val="00CD507B"/>
    <w:rsid w:val="00CD59AA"/>
    <w:rsid w:val="00CD795C"/>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DE9"/>
    <w:rsid w:val="00E62E0E"/>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0806"/>
    <w:rsid w:val="00EF1864"/>
    <w:rsid w:val="00EF26B4"/>
    <w:rsid w:val="00EF3E2B"/>
    <w:rsid w:val="00EF4903"/>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465"/>
    <w:rsid w:val="00F41940"/>
    <w:rsid w:val="00F4211F"/>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3EAC"/>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72" TargetMode="External"/><Relationship Id="rId13" Type="http://schemas.openxmlformats.org/officeDocument/2006/relationships/hyperlink" Target="https://www.scc-csc.ca/case-dossier/info/sum-som-eng.aspx?cas=38810" TargetMode="External"/><Relationship Id="rId18" Type="http://schemas.openxmlformats.org/officeDocument/2006/relationships/hyperlink" Target="https://www.scc-csc.ca/case-dossier/info/sum-som-eng.aspx?cas=388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38791" TargetMode="External"/><Relationship Id="rId7" Type="http://schemas.openxmlformats.org/officeDocument/2006/relationships/endnotes" Target="endnotes.xml"/><Relationship Id="rId12" Type="http://schemas.openxmlformats.org/officeDocument/2006/relationships/hyperlink" Target="https://www.scc-csc.ca/case-dossier/info/sum-som-eng.aspx?cas=38793" TargetMode="External"/><Relationship Id="rId17" Type="http://schemas.openxmlformats.org/officeDocument/2006/relationships/hyperlink" Target="https://www.scc-csc.ca/case-dossier/info/sum-som-eng.aspx?cas=3880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8706" TargetMode="External"/><Relationship Id="rId20" Type="http://schemas.openxmlformats.org/officeDocument/2006/relationships/hyperlink" Target="https://www.scc-csc.ca/case-dossier/info/sum-som-eng.aspx?cas=3881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74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792"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eng.aspx?cas=38841" TargetMode="External"/><Relationship Id="rId19" Type="http://schemas.openxmlformats.org/officeDocument/2006/relationships/hyperlink" Target="https://www.scc-csc.ca/case-dossier/info/sum-som-eng.aspx?cas=3878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769" TargetMode="External"/><Relationship Id="rId14" Type="http://schemas.openxmlformats.org/officeDocument/2006/relationships/hyperlink" Target="https://www.scc-csc.ca/case-dossier/info/sum-som-eng.aspx?cas=38843" TargetMode="External"/><Relationship Id="rId22" Type="http://schemas.openxmlformats.org/officeDocument/2006/relationships/hyperlink" Target="https://www.scc-csc.ca/case-dossier/info/sum-som-eng.aspx?cas=3871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B5F7-D61E-4B3E-AB9F-5E148790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2020-01-16T14:02:00Z</dcterms:modified>
</cp:coreProperties>
</file>