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E74E29" w:rsidRDefault="000E391F" w:rsidP="000E391F">
      <w:pPr>
        <w:pStyle w:val="Header"/>
        <w:jc w:val="center"/>
        <w:rPr>
          <w:b/>
          <w:sz w:val="32"/>
          <w:szCs w:val="32"/>
        </w:rPr>
      </w:pPr>
      <w:r w:rsidRPr="00E74E29">
        <w:rPr>
          <w:b/>
          <w:sz w:val="32"/>
          <w:szCs w:val="32"/>
        </w:rPr>
        <w:t>Supreme Court of Canada / Cour suprême du Canada</w:t>
      </w:r>
    </w:p>
    <w:p w:rsidR="000E391F" w:rsidRPr="00E74E29" w:rsidRDefault="000E391F" w:rsidP="000E391F">
      <w:pPr>
        <w:widowControl w:val="0"/>
        <w:rPr>
          <w:sz w:val="20"/>
        </w:rPr>
      </w:pPr>
    </w:p>
    <w:p w:rsidR="000E391F" w:rsidRPr="00E74E29" w:rsidRDefault="000E391F" w:rsidP="000E391F">
      <w:pPr>
        <w:widowControl w:val="0"/>
        <w:rPr>
          <w:i/>
          <w:sz w:val="20"/>
        </w:rPr>
      </w:pPr>
    </w:p>
    <w:p w:rsidR="006F2579" w:rsidRPr="00E74E29" w:rsidRDefault="006F2579" w:rsidP="006F2579">
      <w:pPr>
        <w:widowControl w:val="0"/>
        <w:rPr>
          <w:i/>
          <w:sz w:val="20"/>
        </w:rPr>
      </w:pPr>
      <w:r w:rsidRPr="00E74E29">
        <w:rPr>
          <w:i/>
          <w:sz w:val="20"/>
        </w:rPr>
        <w:t>(</w:t>
      </w:r>
      <w:r w:rsidR="003240B6" w:rsidRPr="00E74E29">
        <w:rPr>
          <w:i/>
          <w:sz w:val="20"/>
        </w:rPr>
        <w:t>L</w:t>
      </w:r>
      <w:r w:rsidRPr="00E74E29">
        <w:rPr>
          <w:i/>
          <w:sz w:val="20"/>
        </w:rPr>
        <w:t>e français suit)</w:t>
      </w:r>
    </w:p>
    <w:p w:rsidR="006F2579" w:rsidRPr="00E74E29" w:rsidRDefault="006F2579" w:rsidP="006F2579">
      <w:pPr>
        <w:widowControl w:val="0"/>
        <w:rPr>
          <w:sz w:val="20"/>
        </w:rPr>
      </w:pPr>
    </w:p>
    <w:p w:rsidR="006F2579" w:rsidRPr="00E74E29" w:rsidRDefault="00B07908" w:rsidP="006F2579">
      <w:pPr>
        <w:widowControl w:val="0"/>
        <w:jc w:val="center"/>
        <w:rPr>
          <w:b/>
          <w:szCs w:val="24"/>
        </w:rPr>
      </w:pPr>
      <w:r w:rsidRPr="00E74E29">
        <w:rPr>
          <w:szCs w:val="24"/>
        </w:rPr>
        <w:fldChar w:fldCharType="begin"/>
      </w:r>
      <w:r w:rsidR="006F2579" w:rsidRPr="00E74E29">
        <w:rPr>
          <w:szCs w:val="24"/>
        </w:rPr>
        <w:instrText xml:space="preserve"> SEQ CHAPTER \h \r 1</w:instrText>
      </w:r>
      <w:r w:rsidRPr="00E74E29">
        <w:rPr>
          <w:szCs w:val="24"/>
        </w:rPr>
        <w:fldChar w:fldCharType="end"/>
      </w:r>
      <w:r w:rsidR="006F2579" w:rsidRPr="00E74E29">
        <w:rPr>
          <w:b/>
          <w:szCs w:val="24"/>
        </w:rPr>
        <w:t>JUDGMENT</w:t>
      </w:r>
      <w:r w:rsidR="00B17AAC" w:rsidRPr="00E74E29">
        <w:rPr>
          <w:b/>
          <w:szCs w:val="24"/>
        </w:rPr>
        <w:t>S</w:t>
      </w:r>
      <w:r w:rsidR="006F2579" w:rsidRPr="00E74E29">
        <w:rPr>
          <w:b/>
          <w:szCs w:val="24"/>
        </w:rPr>
        <w:t xml:space="preserve"> TO B</w:t>
      </w:r>
      <w:r w:rsidR="00001846" w:rsidRPr="00E74E29">
        <w:rPr>
          <w:b/>
          <w:szCs w:val="24"/>
        </w:rPr>
        <w:t>E RENDERED IN LE</w:t>
      </w:r>
      <w:r w:rsidR="00A0288A" w:rsidRPr="00E74E29">
        <w:rPr>
          <w:b/>
          <w:szCs w:val="24"/>
        </w:rPr>
        <w:t>A</w:t>
      </w:r>
      <w:r w:rsidR="00001846" w:rsidRPr="00E74E29">
        <w:rPr>
          <w:b/>
          <w:szCs w:val="24"/>
        </w:rPr>
        <w:t>VE APPLICATION</w:t>
      </w:r>
      <w:r w:rsidR="00511288" w:rsidRPr="00E74E29">
        <w:rPr>
          <w:b/>
          <w:szCs w:val="24"/>
        </w:rPr>
        <w:t>S</w:t>
      </w:r>
    </w:p>
    <w:p w:rsidR="006F2579" w:rsidRPr="00E74E29" w:rsidRDefault="006F2579" w:rsidP="006F2579">
      <w:pPr>
        <w:widowControl w:val="0"/>
        <w:rPr>
          <w:szCs w:val="24"/>
        </w:rPr>
      </w:pPr>
    </w:p>
    <w:p w:rsidR="006F2579" w:rsidRPr="00E74E29" w:rsidRDefault="004C57F4" w:rsidP="006F2579">
      <w:pPr>
        <w:widowControl w:val="0"/>
        <w:rPr>
          <w:szCs w:val="24"/>
        </w:rPr>
      </w:pPr>
      <w:r w:rsidRPr="00E74E29">
        <w:rPr>
          <w:b/>
          <w:szCs w:val="24"/>
        </w:rPr>
        <w:t>April</w:t>
      </w:r>
      <w:r w:rsidR="00A15B66" w:rsidRPr="00E74E29">
        <w:rPr>
          <w:b/>
          <w:szCs w:val="24"/>
        </w:rPr>
        <w:t xml:space="preserve"> </w:t>
      </w:r>
      <w:r w:rsidR="006E78B9" w:rsidRPr="00E74E29">
        <w:rPr>
          <w:b/>
          <w:szCs w:val="24"/>
        </w:rPr>
        <w:t>11</w:t>
      </w:r>
      <w:r w:rsidR="004441C7" w:rsidRPr="00E74E29">
        <w:rPr>
          <w:b/>
          <w:szCs w:val="24"/>
        </w:rPr>
        <w:t>,</w:t>
      </w:r>
      <w:r w:rsidR="006F2579" w:rsidRPr="00E74E29">
        <w:rPr>
          <w:b/>
          <w:szCs w:val="24"/>
        </w:rPr>
        <w:t xml:space="preserve"> </w:t>
      </w:r>
      <w:r w:rsidR="0054689F" w:rsidRPr="00E74E29">
        <w:rPr>
          <w:b/>
          <w:szCs w:val="24"/>
        </w:rPr>
        <w:t>20</w:t>
      </w:r>
      <w:r w:rsidR="00526754" w:rsidRPr="00E74E29">
        <w:rPr>
          <w:b/>
          <w:szCs w:val="24"/>
        </w:rPr>
        <w:t>2</w:t>
      </w:r>
      <w:r w:rsidR="00644008" w:rsidRPr="00E74E29">
        <w:rPr>
          <w:b/>
          <w:szCs w:val="24"/>
        </w:rPr>
        <w:t>2</w:t>
      </w:r>
    </w:p>
    <w:p w:rsidR="006F2579" w:rsidRPr="00E74E29" w:rsidRDefault="00674F39" w:rsidP="006F2579">
      <w:pPr>
        <w:widowControl w:val="0"/>
        <w:rPr>
          <w:b/>
          <w:szCs w:val="24"/>
        </w:rPr>
      </w:pPr>
      <w:r w:rsidRPr="00E74E29">
        <w:rPr>
          <w:b/>
          <w:szCs w:val="24"/>
        </w:rPr>
        <w:t>For immediate release</w:t>
      </w:r>
    </w:p>
    <w:p w:rsidR="006F2579" w:rsidRPr="00E74E29" w:rsidRDefault="006F2579" w:rsidP="006F2579">
      <w:pPr>
        <w:widowControl w:val="0"/>
        <w:rPr>
          <w:szCs w:val="24"/>
        </w:rPr>
      </w:pPr>
    </w:p>
    <w:p w:rsidR="006F2579" w:rsidRPr="00E74E29" w:rsidRDefault="006F2579" w:rsidP="006F2579">
      <w:pPr>
        <w:widowControl w:val="0"/>
        <w:rPr>
          <w:szCs w:val="24"/>
          <w:lang w:val="fr-CA"/>
        </w:rPr>
      </w:pPr>
      <w:r w:rsidRPr="00E74E29">
        <w:rPr>
          <w:b/>
          <w:szCs w:val="24"/>
        </w:rPr>
        <w:t>OTTAWA</w:t>
      </w:r>
      <w:r w:rsidRPr="00E74E29">
        <w:rPr>
          <w:szCs w:val="24"/>
        </w:rPr>
        <w:t xml:space="preserve"> – The Supreme Court of Canad</w:t>
      </w:r>
      <w:r w:rsidR="006246E4" w:rsidRPr="00E74E29">
        <w:rPr>
          <w:szCs w:val="24"/>
        </w:rPr>
        <w:t>a</w:t>
      </w:r>
      <w:r w:rsidRPr="00E74E29">
        <w:rPr>
          <w:szCs w:val="24"/>
        </w:rPr>
        <w:t xml:space="preserve"> announced today that judgment in the following </w:t>
      </w:r>
      <w:r w:rsidR="00DB6199" w:rsidRPr="00E74E29">
        <w:rPr>
          <w:szCs w:val="24"/>
        </w:rPr>
        <w:t xml:space="preserve">leave applications </w:t>
      </w:r>
      <w:r w:rsidRPr="00E74E29">
        <w:rPr>
          <w:szCs w:val="24"/>
        </w:rPr>
        <w:t>will be delivere</w:t>
      </w:r>
      <w:r w:rsidR="00CE2C5F" w:rsidRPr="00E74E29">
        <w:rPr>
          <w:szCs w:val="24"/>
        </w:rPr>
        <w:t>d</w:t>
      </w:r>
      <w:r w:rsidRPr="00E74E29">
        <w:rPr>
          <w:szCs w:val="24"/>
        </w:rPr>
        <w:t xml:space="preserve"> at 9:45 a.m. </w:t>
      </w:r>
      <w:r w:rsidR="00E05816" w:rsidRPr="00E74E29">
        <w:rPr>
          <w:szCs w:val="24"/>
        </w:rPr>
        <w:t>E</w:t>
      </w:r>
      <w:r w:rsidR="00882B6B" w:rsidRPr="00E74E29">
        <w:rPr>
          <w:szCs w:val="24"/>
        </w:rPr>
        <w:t>D</w:t>
      </w:r>
      <w:r w:rsidR="00E05816" w:rsidRPr="00E74E29">
        <w:rPr>
          <w:szCs w:val="24"/>
        </w:rPr>
        <w:t>T</w:t>
      </w:r>
      <w:r w:rsidRPr="00E74E29">
        <w:rPr>
          <w:szCs w:val="24"/>
        </w:rPr>
        <w:t xml:space="preserve"> on </w:t>
      </w:r>
      <w:r w:rsidR="00322A9C" w:rsidRPr="00E74E29">
        <w:rPr>
          <w:szCs w:val="24"/>
        </w:rPr>
        <w:t>Thurs</w:t>
      </w:r>
      <w:r w:rsidR="00680A85" w:rsidRPr="00E74E29">
        <w:rPr>
          <w:szCs w:val="24"/>
        </w:rPr>
        <w:t>day</w:t>
      </w:r>
      <w:r w:rsidRPr="00E74E29">
        <w:rPr>
          <w:szCs w:val="24"/>
        </w:rPr>
        <w:t xml:space="preserve">, </w:t>
      </w:r>
      <w:r w:rsidR="004C57F4" w:rsidRPr="00E74E29">
        <w:rPr>
          <w:szCs w:val="24"/>
        </w:rPr>
        <w:t>April</w:t>
      </w:r>
      <w:r w:rsidR="00455912" w:rsidRPr="00E74E29">
        <w:rPr>
          <w:szCs w:val="24"/>
        </w:rPr>
        <w:t xml:space="preserve"> </w:t>
      </w:r>
      <w:r w:rsidR="006E78B9" w:rsidRPr="00E74E29">
        <w:rPr>
          <w:szCs w:val="24"/>
        </w:rPr>
        <w:t>14</w:t>
      </w:r>
      <w:r w:rsidR="007E112F" w:rsidRPr="00E74E29">
        <w:rPr>
          <w:szCs w:val="24"/>
        </w:rPr>
        <w:t>,</w:t>
      </w:r>
      <w:r w:rsidR="002F38D7" w:rsidRPr="00E74E29">
        <w:rPr>
          <w:szCs w:val="24"/>
        </w:rPr>
        <w:t xml:space="preserve"> </w:t>
      </w:r>
      <w:r w:rsidR="006648D1" w:rsidRPr="00E74E29">
        <w:rPr>
          <w:szCs w:val="24"/>
        </w:rPr>
        <w:t>20</w:t>
      </w:r>
      <w:r w:rsidR="00526754" w:rsidRPr="00E74E29">
        <w:rPr>
          <w:szCs w:val="24"/>
        </w:rPr>
        <w:t>2</w:t>
      </w:r>
      <w:r w:rsidR="00644008" w:rsidRPr="00E74E29">
        <w:rPr>
          <w:szCs w:val="24"/>
        </w:rPr>
        <w:t>2</w:t>
      </w:r>
      <w:r w:rsidRPr="00E74E29">
        <w:rPr>
          <w:szCs w:val="24"/>
        </w:rPr>
        <w:t xml:space="preserve">. </w:t>
      </w:r>
      <w:r w:rsidRPr="00E74E29">
        <w:rPr>
          <w:szCs w:val="24"/>
          <w:lang w:val="fr-CA"/>
        </w:rPr>
        <w:t>This list is subject to chang</w:t>
      </w:r>
      <w:r w:rsidR="00192F7F" w:rsidRPr="00E74E29">
        <w:rPr>
          <w:szCs w:val="24"/>
          <w:lang w:val="fr-CA"/>
        </w:rPr>
        <w:t>e</w:t>
      </w:r>
      <w:r w:rsidRPr="00E74E29">
        <w:rPr>
          <w:szCs w:val="24"/>
          <w:lang w:val="fr-CA"/>
        </w:rPr>
        <w:t>.</w:t>
      </w:r>
    </w:p>
    <w:p w:rsidR="00FF5AA4" w:rsidRPr="00E74E29" w:rsidRDefault="00FF5AA4" w:rsidP="006F2579">
      <w:pPr>
        <w:widowControl w:val="0"/>
        <w:rPr>
          <w:szCs w:val="24"/>
          <w:lang w:val="fr-CA"/>
        </w:rPr>
      </w:pPr>
    </w:p>
    <w:p w:rsidR="00B43418" w:rsidRPr="00E74E29" w:rsidRDefault="00B43418" w:rsidP="006F2579">
      <w:pPr>
        <w:widowControl w:val="0"/>
        <w:rPr>
          <w:szCs w:val="24"/>
          <w:lang w:val="fr-CA"/>
        </w:rPr>
      </w:pPr>
    </w:p>
    <w:p w:rsidR="006F2579" w:rsidRPr="00E74E29" w:rsidRDefault="006F2579" w:rsidP="006F2579">
      <w:pPr>
        <w:widowControl w:val="0"/>
        <w:jc w:val="center"/>
        <w:rPr>
          <w:szCs w:val="24"/>
          <w:lang w:val="fr-CA"/>
        </w:rPr>
      </w:pPr>
      <w:r w:rsidRPr="00E74E29">
        <w:rPr>
          <w:b/>
          <w:szCs w:val="24"/>
          <w:lang w:val="fr-CA"/>
        </w:rPr>
        <w:t>PROCHAIN</w:t>
      </w:r>
      <w:r w:rsidR="00B17AAC" w:rsidRPr="00E74E29">
        <w:rPr>
          <w:b/>
          <w:szCs w:val="24"/>
          <w:lang w:val="fr-CA"/>
        </w:rPr>
        <w:t>S</w:t>
      </w:r>
      <w:r w:rsidRPr="00E74E29">
        <w:rPr>
          <w:b/>
          <w:szCs w:val="24"/>
          <w:lang w:val="fr-CA"/>
        </w:rPr>
        <w:t xml:space="preserve"> JUGEMENT</w:t>
      </w:r>
      <w:r w:rsidR="00B17AAC" w:rsidRPr="00E74E29">
        <w:rPr>
          <w:b/>
          <w:szCs w:val="24"/>
          <w:lang w:val="fr-CA"/>
        </w:rPr>
        <w:t>S</w:t>
      </w:r>
      <w:r w:rsidR="00001846" w:rsidRPr="00E74E29">
        <w:rPr>
          <w:b/>
          <w:szCs w:val="24"/>
          <w:lang w:val="fr-CA"/>
        </w:rPr>
        <w:t xml:space="preserve"> SUR DEMANDE</w:t>
      </w:r>
      <w:r w:rsidR="00B17AAC" w:rsidRPr="00E74E29">
        <w:rPr>
          <w:b/>
          <w:szCs w:val="24"/>
          <w:lang w:val="fr-CA"/>
        </w:rPr>
        <w:t>S</w:t>
      </w:r>
      <w:r w:rsidRPr="00E74E29">
        <w:rPr>
          <w:b/>
          <w:szCs w:val="24"/>
          <w:lang w:val="fr-CA"/>
        </w:rPr>
        <w:t xml:space="preserve"> D’AUTORISATION</w:t>
      </w:r>
    </w:p>
    <w:p w:rsidR="006F2579" w:rsidRPr="00E74E29" w:rsidRDefault="006F2579" w:rsidP="006F2579">
      <w:pPr>
        <w:widowControl w:val="0"/>
        <w:rPr>
          <w:szCs w:val="24"/>
          <w:lang w:val="fr-CA"/>
        </w:rPr>
      </w:pPr>
    </w:p>
    <w:p w:rsidR="006F2579" w:rsidRPr="00E74E29" w:rsidRDefault="006F2579" w:rsidP="006F2579">
      <w:pPr>
        <w:widowControl w:val="0"/>
        <w:rPr>
          <w:szCs w:val="24"/>
          <w:lang w:val="fr-CA"/>
        </w:rPr>
      </w:pPr>
      <w:r w:rsidRPr="00E74E29">
        <w:rPr>
          <w:b/>
          <w:szCs w:val="24"/>
          <w:lang w:val="fr-CA"/>
        </w:rPr>
        <w:t>Le</w:t>
      </w:r>
      <w:r w:rsidR="00957A76" w:rsidRPr="00E74E29">
        <w:rPr>
          <w:b/>
          <w:szCs w:val="24"/>
          <w:lang w:val="fr-CA"/>
        </w:rPr>
        <w:t xml:space="preserve"> </w:t>
      </w:r>
      <w:r w:rsidR="006E78B9" w:rsidRPr="00E74E29">
        <w:rPr>
          <w:b/>
          <w:szCs w:val="24"/>
          <w:lang w:val="fr-CA"/>
        </w:rPr>
        <w:t>11</w:t>
      </w:r>
      <w:r w:rsidR="00075EC0" w:rsidRPr="00E74E29">
        <w:rPr>
          <w:b/>
          <w:szCs w:val="24"/>
          <w:lang w:val="fr-CA"/>
        </w:rPr>
        <w:t xml:space="preserve"> </w:t>
      </w:r>
      <w:r w:rsidR="0001473D" w:rsidRPr="00E74E29">
        <w:rPr>
          <w:b/>
          <w:szCs w:val="24"/>
          <w:lang w:val="fr-CA"/>
        </w:rPr>
        <w:t>a</w:t>
      </w:r>
      <w:r w:rsidR="004C57F4" w:rsidRPr="00E74E29">
        <w:rPr>
          <w:b/>
          <w:szCs w:val="24"/>
          <w:lang w:val="fr-CA"/>
        </w:rPr>
        <w:t>v</w:t>
      </w:r>
      <w:r w:rsidR="0001473D" w:rsidRPr="00E74E29">
        <w:rPr>
          <w:b/>
          <w:szCs w:val="24"/>
          <w:lang w:val="fr-CA"/>
        </w:rPr>
        <w:t>r</w:t>
      </w:r>
      <w:r w:rsidR="004C57F4" w:rsidRPr="00E74E29">
        <w:rPr>
          <w:b/>
          <w:szCs w:val="24"/>
          <w:lang w:val="fr-CA"/>
        </w:rPr>
        <w:t>il</w:t>
      </w:r>
      <w:r w:rsidR="00A151D1" w:rsidRPr="00E74E29">
        <w:rPr>
          <w:b/>
          <w:szCs w:val="24"/>
          <w:lang w:val="fr-CA"/>
        </w:rPr>
        <w:t xml:space="preserve"> 20</w:t>
      </w:r>
      <w:r w:rsidR="00526754" w:rsidRPr="00E74E29">
        <w:rPr>
          <w:b/>
          <w:szCs w:val="24"/>
          <w:lang w:val="fr-CA"/>
        </w:rPr>
        <w:t>2</w:t>
      </w:r>
      <w:r w:rsidR="00644008" w:rsidRPr="00E74E29">
        <w:rPr>
          <w:b/>
          <w:szCs w:val="24"/>
          <w:lang w:val="fr-CA"/>
        </w:rPr>
        <w:t>2</w:t>
      </w:r>
    </w:p>
    <w:p w:rsidR="006F2579" w:rsidRPr="00E74E29" w:rsidRDefault="006F2579" w:rsidP="006F2579">
      <w:pPr>
        <w:widowControl w:val="0"/>
        <w:rPr>
          <w:b/>
          <w:szCs w:val="24"/>
          <w:lang w:val="fr-CA"/>
        </w:rPr>
      </w:pPr>
      <w:r w:rsidRPr="00E74E29">
        <w:rPr>
          <w:b/>
          <w:szCs w:val="24"/>
          <w:lang w:val="fr-CA"/>
        </w:rPr>
        <w:t>Pour diffusion immédiate</w:t>
      </w:r>
    </w:p>
    <w:p w:rsidR="006F2579" w:rsidRPr="00E74E29" w:rsidRDefault="006F2579" w:rsidP="006F2579">
      <w:pPr>
        <w:widowControl w:val="0"/>
        <w:rPr>
          <w:szCs w:val="24"/>
          <w:lang w:val="fr-CA"/>
        </w:rPr>
      </w:pPr>
    </w:p>
    <w:p w:rsidR="006F2579" w:rsidRPr="00E74E29" w:rsidRDefault="006F2579" w:rsidP="006F2579">
      <w:pPr>
        <w:widowControl w:val="0"/>
        <w:rPr>
          <w:szCs w:val="24"/>
          <w:lang w:val="fr-CA"/>
        </w:rPr>
      </w:pPr>
      <w:r w:rsidRPr="00E74E29">
        <w:rPr>
          <w:b/>
          <w:szCs w:val="24"/>
          <w:lang w:val="fr-CA"/>
        </w:rPr>
        <w:t>OTTAWA</w:t>
      </w:r>
      <w:r w:rsidRPr="00E74E29">
        <w:rPr>
          <w:szCs w:val="24"/>
          <w:lang w:val="fr-CA"/>
        </w:rPr>
        <w:t xml:space="preserve"> – La Cour suprême du Canada annonce que jugement ser</w:t>
      </w:r>
      <w:r w:rsidR="004259F9" w:rsidRPr="00E74E29">
        <w:rPr>
          <w:szCs w:val="24"/>
          <w:lang w:val="fr-CA"/>
        </w:rPr>
        <w:t>a</w:t>
      </w:r>
      <w:r w:rsidRPr="00E74E29">
        <w:rPr>
          <w:szCs w:val="24"/>
          <w:lang w:val="fr-CA"/>
        </w:rPr>
        <w:t xml:space="preserve"> rendu dans l</w:t>
      </w:r>
      <w:r w:rsidR="008600ED" w:rsidRPr="00E74E29">
        <w:rPr>
          <w:szCs w:val="24"/>
          <w:lang w:val="fr-CA"/>
        </w:rPr>
        <w:t>es</w:t>
      </w:r>
      <w:r w:rsidRPr="00E74E29">
        <w:rPr>
          <w:szCs w:val="24"/>
          <w:lang w:val="fr-CA"/>
        </w:rPr>
        <w:t xml:space="preserve"> demande</w:t>
      </w:r>
      <w:r w:rsidR="008600ED" w:rsidRPr="00E74E29">
        <w:rPr>
          <w:szCs w:val="24"/>
          <w:lang w:val="fr-CA"/>
        </w:rPr>
        <w:t>s</w:t>
      </w:r>
      <w:r w:rsidRPr="00E74E29">
        <w:rPr>
          <w:szCs w:val="24"/>
          <w:lang w:val="fr-CA"/>
        </w:rPr>
        <w:t xml:space="preserve"> d</w:t>
      </w:r>
      <w:r w:rsidR="00001846" w:rsidRPr="00E74E29">
        <w:rPr>
          <w:szCs w:val="24"/>
          <w:lang w:val="fr-CA"/>
        </w:rPr>
        <w:t>’autorisation suivante</w:t>
      </w:r>
      <w:r w:rsidR="008600ED" w:rsidRPr="00E74E29">
        <w:rPr>
          <w:szCs w:val="24"/>
          <w:lang w:val="fr-CA"/>
        </w:rPr>
        <w:t>s</w:t>
      </w:r>
      <w:r w:rsidRPr="00E74E29">
        <w:rPr>
          <w:szCs w:val="24"/>
          <w:lang w:val="fr-CA"/>
        </w:rPr>
        <w:t xml:space="preserve"> le </w:t>
      </w:r>
      <w:r w:rsidR="00322A9C" w:rsidRPr="00E74E29">
        <w:rPr>
          <w:szCs w:val="24"/>
          <w:lang w:val="fr-CA"/>
        </w:rPr>
        <w:t>jeu</w:t>
      </w:r>
      <w:r w:rsidR="00680A85" w:rsidRPr="00E74E29">
        <w:rPr>
          <w:szCs w:val="24"/>
          <w:lang w:val="fr-CA"/>
        </w:rPr>
        <w:t>di</w:t>
      </w:r>
      <w:r w:rsidRPr="00E74E29">
        <w:rPr>
          <w:szCs w:val="24"/>
          <w:lang w:val="fr-CA"/>
        </w:rPr>
        <w:t xml:space="preserve"> </w:t>
      </w:r>
      <w:r w:rsidR="006E78B9" w:rsidRPr="00E74E29">
        <w:rPr>
          <w:szCs w:val="24"/>
          <w:lang w:val="fr-CA"/>
        </w:rPr>
        <w:t>14</w:t>
      </w:r>
      <w:r w:rsidR="009E0BD3" w:rsidRPr="00E74E29">
        <w:rPr>
          <w:szCs w:val="24"/>
          <w:lang w:val="fr-CA"/>
        </w:rPr>
        <w:t xml:space="preserve"> </w:t>
      </w:r>
      <w:r w:rsidR="00BA25C8" w:rsidRPr="00E74E29">
        <w:rPr>
          <w:szCs w:val="24"/>
          <w:lang w:val="fr-CA"/>
        </w:rPr>
        <w:t>a</w:t>
      </w:r>
      <w:r w:rsidR="004C57F4" w:rsidRPr="00E74E29">
        <w:rPr>
          <w:szCs w:val="24"/>
          <w:lang w:val="fr-CA"/>
        </w:rPr>
        <w:t>vril</w:t>
      </w:r>
      <w:r w:rsidR="00694391" w:rsidRPr="00E74E29">
        <w:rPr>
          <w:szCs w:val="24"/>
          <w:lang w:val="fr-CA"/>
        </w:rPr>
        <w:t xml:space="preserve"> 2</w:t>
      </w:r>
      <w:r w:rsidR="006648D1" w:rsidRPr="00E74E29">
        <w:rPr>
          <w:szCs w:val="24"/>
          <w:lang w:val="fr-CA"/>
        </w:rPr>
        <w:t>0</w:t>
      </w:r>
      <w:r w:rsidR="00526754" w:rsidRPr="00E74E29">
        <w:rPr>
          <w:szCs w:val="24"/>
          <w:lang w:val="fr-CA"/>
        </w:rPr>
        <w:t>2</w:t>
      </w:r>
      <w:r w:rsidR="00644008" w:rsidRPr="00E74E29">
        <w:rPr>
          <w:szCs w:val="24"/>
          <w:lang w:val="fr-CA"/>
        </w:rPr>
        <w:t>2</w:t>
      </w:r>
      <w:r w:rsidRPr="00E74E29">
        <w:rPr>
          <w:szCs w:val="24"/>
          <w:lang w:val="fr-CA"/>
        </w:rPr>
        <w:t xml:space="preserve">, à 9 h 45 </w:t>
      </w:r>
      <w:r w:rsidR="000627A2" w:rsidRPr="00E74E29">
        <w:rPr>
          <w:szCs w:val="24"/>
          <w:lang w:val="fr-CA"/>
        </w:rPr>
        <w:t>H</w:t>
      </w:r>
      <w:r w:rsidR="00882B6B" w:rsidRPr="00E74E29">
        <w:rPr>
          <w:szCs w:val="24"/>
          <w:lang w:val="fr-CA"/>
        </w:rPr>
        <w:t>A</w:t>
      </w:r>
      <w:r w:rsidRPr="00E74E29">
        <w:rPr>
          <w:szCs w:val="24"/>
          <w:lang w:val="fr-CA"/>
        </w:rPr>
        <w:t>E. Cette liste est sujette à modification</w:t>
      </w:r>
      <w:r w:rsidR="00130ADB" w:rsidRPr="00E74E29">
        <w:rPr>
          <w:szCs w:val="24"/>
          <w:lang w:val="fr-CA"/>
        </w:rPr>
        <w:t>s</w:t>
      </w:r>
      <w:r w:rsidRPr="00E74E29">
        <w:rPr>
          <w:szCs w:val="24"/>
          <w:lang w:val="fr-CA"/>
        </w:rPr>
        <w:t>.</w:t>
      </w:r>
    </w:p>
    <w:p w:rsidR="0080556B" w:rsidRPr="00E74E29" w:rsidRDefault="0080556B" w:rsidP="005F2A78">
      <w:pPr>
        <w:widowControl w:val="0"/>
        <w:tabs>
          <w:tab w:val="left" w:pos="3840"/>
        </w:tabs>
        <w:jc w:val="both"/>
        <w:rPr>
          <w:sz w:val="20"/>
          <w:lang w:val="fr-CA"/>
        </w:rPr>
      </w:pPr>
    </w:p>
    <w:p w:rsidR="00867C61" w:rsidRPr="00E74E29" w:rsidRDefault="00463557" w:rsidP="009B14F4">
      <w:pPr>
        <w:widowControl w:val="0"/>
        <w:jc w:val="both"/>
        <w:rPr>
          <w:sz w:val="20"/>
        </w:rPr>
      </w:pPr>
      <w:r>
        <w:rPr>
          <w:sz w:val="20"/>
        </w:rPr>
        <w:pict>
          <v:rect id="_x0000_i1025" style="width:2in;height:1pt" o:hrpct="0" o:hralign="center" o:hrstd="t" o:hrnoshade="t" o:hr="t" fillcolor="black [3213]" stroked="f"/>
        </w:pict>
      </w:r>
    </w:p>
    <w:p w:rsidR="004A6E51" w:rsidRPr="00E74E29" w:rsidRDefault="004A6E51" w:rsidP="0053032E">
      <w:pPr>
        <w:rPr>
          <w:sz w:val="20"/>
          <w:lang w:val="fr-CA"/>
        </w:rPr>
      </w:pPr>
    </w:p>
    <w:p w:rsidR="005D18C5" w:rsidRPr="00E74E29" w:rsidRDefault="005D18C5" w:rsidP="005D18C5">
      <w:pPr>
        <w:pStyle w:val="ListParagraph"/>
        <w:numPr>
          <w:ilvl w:val="0"/>
          <w:numId w:val="48"/>
        </w:numPr>
        <w:ind w:left="357" w:hanging="357"/>
        <w:rPr>
          <w:sz w:val="20"/>
        </w:rPr>
      </w:pPr>
      <w:r w:rsidRPr="00E74E29">
        <w:rPr>
          <w:i/>
          <w:sz w:val="20"/>
        </w:rPr>
        <w:t>Tyler Co</w:t>
      </w:r>
      <w:r w:rsidR="007C3779">
        <w:rPr>
          <w:i/>
          <w:sz w:val="20"/>
        </w:rPr>
        <w:t>u</w:t>
      </w:r>
      <w:r w:rsidRPr="00E74E29">
        <w:rPr>
          <w:i/>
          <w:sz w:val="20"/>
        </w:rPr>
        <w:t>sineau v. Attorney General of Ontario, et al.</w:t>
      </w:r>
      <w:r w:rsidRPr="00E74E29">
        <w:rPr>
          <w:sz w:val="20"/>
        </w:rPr>
        <w:t xml:space="preserve"> (Ont.) (Criminal) (By Leave) </w:t>
      </w:r>
      <w:r w:rsidRPr="00E74E29">
        <w:rPr>
          <w:rFonts w:eastAsia="Calibri"/>
          <w:sz w:val="20"/>
          <w:szCs w:val="20"/>
          <w:lang w:val="fr-CA"/>
        </w:rPr>
        <w:t>(</w:t>
      </w:r>
      <w:hyperlink r:id="rId8" w:history="1">
        <w:r w:rsidRPr="00E74E29">
          <w:rPr>
            <w:rStyle w:val="Hyperlink"/>
            <w:rFonts w:eastAsia="Calibri"/>
            <w:sz w:val="20"/>
            <w:szCs w:val="20"/>
            <w:lang w:val="fr-CA"/>
          </w:rPr>
          <w:t>39</w:t>
        </w:r>
        <w:r w:rsidR="00D52CB8" w:rsidRPr="00E74E29">
          <w:rPr>
            <w:rStyle w:val="Hyperlink"/>
            <w:rFonts w:eastAsia="Calibri"/>
            <w:sz w:val="20"/>
            <w:szCs w:val="20"/>
            <w:lang w:val="fr-CA"/>
          </w:rPr>
          <w:t>983</w:t>
        </w:r>
      </w:hyperlink>
      <w:r w:rsidRPr="00E74E29">
        <w:rPr>
          <w:rFonts w:eastAsia="Calibri"/>
          <w:sz w:val="20"/>
          <w:szCs w:val="20"/>
          <w:lang w:val="fr-CA"/>
        </w:rPr>
        <w:t>)</w:t>
      </w:r>
    </w:p>
    <w:p w:rsidR="005D18C5" w:rsidRPr="00E74E29" w:rsidRDefault="005D18C5" w:rsidP="005D18C5">
      <w:pPr>
        <w:ind w:left="357" w:hanging="357"/>
        <w:rPr>
          <w:sz w:val="20"/>
        </w:rPr>
      </w:pPr>
    </w:p>
    <w:p w:rsidR="005D18C5" w:rsidRPr="00E74E29" w:rsidRDefault="005D18C5" w:rsidP="005D18C5">
      <w:pPr>
        <w:pStyle w:val="ListParagraph"/>
        <w:numPr>
          <w:ilvl w:val="0"/>
          <w:numId w:val="48"/>
        </w:numPr>
        <w:ind w:left="357" w:hanging="357"/>
        <w:rPr>
          <w:sz w:val="20"/>
        </w:rPr>
      </w:pPr>
      <w:r w:rsidRPr="00E74E29">
        <w:rPr>
          <w:i/>
          <w:sz w:val="20"/>
          <w:lang w:val="fr-CA"/>
        </w:rPr>
        <w:t xml:space="preserve">Wiseau Studio, </w:t>
      </w:r>
      <w:r w:rsidR="00D52CB8" w:rsidRPr="00E74E29">
        <w:rPr>
          <w:i/>
          <w:sz w:val="20"/>
          <w:lang w:val="fr-CA"/>
        </w:rPr>
        <w:t xml:space="preserve">LLC, </w:t>
      </w:r>
      <w:r w:rsidRPr="00E74E29">
        <w:rPr>
          <w:i/>
          <w:sz w:val="20"/>
          <w:lang w:val="fr-CA"/>
        </w:rPr>
        <w:t>et al. v. Richard Harper, et al.</w:t>
      </w:r>
      <w:r w:rsidRPr="00E74E29">
        <w:rPr>
          <w:sz w:val="20"/>
          <w:lang w:val="fr-CA"/>
        </w:rPr>
        <w:t xml:space="preserve"> </w:t>
      </w:r>
      <w:r w:rsidRPr="00E74E29">
        <w:rPr>
          <w:sz w:val="20"/>
        </w:rPr>
        <w:t xml:space="preserve">(Ont.) (Civil) (By Leave) </w:t>
      </w:r>
      <w:r w:rsidRPr="00E74E29">
        <w:rPr>
          <w:rFonts w:eastAsia="Calibri"/>
          <w:sz w:val="20"/>
          <w:szCs w:val="20"/>
          <w:lang w:val="fr-CA"/>
        </w:rPr>
        <w:t>(</w:t>
      </w:r>
      <w:hyperlink r:id="rId9" w:history="1">
        <w:r w:rsidRPr="00E74E29">
          <w:rPr>
            <w:rStyle w:val="Hyperlink"/>
            <w:rFonts w:eastAsia="Calibri"/>
            <w:sz w:val="20"/>
            <w:szCs w:val="20"/>
            <w:lang w:val="fr-CA"/>
          </w:rPr>
          <w:t>397</w:t>
        </w:r>
        <w:r w:rsidR="00D52CB8" w:rsidRPr="00E74E29">
          <w:rPr>
            <w:rStyle w:val="Hyperlink"/>
            <w:rFonts w:eastAsia="Calibri"/>
            <w:sz w:val="20"/>
            <w:szCs w:val="20"/>
            <w:lang w:val="fr-CA"/>
          </w:rPr>
          <w:t>65</w:t>
        </w:r>
      </w:hyperlink>
      <w:r w:rsidRPr="00E74E29">
        <w:rPr>
          <w:rFonts w:eastAsia="Calibri"/>
          <w:sz w:val="20"/>
          <w:szCs w:val="20"/>
          <w:lang w:val="fr-CA"/>
        </w:rPr>
        <w:t>)</w:t>
      </w:r>
    </w:p>
    <w:p w:rsidR="005D18C5" w:rsidRPr="00E74E29" w:rsidRDefault="005D18C5" w:rsidP="005D18C5">
      <w:pPr>
        <w:ind w:left="357" w:hanging="357"/>
        <w:rPr>
          <w:sz w:val="20"/>
        </w:rPr>
      </w:pPr>
    </w:p>
    <w:p w:rsidR="005D18C5" w:rsidRPr="00463557" w:rsidRDefault="005D18C5" w:rsidP="005D18C5">
      <w:pPr>
        <w:pStyle w:val="ListParagraph"/>
        <w:numPr>
          <w:ilvl w:val="0"/>
          <w:numId w:val="48"/>
        </w:numPr>
        <w:ind w:left="357" w:hanging="357"/>
        <w:rPr>
          <w:sz w:val="20"/>
        </w:rPr>
      </w:pPr>
      <w:r w:rsidRPr="00E74E29">
        <w:rPr>
          <w:i/>
          <w:sz w:val="20"/>
        </w:rPr>
        <w:t>Attorney General of Nova Scotia representing Her Majesty the Queen in Right of the Province of Nova Scotia (including the Minister of Community Services and the Minister of Health and Wellness</w:t>
      </w:r>
      <w:r w:rsidR="00D52CB8" w:rsidRPr="00E74E29">
        <w:rPr>
          <w:i/>
          <w:sz w:val="20"/>
        </w:rPr>
        <w:t>)</w:t>
      </w:r>
      <w:r w:rsidRPr="00E74E29">
        <w:rPr>
          <w:i/>
          <w:sz w:val="20"/>
        </w:rPr>
        <w:t xml:space="preserve"> v. Disability Rights Coalition</w:t>
      </w:r>
      <w:r w:rsidRPr="00E74E29">
        <w:rPr>
          <w:sz w:val="20"/>
        </w:rPr>
        <w:t xml:space="preserve"> (N.S.) (Civil) (By Leave) </w:t>
      </w:r>
      <w:r w:rsidRPr="00E74E29">
        <w:rPr>
          <w:rFonts w:eastAsia="Calibri"/>
          <w:sz w:val="20"/>
          <w:szCs w:val="20"/>
        </w:rPr>
        <w:t>(</w:t>
      </w:r>
      <w:hyperlink r:id="rId10" w:history="1">
        <w:r w:rsidRPr="00E74E29">
          <w:rPr>
            <w:rStyle w:val="Hyperlink"/>
            <w:rFonts w:eastAsia="Calibri"/>
            <w:sz w:val="20"/>
            <w:szCs w:val="20"/>
          </w:rPr>
          <w:t>39</w:t>
        </w:r>
        <w:r w:rsidR="00D52CB8" w:rsidRPr="00E74E29">
          <w:rPr>
            <w:rStyle w:val="Hyperlink"/>
            <w:rFonts w:eastAsia="Calibri"/>
            <w:sz w:val="20"/>
            <w:szCs w:val="20"/>
          </w:rPr>
          <w:t>951</w:t>
        </w:r>
      </w:hyperlink>
      <w:r w:rsidRPr="00E74E29">
        <w:rPr>
          <w:rFonts w:eastAsia="Calibri"/>
          <w:sz w:val="20"/>
          <w:szCs w:val="20"/>
        </w:rPr>
        <w:t>)</w:t>
      </w:r>
    </w:p>
    <w:p w:rsidR="00463557" w:rsidRPr="00463557" w:rsidRDefault="00463557" w:rsidP="00463557">
      <w:pPr>
        <w:rPr>
          <w:sz w:val="20"/>
        </w:rPr>
      </w:pPr>
    </w:p>
    <w:p w:rsidR="005D18C5" w:rsidRPr="00E74E29" w:rsidRDefault="005D18C5" w:rsidP="005D18C5">
      <w:pPr>
        <w:pStyle w:val="ListParagraph"/>
        <w:numPr>
          <w:ilvl w:val="0"/>
          <w:numId w:val="48"/>
        </w:numPr>
        <w:ind w:left="357" w:hanging="357"/>
        <w:rPr>
          <w:rFonts w:eastAsia="Calibri"/>
          <w:sz w:val="20"/>
          <w:lang w:val="fr-CA"/>
        </w:rPr>
      </w:pPr>
      <w:r w:rsidRPr="00E74E29">
        <w:rPr>
          <w:rStyle w:val="SCCAppellantInfoAppellantInfoChar"/>
          <w:i/>
          <w:sz w:val="20"/>
          <w:szCs w:val="20"/>
          <w:lang w:val="fr-CA"/>
        </w:rPr>
        <w:t xml:space="preserve">Saïd Boukendour c. Syndicat des professeures et des professeurs de l’Université du Québec en Outaouais </w:t>
      </w:r>
      <w:r w:rsidR="00227A6C" w:rsidRPr="00E74E29">
        <w:rPr>
          <w:rStyle w:val="SCCAppellantInfoAppellantInfoChar"/>
          <w:i/>
          <w:sz w:val="20"/>
          <w:szCs w:val="20"/>
          <w:lang w:val="fr-CA"/>
        </w:rPr>
        <w:t>-</w:t>
      </w:r>
      <w:r w:rsidRPr="00E74E29">
        <w:rPr>
          <w:i/>
          <w:sz w:val="20"/>
          <w:lang w:val="fr-CA"/>
        </w:rPr>
        <w:t xml:space="preserve"> CSN, et al. </w:t>
      </w:r>
      <w:r w:rsidRPr="00E74E29">
        <w:rPr>
          <w:sz w:val="20"/>
          <w:lang w:val="fr-CA"/>
        </w:rPr>
        <w:t xml:space="preserve">(Qc) (Civile) (Autorisation) </w:t>
      </w:r>
      <w:r w:rsidRPr="00E74E29">
        <w:rPr>
          <w:rFonts w:eastAsia="Calibri"/>
          <w:sz w:val="20"/>
          <w:szCs w:val="20"/>
          <w:lang w:val="fr-CA"/>
        </w:rPr>
        <w:t>(</w:t>
      </w:r>
      <w:hyperlink r:id="rId11" w:history="1">
        <w:r w:rsidRPr="00E74E29">
          <w:rPr>
            <w:rStyle w:val="Hyperlink"/>
            <w:rFonts w:eastAsia="Calibri"/>
            <w:sz w:val="20"/>
            <w:szCs w:val="20"/>
            <w:lang w:val="fr-CA"/>
          </w:rPr>
          <w:t>39</w:t>
        </w:r>
        <w:r w:rsidR="00227A6C" w:rsidRPr="00E74E29">
          <w:rPr>
            <w:rStyle w:val="Hyperlink"/>
            <w:rFonts w:eastAsia="Calibri"/>
            <w:sz w:val="20"/>
            <w:szCs w:val="20"/>
            <w:lang w:val="fr-CA"/>
          </w:rPr>
          <w:t>961</w:t>
        </w:r>
      </w:hyperlink>
      <w:r w:rsidRPr="00E74E29">
        <w:rPr>
          <w:rFonts w:eastAsia="Calibri"/>
          <w:sz w:val="20"/>
          <w:szCs w:val="20"/>
          <w:lang w:val="fr-CA"/>
        </w:rPr>
        <w:t>)</w:t>
      </w:r>
    </w:p>
    <w:p w:rsidR="005D18C5" w:rsidRPr="00E74E29" w:rsidRDefault="005D18C5" w:rsidP="005D18C5">
      <w:pPr>
        <w:ind w:left="357" w:hanging="357"/>
        <w:rPr>
          <w:sz w:val="20"/>
          <w:lang w:val="fr-CA"/>
        </w:rPr>
      </w:pPr>
    </w:p>
    <w:p w:rsidR="005D18C5" w:rsidRPr="00E74E29" w:rsidRDefault="005D18C5" w:rsidP="005D18C5">
      <w:pPr>
        <w:pStyle w:val="ListParagraph"/>
        <w:numPr>
          <w:ilvl w:val="0"/>
          <w:numId w:val="48"/>
        </w:numPr>
        <w:ind w:left="357" w:hanging="357"/>
        <w:rPr>
          <w:rStyle w:val="SCCAppellantInfoAppellantInfoChar"/>
          <w:sz w:val="20"/>
          <w:szCs w:val="20"/>
        </w:rPr>
      </w:pPr>
      <w:r w:rsidRPr="00E74E29">
        <w:rPr>
          <w:rStyle w:val="SCCAppellantInfoAppellantInfoChar"/>
          <w:i/>
          <w:sz w:val="20"/>
          <w:szCs w:val="20"/>
          <w:lang w:val="fr-CA"/>
        </w:rPr>
        <w:t>Yohan Murray c. Usiroyal inc., et al.</w:t>
      </w:r>
      <w:r w:rsidRPr="00E74E29">
        <w:rPr>
          <w:rStyle w:val="SCCAppellantInfoAppellantInfoChar"/>
          <w:sz w:val="20"/>
          <w:szCs w:val="20"/>
          <w:lang w:val="fr-CA"/>
        </w:rPr>
        <w:t xml:space="preserve"> </w:t>
      </w:r>
      <w:r w:rsidRPr="00E74E29">
        <w:rPr>
          <w:rStyle w:val="SCCAppellantInfoAppellantInfoChar"/>
          <w:sz w:val="20"/>
          <w:szCs w:val="20"/>
        </w:rPr>
        <w:t xml:space="preserve">(Qc) (Civile) (Autorisation) </w:t>
      </w:r>
      <w:r w:rsidRPr="00E74E29">
        <w:rPr>
          <w:rFonts w:eastAsia="Calibri"/>
          <w:sz w:val="20"/>
          <w:szCs w:val="20"/>
          <w:lang w:val="fr-CA"/>
        </w:rPr>
        <w:t>(</w:t>
      </w:r>
      <w:hyperlink r:id="rId12" w:history="1">
        <w:r w:rsidRPr="00E74E29">
          <w:rPr>
            <w:rStyle w:val="Hyperlink"/>
            <w:rFonts w:eastAsia="Calibri"/>
            <w:sz w:val="20"/>
            <w:szCs w:val="20"/>
            <w:lang w:val="fr-CA"/>
          </w:rPr>
          <w:t>39</w:t>
        </w:r>
        <w:r w:rsidR="00227A6C" w:rsidRPr="00E74E29">
          <w:rPr>
            <w:rStyle w:val="Hyperlink"/>
            <w:rFonts w:eastAsia="Calibri"/>
            <w:sz w:val="20"/>
            <w:szCs w:val="20"/>
            <w:lang w:val="fr-CA"/>
          </w:rPr>
          <w:t>988</w:t>
        </w:r>
      </w:hyperlink>
      <w:r w:rsidRPr="00E74E29">
        <w:rPr>
          <w:rFonts w:eastAsia="Calibri"/>
          <w:sz w:val="20"/>
          <w:szCs w:val="20"/>
          <w:lang w:val="fr-CA"/>
        </w:rPr>
        <w:t>)</w:t>
      </w:r>
    </w:p>
    <w:p w:rsidR="005D18C5" w:rsidRPr="00E74E29" w:rsidRDefault="005D18C5" w:rsidP="005D18C5">
      <w:pPr>
        <w:ind w:left="357" w:hanging="357"/>
        <w:rPr>
          <w:sz w:val="20"/>
        </w:rPr>
      </w:pPr>
    </w:p>
    <w:p w:rsidR="005D18C5" w:rsidRPr="00E74E29" w:rsidRDefault="005D18C5" w:rsidP="005D18C5">
      <w:pPr>
        <w:pStyle w:val="ListParagraph"/>
        <w:numPr>
          <w:ilvl w:val="0"/>
          <w:numId w:val="48"/>
        </w:numPr>
        <w:tabs>
          <w:tab w:val="left" w:pos="360"/>
        </w:tabs>
        <w:ind w:left="357" w:hanging="357"/>
        <w:rPr>
          <w:sz w:val="20"/>
          <w:lang w:val="fr-CA"/>
        </w:rPr>
      </w:pPr>
      <w:r w:rsidRPr="00E74E29">
        <w:rPr>
          <w:i/>
          <w:sz w:val="20"/>
          <w:lang w:val="fr-CA"/>
        </w:rPr>
        <w:t xml:space="preserve">André Legault c. Sa Majesté la Reine </w:t>
      </w:r>
      <w:r w:rsidRPr="00E74E29">
        <w:rPr>
          <w:sz w:val="20"/>
          <w:lang w:val="fr-CA"/>
        </w:rPr>
        <w:t xml:space="preserve">(Qc) (Criminelle) (Autorisation) </w:t>
      </w:r>
      <w:r w:rsidRPr="00E74E29">
        <w:rPr>
          <w:rFonts w:eastAsia="Calibri"/>
          <w:sz w:val="20"/>
          <w:szCs w:val="20"/>
          <w:lang w:val="fr-CA"/>
        </w:rPr>
        <w:t>(</w:t>
      </w:r>
      <w:hyperlink r:id="rId13" w:history="1">
        <w:r w:rsidRPr="00E74E29">
          <w:rPr>
            <w:rStyle w:val="Hyperlink"/>
            <w:rFonts w:eastAsia="Calibri"/>
            <w:sz w:val="20"/>
            <w:szCs w:val="20"/>
            <w:lang w:val="fr-CA"/>
          </w:rPr>
          <w:t>397</w:t>
        </w:r>
        <w:r w:rsidR="00227A6C" w:rsidRPr="00E74E29">
          <w:rPr>
            <w:rStyle w:val="Hyperlink"/>
            <w:rFonts w:eastAsia="Calibri"/>
            <w:sz w:val="20"/>
            <w:szCs w:val="20"/>
            <w:lang w:val="fr-CA"/>
          </w:rPr>
          <w:t>58</w:t>
        </w:r>
      </w:hyperlink>
      <w:r w:rsidRPr="00E74E29">
        <w:rPr>
          <w:rFonts w:eastAsia="Calibri"/>
          <w:sz w:val="20"/>
          <w:szCs w:val="20"/>
          <w:lang w:val="fr-CA"/>
        </w:rPr>
        <w:t>)</w:t>
      </w:r>
    </w:p>
    <w:p w:rsidR="005D18C5" w:rsidRPr="00E74E29" w:rsidRDefault="005D18C5" w:rsidP="005D18C5">
      <w:pPr>
        <w:tabs>
          <w:tab w:val="left" w:pos="360"/>
        </w:tabs>
        <w:ind w:left="357" w:hanging="357"/>
        <w:contextualSpacing/>
        <w:rPr>
          <w:sz w:val="20"/>
          <w:lang w:val="fr-CA"/>
        </w:rPr>
      </w:pPr>
    </w:p>
    <w:p w:rsidR="005D18C5" w:rsidRPr="00E74E29" w:rsidRDefault="005D18C5" w:rsidP="005D18C5">
      <w:pPr>
        <w:pStyle w:val="ListParagraph"/>
        <w:numPr>
          <w:ilvl w:val="0"/>
          <w:numId w:val="48"/>
        </w:numPr>
        <w:tabs>
          <w:tab w:val="left" w:pos="360"/>
        </w:tabs>
        <w:ind w:left="357" w:hanging="357"/>
        <w:rPr>
          <w:sz w:val="20"/>
          <w:lang w:val="fr-CA"/>
        </w:rPr>
      </w:pPr>
      <w:r w:rsidRPr="00E74E29">
        <w:rPr>
          <w:i/>
          <w:sz w:val="20"/>
          <w:lang w:val="fr-CA"/>
        </w:rPr>
        <w:t xml:space="preserve">Commission scolaire francophone </w:t>
      </w:r>
      <w:r w:rsidR="00227A6C" w:rsidRPr="00E74E29">
        <w:rPr>
          <w:i/>
          <w:sz w:val="20"/>
          <w:lang w:val="fr-CA"/>
        </w:rPr>
        <w:t>des T</w:t>
      </w:r>
      <w:r w:rsidRPr="00E74E29">
        <w:rPr>
          <w:i/>
          <w:sz w:val="20"/>
          <w:lang w:val="fr-CA"/>
        </w:rPr>
        <w:t>erritoires du Nord-Ouest, A.B.</w:t>
      </w:r>
      <w:r w:rsidR="00227A6C" w:rsidRPr="00E74E29">
        <w:rPr>
          <w:i/>
          <w:sz w:val="20"/>
          <w:lang w:val="fr-CA"/>
        </w:rPr>
        <w:t>, et al.</w:t>
      </w:r>
      <w:r w:rsidRPr="00E74E29">
        <w:rPr>
          <w:i/>
          <w:sz w:val="20"/>
          <w:lang w:val="fr-CA"/>
        </w:rPr>
        <w:t xml:space="preserve"> c. Ministre de l’Éducation, de la </w:t>
      </w:r>
      <w:r w:rsidR="00227A6C" w:rsidRPr="00E74E29">
        <w:rPr>
          <w:i/>
          <w:sz w:val="20"/>
          <w:lang w:val="fr-CA"/>
        </w:rPr>
        <w:t>C</w:t>
      </w:r>
      <w:r w:rsidRPr="00E74E29">
        <w:rPr>
          <w:i/>
          <w:sz w:val="20"/>
          <w:lang w:val="fr-CA"/>
        </w:rPr>
        <w:t xml:space="preserve">ulture et de la Formation des </w:t>
      </w:r>
      <w:r w:rsidR="00227A6C" w:rsidRPr="00E74E29">
        <w:rPr>
          <w:i/>
          <w:sz w:val="20"/>
          <w:lang w:val="fr-CA"/>
        </w:rPr>
        <w:t>T</w:t>
      </w:r>
      <w:r w:rsidRPr="00E74E29">
        <w:rPr>
          <w:i/>
          <w:sz w:val="20"/>
          <w:lang w:val="fr-CA"/>
        </w:rPr>
        <w:t>erritoires du Nord-Ouest</w:t>
      </w:r>
      <w:r w:rsidR="00227A6C" w:rsidRPr="00E74E29">
        <w:rPr>
          <w:i/>
          <w:sz w:val="20"/>
          <w:lang w:val="fr-CA"/>
        </w:rPr>
        <w:t>, et al.</w:t>
      </w:r>
      <w:r w:rsidRPr="00E74E29">
        <w:rPr>
          <w:i/>
          <w:sz w:val="20"/>
          <w:lang w:val="fr-CA"/>
        </w:rPr>
        <w:t xml:space="preserve"> </w:t>
      </w:r>
      <w:r w:rsidRPr="00E74E29">
        <w:rPr>
          <w:sz w:val="20"/>
          <w:lang w:val="fr-CA"/>
        </w:rPr>
        <w:t xml:space="preserve">(T.N.-O.) (Civile) (Autorisation) </w:t>
      </w:r>
      <w:r w:rsidRPr="00E74E29">
        <w:rPr>
          <w:rFonts w:eastAsia="Calibri"/>
          <w:sz w:val="20"/>
          <w:szCs w:val="20"/>
          <w:lang w:val="fr-CA"/>
        </w:rPr>
        <w:t>(</w:t>
      </w:r>
      <w:hyperlink r:id="rId14" w:history="1">
        <w:r w:rsidRPr="00E74E29">
          <w:rPr>
            <w:rStyle w:val="Hyperlink"/>
            <w:rFonts w:eastAsia="Calibri"/>
            <w:sz w:val="20"/>
            <w:szCs w:val="20"/>
            <w:lang w:val="fr-CA"/>
          </w:rPr>
          <w:t>39</w:t>
        </w:r>
        <w:r w:rsidR="00227A6C" w:rsidRPr="00E74E29">
          <w:rPr>
            <w:rStyle w:val="Hyperlink"/>
            <w:rFonts w:eastAsia="Calibri"/>
            <w:sz w:val="20"/>
            <w:szCs w:val="20"/>
            <w:lang w:val="fr-CA"/>
          </w:rPr>
          <w:t>915</w:t>
        </w:r>
      </w:hyperlink>
      <w:r w:rsidRPr="00E74E29">
        <w:rPr>
          <w:rFonts w:eastAsia="Calibri"/>
          <w:sz w:val="20"/>
          <w:szCs w:val="20"/>
          <w:lang w:val="fr-CA"/>
        </w:rPr>
        <w:t>)</w:t>
      </w:r>
    </w:p>
    <w:p w:rsidR="005D18C5" w:rsidRPr="00E74E29" w:rsidRDefault="005D18C5" w:rsidP="005D18C5">
      <w:pPr>
        <w:tabs>
          <w:tab w:val="left" w:pos="360"/>
        </w:tabs>
        <w:ind w:left="357" w:hanging="357"/>
        <w:contextualSpacing/>
        <w:rPr>
          <w:sz w:val="20"/>
          <w:lang w:val="fr-CA"/>
        </w:rPr>
      </w:pPr>
    </w:p>
    <w:p w:rsidR="005D18C5" w:rsidRPr="00E74E29" w:rsidRDefault="005D18C5" w:rsidP="005D18C5">
      <w:pPr>
        <w:pStyle w:val="ListParagraph"/>
        <w:numPr>
          <w:ilvl w:val="0"/>
          <w:numId w:val="48"/>
        </w:numPr>
        <w:tabs>
          <w:tab w:val="left" w:pos="360"/>
        </w:tabs>
        <w:ind w:left="357" w:hanging="357"/>
        <w:rPr>
          <w:sz w:val="20"/>
        </w:rPr>
      </w:pPr>
      <w:r w:rsidRPr="00E74E29">
        <w:rPr>
          <w:i/>
          <w:sz w:val="20"/>
        </w:rPr>
        <w:t xml:space="preserve">Thomas Williams Rivers v. Corporation of the District of North Vancouver, et al. </w:t>
      </w:r>
      <w:r w:rsidRPr="00E74E29">
        <w:rPr>
          <w:sz w:val="20"/>
        </w:rPr>
        <w:t xml:space="preserve">(B.C.) (Civil) (By Leave) </w:t>
      </w:r>
      <w:r w:rsidRPr="00E74E29">
        <w:rPr>
          <w:rFonts w:eastAsia="Calibri"/>
          <w:sz w:val="20"/>
          <w:szCs w:val="20"/>
          <w:lang w:val="fr-CA"/>
        </w:rPr>
        <w:t>(</w:t>
      </w:r>
      <w:hyperlink r:id="rId15" w:history="1">
        <w:r w:rsidRPr="00E74E29">
          <w:rPr>
            <w:rStyle w:val="Hyperlink"/>
            <w:rFonts w:eastAsia="Calibri"/>
            <w:sz w:val="20"/>
            <w:szCs w:val="20"/>
            <w:lang w:val="fr-CA"/>
          </w:rPr>
          <w:t>39</w:t>
        </w:r>
        <w:r w:rsidR="00227A6C" w:rsidRPr="00E74E29">
          <w:rPr>
            <w:rStyle w:val="Hyperlink"/>
            <w:rFonts w:eastAsia="Calibri"/>
            <w:sz w:val="20"/>
            <w:szCs w:val="20"/>
            <w:lang w:val="fr-CA"/>
          </w:rPr>
          <w:t>956</w:t>
        </w:r>
      </w:hyperlink>
      <w:r w:rsidRPr="00E74E29">
        <w:rPr>
          <w:rFonts w:eastAsia="Calibri"/>
          <w:sz w:val="20"/>
          <w:szCs w:val="20"/>
          <w:lang w:val="fr-CA"/>
        </w:rPr>
        <w:t>)</w:t>
      </w:r>
    </w:p>
    <w:p w:rsidR="005D18C5" w:rsidRPr="00E74E29" w:rsidRDefault="005D18C5" w:rsidP="005D18C5">
      <w:pPr>
        <w:tabs>
          <w:tab w:val="left" w:pos="360"/>
        </w:tabs>
        <w:ind w:left="357" w:hanging="357"/>
        <w:contextualSpacing/>
        <w:rPr>
          <w:sz w:val="20"/>
        </w:rPr>
      </w:pPr>
    </w:p>
    <w:p w:rsidR="005D18C5" w:rsidRPr="00E74E29" w:rsidRDefault="005D18C5" w:rsidP="005D18C5">
      <w:pPr>
        <w:pStyle w:val="ListParagraph"/>
        <w:numPr>
          <w:ilvl w:val="0"/>
          <w:numId w:val="48"/>
        </w:numPr>
        <w:tabs>
          <w:tab w:val="left" w:pos="360"/>
        </w:tabs>
        <w:ind w:left="357" w:hanging="357"/>
        <w:rPr>
          <w:sz w:val="20"/>
        </w:rPr>
      </w:pPr>
      <w:r w:rsidRPr="00E74E29">
        <w:rPr>
          <w:i/>
          <w:sz w:val="20"/>
          <w:lang w:val="fr-CA"/>
        </w:rPr>
        <w:t>Adriana Horstein v. Anatoly Kats, et al</w:t>
      </w:r>
      <w:r w:rsidRPr="00E74E29">
        <w:rPr>
          <w:sz w:val="20"/>
          <w:lang w:val="fr-CA"/>
        </w:rPr>
        <w:t xml:space="preserve">. </w:t>
      </w:r>
      <w:r w:rsidRPr="00E74E29">
        <w:rPr>
          <w:sz w:val="20"/>
        </w:rPr>
        <w:t xml:space="preserve">(Ont.) (Civil) (By Leave) </w:t>
      </w:r>
      <w:r w:rsidR="00227A6C" w:rsidRPr="00E74E29">
        <w:rPr>
          <w:rFonts w:eastAsia="Calibri"/>
          <w:sz w:val="20"/>
          <w:szCs w:val="20"/>
          <w:lang w:val="fr-CA"/>
        </w:rPr>
        <w:t>(</w:t>
      </w:r>
      <w:hyperlink r:id="rId16" w:history="1">
        <w:r w:rsidR="00227A6C" w:rsidRPr="00E74E29">
          <w:rPr>
            <w:rStyle w:val="Hyperlink"/>
            <w:rFonts w:eastAsia="Calibri"/>
            <w:sz w:val="20"/>
            <w:szCs w:val="20"/>
            <w:lang w:val="fr-CA"/>
          </w:rPr>
          <w:t>40010</w:t>
        </w:r>
      </w:hyperlink>
      <w:r w:rsidR="00227A6C" w:rsidRPr="00E74E29">
        <w:rPr>
          <w:rFonts w:eastAsia="Calibri"/>
          <w:sz w:val="20"/>
          <w:szCs w:val="20"/>
          <w:lang w:val="fr-CA"/>
        </w:rPr>
        <w:t>)</w:t>
      </w:r>
    </w:p>
    <w:p w:rsidR="0001473D" w:rsidRPr="00E74E29" w:rsidRDefault="0001473D" w:rsidP="005D18C5">
      <w:pPr>
        <w:ind w:left="357" w:hanging="357"/>
        <w:rPr>
          <w:sz w:val="20"/>
        </w:rPr>
      </w:pPr>
    </w:p>
    <w:p w:rsidR="005D18C5" w:rsidRPr="00E74E29" w:rsidRDefault="005D18C5" w:rsidP="005D18C5">
      <w:pPr>
        <w:pStyle w:val="ListParagraph"/>
        <w:numPr>
          <w:ilvl w:val="0"/>
          <w:numId w:val="48"/>
        </w:numPr>
        <w:ind w:left="357" w:hanging="357"/>
        <w:rPr>
          <w:sz w:val="20"/>
        </w:rPr>
      </w:pPr>
      <w:r w:rsidRPr="00E74E29">
        <w:rPr>
          <w:i/>
          <w:sz w:val="20"/>
        </w:rPr>
        <w:t xml:space="preserve">Estate of William Albin Herold, deceased v. Attorney General of Canada, </w:t>
      </w:r>
      <w:r w:rsidR="00DA2AB7" w:rsidRPr="00E74E29">
        <w:rPr>
          <w:i/>
          <w:sz w:val="20"/>
        </w:rPr>
        <w:t>et al.</w:t>
      </w:r>
      <w:r w:rsidRPr="00E74E29">
        <w:rPr>
          <w:sz w:val="20"/>
        </w:rPr>
        <w:t xml:space="preserve"> (Ont.) (Civil) (By Leave) </w:t>
      </w:r>
      <w:r w:rsidRPr="00E74E29">
        <w:rPr>
          <w:rFonts w:eastAsia="Calibri"/>
          <w:sz w:val="20"/>
          <w:szCs w:val="20"/>
        </w:rPr>
        <w:t>(</w:t>
      </w:r>
      <w:hyperlink r:id="rId17" w:history="1">
        <w:r w:rsidRPr="00E74E29">
          <w:rPr>
            <w:rStyle w:val="Hyperlink"/>
            <w:rFonts w:eastAsia="Calibri"/>
            <w:sz w:val="20"/>
            <w:szCs w:val="20"/>
          </w:rPr>
          <w:t>39</w:t>
        </w:r>
        <w:r w:rsidR="00DA2AB7" w:rsidRPr="00E74E29">
          <w:rPr>
            <w:rStyle w:val="Hyperlink"/>
            <w:rFonts w:eastAsia="Calibri"/>
            <w:sz w:val="20"/>
            <w:szCs w:val="20"/>
          </w:rPr>
          <w:t>908</w:t>
        </w:r>
      </w:hyperlink>
      <w:r w:rsidRPr="00E74E29">
        <w:rPr>
          <w:rFonts w:eastAsia="Calibri"/>
          <w:sz w:val="20"/>
          <w:szCs w:val="20"/>
        </w:rPr>
        <w:t>)</w:t>
      </w:r>
    </w:p>
    <w:p w:rsidR="005D18C5" w:rsidRPr="00E74E29" w:rsidRDefault="005D18C5" w:rsidP="005D18C5">
      <w:pPr>
        <w:pStyle w:val="ListParagraph"/>
        <w:ind w:left="357" w:hanging="357"/>
        <w:rPr>
          <w:sz w:val="20"/>
          <w:szCs w:val="20"/>
        </w:rPr>
      </w:pPr>
    </w:p>
    <w:p w:rsidR="005D18C5" w:rsidRPr="00E74E29" w:rsidRDefault="005D18C5" w:rsidP="005D18C5">
      <w:pPr>
        <w:pStyle w:val="ListParagraph"/>
        <w:numPr>
          <w:ilvl w:val="0"/>
          <w:numId w:val="48"/>
        </w:numPr>
        <w:ind w:left="357" w:hanging="357"/>
        <w:rPr>
          <w:sz w:val="20"/>
        </w:rPr>
      </w:pPr>
      <w:r w:rsidRPr="00E74E29">
        <w:rPr>
          <w:i/>
          <w:sz w:val="20"/>
        </w:rPr>
        <w:t xml:space="preserve">Elaine Elizabeth Warlow v. Ali Sadeghi, </w:t>
      </w:r>
      <w:r w:rsidR="00DA2AB7" w:rsidRPr="00E74E29">
        <w:rPr>
          <w:i/>
          <w:sz w:val="20"/>
        </w:rPr>
        <w:t>et al.</w:t>
      </w:r>
      <w:r w:rsidRPr="00E74E29">
        <w:rPr>
          <w:sz w:val="20"/>
        </w:rPr>
        <w:t xml:space="preserve"> (B.C.) (Civil) (By Leave) </w:t>
      </w:r>
      <w:r w:rsidRPr="00E74E29">
        <w:rPr>
          <w:rFonts w:eastAsia="Calibri"/>
          <w:sz w:val="20"/>
          <w:szCs w:val="20"/>
        </w:rPr>
        <w:t>(</w:t>
      </w:r>
      <w:hyperlink r:id="rId18" w:history="1">
        <w:r w:rsidRPr="00E74E29">
          <w:rPr>
            <w:rStyle w:val="Hyperlink"/>
            <w:rFonts w:eastAsia="Calibri"/>
            <w:sz w:val="20"/>
            <w:szCs w:val="20"/>
          </w:rPr>
          <w:t>39</w:t>
        </w:r>
        <w:r w:rsidR="00DA2AB7" w:rsidRPr="00E74E29">
          <w:rPr>
            <w:rStyle w:val="Hyperlink"/>
            <w:rFonts w:eastAsia="Calibri"/>
            <w:sz w:val="20"/>
            <w:szCs w:val="20"/>
          </w:rPr>
          <w:t>92</w:t>
        </w:r>
        <w:r w:rsidRPr="00E74E29">
          <w:rPr>
            <w:rStyle w:val="Hyperlink"/>
            <w:rFonts w:eastAsia="Calibri"/>
            <w:sz w:val="20"/>
            <w:szCs w:val="20"/>
          </w:rPr>
          <w:t>7</w:t>
        </w:r>
      </w:hyperlink>
      <w:r w:rsidRPr="00E74E29">
        <w:rPr>
          <w:rFonts w:eastAsia="Calibri"/>
          <w:sz w:val="20"/>
          <w:szCs w:val="20"/>
        </w:rPr>
        <w:t>)</w:t>
      </w:r>
    </w:p>
    <w:p w:rsidR="005D18C5" w:rsidRPr="00E74E29" w:rsidRDefault="005D18C5" w:rsidP="005D18C5">
      <w:pPr>
        <w:ind w:left="357" w:hanging="357"/>
        <w:rPr>
          <w:sz w:val="20"/>
        </w:rPr>
      </w:pPr>
    </w:p>
    <w:p w:rsidR="005D18C5" w:rsidRPr="00E74E29" w:rsidRDefault="005D18C5" w:rsidP="005D18C5">
      <w:pPr>
        <w:pStyle w:val="ListParagraph"/>
        <w:numPr>
          <w:ilvl w:val="0"/>
          <w:numId w:val="48"/>
        </w:numPr>
        <w:ind w:left="357" w:hanging="357"/>
        <w:rPr>
          <w:sz w:val="20"/>
        </w:rPr>
      </w:pPr>
      <w:r w:rsidRPr="00E74E29">
        <w:rPr>
          <w:i/>
          <w:sz w:val="20"/>
        </w:rPr>
        <w:t>Carrie Couch</w:t>
      </w:r>
      <w:r w:rsidR="00DA2AB7" w:rsidRPr="00E74E29">
        <w:rPr>
          <w:i/>
          <w:sz w:val="20"/>
        </w:rPr>
        <w:t>, et al.</w:t>
      </w:r>
      <w:r w:rsidRPr="00E74E29">
        <w:rPr>
          <w:i/>
          <w:sz w:val="20"/>
        </w:rPr>
        <w:t xml:space="preserve"> v. BDO Canada LLP</w:t>
      </w:r>
      <w:r w:rsidRPr="00E74E29">
        <w:rPr>
          <w:sz w:val="20"/>
        </w:rPr>
        <w:t xml:space="preserve"> (Ont.) (Civil) (By Leave) </w:t>
      </w:r>
      <w:r w:rsidRPr="00E74E29">
        <w:rPr>
          <w:rFonts w:eastAsia="Calibri"/>
          <w:sz w:val="20"/>
          <w:szCs w:val="20"/>
        </w:rPr>
        <w:t>(</w:t>
      </w:r>
      <w:hyperlink r:id="rId19" w:history="1">
        <w:r w:rsidRPr="00E74E29">
          <w:rPr>
            <w:rStyle w:val="Hyperlink"/>
            <w:rFonts w:eastAsia="Calibri"/>
            <w:sz w:val="20"/>
            <w:szCs w:val="20"/>
          </w:rPr>
          <w:t>39</w:t>
        </w:r>
        <w:r w:rsidR="00DA2AB7" w:rsidRPr="00E74E29">
          <w:rPr>
            <w:rStyle w:val="Hyperlink"/>
            <w:rFonts w:eastAsia="Calibri"/>
            <w:sz w:val="20"/>
            <w:szCs w:val="20"/>
          </w:rPr>
          <w:t>953</w:t>
        </w:r>
      </w:hyperlink>
      <w:r w:rsidRPr="00E74E29">
        <w:rPr>
          <w:rFonts w:eastAsia="Calibri"/>
          <w:sz w:val="20"/>
          <w:szCs w:val="20"/>
        </w:rPr>
        <w:t>)</w:t>
      </w:r>
    </w:p>
    <w:p w:rsidR="005D18C5" w:rsidRPr="00E74E29" w:rsidRDefault="005D18C5" w:rsidP="005D18C5">
      <w:pPr>
        <w:ind w:left="357" w:hanging="357"/>
        <w:rPr>
          <w:sz w:val="20"/>
        </w:rPr>
      </w:pPr>
    </w:p>
    <w:p w:rsidR="005D18C5" w:rsidRPr="00E74E29" w:rsidRDefault="005D18C5" w:rsidP="005D18C5">
      <w:pPr>
        <w:pStyle w:val="ListParagraph"/>
        <w:numPr>
          <w:ilvl w:val="0"/>
          <w:numId w:val="48"/>
        </w:numPr>
        <w:ind w:left="357" w:hanging="357"/>
        <w:rPr>
          <w:sz w:val="20"/>
        </w:rPr>
      </w:pPr>
      <w:r w:rsidRPr="00E74E29">
        <w:rPr>
          <w:i/>
          <w:sz w:val="20"/>
        </w:rPr>
        <w:lastRenderedPageBreak/>
        <w:t xml:space="preserve">Jean-Pierre N. Asfar, </w:t>
      </w:r>
      <w:r w:rsidR="00DA2AB7" w:rsidRPr="00E74E29">
        <w:rPr>
          <w:i/>
          <w:sz w:val="20"/>
        </w:rPr>
        <w:t>et al.</w:t>
      </w:r>
      <w:r w:rsidRPr="00E74E29">
        <w:rPr>
          <w:i/>
          <w:sz w:val="20"/>
        </w:rPr>
        <w:t xml:space="preserve"> v. Sun Life Assurance Company of Canada, </w:t>
      </w:r>
      <w:r w:rsidR="00DA2AB7" w:rsidRPr="00E74E29">
        <w:rPr>
          <w:i/>
          <w:sz w:val="20"/>
        </w:rPr>
        <w:t>et al.</w:t>
      </w:r>
      <w:r w:rsidRPr="00E74E29">
        <w:rPr>
          <w:sz w:val="20"/>
        </w:rPr>
        <w:t xml:space="preserve"> (Ont.) (Civil) (By Leave) </w:t>
      </w:r>
      <w:r w:rsidRPr="00E74E29">
        <w:rPr>
          <w:rFonts w:eastAsia="Calibri"/>
          <w:sz w:val="20"/>
          <w:szCs w:val="20"/>
        </w:rPr>
        <w:t>(</w:t>
      </w:r>
      <w:hyperlink r:id="rId20" w:history="1">
        <w:r w:rsidRPr="00E74E29">
          <w:rPr>
            <w:rStyle w:val="Hyperlink"/>
            <w:rFonts w:eastAsia="Calibri"/>
            <w:sz w:val="20"/>
            <w:szCs w:val="20"/>
          </w:rPr>
          <w:t>39</w:t>
        </w:r>
        <w:r w:rsidR="00DA2AB7" w:rsidRPr="00E74E29">
          <w:rPr>
            <w:rStyle w:val="Hyperlink"/>
            <w:rFonts w:eastAsia="Calibri"/>
            <w:sz w:val="20"/>
            <w:szCs w:val="20"/>
          </w:rPr>
          <w:t>963</w:t>
        </w:r>
      </w:hyperlink>
      <w:r w:rsidRPr="00E74E29">
        <w:rPr>
          <w:rFonts w:eastAsia="Calibri"/>
          <w:sz w:val="20"/>
          <w:szCs w:val="20"/>
        </w:rPr>
        <w:t>)</w:t>
      </w:r>
    </w:p>
    <w:p w:rsidR="00387DAF" w:rsidRPr="00E74E29" w:rsidRDefault="00387DAF" w:rsidP="0053032E">
      <w:pPr>
        <w:rPr>
          <w:sz w:val="20"/>
        </w:rPr>
      </w:pPr>
    </w:p>
    <w:p w:rsidR="0057402C" w:rsidRPr="00E74E29" w:rsidRDefault="00463557" w:rsidP="0053032E">
      <w:pPr>
        <w:widowControl w:val="0"/>
        <w:jc w:val="both"/>
        <w:rPr>
          <w:sz w:val="20"/>
        </w:rPr>
      </w:pPr>
      <w:r>
        <w:rPr>
          <w:sz w:val="20"/>
        </w:rPr>
        <w:pict>
          <v:rect id="_x0000_i1026" style="width:2in;height:1pt" o:hrpct="0" o:hralign="center" o:hrstd="t" o:hrnoshade="t" o:hr="t" fillcolor="black [3213]" stroked="f"/>
        </w:pict>
      </w:r>
    </w:p>
    <w:p w:rsidR="0001473D" w:rsidRPr="00E74E29" w:rsidRDefault="0001473D" w:rsidP="00BE597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075E" w:rsidRPr="00E74E29" w:rsidTr="00F322C3">
        <w:tc>
          <w:tcPr>
            <w:tcW w:w="543" w:type="pct"/>
          </w:tcPr>
          <w:p w:rsidR="0035075E" w:rsidRPr="00E74E29" w:rsidRDefault="0035075E" w:rsidP="0035075E">
            <w:pPr>
              <w:jc w:val="both"/>
              <w:rPr>
                <w:sz w:val="20"/>
              </w:rPr>
            </w:pPr>
            <w:r w:rsidRPr="00E74E29">
              <w:rPr>
                <w:rStyle w:val="SCCFileNumberChar"/>
                <w:sz w:val="20"/>
                <w:szCs w:val="20"/>
              </w:rPr>
              <w:t>39983</w:t>
            </w:r>
          </w:p>
        </w:tc>
        <w:tc>
          <w:tcPr>
            <w:tcW w:w="4457" w:type="pct"/>
            <w:gridSpan w:val="3"/>
          </w:tcPr>
          <w:p w:rsidR="0035075E" w:rsidRPr="00E74E29" w:rsidRDefault="0035075E" w:rsidP="0035075E">
            <w:pPr>
              <w:pStyle w:val="SCCLsocParty"/>
              <w:jc w:val="both"/>
              <w:rPr>
                <w:b/>
                <w:sz w:val="20"/>
                <w:szCs w:val="20"/>
                <w:lang w:val="en-US"/>
              </w:rPr>
            </w:pPr>
            <w:r w:rsidRPr="00E74E29">
              <w:rPr>
                <w:b/>
                <w:sz w:val="20"/>
                <w:szCs w:val="20"/>
                <w:lang w:val="en-US"/>
              </w:rPr>
              <w:t>Tyler Cousineau v. Attorney General of Ontario, Person in Charge of Waypoint Centre for Mental Health Care</w:t>
            </w:r>
          </w:p>
          <w:p w:rsidR="0035075E" w:rsidRPr="00E74E29" w:rsidRDefault="0035075E" w:rsidP="0035075E">
            <w:pPr>
              <w:jc w:val="both"/>
              <w:rPr>
                <w:sz w:val="20"/>
              </w:rPr>
            </w:pPr>
            <w:r w:rsidRPr="00E74E29">
              <w:rPr>
                <w:sz w:val="20"/>
              </w:rPr>
              <w:t>(Ont.) (Criminal) (By Leave)</w:t>
            </w:r>
          </w:p>
        </w:tc>
      </w:tr>
      <w:tr w:rsidR="0035075E" w:rsidRPr="00E74E29" w:rsidTr="00F322C3">
        <w:tc>
          <w:tcPr>
            <w:tcW w:w="5000" w:type="pct"/>
            <w:gridSpan w:val="4"/>
          </w:tcPr>
          <w:p w:rsidR="0035075E" w:rsidRPr="00E74E29" w:rsidRDefault="0035075E" w:rsidP="0035075E">
            <w:pPr>
              <w:jc w:val="both"/>
              <w:rPr>
                <w:sz w:val="20"/>
              </w:rPr>
            </w:pPr>
            <w:r w:rsidRPr="00E74E29">
              <w:rPr>
                <w:sz w:val="20"/>
              </w:rPr>
              <w:t>Criminal law — Appeal — Mental disorder — High Risk Accused — When do you apply the “substantial likelihood” test — Should the “substantial likelihood” test be applied with regard to an accused’s likely conduct if completely discharged from Board supervisions, or simply if the High Risk Accused designation is removed but the accused remains subject to the Board’s supervision — How should courts balance the “twin goals” of public safety and the fair treatment of individuals who commit offences while suffering from a mental disorder — Should a Board determine there is a “substantial likelihood” that a High Risk Accused will use violence that could endanger the life or safety of another person in the absence of an assessment to evaluate that risk?</w:t>
            </w:r>
          </w:p>
          <w:p w:rsidR="0035075E" w:rsidRPr="00E74E29" w:rsidRDefault="0035075E" w:rsidP="0035075E">
            <w:pPr>
              <w:jc w:val="both"/>
              <w:rPr>
                <w:sz w:val="20"/>
              </w:rPr>
            </w:pPr>
          </w:p>
        </w:tc>
      </w:tr>
      <w:tr w:rsidR="0035075E" w:rsidRPr="00E74E29" w:rsidTr="00F322C3">
        <w:tc>
          <w:tcPr>
            <w:tcW w:w="5000" w:type="pct"/>
            <w:gridSpan w:val="4"/>
          </w:tcPr>
          <w:p w:rsidR="0035075E" w:rsidRPr="00E74E29" w:rsidRDefault="0035075E" w:rsidP="0035075E">
            <w:pPr>
              <w:jc w:val="both"/>
              <w:rPr>
                <w:sz w:val="20"/>
              </w:rPr>
            </w:pPr>
            <w:r w:rsidRPr="00E74E29">
              <w:rPr>
                <w:sz w:val="20"/>
              </w:rPr>
              <w:t>Mr. Cousineau has been found not criminally responsible by reason of mental disorder (“NCRMD”) relating to violent offences, most recently on October 15, 2018, with respect to two counts of second</w:t>
            </w:r>
            <w:r w:rsidRPr="00E74E29">
              <w:rPr>
                <w:sz w:val="20"/>
              </w:rPr>
              <w:noBreakHyphen/>
              <w:t xml:space="preserve">degree murder. This was the second NCRMD finding, which led to a detention order, and the s. 672.64(1) of the </w:t>
            </w:r>
            <w:r w:rsidRPr="00E74E29">
              <w:rPr>
                <w:i/>
                <w:sz w:val="20"/>
              </w:rPr>
              <w:t>Criminal Code</w:t>
            </w:r>
            <w:r w:rsidRPr="00E74E29">
              <w:rPr>
                <w:sz w:val="20"/>
              </w:rPr>
              <w:t xml:space="preserve"> high</w:t>
            </w:r>
            <w:r w:rsidRPr="00E74E29">
              <w:rPr>
                <w:sz w:val="20"/>
              </w:rPr>
              <w:noBreakHyphen/>
              <w:t xml:space="preserve">risk accused designation. </w:t>
            </w:r>
            <w:r w:rsidRPr="00E74E29">
              <w:rPr>
                <w:spacing w:val="-2"/>
                <w:sz w:val="20"/>
              </w:rPr>
              <w:t xml:space="preserve">The Ontario Review Board </w:t>
            </w:r>
            <w:r w:rsidRPr="00E74E29">
              <w:rPr>
                <w:sz w:val="20"/>
              </w:rPr>
              <w:t xml:space="preserve">declined to order the applicant’s requested assessment. </w:t>
            </w:r>
            <w:r w:rsidRPr="00E74E29">
              <w:rPr>
                <w:spacing w:val="-2"/>
                <w:sz w:val="20"/>
              </w:rPr>
              <w:t>The Court of Appeal dismissed the appeal.</w:t>
            </w:r>
          </w:p>
        </w:tc>
      </w:tr>
      <w:tr w:rsidR="0035075E" w:rsidRPr="00E74E29" w:rsidTr="00F322C3">
        <w:tc>
          <w:tcPr>
            <w:tcW w:w="5000" w:type="pct"/>
            <w:gridSpan w:val="4"/>
          </w:tcPr>
          <w:p w:rsidR="0035075E" w:rsidRPr="00E74E29" w:rsidRDefault="0035075E" w:rsidP="0035075E">
            <w:pPr>
              <w:jc w:val="both"/>
              <w:rPr>
                <w:sz w:val="20"/>
              </w:rPr>
            </w:pPr>
          </w:p>
        </w:tc>
      </w:tr>
      <w:tr w:rsidR="0035075E" w:rsidRPr="00E74E29" w:rsidTr="00F322C3">
        <w:tc>
          <w:tcPr>
            <w:tcW w:w="2427" w:type="pct"/>
            <w:gridSpan w:val="2"/>
          </w:tcPr>
          <w:p w:rsidR="0035075E" w:rsidRPr="00E74E29" w:rsidRDefault="0035075E" w:rsidP="0035075E">
            <w:pPr>
              <w:jc w:val="both"/>
              <w:rPr>
                <w:sz w:val="20"/>
              </w:rPr>
            </w:pPr>
            <w:r w:rsidRPr="00E74E29">
              <w:rPr>
                <w:sz w:val="20"/>
              </w:rPr>
              <w:t>November 27, 2020</w:t>
            </w:r>
          </w:p>
          <w:p w:rsidR="0035075E" w:rsidRPr="00E74E29" w:rsidRDefault="0035075E" w:rsidP="0035075E">
            <w:pPr>
              <w:jc w:val="both"/>
              <w:rPr>
                <w:sz w:val="20"/>
              </w:rPr>
            </w:pPr>
            <w:r w:rsidRPr="00E74E29">
              <w:rPr>
                <w:sz w:val="20"/>
              </w:rPr>
              <w:t>Ontario Review Board</w:t>
            </w:r>
          </w:p>
          <w:p w:rsidR="0035075E" w:rsidRPr="00E74E29" w:rsidRDefault="0035075E" w:rsidP="0035075E">
            <w:pPr>
              <w:jc w:val="both"/>
              <w:rPr>
                <w:sz w:val="20"/>
              </w:rPr>
            </w:pPr>
            <w:r w:rsidRPr="00E74E29">
              <w:rPr>
                <w:sz w:val="20"/>
              </w:rPr>
              <w:t xml:space="preserve">(Capelle (Alternative Chairperson); Polak, </w:t>
            </w:r>
          </w:p>
          <w:p w:rsidR="0035075E" w:rsidRPr="00E74E29" w:rsidRDefault="0035075E" w:rsidP="0035075E">
            <w:pPr>
              <w:jc w:val="both"/>
              <w:rPr>
                <w:sz w:val="20"/>
              </w:rPr>
            </w:pPr>
            <w:r w:rsidRPr="00E74E29">
              <w:rPr>
                <w:sz w:val="20"/>
              </w:rPr>
              <w:t>McDonald, Nexhipi, Zitney (Members))</w:t>
            </w:r>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rPr>
            </w:pPr>
            <w:r w:rsidRPr="00E74E29">
              <w:rPr>
                <w:sz w:val="20"/>
              </w:rPr>
              <w:t>Applicant’s motion for an assessment dismissed</w:t>
            </w:r>
          </w:p>
          <w:p w:rsidR="0035075E" w:rsidRPr="00E74E29" w:rsidRDefault="0035075E" w:rsidP="0035075E">
            <w:pPr>
              <w:jc w:val="both"/>
              <w:rPr>
                <w:sz w:val="20"/>
              </w:rPr>
            </w:pPr>
          </w:p>
        </w:tc>
      </w:tr>
      <w:tr w:rsidR="0035075E" w:rsidRPr="00E74E29" w:rsidTr="00F322C3">
        <w:tc>
          <w:tcPr>
            <w:tcW w:w="2427" w:type="pct"/>
            <w:gridSpan w:val="2"/>
          </w:tcPr>
          <w:p w:rsidR="0035075E" w:rsidRPr="00E74E29" w:rsidRDefault="0035075E" w:rsidP="0035075E">
            <w:pPr>
              <w:jc w:val="both"/>
              <w:rPr>
                <w:sz w:val="20"/>
              </w:rPr>
            </w:pPr>
            <w:r w:rsidRPr="00E74E29">
              <w:rPr>
                <w:sz w:val="20"/>
              </w:rPr>
              <w:t>October 27, 2021</w:t>
            </w:r>
          </w:p>
          <w:p w:rsidR="0035075E" w:rsidRPr="00E74E29" w:rsidRDefault="0035075E" w:rsidP="0035075E">
            <w:pPr>
              <w:jc w:val="both"/>
              <w:rPr>
                <w:sz w:val="20"/>
              </w:rPr>
            </w:pPr>
            <w:r w:rsidRPr="00E74E29">
              <w:rPr>
                <w:sz w:val="20"/>
              </w:rPr>
              <w:t>Court of Appeal for Ontario</w:t>
            </w:r>
          </w:p>
          <w:p w:rsidR="0035075E" w:rsidRPr="00E74E29" w:rsidRDefault="0035075E" w:rsidP="0035075E">
            <w:pPr>
              <w:jc w:val="both"/>
              <w:rPr>
                <w:sz w:val="20"/>
              </w:rPr>
            </w:pPr>
            <w:r w:rsidRPr="00E74E29">
              <w:rPr>
                <w:sz w:val="20"/>
              </w:rPr>
              <w:t>(Paciocco, Nordheimer, Thorburn JJ.A.)</w:t>
            </w:r>
          </w:p>
          <w:p w:rsidR="0035075E" w:rsidRPr="00E74E29" w:rsidRDefault="0035075E" w:rsidP="0035075E">
            <w:pPr>
              <w:jc w:val="both"/>
              <w:rPr>
                <w:sz w:val="20"/>
              </w:rPr>
            </w:pPr>
            <w:r w:rsidRPr="00E74E29">
              <w:rPr>
                <w:sz w:val="20"/>
              </w:rPr>
              <w:t xml:space="preserve">C68885; </w:t>
            </w:r>
            <w:hyperlink r:id="rId21" w:history="1">
              <w:r w:rsidRPr="00E74E29">
                <w:rPr>
                  <w:rStyle w:val="Hyperlink"/>
                  <w:sz w:val="20"/>
                </w:rPr>
                <w:t>2021 ONCA 760</w:t>
              </w:r>
            </w:hyperlink>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rPr>
            </w:pPr>
            <w:r w:rsidRPr="00E74E29">
              <w:rPr>
                <w:sz w:val="20"/>
              </w:rPr>
              <w:t>Appeal dismissed</w:t>
            </w:r>
          </w:p>
          <w:p w:rsidR="0035075E" w:rsidRPr="00E74E29" w:rsidRDefault="0035075E" w:rsidP="0035075E">
            <w:pPr>
              <w:jc w:val="both"/>
              <w:rPr>
                <w:sz w:val="20"/>
              </w:rPr>
            </w:pPr>
          </w:p>
        </w:tc>
      </w:tr>
      <w:tr w:rsidR="0035075E" w:rsidRPr="00E74E29" w:rsidTr="00F322C3">
        <w:tc>
          <w:tcPr>
            <w:tcW w:w="2427" w:type="pct"/>
            <w:gridSpan w:val="2"/>
          </w:tcPr>
          <w:p w:rsidR="0035075E" w:rsidRPr="00E74E29" w:rsidRDefault="0035075E" w:rsidP="0035075E">
            <w:pPr>
              <w:jc w:val="both"/>
              <w:rPr>
                <w:sz w:val="20"/>
              </w:rPr>
            </w:pPr>
            <w:r w:rsidRPr="00E74E29">
              <w:rPr>
                <w:sz w:val="20"/>
              </w:rPr>
              <w:t>December 22, 2021</w:t>
            </w:r>
          </w:p>
          <w:p w:rsidR="0035075E" w:rsidRPr="00E74E29" w:rsidRDefault="0035075E" w:rsidP="0035075E">
            <w:pPr>
              <w:jc w:val="both"/>
              <w:rPr>
                <w:sz w:val="20"/>
              </w:rPr>
            </w:pPr>
            <w:r w:rsidRPr="00E74E29">
              <w:rPr>
                <w:sz w:val="20"/>
              </w:rPr>
              <w:t>Supreme Court of Canada</w:t>
            </w: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rPr>
            </w:pPr>
            <w:r w:rsidRPr="00E74E29">
              <w:rPr>
                <w:sz w:val="20"/>
              </w:rPr>
              <w:t>Application for leave to appeal filed</w:t>
            </w:r>
          </w:p>
          <w:p w:rsidR="0035075E" w:rsidRPr="00E74E29" w:rsidRDefault="0035075E" w:rsidP="0035075E">
            <w:pPr>
              <w:jc w:val="both"/>
              <w:rPr>
                <w:sz w:val="20"/>
              </w:rPr>
            </w:pPr>
          </w:p>
        </w:tc>
      </w:tr>
    </w:tbl>
    <w:p w:rsidR="0035075E" w:rsidRPr="00E74E29" w:rsidRDefault="0035075E" w:rsidP="0035075E">
      <w:pPr>
        <w:jc w:val="both"/>
        <w:rPr>
          <w:sz w:val="20"/>
        </w:rPr>
      </w:pPr>
    </w:p>
    <w:p w:rsidR="00F322C3" w:rsidRPr="00E74E29" w:rsidRDefault="00463557" w:rsidP="0035075E">
      <w:pPr>
        <w:jc w:val="both"/>
        <w:rPr>
          <w:sz w:val="20"/>
        </w:rPr>
      </w:pPr>
      <w:r>
        <w:rPr>
          <w:sz w:val="20"/>
        </w:rPr>
        <w:pict>
          <v:rect id="_x0000_i1027" style="width:2in;height:1pt" o:hrpct="0" o:hralign="center" o:hrstd="t" o:hrnoshade="t" o:hr="t" fillcolor="black [3213]" stroked="f"/>
        </w:pict>
      </w:r>
    </w:p>
    <w:p w:rsidR="00F322C3" w:rsidRPr="00E74E29" w:rsidRDefault="00F322C3" w:rsidP="0035075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075E" w:rsidRPr="00E74E29" w:rsidTr="00F322C3">
        <w:tc>
          <w:tcPr>
            <w:tcW w:w="543" w:type="pct"/>
          </w:tcPr>
          <w:p w:rsidR="0035075E" w:rsidRPr="00E74E29" w:rsidRDefault="0035075E" w:rsidP="0035075E">
            <w:pPr>
              <w:jc w:val="both"/>
              <w:rPr>
                <w:sz w:val="20"/>
                <w:lang w:val="fr-CA"/>
              </w:rPr>
            </w:pPr>
            <w:r w:rsidRPr="00E74E29">
              <w:rPr>
                <w:rStyle w:val="SCCFileNumberChar"/>
                <w:sz w:val="20"/>
                <w:szCs w:val="20"/>
                <w:lang w:val="fr-CA"/>
              </w:rPr>
              <w:t>39983</w:t>
            </w:r>
          </w:p>
        </w:tc>
        <w:tc>
          <w:tcPr>
            <w:tcW w:w="4457" w:type="pct"/>
            <w:gridSpan w:val="3"/>
          </w:tcPr>
          <w:p w:rsidR="0035075E" w:rsidRPr="00E74E29" w:rsidRDefault="0035075E" w:rsidP="0035075E">
            <w:pPr>
              <w:pStyle w:val="SCCLsocParty"/>
              <w:jc w:val="both"/>
              <w:rPr>
                <w:b/>
                <w:sz w:val="20"/>
                <w:szCs w:val="20"/>
              </w:rPr>
            </w:pPr>
            <w:r w:rsidRPr="00E74E29">
              <w:rPr>
                <w:b/>
                <w:sz w:val="20"/>
                <w:szCs w:val="20"/>
              </w:rPr>
              <w:t>Tyler Cousineau c. Procureur général de l’Ontario, Responsable du Waypoint Centre for Mental Health Care</w:t>
            </w:r>
          </w:p>
          <w:p w:rsidR="0035075E" w:rsidRPr="00E74E29" w:rsidRDefault="0035075E" w:rsidP="0035075E">
            <w:pPr>
              <w:jc w:val="both"/>
              <w:rPr>
                <w:sz w:val="20"/>
                <w:lang w:val="fr-CA"/>
              </w:rPr>
            </w:pPr>
            <w:r w:rsidRPr="00E74E29">
              <w:rPr>
                <w:sz w:val="20"/>
                <w:lang w:val="fr-CA"/>
              </w:rPr>
              <w:t>(Ont.) (Criminelle) (Sur autorisation)</w:t>
            </w:r>
          </w:p>
        </w:tc>
      </w:tr>
      <w:tr w:rsidR="0035075E" w:rsidRPr="00463557" w:rsidTr="00F322C3">
        <w:tc>
          <w:tcPr>
            <w:tcW w:w="5000" w:type="pct"/>
            <w:gridSpan w:val="4"/>
          </w:tcPr>
          <w:p w:rsidR="0035075E" w:rsidRPr="00E74E29" w:rsidRDefault="0035075E" w:rsidP="0035075E">
            <w:pPr>
              <w:jc w:val="both"/>
              <w:rPr>
                <w:sz w:val="20"/>
                <w:lang w:val="fr-CA"/>
              </w:rPr>
            </w:pPr>
            <w:r w:rsidRPr="00E74E29">
              <w:rPr>
                <w:sz w:val="20"/>
                <w:lang w:val="fr-CA"/>
              </w:rPr>
              <w:t>Droit criminel — Appel — Troubles mentaux — Accusé à haut risque — Dans quelles circonstances y a</w:t>
            </w:r>
            <w:r w:rsidRPr="00E74E29">
              <w:rPr>
                <w:sz w:val="20"/>
                <w:lang w:val="fr-CA"/>
              </w:rPr>
              <w:noBreakHyphen/>
              <w:t>t</w:t>
            </w:r>
            <w:r w:rsidRPr="00E74E29">
              <w:rPr>
                <w:sz w:val="20"/>
                <w:lang w:val="fr-CA"/>
              </w:rPr>
              <w:noBreakHyphen/>
              <w:t>il lieu d’appliquer le critère de la « probabilité marquée » ? — Le critère de la « probabilité marquée » devrait</w:t>
            </w:r>
            <w:r w:rsidRPr="00E74E29">
              <w:rPr>
                <w:sz w:val="20"/>
                <w:lang w:val="fr-CA"/>
              </w:rPr>
              <w:noBreakHyphen/>
              <w:t>il s’appliquer eu égard à la conduite probable de l’accusé s’il a été libéré de toute surveillance de la Commission, ou simplement si la désignation d’accusé à haut risque a été retirée, mais que l’accusé fait toujours l’objet de surveillance de la part de la Commission ? — Comment les tribunaux devraient</w:t>
            </w:r>
            <w:r w:rsidRPr="00E74E29">
              <w:rPr>
                <w:sz w:val="20"/>
                <w:lang w:val="fr-CA"/>
              </w:rPr>
              <w:noBreakHyphen/>
              <w:t>ils faire l’équilibre entre le « double objectif » de la sécurité publique et du traitement équitable des personnes souffrant de troubles mentaux qui commettent des infractions ? — Une Commission devrait</w:t>
            </w:r>
            <w:r w:rsidRPr="00E74E29">
              <w:rPr>
                <w:sz w:val="20"/>
                <w:lang w:val="fr-CA"/>
              </w:rPr>
              <w:noBreakHyphen/>
              <w:t>elle conclure qu’il existe une « probabilité marquée » qu’un accusé à haut risque agisse de manière violente pouvant ainsi mettre en danger la vie ou la sécurité d’une autre personne, en l’absence d’une évaluation qui mesurerait ce risque ?</w:t>
            </w:r>
          </w:p>
          <w:p w:rsidR="0035075E" w:rsidRPr="00E74E29" w:rsidRDefault="0035075E" w:rsidP="0035075E">
            <w:pPr>
              <w:jc w:val="both"/>
              <w:rPr>
                <w:sz w:val="20"/>
                <w:lang w:val="fr-CA"/>
              </w:rPr>
            </w:pPr>
          </w:p>
        </w:tc>
      </w:tr>
      <w:tr w:rsidR="0035075E" w:rsidRPr="00E74E29" w:rsidTr="00F322C3">
        <w:tc>
          <w:tcPr>
            <w:tcW w:w="5000" w:type="pct"/>
            <w:gridSpan w:val="4"/>
          </w:tcPr>
          <w:p w:rsidR="0035075E" w:rsidRPr="00E74E29" w:rsidRDefault="0035075E" w:rsidP="0035075E">
            <w:pPr>
              <w:jc w:val="both"/>
              <w:rPr>
                <w:sz w:val="20"/>
                <w:lang w:val="fr-CA"/>
              </w:rPr>
            </w:pPr>
            <w:r w:rsidRPr="00E74E29">
              <w:rPr>
                <w:sz w:val="20"/>
                <w:lang w:val="fr-CA"/>
              </w:rPr>
              <w:t xml:space="preserve">M. Cousineau a été déclaré non responsable criminellement pour cause de troubles mentaux (« NRCTM ») par rapport à des infractions commises avec violence, la dernière fois le 15 octobre 2018, relativement à deux chefs d’accusation de meurtre au deuxième degré. Il s’agissait de la seconde fois qu’un verdict de NRCTM avait été prononcé à son égard, ce qui a entraîné une ordonnance de détention et la désignation d’accusé à haut risque conformément au par. 672.64(1) du </w:t>
            </w:r>
            <w:r w:rsidRPr="00E74E29">
              <w:rPr>
                <w:i/>
                <w:sz w:val="20"/>
                <w:lang w:val="fr-CA"/>
              </w:rPr>
              <w:t>Code criminel</w:t>
            </w:r>
            <w:r w:rsidRPr="00E74E29">
              <w:rPr>
                <w:sz w:val="20"/>
                <w:lang w:val="fr-CA"/>
              </w:rPr>
              <w:t>. La Commission ontarienne d’examen</w:t>
            </w:r>
            <w:r w:rsidRPr="00E74E29">
              <w:rPr>
                <w:spacing w:val="-2"/>
                <w:sz w:val="20"/>
                <w:lang w:val="fr-CA"/>
              </w:rPr>
              <w:t xml:space="preserve"> a refusé d’ordonner l’évaluation demandée par le demandeur</w:t>
            </w:r>
            <w:r w:rsidRPr="00E74E29">
              <w:rPr>
                <w:sz w:val="20"/>
                <w:lang w:val="fr-CA"/>
              </w:rPr>
              <w:t xml:space="preserve">. La </w:t>
            </w:r>
            <w:r w:rsidRPr="00E74E29">
              <w:rPr>
                <w:spacing w:val="-2"/>
                <w:sz w:val="20"/>
                <w:lang w:val="fr-CA"/>
              </w:rPr>
              <w:t>Cour d’appel a rejeté l’appel.</w:t>
            </w:r>
          </w:p>
        </w:tc>
      </w:tr>
      <w:tr w:rsidR="0035075E" w:rsidRPr="00E74E29" w:rsidTr="00F322C3">
        <w:tc>
          <w:tcPr>
            <w:tcW w:w="5000" w:type="pct"/>
            <w:gridSpan w:val="4"/>
          </w:tcPr>
          <w:p w:rsidR="0035075E" w:rsidRPr="00E74E29" w:rsidRDefault="0035075E" w:rsidP="0035075E">
            <w:pPr>
              <w:jc w:val="both"/>
              <w:rPr>
                <w:sz w:val="20"/>
                <w:lang w:val="fr-CA"/>
              </w:rPr>
            </w:pP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t>27 novembre 2020</w:t>
            </w:r>
          </w:p>
          <w:p w:rsidR="0035075E" w:rsidRPr="00E74E29" w:rsidRDefault="0035075E" w:rsidP="0035075E">
            <w:pPr>
              <w:jc w:val="both"/>
              <w:rPr>
                <w:sz w:val="20"/>
                <w:lang w:val="fr-CA"/>
              </w:rPr>
            </w:pPr>
            <w:r w:rsidRPr="00E74E29">
              <w:rPr>
                <w:sz w:val="20"/>
                <w:lang w:val="fr-CA"/>
              </w:rPr>
              <w:t>Commission ontarienne d’examen</w:t>
            </w:r>
          </w:p>
          <w:p w:rsidR="0035075E" w:rsidRPr="00E74E29" w:rsidRDefault="0035075E" w:rsidP="0035075E">
            <w:pPr>
              <w:jc w:val="both"/>
              <w:rPr>
                <w:sz w:val="20"/>
                <w:lang w:val="fr-CA"/>
              </w:rPr>
            </w:pPr>
            <w:r w:rsidRPr="00E74E29">
              <w:rPr>
                <w:sz w:val="20"/>
                <w:lang w:val="fr-CA"/>
              </w:rPr>
              <w:t>(président suppléant Capelle; membres Polak, McDonald, Nexhipi, Zitney)</w:t>
            </w:r>
          </w:p>
          <w:p w:rsidR="0035075E" w:rsidRPr="00E74E29" w:rsidRDefault="0035075E" w:rsidP="0035075E">
            <w:pPr>
              <w:jc w:val="both"/>
              <w:rPr>
                <w:sz w:val="20"/>
                <w:lang w:val="fr-CA"/>
              </w:rPr>
            </w:pPr>
          </w:p>
        </w:tc>
        <w:tc>
          <w:tcPr>
            <w:tcW w:w="243" w:type="pct"/>
          </w:tcPr>
          <w:p w:rsidR="0035075E" w:rsidRPr="00E74E29" w:rsidRDefault="0035075E" w:rsidP="0035075E">
            <w:pPr>
              <w:jc w:val="both"/>
              <w:rPr>
                <w:sz w:val="20"/>
                <w:lang w:val="fr-CA"/>
              </w:rPr>
            </w:pPr>
          </w:p>
        </w:tc>
        <w:tc>
          <w:tcPr>
            <w:tcW w:w="2330" w:type="pct"/>
          </w:tcPr>
          <w:p w:rsidR="0035075E" w:rsidRPr="00E74E29" w:rsidRDefault="0035075E" w:rsidP="0035075E">
            <w:pPr>
              <w:jc w:val="both"/>
              <w:rPr>
                <w:sz w:val="20"/>
                <w:lang w:val="fr-CA"/>
              </w:rPr>
            </w:pPr>
            <w:r w:rsidRPr="00E74E29">
              <w:rPr>
                <w:sz w:val="20"/>
                <w:lang w:val="fr-CA"/>
              </w:rPr>
              <w:t>La motion visant à obtenir une évaluation est rejetée.</w:t>
            </w:r>
          </w:p>
          <w:p w:rsidR="0035075E" w:rsidRPr="00E74E29" w:rsidRDefault="0035075E" w:rsidP="0035075E">
            <w:pPr>
              <w:jc w:val="both"/>
              <w:rPr>
                <w:sz w:val="20"/>
                <w:lang w:val="fr-CA"/>
              </w:rPr>
            </w:pPr>
          </w:p>
        </w:tc>
      </w:tr>
      <w:tr w:rsidR="0035075E" w:rsidRPr="00E74E29" w:rsidTr="00F322C3">
        <w:tc>
          <w:tcPr>
            <w:tcW w:w="2427" w:type="pct"/>
            <w:gridSpan w:val="2"/>
          </w:tcPr>
          <w:p w:rsidR="0035075E" w:rsidRPr="00E74E29" w:rsidRDefault="0035075E" w:rsidP="0035075E">
            <w:pPr>
              <w:jc w:val="both"/>
              <w:rPr>
                <w:sz w:val="20"/>
                <w:lang w:val="fr-CA"/>
              </w:rPr>
            </w:pPr>
            <w:r w:rsidRPr="00E74E29">
              <w:rPr>
                <w:sz w:val="20"/>
                <w:lang w:val="fr-CA"/>
              </w:rPr>
              <w:t>27 octobre 2021</w:t>
            </w:r>
          </w:p>
          <w:p w:rsidR="0035075E" w:rsidRPr="00E74E29" w:rsidRDefault="0035075E" w:rsidP="0035075E">
            <w:pPr>
              <w:jc w:val="both"/>
              <w:rPr>
                <w:sz w:val="20"/>
                <w:lang w:val="fr-CA"/>
              </w:rPr>
            </w:pPr>
            <w:r w:rsidRPr="00E74E29">
              <w:rPr>
                <w:sz w:val="20"/>
                <w:lang w:val="fr-CA"/>
              </w:rPr>
              <w:t>Cour d’appel de l’Ontario</w:t>
            </w:r>
          </w:p>
          <w:p w:rsidR="0035075E" w:rsidRPr="00E74E29" w:rsidRDefault="0035075E" w:rsidP="0035075E">
            <w:pPr>
              <w:jc w:val="both"/>
              <w:rPr>
                <w:sz w:val="20"/>
                <w:lang w:val="fr-CA"/>
              </w:rPr>
            </w:pPr>
            <w:r w:rsidRPr="00E74E29">
              <w:rPr>
                <w:sz w:val="20"/>
                <w:lang w:val="fr-CA"/>
              </w:rPr>
              <w:t>(juges Paciocco, Nordheimer, Thorburn)</w:t>
            </w:r>
          </w:p>
          <w:p w:rsidR="0035075E" w:rsidRPr="00E74E29" w:rsidRDefault="0035075E" w:rsidP="0035075E">
            <w:pPr>
              <w:jc w:val="both"/>
              <w:rPr>
                <w:sz w:val="20"/>
                <w:lang w:val="fr-CA"/>
              </w:rPr>
            </w:pPr>
            <w:r w:rsidRPr="00E74E29">
              <w:rPr>
                <w:sz w:val="20"/>
                <w:lang w:val="fr-CA"/>
              </w:rPr>
              <w:t xml:space="preserve">C68885; </w:t>
            </w:r>
            <w:hyperlink r:id="rId22" w:history="1">
              <w:r w:rsidRPr="00E74E29">
                <w:rPr>
                  <w:rStyle w:val="Hyperlink"/>
                  <w:sz w:val="20"/>
                  <w:lang w:val="fr-CA"/>
                </w:rPr>
                <w:t>2021 ONCA 760</w:t>
              </w:r>
            </w:hyperlink>
          </w:p>
          <w:p w:rsidR="0035075E" w:rsidRPr="00E74E29" w:rsidRDefault="0035075E" w:rsidP="0035075E">
            <w:pPr>
              <w:jc w:val="both"/>
              <w:rPr>
                <w:sz w:val="20"/>
                <w:lang w:val="fr-CA"/>
              </w:rPr>
            </w:pPr>
          </w:p>
        </w:tc>
        <w:tc>
          <w:tcPr>
            <w:tcW w:w="243" w:type="pct"/>
          </w:tcPr>
          <w:p w:rsidR="0035075E" w:rsidRPr="00E74E29" w:rsidRDefault="0035075E" w:rsidP="0035075E">
            <w:pPr>
              <w:jc w:val="both"/>
              <w:rPr>
                <w:sz w:val="20"/>
                <w:lang w:val="fr-CA"/>
              </w:rPr>
            </w:pPr>
          </w:p>
        </w:tc>
        <w:tc>
          <w:tcPr>
            <w:tcW w:w="2330" w:type="pct"/>
          </w:tcPr>
          <w:p w:rsidR="0035075E" w:rsidRPr="00E74E29" w:rsidRDefault="0035075E" w:rsidP="0035075E">
            <w:pPr>
              <w:jc w:val="both"/>
              <w:rPr>
                <w:sz w:val="20"/>
                <w:lang w:val="fr-CA"/>
              </w:rPr>
            </w:pPr>
            <w:r w:rsidRPr="00E74E29">
              <w:rPr>
                <w:sz w:val="20"/>
                <w:lang w:val="fr-CA"/>
              </w:rPr>
              <w:t>L’appel est rejeté</w:t>
            </w:r>
          </w:p>
          <w:p w:rsidR="0035075E" w:rsidRPr="00E74E29" w:rsidRDefault="0035075E" w:rsidP="0035075E">
            <w:pPr>
              <w:jc w:val="both"/>
              <w:rPr>
                <w:sz w:val="20"/>
                <w:lang w:val="fr-CA"/>
              </w:rPr>
            </w:pP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t>22 décembre 2021</w:t>
            </w:r>
          </w:p>
          <w:p w:rsidR="0035075E" w:rsidRPr="00E74E29" w:rsidRDefault="0035075E" w:rsidP="0035075E">
            <w:pPr>
              <w:jc w:val="both"/>
              <w:rPr>
                <w:sz w:val="20"/>
                <w:lang w:val="fr-CA"/>
              </w:rPr>
            </w:pPr>
            <w:r w:rsidRPr="00E74E29">
              <w:rPr>
                <w:sz w:val="20"/>
                <w:lang w:val="fr-CA"/>
              </w:rPr>
              <w:t>Cour suprême du Canada</w:t>
            </w:r>
          </w:p>
        </w:tc>
        <w:tc>
          <w:tcPr>
            <w:tcW w:w="243" w:type="pct"/>
          </w:tcPr>
          <w:p w:rsidR="0035075E" w:rsidRPr="00E74E29" w:rsidRDefault="0035075E" w:rsidP="0035075E">
            <w:pPr>
              <w:jc w:val="both"/>
              <w:rPr>
                <w:sz w:val="20"/>
                <w:lang w:val="fr-CA"/>
              </w:rPr>
            </w:pPr>
          </w:p>
        </w:tc>
        <w:tc>
          <w:tcPr>
            <w:tcW w:w="2330" w:type="pct"/>
          </w:tcPr>
          <w:p w:rsidR="0035075E" w:rsidRPr="00E74E29" w:rsidRDefault="0035075E" w:rsidP="0035075E">
            <w:pPr>
              <w:jc w:val="both"/>
              <w:rPr>
                <w:sz w:val="20"/>
                <w:lang w:val="fr-CA"/>
              </w:rPr>
            </w:pPr>
            <w:r w:rsidRPr="00E74E29">
              <w:rPr>
                <w:sz w:val="20"/>
                <w:lang w:val="fr-CA"/>
              </w:rPr>
              <w:t>La demande d’autorisation d’appel est présentée.</w:t>
            </w:r>
          </w:p>
          <w:p w:rsidR="0035075E" w:rsidRPr="00E74E29" w:rsidRDefault="0035075E" w:rsidP="0035075E">
            <w:pPr>
              <w:jc w:val="both"/>
              <w:rPr>
                <w:sz w:val="20"/>
                <w:lang w:val="fr-CA"/>
              </w:rPr>
            </w:pPr>
          </w:p>
        </w:tc>
      </w:tr>
    </w:tbl>
    <w:p w:rsidR="0035075E" w:rsidRPr="00E74E29" w:rsidRDefault="0035075E" w:rsidP="0035075E">
      <w:pPr>
        <w:jc w:val="both"/>
        <w:rPr>
          <w:sz w:val="20"/>
          <w:lang w:val="fr-CA"/>
        </w:rPr>
      </w:pPr>
    </w:p>
    <w:p w:rsidR="00F322C3" w:rsidRPr="00E74E29" w:rsidRDefault="00463557" w:rsidP="0035075E">
      <w:pPr>
        <w:jc w:val="both"/>
        <w:rPr>
          <w:sz w:val="20"/>
          <w:lang w:val="fr-CA"/>
        </w:rPr>
      </w:pPr>
      <w:r>
        <w:rPr>
          <w:sz w:val="20"/>
        </w:rPr>
        <w:pict>
          <v:rect id="_x0000_i1028" style="width:2in;height:1pt" o:hrpct="0" o:hralign="center" o:hrstd="t" o:hrnoshade="t" o:hr="t" fillcolor="black [3213]" stroked="f"/>
        </w:pict>
      </w:r>
    </w:p>
    <w:p w:rsidR="00DA2AB7" w:rsidRPr="00E74E29" w:rsidRDefault="00DA2AB7" w:rsidP="0035075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075E" w:rsidRPr="00E74E29" w:rsidTr="00F322C3">
        <w:tc>
          <w:tcPr>
            <w:tcW w:w="543" w:type="pct"/>
          </w:tcPr>
          <w:p w:rsidR="0035075E" w:rsidRPr="00E74E29" w:rsidRDefault="0035075E" w:rsidP="0035075E">
            <w:pPr>
              <w:jc w:val="both"/>
              <w:rPr>
                <w:sz w:val="20"/>
              </w:rPr>
            </w:pPr>
            <w:r w:rsidRPr="00E74E29">
              <w:rPr>
                <w:rStyle w:val="SCCFileNumberChar"/>
                <w:sz w:val="20"/>
                <w:szCs w:val="20"/>
              </w:rPr>
              <w:t>39765</w:t>
            </w:r>
          </w:p>
        </w:tc>
        <w:tc>
          <w:tcPr>
            <w:tcW w:w="4457" w:type="pct"/>
            <w:gridSpan w:val="3"/>
          </w:tcPr>
          <w:p w:rsidR="0035075E" w:rsidRPr="00E74E29" w:rsidRDefault="0035075E" w:rsidP="0035075E">
            <w:pPr>
              <w:pStyle w:val="SCCLsocParty"/>
              <w:jc w:val="both"/>
              <w:rPr>
                <w:b/>
                <w:sz w:val="20"/>
                <w:szCs w:val="20"/>
                <w:lang w:val="en-US"/>
              </w:rPr>
            </w:pPr>
            <w:r w:rsidRPr="00E74E29">
              <w:rPr>
                <w:b/>
                <w:sz w:val="20"/>
                <w:szCs w:val="20"/>
                <w:lang w:val="en-US"/>
              </w:rPr>
              <w:t>Wiseau Studio, LLC, Tommy Wiseau d.b.a. Wiseau-Films v. Richard Harper, Fernando Forero McGrath, Martin Racicot d.b.a. Rockhaven Pictures, Room Full of Spoons Inc., Parktown Studios Inc., Richard Stewart Towns</w:t>
            </w:r>
          </w:p>
          <w:p w:rsidR="0035075E" w:rsidRPr="00E74E29" w:rsidRDefault="0035075E" w:rsidP="0035075E">
            <w:pPr>
              <w:jc w:val="both"/>
              <w:rPr>
                <w:sz w:val="20"/>
              </w:rPr>
            </w:pPr>
            <w:r w:rsidRPr="00E74E29">
              <w:rPr>
                <w:sz w:val="20"/>
              </w:rPr>
              <w:t>(Ont.) (Civil) (By Leave)</w:t>
            </w:r>
          </w:p>
        </w:tc>
      </w:tr>
      <w:tr w:rsidR="0035075E" w:rsidRPr="00E74E29" w:rsidTr="00F322C3">
        <w:tc>
          <w:tcPr>
            <w:tcW w:w="5000" w:type="pct"/>
            <w:gridSpan w:val="4"/>
          </w:tcPr>
          <w:p w:rsidR="0035075E" w:rsidRPr="00E74E29" w:rsidRDefault="0035075E" w:rsidP="0035075E">
            <w:pPr>
              <w:jc w:val="both"/>
              <w:rPr>
                <w:sz w:val="20"/>
              </w:rPr>
            </w:pPr>
            <w:r w:rsidRPr="00E74E29">
              <w:rPr>
                <w:sz w:val="20"/>
              </w:rPr>
              <w:t xml:space="preserve">Civil procedure — Costs — Security for costs — Whether appellate court erred in allowing order for security for costs of appeal and all costs below to stand — Whether discretion under </w:t>
            </w:r>
            <w:r w:rsidRPr="00E74E29">
              <w:rPr>
                <w:i/>
                <w:sz w:val="20"/>
              </w:rPr>
              <w:t>Rules Of Civil Procedure</w:t>
            </w:r>
            <w:r w:rsidRPr="00E74E29">
              <w:rPr>
                <w:sz w:val="20"/>
              </w:rPr>
              <w:t>, Rule 61.06(1), can be exercised before deadline to perfect appeal — Whether motion for costs can be considered without full appeal materials.</w:t>
            </w:r>
          </w:p>
        </w:tc>
      </w:tr>
      <w:tr w:rsidR="0035075E" w:rsidRPr="00E74E29" w:rsidTr="00F322C3">
        <w:tc>
          <w:tcPr>
            <w:tcW w:w="5000" w:type="pct"/>
            <w:gridSpan w:val="4"/>
          </w:tcPr>
          <w:p w:rsidR="0035075E" w:rsidRPr="00E74E29" w:rsidRDefault="0035075E" w:rsidP="0035075E">
            <w:pPr>
              <w:jc w:val="both"/>
              <w:rPr>
                <w:sz w:val="20"/>
              </w:rPr>
            </w:pPr>
          </w:p>
        </w:tc>
      </w:tr>
      <w:tr w:rsidR="0035075E" w:rsidRPr="00E74E29" w:rsidTr="00F322C3">
        <w:tc>
          <w:tcPr>
            <w:tcW w:w="5000" w:type="pct"/>
            <w:gridSpan w:val="4"/>
          </w:tcPr>
          <w:p w:rsidR="0035075E" w:rsidRPr="00E74E29" w:rsidRDefault="0035075E" w:rsidP="0035075E">
            <w:pPr>
              <w:jc w:val="both"/>
              <w:rPr>
                <w:sz w:val="20"/>
              </w:rPr>
            </w:pPr>
            <w:r w:rsidRPr="00E74E29">
              <w:rPr>
                <w:sz w:val="20"/>
              </w:rPr>
              <w:t xml:space="preserve">Richard Harper, Fernando McGrath, Martin Racicot doing business as Rockhaven Pictures, Room Full of Spoons Inc., Parktown Studios Inc. and Richard Towns (collectively, “RFS”) moved for security for the trial judgment, costs of that judgment and the appeal, and, in the alternative, an order lifting the stay pending appeal. In 2003, Wiseau Studio LLC and Tommy Wiseau, residents of California doing business as “Wiseau Films”, had released a feature film called </w:t>
            </w:r>
            <w:r w:rsidRPr="00E74E29">
              <w:rPr>
                <w:i/>
                <w:sz w:val="20"/>
              </w:rPr>
              <w:t>The Room</w:t>
            </w:r>
            <w:r w:rsidRPr="00E74E29">
              <w:rPr>
                <w:sz w:val="20"/>
              </w:rPr>
              <w:t xml:space="preserve">. In 2016, Ontario filmmakers Mr. Harper, Mr. McGrath, Mr. Racicot and Mr. Towns completed a documentary film called </w:t>
            </w:r>
            <w:r w:rsidRPr="00E74E29">
              <w:rPr>
                <w:i/>
                <w:sz w:val="20"/>
              </w:rPr>
              <w:t>Room Full of Spoons</w:t>
            </w:r>
            <w:r w:rsidRPr="00E74E29">
              <w:rPr>
                <w:sz w:val="20"/>
              </w:rPr>
              <w:t xml:space="preserve"> about the cult</w:t>
            </w:r>
            <w:r w:rsidRPr="00E74E29">
              <w:rPr>
                <w:sz w:val="20"/>
              </w:rPr>
              <w:noBreakHyphen/>
              <w:t>like status that had been acquired by</w:t>
            </w:r>
            <w:r w:rsidRPr="00E74E29">
              <w:rPr>
                <w:i/>
                <w:sz w:val="20"/>
              </w:rPr>
              <w:t xml:space="preserve"> The Room</w:t>
            </w:r>
            <w:r w:rsidRPr="00E74E29">
              <w:rPr>
                <w:sz w:val="20"/>
              </w:rPr>
              <w:t xml:space="preserve"> and Mr. Wiseau. Wiseau Films obtained an </w:t>
            </w:r>
            <w:r w:rsidRPr="00E74E29">
              <w:rPr>
                <w:i/>
                <w:sz w:val="20"/>
              </w:rPr>
              <w:t>ex parte</w:t>
            </w:r>
            <w:r w:rsidRPr="00E74E29">
              <w:rPr>
                <w:sz w:val="20"/>
              </w:rPr>
              <w:t xml:space="preserve"> injunction restraining the release of the documentary. The injunction was later dissolved based on a finding that Wiseau Films had failed to make full and frank disclosure and had engaged in litigation misconduct.</w:t>
            </w:r>
          </w:p>
          <w:p w:rsidR="0035075E" w:rsidRPr="00E74E29" w:rsidRDefault="0035075E" w:rsidP="0035075E">
            <w:pPr>
              <w:jc w:val="both"/>
              <w:rPr>
                <w:sz w:val="20"/>
              </w:rPr>
            </w:pPr>
          </w:p>
          <w:p w:rsidR="0035075E" w:rsidRPr="00E74E29" w:rsidRDefault="0035075E" w:rsidP="0035075E">
            <w:pPr>
              <w:jc w:val="both"/>
              <w:rPr>
                <w:sz w:val="20"/>
              </w:rPr>
            </w:pPr>
            <w:r w:rsidRPr="00E74E29">
              <w:rPr>
                <w:sz w:val="20"/>
              </w:rPr>
              <w:t>Wiseau Films’ request to discontinue the claim on the eve of trial was refused and the eight</w:t>
            </w:r>
            <w:r w:rsidRPr="00E74E29">
              <w:rPr>
                <w:sz w:val="20"/>
              </w:rPr>
              <w:noBreakHyphen/>
              <w:t xml:space="preserve">day trial went ahead. Its claim was dismissed and RFS’s counterclaim was granted. RFS was awarded punitive damages, damages arising from the improper </w:t>
            </w:r>
            <w:r w:rsidRPr="00E74E29">
              <w:rPr>
                <w:i/>
                <w:sz w:val="20"/>
              </w:rPr>
              <w:t>ex parte</w:t>
            </w:r>
            <w:r w:rsidRPr="00E74E29">
              <w:rPr>
                <w:sz w:val="20"/>
              </w:rPr>
              <w:t xml:space="preserve"> injunction, pre</w:t>
            </w:r>
            <w:r w:rsidRPr="00E74E29">
              <w:rPr>
                <w:sz w:val="20"/>
              </w:rPr>
              <w:noBreakHyphen/>
              <w:t>judgment interest, and costs. Wiseau Films’ request to vary the judgment was dismissed.</w:t>
            </w:r>
          </w:p>
          <w:p w:rsidR="0035075E" w:rsidRPr="00E74E29" w:rsidRDefault="0035075E" w:rsidP="0035075E">
            <w:pPr>
              <w:jc w:val="both"/>
              <w:rPr>
                <w:sz w:val="20"/>
              </w:rPr>
            </w:pPr>
          </w:p>
          <w:p w:rsidR="0035075E" w:rsidRPr="00E74E29" w:rsidRDefault="0035075E" w:rsidP="0035075E">
            <w:pPr>
              <w:jc w:val="both"/>
              <w:rPr>
                <w:sz w:val="20"/>
              </w:rPr>
            </w:pPr>
            <w:r w:rsidRPr="00E74E29">
              <w:rPr>
                <w:sz w:val="20"/>
              </w:rPr>
              <w:t>After Wiseau Films filed a Notice of Appeal, but before the appeal was perfected, RFS moved before a single judge of the Court of Appeal for security for the trial judgment, costs of the trial and the appeal. All three requests were granted. Wiseau Films moved before a three</w:t>
            </w:r>
            <w:r w:rsidRPr="00E74E29">
              <w:rPr>
                <w:sz w:val="20"/>
              </w:rPr>
              <w:noBreakHyphen/>
              <w:t>member panel of the Court of Appeal to review that decision. Having allowed Wiseau Films to resile from the earlier concession that the appeal was frivolous, the panel was satisfied that the order for security for the trial judgment should be set aside. However, it affirmed the order for security for costs of the trial and the appeal. As success was divided, there was no award of costs.</w:t>
            </w:r>
          </w:p>
          <w:p w:rsidR="0035075E" w:rsidRPr="00E74E29" w:rsidRDefault="0035075E" w:rsidP="0035075E">
            <w:pPr>
              <w:jc w:val="both"/>
              <w:rPr>
                <w:sz w:val="20"/>
              </w:rPr>
            </w:pPr>
          </w:p>
        </w:tc>
      </w:tr>
      <w:tr w:rsidR="0035075E" w:rsidRPr="00E74E29" w:rsidTr="00F322C3">
        <w:tc>
          <w:tcPr>
            <w:tcW w:w="2427" w:type="pct"/>
            <w:gridSpan w:val="2"/>
          </w:tcPr>
          <w:p w:rsidR="0035075E" w:rsidRPr="00E74E29" w:rsidRDefault="0035075E" w:rsidP="0035075E">
            <w:pPr>
              <w:jc w:val="both"/>
              <w:rPr>
                <w:sz w:val="20"/>
              </w:rPr>
            </w:pPr>
            <w:r w:rsidRPr="00E74E29">
              <w:rPr>
                <w:sz w:val="20"/>
              </w:rPr>
              <w:t>April 23, 2020</w:t>
            </w:r>
          </w:p>
          <w:p w:rsidR="0035075E" w:rsidRPr="00E74E29" w:rsidRDefault="0035075E" w:rsidP="0035075E">
            <w:pPr>
              <w:jc w:val="both"/>
              <w:rPr>
                <w:sz w:val="20"/>
              </w:rPr>
            </w:pPr>
            <w:r w:rsidRPr="00E74E29">
              <w:rPr>
                <w:sz w:val="20"/>
              </w:rPr>
              <w:t>Ontario Superior Court of Justice</w:t>
            </w:r>
          </w:p>
          <w:p w:rsidR="0035075E" w:rsidRPr="00E74E29" w:rsidRDefault="0035075E" w:rsidP="0035075E">
            <w:pPr>
              <w:jc w:val="both"/>
              <w:rPr>
                <w:sz w:val="20"/>
              </w:rPr>
            </w:pPr>
            <w:r w:rsidRPr="00E74E29">
              <w:rPr>
                <w:sz w:val="20"/>
              </w:rPr>
              <w:t>(Schabas J.)</w:t>
            </w:r>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rPr>
            </w:pPr>
            <w:r w:rsidRPr="00E74E29">
              <w:rPr>
                <w:sz w:val="20"/>
              </w:rPr>
              <w:t>Claim dismissed; counterclaim granted; punitive and other damages, pre</w:t>
            </w:r>
            <w:r w:rsidRPr="00E74E29">
              <w:rPr>
                <w:sz w:val="20"/>
              </w:rPr>
              <w:noBreakHyphen/>
              <w:t>judgment interest, and costs awarded</w:t>
            </w:r>
          </w:p>
          <w:p w:rsidR="0035075E" w:rsidRPr="00E74E29" w:rsidRDefault="0035075E" w:rsidP="0035075E">
            <w:pPr>
              <w:jc w:val="both"/>
              <w:rPr>
                <w:sz w:val="20"/>
              </w:rPr>
            </w:pPr>
          </w:p>
        </w:tc>
      </w:tr>
      <w:tr w:rsidR="0035075E" w:rsidRPr="00E74E29" w:rsidTr="00F322C3">
        <w:tc>
          <w:tcPr>
            <w:tcW w:w="2427" w:type="pct"/>
            <w:gridSpan w:val="2"/>
          </w:tcPr>
          <w:p w:rsidR="0035075E" w:rsidRPr="00E74E29" w:rsidRDefault="0035075E" w:rsidP="0035075E">
            <w:pPr>
              <w:jc w:val="both"/>
              <w:rPr>
                <w:sz w:val="20"/>
              </w:rPr>
            </w:pPr>
            <w:r w:rsidRPr="00E74E29">
              <w:rPr>
                <w:sz w:val="20"/>
              </w:rPr>
              <w:t>January 15, 2021</w:t>
            </w:r>
          </w:p>
          <w:p w:rsidR="0035075E" w:rsidRPr="00E74E29" w:rsidRDefault="0035075E" w:rsidP="0035075E">
            <w:pPr>
              <w:jc w:val="both"/>
              <w:rPr>
                <w:sz w:val="20"/>
              </w:rPr>
            </w:pPr>
            <w:r w:rsidRPr="00E74E29">
              <w:rPr>
                <w:sz w:val="20"/>
              </w:rPr>
              <w:t>Court of Appeal for Ontario</w:t>
            </w:r>
          </w:p>
          <w:p w:rsidR="0035075E" w:rsidRPr="00E74E29" w:rsidRDefault="0035075E" w:rsidP="0035075E">
            <w:pPr>
              <w:jc w:val="both"/>
              <w:rPr>
                <w:sz w:val="20"/>
              </w:rPr>
            </w:pPr>
            <w:r w:rsidRPr="00E74E29">
              <w:rPr>
                <w:sz w:val="20"/>
              </w:rPr>
              <w:t>(Thorburn J.)</w:t>
            </w:r>
          </w:p>
          <w:p w:rsidR="0035075E" w:rsidRPr="00E74E29" w:rsidRDefault="00463557" w:rsidP="0035075E">
            <w:pPr>
              <w:jc w:val="both"/>
              <w:rPr>
                <w:sz w:val="20"/>
              </w:rPr>
            </w:pPr>
            <w:hyperlink r:id="rId23" w:history="1">
              <w:r w:rsidR="0035075E" w:rsidRPr="00E74E29">
                <w:rPr>
                  <w:rStyle w:val="Hyperlink"/>
                  <w:sz w:val="20"/>
                </w:rPr>
                <w:t>2021 ONCA 31</w:t>
              </w:r>
            </w:hyperlink>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rPr>
            </w:pPr>
            <w:r w:rsidRPr="00E74E29">
              <w:rPr>
                <w:sz w:val="20"/>
              </w:rPr>
              <w:t xml:space="preserve">Security for trial judgment and for costs of trial and appeal awarded under Rule 56.01 of the </w:t>
            </w:r>
            <w:r w:rsidRPr="00E74E29">
              <w:rPr>
                <w:i/>
                <w:sz w:val="20"/>
              </w:rPr>
              <w:t>Rules of Civil Procedure</w:t>
            </w:r>
            <w:r w:rsidRPr="00E74E29">
              <w:rPr>
                <w:sz w:val="20"/>
              </w:rPr>
              <w:t>, R.R.O. 1990, Reg. 194</w:t>
            </w:r>
          </w:p>
          <w:p w:rsidR="0035075E" w:rsidRPr="00E74E29" w:rsidRDefault="0035075E" w:rsidP="0035075E">
            <w:pPr>
              <w:jc w:val="both"/>
              <w:rPr>
                <w:sz w:val="20"/>
              </w:rPr>
            </w:pPr>
          </w:p>
        </w:tc>
      </w:tr>
      <w:tr w:rsidR="0035075E" w:rsidRPr="00E74E29" w:rsidTr="00F322C3">
        <w:tc>
          <w:tcPr>
            <w:tcW w:w="2427" w:type="pct"/>
            <w:gridSpan w:val="2"/>
          </w:tcPr>
          <w:p w:rsidR="0035075E" w:rsidRPr="00E74E29" w:rsidRDefault="0035075E" w:rsidP="0035075E">
            <w:pPr>
              <w:jc w:val="both"/>
              <w:rPr>
                <w:sz w:val="20"/>
              </w:rPr>
            </w:pPr>
            <w:r w:rsidRPr="00E74E29">
              <w:rPr>
                <w:sz w:val="20"/>
              </w:rPr>
              <w:t>June 7, 2021</w:t>
            </w:r>
          </w:p>
          <w:p w:rsidR="0035075E" w:rsidRPr="00E74E29" w:rsidRDefault="0035075E" w:rsidP="0035075E">
            <w:pPr>
              <w:jc w:val="both"/>
              <w:rPr>
                <w:sz w:val="20"/>
              </w:rPr>
            </w:pPr>
            <w:r w:rsidRPr="00E74E29">
              <w:rPr>
                <w:sz w:val="20"/>
              </w:rPr>
              <w:t>Court of Appeal for Ontario</w:t>
            </w:r>
          </w:p>
          <w:p w:rsidR="0035075E" w:rsidRPr="00E74E29" w:rsidRDefault="0035075E" w:rsidP="0035075E">
            <w:pPr>
              <w:jc w:val="both"/>
              <w:rPr>
                <w:sz w:val="20"/>
              </w:rPr>
            </w:pPr>
            <w:r w:rsidRPr="00E74E29">
              <w:rPr>
                <w:sz w:val="20"/>
              </w:rPr>
              <w:t>(Doherty, Pepall, Trotter JJ.A.)</w:t>
            </w:r>
          </w:p>
          <w:p w:rsidR="0035075E" w:rsidRPr="00E74E29" w:rsidRDefault="00463557" w:rsidP="0035075E">
            <w:pPr>
              <w:jc w:val="both"/>
              <w:rPr>
                <w:sz w:val="20"/>
              </w:rPr>
            </w:pPr>
            <w:hyperlink r:id="rId24" w:anchor="document" w:history="1">
              <w:r w:rsidR="0035075E" w:rsidRPr="00E74E29">
                <w:rPr>
                  <w:rStyle w:val="Hyperlink"/>
                  <w:sz w:val="20"/>
                </w:rPr>
                <w:t>2021 ONCA 396</w:t>
              </w:r>
            </w:hyperlink>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rPr>
            </w:pPr>
            <w:r w:rsidRPr="00E74E29">
              <w:rPr>
                <w:sz w:val="20"/>
              </w:rPr>
              <w:t>Order of security for trial judgment set aside; order of security for costs of trial and appeal affirmed; appeal dismissed for failure to comply with order of security for costs</w:t>
            </w:r>
          </w:p>
        </w:tc>
      </w:tr>
      <w:tr w:rsidR="0035075E" w:rsidRPr="00E74E29" w:rsidTr="00F322C3">
        <w:tc>
          <w:tcPr>
            <w:tcW w:w="2427" w:type="pct"/>
            <w:gridSpan w:val="2"/>
          </w:tcPr>
          <w:p w:rsidR="0035075E" w:rsidRPr="00E74E29" w:rsidRDefault="0035075E" w:rsidP="0035075E">
            <w:pPr>
              <w:jc w:val="both"/>
              <w:rPr>
                <w:sz w:val="20"/>
              </w:rPr>
            </w:pPr>
            <w:r w:rsidRPr="00E74E29">
              <w:rPr>
                <w:sz w:val="20"/>
              </w:rPr>
              <w:t>September 1, 2021</w:t>
            </w:r>
          </w:p>
          <w:p w:rsidR="0035075E" w:rsidRPr="00E74E29" w:rsidRDefault="0035075E" w:rsidP="0035075E">
            <w:pPr>
              <w:jc w:val="both"/>
              <w:rPr>
                <w:sz w:val="20"/>
              </w:rPr>
            </w:pPr>
            <w:r w:rsidRPr="00E74E29">
              <w:rPr>
                <w:sz w:val="20"/>
              </w:rPr>
              <w:t>Supreme Court of Canada</w:t>
            </w: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rPr>
            </w:pPr>
            <w:r w:rsidRPr="00E74E29">
              <w:rPr>
                <w:sz w:val="20"/>
              </w:rPr>
              <w:t>Application for leave to appeal filed</w:t>
            </w:r>
          </w:p>
          <w:p w:rsidR="0035075E" w:rsidRPr="00E74E29" w:rsidRDefault="0035075E" w:rsidP="0035075E">
            <w:pPr>
              <w:jc w:val="both"/>
              <w:rPr>
                <w:sz w:val="20"/>
              </w:rPr>
            </w:pPr>
          </w:p>
        </w:tc>
      </w:tr>
    </w:tbl>
    <w:p w:rsidR="0035075E" w:rsidRPr="00E74E29" w:rsidRDefault="0035075E" w:rsidP="0035075E">
      <w:pPr>
        <w:jc w:val="both"/>
        <w:rPr>
          <w:sz w:val="20"/>
        </w:rPr>
      </w:pPr>
    </w:p>
    <w:p w:rsidR="00F322C3" w:rsidRPr="00E74E29" w:rsidRDefault="00463557" w:rsidP="0035075E">
      <w:pPr>
        <w:jc w:val="both"/>
        <w:rPr>
          <w:sz w:val="20"/>
        </w:rPr>
      </w:pPr>
      <w:r>
        <w:rPr>
          <w:sz w:val="20"/>
        </w:rPr>
        <w:pict>
          <v:rect id="_x0000_i1029" style="width:2in;height:1pt" o:hrpct="0" o:hralign="center" o:hrstd="t" o:hrnoshade="t" o:hr="t" fillcolor="black [3213]" stroked="f"/>
        </w:pict>
      </w:r>
    </w:p>
    <w:p w:rsidR="00F322C3" w:rsidRPr="00E74E29" w:rsidRDefault="00F322C3" w:rsidP="0035075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075E" w:rsidRPr="00E74E29" w:rsidTr="00F322C3">
        <w:tc>
          <w:tcPr>
            <w:tcW w:w="543" w:type="pct"/>
          </w:tcPr>
          <w:p w:rsidR="0035075E" w:rsidRPr="00E74E29" w:rsidRDefault="0035075E" w:rsidP="0035075E">
            <w:pPr>
              <w:jc w:val="both"/>
              <w:rPr>
                <w:sz w:val="20"/>
                <w:lang w:val="fr-CA"/>
              </w:rPr>
            </w:pPr>
            <w:r w:rsidRPr="00E74E29">
              <w:rPr>
                <w:rStyle w:val="SCCFileNumberChar"/>
                <w:sz w:val="20"/>
                <w:szCs w:val="20"/>
                <w:lang w:val="fr-CA"/>
              </w:rPr>
              <w:t>39765</w:t>
            </w:r>
          </w:p>
        </w:tc>
        <w:tc>
          <w:tcPr>
            <w:tcW w:w="4457" w:type="pct"/>
            <w:gridSpan w:val="3"/>
          </w:tcPr>
          <w:p w:rsidR="0035075E" w:rsidRPr="00E74E29" w:rsidRDefault="0035075E" w:rsidP="0035075E">
            <w:pPr>
              <w:pStyle w:val="SCCLsocParty"/>
              <w:jc w:val="both"/>
              <w:rPr>
                <w:b/>
                <w:sz w:val="20"/>
                <w:szCs w:val="20"/>
              </w:rPr>
            </w:pPr>
            <w:r w:rsidRPr="00E74E29">
              <w:rPr>
                <w:b/>
                <w:sz w:val="20"/>
                <w:szCs w:val="20"/>
              </w:rPr>
              <w:t>Wiseau Studio, LLC, Tommy Wiseau faisant affaire sous la dénomination Wiseau-Films c. Richard Harper, Fernando Forero McGrath, Martin Racicot faisant affaire sous la dénomination Rockhaven Pictures, Room Full of Spoons Inc., Parktown Studios Inc., Richard Stewart Towns</w:t>
            </w:r>
          </w:p>
          <w:p w:rsidR="0035075E" w:rsidRPr="00E74E29" w:rsidRDefault="0035075E" w:rsidP="0035075E">
            <w:pPr>
              <w:jc w:val="both"/>
              <w:rPr>
                <w:sz w:val="20"/>
                <w:lang w:val="fr-CA"/>
              </w:rPr>
            </w:pPr>
            <w:r w:rsidRPr="00E74E29">
              <w:rPr>
                <w:sz w:val="20"/>
                <w:lang w:val="fr-CA"/>
              </w:rPr>
              <w:t>(Ont.) (Civile) (Sur autorisation)</w:t>
            </w:r>
          </w:p>
        </w:tc>
      </w:tr>
      <w:tr w:rsidR="0035075E" w:rsidRPr="00463557" w:rsidTr="00F322C3">
        <w:tc>
          <w:tcPr>
            <w:tcW w:w="5000" w:type="pct"/>
            <w:gridSpan w:val="4"/>
          </w:tcPr>
          <w:p w:rsidR="0035075E" w:rsidRPr="00E74E29" w:rsidRDefault="0035075E" w:rsidP="0035075E">
            <w:pPr>
              <w:jc w:val="both"/>
              <w:rPr>
                <w:sz w:val="20"/>
                <w:lang w:val="fr-CA"/>
              </w:rPr>
            </w:pPr>
            <w:r w:rsidRPr="00E74E29">
              <w:rPr>
                <w:sz w:val="20"/>
                <w:lang w:val="fr-CA"/>
              </w:rPr>
              <w:t>Procédure civile — Dépens — Cautionnement pour dépens — La cour d’appel a</w:t>
            </w:r>
            <w:r w:rsidRPr="00E74E29">
              <w:rPr>
                <w:sz w:val="20"/>
                <w:lang w:val="fr-CA"/>
              </w:rPr>
              <w:noBreakHyphen/>
              <w:t>t</w:t>
            </w:r>
            <w:r w:rsidRPr="00E74E29">
              <w:rPr>
                <w:sz w:val="20"/>
                <w:lang w:val="fr-CA"/>
              </w:rPr>
              <w:noBreakHyphen/>
              <w:t xml:space="preserve">elle commis une erreur en confirmant l’ordonnance de cautionnement pour les dépens devant la cour d’appel et pour tous les dépens devant les tribunaux d’instance inférieure ? — Le pouvoir discrétionnaire prévu au par. 61.06(1) des </w:t>
            </w:r>
            <w:r w:rsidRPr="00E74E29">
              <w:rPr>
                <w:i/>
                <w:sz w:val="20"/>
                <w:lang w:val="fr-CA"/>
              </w:rPr>
              <w:t xml:space="preserve">Règles de procédure civile </w:t>
            </w:r>
            <w:r w:rsidRPr="00E74E29">
              <w:rPr>
                <w:sz w:val="20"/>
                <w:lang w:val="fr-CA"/>
              </w:rPr>
              <w:t>peut</w:t>
            </w:r>
            <w:r w:rsidRPr="00E74E29">
              <w:rPr>
                <w:sz w:val="20"/>
                <w:lang w:val="fr-CA"/>
              </w:rPr>
              <w:noBreakHyphen/>
              <w:t>il être exercé avant l’expiration du délai de mise en état de l’appel ? — Une motion pour dépens peut</w:t>
            </w:r>
            <w:r w:rsidRPr="00E74E29">
              <w:rPr>
                <w:sz w:val="20"/>
                <w:lang w:val="fr-CA"/>
              </w:rPr>
              <w:noBreakHyphen/>
              <w:t>elle être examinée sans les documents d’appel au complet ?</w:t>
            </w:r>
          </w:p>
        </w:tc>
      </w:tr>
      <w:tr w:rsidR="0035075E" w:rsidRPr="00463557" w:rsidTr="00F322C3">
        <w:tc>
          <w:tcPr>
            <w:tcW w:w="5000" w:type="pct"/>
            <w:gridSpan w:val="4"/>
          </w:tcPr>
          <w:p w:rsidR="0035075E" w:rsidRPr="00E74E29" w:rsidRDefault="0035075E" w:rsidP="0035075E">
            <w:pPr>
              <w:jc w:val="both"/>
              <w:rPr>
                <w:sz w:val="20"/>
                <w:lang w:val="fr-CA"/>
              </w:rPr>
            </w:pPr>
          </w:p>
        </w:tc>
      </w:tr>
      <w:tr w:rsidR="0035075E" w:rsidRPr="00463557" w:rsidTr="00F322C3">
        <w:tc>
          <w:tcPr>
            <w:tcW w:w="5000" w:type="pct"/>
            <w:gridSpan w:val="4"/>
          </w:tcPr>
          <w:p w:rsidR="0035075E" w:rsidRPr="00E74E29" w:rsidRDefault="0035075E" w:rsidP="0035075E">
            <w:pPr>
              <w:jc w:val="both"/>
              <w:rPr>
                <w:sz w:val="20"/>
                <w:lang w:val="fr-CA"/>
              </w:rPr>
            </w:pPr>
            <w:r w:rsidRPr="00E74E29">
              <w:rPr>
                <w:sz w:val="20"/>
                <w:lang w:val="fr-CA"/>
              </w:rPr>
              <w:t xml:space="preserve">Richard Harper, Fernando McGrath, Martin Racicot faisant affaire sous la dénomination Rockhaven Pictures, Room Full of Spoons Inc., Parktown Studios Inc. et Richard Towns (collectivement, « RFS ») ont demandé un cautionnement pour garantir l’exécution du jugement de première instance, les dépens liés à ce jugement et à l’appel, et, subsidiairement, une ordonnance visant à faire lever la suspension de l’instance en attendant qu’il soit statué sur l’appel. En 2003, Wiseau Studio LLC et Tommy Wiseau, résidents de la Californie, faisant affaire sous la dénomination « Wiseau Films », ont distribué un long métrage intitulé </w:t>
            </w:r>
            <w:r w:rsidRPr="00E74E29">
              <w:rPr>
                <w:i/>
                <w:sz w:val="20"/>
                <w:lang w:val="fr-CA"/>
              </w:rPr>
              <w:t>The Room</w:t>
            </w:r>
            <w:r w:rsidRPr="00E74E29">
              <w:rPr>
                <w:sz w:val="20"/>
                <w:lang w:val="fr-CA"/>
              </w:rPr>
              <w:t xml:space="preserve">. En 2016, les cinéastes ontariens M. Harper, M. McGrath, M. Racicot et M. Towns ont mis au point un film documentaire intitulé </w:t>
            </w:r>
            <w:r w:rsidRPr="00E74E29">
              <w:rPr>
                <w:i/>
                <w:sz w:val="20"/>
                <w:lang w:val="fr-CA"/>
              </w:rPr>
              <w:t>Room Full of Spoons</w:t>
            </w:r>
            <w:r w:rsidRPr="00E74E29">
              <w:rPr>
                <w:sz w:val="20"/>
                <w:lang w:val="fr-CA"/>
              </w:rPr>
              <w:t xml:space="preserve"> portant sur le statut quasi mythique dont jouissait le film </w:t>
            </w:r>
            <w:r w:rsidRPr="00E74E29">
              <w:rPr>
                <w:i/>
                <w:sz w:val="20"/>
                <w:lang w:val="fr-CA"/>
              </w:rPr>
              <w:t>The Room</w:t>
            </w:r>
            <w:r w:rsidRPr="00E74E29">
              <w:rPr>
                <w:sz w:val="20"/>
                <w:lang w:val="fr-CA"/>
              </w:rPr>
              <w:t xml:space="preserve"> et M. Wiseau. Wiseau Films a obtenu une injonction </w:t>
            </w:r>
            <w:r w:rsidRPr="00E74E29">
              <w:rPr>
                <w:i/>
                <w:sz w:val="20"/>
                <w:lang w:val="fr-CA"/>
              </w:rPr>
              <w:t>ex parte</w:t>
            </w:r>
            <w:r w:rsidRPr="00E74E29">
              <w:rPr>
                <w:sz w:val="20"/>
                <w:lang w:val="fr-CA"/>
              </w:rPr>
              <w:t xml:space="preserve"> en vue d’empêcher la diffusion du documentaire. L’injonction a plus tard été annulée suivant la conclusion que Wiseau Films n’avait pas communiqué les renseignements de façon sincère et complète, et avait fait preuve de comportement répréhensible durant le litige.</w:t>
            </w:r>
          </w:p>
          <w:p w:rsidR="0035075E" w:rsidRPr="00E74E29" w:rsidRDefault="0035075E" w:rsidP="0035075E">
            <w:pPr>
              <w:jc w:val="both"/>
              <w:rPr>
                <w:sz w:val="20"/>
                <w:lang w:val="fr-CA"/>
              </w:rPr>
            </w:pPr>
          </w:p>
          <w:p w:rsidR="0035075E" w:rsidRPr="00E74E29" w:rsidRDefault="0035075E" w:rsidP="0035075E">
            <w:pPr>
              <w:jc w:val="both"/>
              <w:rPr>
                <w:sz w:val="20"/>
                <w:lang w:val="fr-CA"/>
              </w:rPr>
            </w:pPr>
            <w:r w:rsidRPr="00E74E29">
              <w:rPr>
                <w:sz w:val="20"/>
                <w:lang w:val="fr-CA"/>
              </w:rPr>
              <w:t>La demande de Wiseau Films visant le désistement de l’action présentée la veille du procès a été rejetée et le procès de 8 jours a eu lieu. L’action de Wiseau Films a été rejetée et la demande reconventionnelle de RFS a été accueillie. RFS a obtenu des dommages</w:t>
            </w:r>
            <w:r w:rsidRPr="00E74E29">
              <w:rPr>
                <w:sz w:val="20"/>
                <w:lang w:val="fr-CA"/>
              </w:rPr>
              <w:noBreakHyphen/>
              <w:t xml:space="preserve">intérêts punitifs, des dommages-intérêts découlant de l’injonction </w:t>
            </w:r>
            <w:r w:rsidRPr="00E74E29">
              <w:rPr>
                <w:i/>
                <w:sz w:val="20"/>
                <w:lang w:val="fr-CA"/>
              </w:rPr>
              <w:t>ex parte</w:t>
            </w:r>
            <w:r w:rsidRPr="00E74E29">
              <w:rPr>
                <w:sz w:val="20"/>
                <w:lang w:val="fr-CA"/>
              </w:rPr>
              <w:t xml:space="preserve"> injustifiée, ainsi que les intérêts avant jugement et les dépens. La demande de modification du jugement présentée par Wiseau Films a été rejetée.</w:t>
            </w:r>
          </w:p>
          <w:p w:rsidR="0035075E" w:rsidRPr="00E74E29" w:rsidRDefault="0035075E" w:rsidP="0035075E">
            <w:pPr>
              <w:jc w:val="both"/>
              <w:rPr>
                <w:sz w:val="20"/>
                <w:lang w:val="fr-CA"/>
              </w:rPr>
            </w:pPr>
          </w:p>
          <w:p w:rsidR="0035075E" w:rsidRPr="00E74E29" w:rsidRDefault="0035075E" w:rsidP="0035075E">
            <w:pPr>
              <w:jc w:val="both"/>
              <w:rPr>
                <w:sz w:val="20"/>
                <w:lang w:val="fr-CA"/>
              </w:rPr>
            </w:pPr>
            <w:r w:rsidRPr="00E74E29">
              <w:rPr>
                <w:sz w:val="20"/>
                <w:lang w:val="fr-CA"/>
              </w:rPr>
              <w:t>Après que Wiseau Films a déposé un avis d’appel, mais avant que l’appel soit mis en état, RFS a présenté, devant un juge de la Cour d’appel siégeant seul, une demande de cautionnement pour garantir l’exécution du jugement de première instance, pour les dépens liés à ce jugement et pour ceux liés à l’appel. Les demandes ont toutes les trois été accueillies. Wiseau Films a demandé le contrôle de cette décision devant une formation de trois juges de la Cour d’appel. Après avoir permis à Wiseau Films de revenir sur sa concession antérieure à savoir que l’appel était frivole, la formation de juges était convaincue que l’ordonnance de cautionnement pour garantir l’exécution du jugement de première instance devrait être annulée. Toutefois, elle a confirmé l’ordonnance de cautionnement pour dépens du procès et de l’appel. Comme les parties ont eu partiellement gain de cause, aucuns dépens n’ont été accordés.</w:t>
            </w:r>
          </w:p>
          <w:p w:rsidR="0035075E" w:rsidRPr="00E74E29" w:rsidRDefault="0035075E" w:rsidP="0035075E">
            <w:pPr>
              <w:jc w:val="both"/>
              <w:rPr>
                <w:sz w:val="20"/>
                <w:lang w:val="fr-CA"/>
              </w:rPr>
            </w:pP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t>23 avril 2020</w:t>
            </w:r>
          </w:p>
          <w:p w:rsidR="0035075E" w:rsidRPr="00E74E29" w:rsidRDefault="0035075E" w:rsidP="0035075E">
            <w:pPr>
              <w:jc w:val="both"/>
              <w:rPr>
                <w:sz w:val="20"/>
                <w:lang w:val="fr-CA"/>
              </w:rPr>
            </w:pPr>
            <w:r w:rsidRPr="00E74E29">
              <w:rPr>
                <w:sz w:val="20"/>
                <w:lang w:val="fr-CA"/>
              </w:rPr>
              <w:t>Cour supérieure de justice de l’Ontario</w:t>
            </w:r>
          </w:p>
          <w:p w:rsidR="0035075E" w:rsidRPr="00E74E29" w:rsidRDefault="0035075E" w:rsidP="0035075E">
            <w:pPr>
              <w:jc w:val="both"/>
              <w:rPr>
                <w:sz w:val="20"/>
                <w:lang w:val="fr-CA"/>
              </w:rPr>
            </w:pPr>
            <w:r w:rsidRPr="00E74E29">
              <w:rPr>
                <w:sz w:val="20"/>
                <w:lang w:val="fr-CA"/>
              </w:rPr>
              <w:t>(juge Schabas)</w:t>
            </w:r>
          </w:p>
          <w:p w:rsidR="0035075E" w:rsidRPr="00E74E29" w:rsidRDefault="0035075E" w:rsidP="0035075E">
            <w:pPr>
              <w:jc w:val="both"/>
              <w:rPr>
                <w:sz w:val="20"/>
                <w:lang w:val="fr-CA"/>
              </w:rPr>
            </w:pPr>
          </w:p>
        </w:tc>
        <w:tc>
          <w:tcPr>
            <w:tcW w:w="243" w:type="pct"/>
          </w:tcPr>
          <w:p w:rsidR="0035075E" w:rsidRPr="00E74E29" w:rsidRDefault="0035075E" w:rsidP="0035075E">
            <w:pPr>
              <w:jc w:val="both"/>
              <w:rPr>
                <w:sz w:val="20"/>
                <w:lang w:val="fr-CA"/>
              </w:rPr>
            </w:pPr>
          </w:p>
        </w:tc>
        <w:tc>
          <w:tcPr>
            <w:tcW w:w="2330" w:type="pct"/>
          </w:tcPr>
          <w:p w:rsidR="0035075E" w:rsidRPr="00E74E29" w:rsidRDefault="0035075E" w:rsidP="0035075E">
            <w:pPr>
              <w:jc w:val="both"/>
              <w:rPr>
                <w:sz w:val="20"/>
                <w:lang w:val="fr-CA"/>
              </w:rPr>
            </w:pPr>
            <w:r w:rsidRPr="00E74E29">
              <w:rPr>
                <w:sz w:val="20"/>
                <w:lang w:val="fr-CA"/>
              </w:rPr>
              <w:t>La demande est rejetée; la demande reconventionnelle est accueillie; des dommages-intérêts punitifs et autres dommages</w:t>
            </w:r>
            <w:r w:rsidRPr="00E74E29">
              <w:rPr>
                <w:sz w:val="20"/>
                <w:lang w:val="fr-CA"/>
              </w:rPr>
              <w:noBreakHyphen/>
              <w:t>intérêts, les intérêts avant jugement et les dépens sont accordés.</w:t>
            </w:r>
          </w:p>
          <w:p w:rsidR="0035075E" w:rsidRPr="00E74E29" w:rsidRDefault="0035075E" w:rsidP="0035075E">
            <w:pPr>
              <w:jc w:val="both"/>
              <w:rPr>
                <w:sz w:val="20"/>
                <w:lang w:val="fr-CA"/>
              </w:rPr>
            </w:pP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t>15 janvier 2021</w:t>
            </w:r>
          </w:p>
          <w:p w:rsidR="0035075E" w:rsidRPr="00E74E29" w:rsidRDefault="0035075E" w:rsidP="0035075E">
            <w:pPr>
              <w:jc w:val="both"/>
              <w:rPr>
                <w:sz w:val="20"/>
                <w:lang w:val="fr-CA"/>
              </w:rPr>
            </w:pPr>
            <w:r w:rsidRPr="00E74E29">
              <w:rPr>
                <w:sz w:val="20"/>
                <w:lang w:val="fr-CA"/>
              </w:rPr>
              <w:t>Cour d’appel de l’Ontario</w:t>
            </w:r>
          </w:p>
          <w:p w:rsidR="0035075E" w:rsidRPr="00E74E29" w:rsidRDefault="0035075E" w:rsidP="0035075E">
            <w:pPr>
              <w:jc w:val="both"/>
              <w:rPr>
                <w:sz w:val="20"/>
                <w:lang w:val="fr-CA"/>
              </w:rPr>
            </w:pPr>
            <w:r w:rsidRPr="00E74E29">
              <w:rPr>
                <w:sz w:val="20"/>
                <w:lang w:val="fr-CA"/>
              </w:rPr>
              <w:t>(juge Thorburn)</w:t>
            </w:r>
          </w:p>
          <w:p w:rsidR="0035075E" w:rsidRPr="00E74E29" w:rsidRDefault="00463557" w:rsidP="0035075E">
            <w:pPr>
              <w:jc w:val="both"/>
              <w:rPr>
                <w:sz w:val="20"/>
                <w:lang w:val="fr-CA"/>
              </w:rPr>
            </w:pPr>
            <w:hyperlink r:id="rId25" w:history="1">
              <w:r w:rsidR="0035075E" w:rsidRPr="00E74E29">
                <w:rPr>
                  <w:rStyle w:val="Hyperlink"/>
                  <w:sz w:val="20"/>
                  <w:lang w:val="fr-CA"/>
                </w:rPr>
                <w:t>2021 ONCA 31</w:t>
              </w:r>
            </w:hyperlink>
          </w:p>
          <w:p w:rsidR="0035075E" w:rsidRPr="00E74E29" w:rsidRDefault="0035075E" w:rsidP="0035075E">
            <w:pPr>
              <w:jc w:val="both"/>
              <w:rPr>
                <w:sz w:val="20"/>
                <w:lang w:val="fr-CA"/>
              </w:rPr>
            </w:pPr>
          </w:p>
        </w:tc>
        <w:tc>
          <w:tcPr>
            <w:tcW w:w="243" w:type="pct"/>
          </w:tcPr>
          <w:p w:rsidR="0035075E" w:rsidRPr="00E74E29" w:rsidRDefault="0035075E" w:rsidP="0035075E">
            <w:pPr>
              <w:jc w:val="both"/>
              <w:rPr>
                <w:sz w:val="20"/>
                <w:lang w:val="fr-CA"/>
              </w:rPr>
            </w:pPr>
          </w:p>
        </w:tc>
        <w:tc>
          <w:tcPr>
            <w:tcW w:w="2330" w:type="pct"/>
          </w:tcPr>
          <w:p w:rsidR="0035075E" w:rsidRPr="00E74E29" w:rsidRDefault="0035075E" w:rsidP="0035075E">
            <w:pPr>
              <w:jc w:val="both"/>
              <w:rPr>
                <w:sz w:val="20"/>
                <w:lang w:val="fr-CA"/>
              </w:rPr>
            </w:pPr>
            <w:r w:rsidRPr="00E74E29">
              <w:rPr>
                <w:sz w:val="20"/>
                <w:lang w:val="fr-CA"/>
              </w:rPr>
              <w:t xml:space="preserve">Le cautionnement pour garantir l’exécution du jugement de première instance et le cautionnement pour dépens du procès et de l’appel sont accordés en </w:t>
            </w:r>
            <w:r w:rsidRPr="00E74E29">
              <w:rPr>
                <w:sz w:val="20"/>
                <w:lang w:val="fr-CA"/>
              </w:rPr>
              <w:lastRenderedPageBreak/>
              <w:t xml:space="preserve">vertu de l’art. 56.01 des </w:t>
            </w:r>
            <w:r w:rsidRPr="00E74E29">
              <w:rPr>
                <w:i/>
                <w:sz w:val="20"/>
                <w:lang w:val="fr-CA"/>
              </w:rPr>
              <w:t>Règles de procédure civile</w:t>
            </w:r>
            <w:r w:rsidRPr="00E74E29">
              <w:rPr>
                <w:sz w:val="20"/>
                <w:lang w:val="fr-CA"/>
              </w:rPr>
              <w:t>, R.R.O. 1990, Règl. 194.</w:t>
            </w:r>
          </w:p>
          <w:p w:rsidR="0035075E" w:rsidRPr="00E74E29" w:rsidRDefault="0035075E" w:rsidP="0035075E">
            <w:pPr>
              <w:jc w:val="both"/>
              <w:rPr>
                <w:sz w:val="20"/>
                <w:lang w:val="fr-CA"/>
              </w:rPr>
            </w:pP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lastRenderedPageBreak/>
              <w:t>7 juin 2021</w:t>
            </w:r>
          </w:p>
          <w:p w:rsidR="0035075E" w:rsidRPr="00E74E29" w:rsidRDefault="0035075E" w:rsidP="0035075E">
            <w:pPr>
              <w:jc w:val="both"/>
              <w:rPr>
                <w:sz w:val="20"/>
                <w:lang w:val="fr-CA"/>
              </w:rPr>
            </w:pPr>
            <w:r w:rsidRPr="00E74E29">
              <w:rPr>
                <w:sz w:val="20"/>
                <w:lang w:val="fr-CA"/>
              </w:rPr>
              <w:t>Cour d’appel de l’Ontario</w:t>
            </w:r>
          </w:p>
          <w:p w:rsidR="0035075E" w:rsidRPr="00E74E29" w:rsidRDefault="0035075E" w:rsidP="0035075E">
            <w:pPr>
              <w:jc w:val="both"/>
              <w:rPr>
                <w:sz w:val="20"/>
                <w:lang w:val="fr-CA"/>
              </w:rPr>
            </w:pPr>
            <w:r w:rsidRPr="00E74E29">
              <w:rPr>
                <w:sz w:val="20"/>
                <w:lang w:val="fr-CA"/>
              </w:rPr>
              <w:t>(juges Doherty, Pepall, Trotter)</w:t>
            </w:r>
          </w:p>
          <w:p w:rsidR="0035075E" w:rsidRPr="00E74E29" w:rsidRDefault="00463557" w:rsidP="0035075E">
            <w:pPr>
              <w:jc w:val="both"/>
              <w:rPr>
                <w:sz w:val="20"/>
                <w:lang w:val="fr-CA"/>
              </w:rPr>
            </w:pPr>
            <w:hyperlink r:id="rId26" w:anchor="document" w:history="1">
              <w:r w:rsidR="0035075E" w:rsidRPr="00E74E29">
                <w:rPr>
                  <w:rStyle w:val="Hyperlink"/>
                  <w:sz w:val="20"/>
                  <w:lang w:val="fr-CA"/>
                </w:rPr>
                <w:t>2021 ONCA 396</w:t>
              </w:r>
            </w:hyperlink>
          </w:p>
          <w:p w:rsidR="0035075E" w:rsidRPr="00E74E29" w:rsidRDefault="0035075E" w:rsidP="0035075E">
            <w:pPr>
              <w:jc w:val="both"/>
              <w:rPr>
                <w:sz w:val="20"/>
                <w:lang w:val="fr-CA"/>
              </w:rPr>
            </w:pPr>
          </w:p>
        </w:tc>
        <w:tc>
          <w:tcPr>
            <w:tcW w:w="243" w:type="pct"/>
          </w:tcPr>
          <w:p w:rsidR="0035075E" w:rsidRPr="00E74E29" w:rsidRDefault="0035075E" w:rsidP="0035075E">
            <w:pPr>
              <w:jc w:val="both"/>
              <w:rPr>
                <w:sz w:val="20"/>
                <w:lang w:val="fr-CA"/>
              </w:rPr>
            </w:pPr>
          </w:p>
        </w:tc>
        <w:tc>
          <w:tcPr>
            <w:tcW w:w="2330" w:type="pct"/>
          </w:tcPr>
          <w:p w:rsidR="0035075E" w:rsidRPr="00E74E29" w:rsidRDefault="0035075E" w:rsidP="0035075E">
            <w:pPr>
              <w:jc w:val="both"/>
              <w:rPr>
                <w:sz w:val="20"/>
                <w:lang w:val="fr-CA"/>
              </w:rPr>
            </w:pPr>
            <w:r w:rsidRPr="00E74E29">
              <w:rPr>
                <w:sz w:val="20"/>
                <w:lang w:val="fr-CA"/>
              </w:rPr>
              <w:t>L’ordonnance de cautionnement pour garantir l’exécution du jugement de première instance est annulée; l’ordonnance de cautionnement pour dépens du procès et de l’appel est confirmée; l’appel est rejeté en raison du défaut de se conformer à l’ordonnance de cautionnement pour dépens.</w:t>
            </w:r>
          </w:p>
          <w:p w:rsidR="00F322C3" w:rsidRPr="00E74E29" w:rsidRDefault="00F322C3" w:rsidP="0035075E">
            <w:pPr>
              <w:jc w:val="both"/>
              <w:rPr>
                <w:sz w:val="20"/>
                <w:lang w:val="fr-CA"/>
              </w:rPr>
            </w:pP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t>1</w:t>
            </w:r>
            <w:r w:rsidRPr="00E74E29">
              <w:rPr>
                <w:sz w:val="20"/>
                <w:vertAlign w:val="superscript"/>
                <w:lang w:val="fr-CA"/>
              </w:rPr>
              <w:t>er</w:t>
            </w:r>
            <w:r w:rsidRPr="00E74E29">
              <w:rPr>
                <w:sz w:val="20"/>
                <w:lang w:val="fr-CA"/>
              </w:rPr>
              <w:t xml:space="preserve"> septembre 2021</w:t>
            </w:r>
          </w:p>
          <w:p w:rsidR="0035075E" w:rsidRPr="00E74E29" w:rsidRDefault="0035075E" w:rsidP="0035075E">
            <w:pPr>
              <w:jc w:val="both"/>
              <w:rPr>
                <w:sz w:val="20"/>
                <w:lang w:val="fr-CA"/>
              </w:rPr>
            </w:pPr>
            <w:r w:rsidRPr="00E74E29">
              <w:rPr>
                <w:sz w:val="20"/>
                <w:lang w:val="fr-CA"/>
              </w:rPr>
              <w:t>Cour suprême du Canada</w:t>
            </w:r>
          </w:p>
        </w:tc>
        <w:tc>
          <w:tcPr>
            <w:tcW w:w="243" w:type="pct"/>
          </w:tcPr>
          <w:p w:rsidR="0035075E" w:rsidRPr="00E74E29" w:rsidRDefault="0035075E" w:rsidP="0035075E">
            <w:pPr>
              <w:jc w:val="both"/>
              <w:rPr>
                <w:sz w:val="20"/>
                <w:lang w:val="fr-CA"/>
              </w:rPr>
            </w:pPr>
          </w:p>
        </w:tc>
        <w:tc>
          <w:tcPr>
            <w:tcW w:w="2330" w:type="pct"/>
          </w:tcPr>
          <w:p w:rsidR="0035075E" w:rsidRPr="00E74E29" w:rsidRDefault="0035075E" w:rsidP="0035075E">
            <w:pPr>
              <w:jc w:val="both"/>
              <w:rPr>
                <w:sz w:val="20"/>
                <w:lang w:val="fr-CA"/>
              </w:rPr>
            </w:pPr>
            <w:r w:rsidRPr="00E74E29">
              <w:rPr>
                <w:sz w:val="20"/>
                <w:lang w:val="fr-CA"/>
              </w:rPr>
              <w:t>La demande d’autorisation d’appel est présentée.</w:t>
            </w:r>
          </w:p>
          <w:p w:rsidR="0035075E" w:rsidRPr="00E74E29" w:rsidRDefault="0035075E" w:rsidP="0035075E">
            <w:pPr>
              <w:jc w:val="both"/>
              <w:rPr>
                <w:sz w:val="20"/>
                <w:lang w:val="fr-CA"/>
              </w:rPr>
            </w:pPr>
          </w:p>
        </w:tc>
      </w:tr>
    </w:tbl>
    <w:p w:rsidR="0035075E" w:rsidRPr="00E74E29" w:rsidRDefault="0035075E" w:rsidP="0035075E">
      <w:pPr>
        <w:jc w:val="both"/>
        <w:rPr>
          <w:sz w:val="20"/>
          <w:lang w:val="fr-CA"/>
        </w:rPr>
      </w:pPr>
    </w:p>
    <w:p w:rsidR="00F322C3" w:rsidRPr="00E74E29" w:rsidRDefault="00463557" w:rsidP="0035075E">
      <w:pPr>
        <w:jc w:val="both"/>
        <w:rPr>
          <w:sz w:val="20"/>
          <w:lang w:val="fr-CA"/>
        </w:rPr>
      </w:pPr>
      <w:r>
        <w:rPr>
          <w:sz w:val="20"/>
        </w:rPr>
        <w:pict>
          <v:rect id="_x0000_i1030" style="width:2in;height:1pt" o:hrpct="0" o:hralign="center" o:hrstd="t" o:hrnoshade="t" o:hr="t" fillcolor="black [3213]" stroked="f"/>
        </w:pict>
      </w:r>
    </w:p>
    <w:p w:rsidR="00F322C3" w:rsidRPr="00E74E29" w:rsidRDefault="00F322C3" w:rsidP="0035075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075E" w:rsidRPr="00E74E29" w:rsidTr="00F322C3">
        <w:tc>
          <w:tcPr>
            <w:tcW w:w="543" w:type="pct"/>
          </w:tcPr>
          <w:p w:rsidR="0035075E" w:rsidRPr="00E74E29" w:rsidRDefault="0035075E" w:rsidP="0035075E">
            <w:pPr>
              <w:jc w:val="both"/>
              <w:rPr>
                <w:sz w:val="20"/>
              </w:rPr>
            </w:pPr>
            <w:r w:rsidRPr="00E74E29">
              <w:rPr>
                <w:rStyle w:val="SCCFileNumberChar"/>
                <w:sz w:val="20"/>
                <w:szCs w:val="20"/>
              </w:rPr>
              <w:t>39951</w:t>
            </w:r>
          </w:p>
        </w:tc>
        <w:tc>
          <w:tcPr>
            <w:tcW w:w="4457" w:type="pct"/>
            <w:gridSpan w:val="3"/>
          </w:tcPr>
          <w:p w:rsidR="0035075E" w:rsidRPr="00E74E29" w:rsidRDefault="0035075E" w:rsidP="0035075E">
            <w:pPr>
              <w:pStyle w:val="SCCLsocParty"/>
              <w:jc w:val="both"/>
              <w:rPr>
                <w:b/>
                <w:sz w:val="20"/>
                <w:szCs w:val="20"/>
                <w:lang w:val="en-US"/>
              </w:rPr>
            </w:pPr>
            <w:r w:rsidRPr="00E74E29">
              <w:rPr>
                <w:b/>
                <w:sz w:val="20"/>
                <w:szCs w:val="20"/>
                <w:lang w:val="en-US"/>
              </w:rPr>
              <w:t>Attorney General of Nova Scotia representing Her Majesty the Queen in Right of the Province of Nova Scotia (including the Minister of Community Services and the Minister of Health and Wellness) v. Disability Rights Coalition</w:t>
            </w:r>
          </w:p>
          <w:p w:rsidR="0035075E" w:rsidRPr="00E74E29" w:rsidRDefault="0035075E" w:rsidP="0035075E">
            <w:pPr>
              <w:pStyle w:val="SCCLsocOtherPartySeparator"/>
              <w:rPr>
                <w:sz w:val="20"/>
                <w:szCs w:val="20"/>
                <w:lang w:val="en-US"/>
              </w:rPr>
            </w:pPr>
            <w:r w:rsidRPr="00E74E29">
              <w:rPr>
                <w:sz w:val="20"/>
                <w:szCs w:val="20"/>
                <w:lang w:val="en-US"/>
              </w:rPr>
              <w:t>- and -</w:t>
            </w:r>
          </w:p>
          <w:p w:rsidR="0035075E" w:rsidRPr="00E74E29" w:rsidRDefault="0035075E" w:rsidP="0035075E">
            <w:pPr>
              <w:pStyle w:val="SCCLsocParty"/>
              <w:jc w:val="both"/>
              <w:rPr>
                <w:b/>
                <w:sz w:val="20"/>
                <w:szCs w:val="20"/>
                <w:lang w:val="en-US"/>
              </w:rPr>
            </w:pPr>
            <w:r w:rsidRPr="00E74E29">
              <w:rPr>
                <w:b/>
                <w:sz w:val="20"/>
                <w:szCs w:val="20"/>
                <w:lang w:val="en-US"/>
              </w:rPr>
              <w:t>Nova Scotia Human Rights Commission, J. Walter Thompson, Q.C., sitting as a Board of Inquiry</w:t>
            </w:r>
          </w:p>
          <w:p w:rsidR="0035075E" w:rsidRPr="00E74E29" w:rsidRDefault="0035075E" w:rsidP="0035075E">
            <w:pPr>
              <w:jc w:val="both"/>
              <w:rPr>
                <w:sz w:val="20"/>
              </w:rPr>
            </w:pPr>
            <w:r w:rsidRPr="00E74E29">
              <w:rPr>
                <w:sz w:val="20"/>
              </w:rPr>
              <w:t>(N.S.) (Civil) (By Leave)</w:t>
            </w:r>
          </w:p>
        </w:tc>
      </w:tr>
      <w:tr w:rsidR="0035075E" w:rsidRPr="00E74E29" w:rsidTr="00F322C3">
        <w:tc>
          <w:tcPr>
            <w:tcW w:w="5000" w:type="pct"/>
            <w:gridSpan w:val="4"/>
          </w:tcPr>
          <w:p w:rsidR="0035075E" w:rsidRPr="00E74E29" w:rsidRDefault="0035075E" w:rsidP="0035075E">
            <w:pPr>
              <w:jc w:val="both"/>
              <w:rPr>
                <w:sz w:val="20"/>
              </w:rPr>
            </w:pPr>
            <w:r w:rsidRPr="00E74E29">
              <w:rPr>
                <w:sz w:val="20"/>
              </w:rPr>
              <w:t xml:space="preserve">Human rights — Right to equality — </w:t>
            </w:r>
            <w:r w:rsidRPr="00E74E29">
              <w:rPr>
                <w:iCs/>
                <w:sz w:val="20"/>
                <w:lang w:val="en"/>
              </w:rPr>
              <w:t>Discriminatory practices</w:t>
            </w:r>
            <w:r w:rsidRPr="00E74E29">
              <w:rPr>
                <w:sz w:val="20"/>
              </w:rPr>
              <w:t xml:space="preserve"> — Economic and social rights — Whether human rights legislation requires that residential supports offered to persons with disabilities must share the same features as financial supports offered through income assistance — Whether discrimination analysis under a Human Rights Act requires a meaningful comparative analysis?</w:t>
            </w:r>
          </w:p>
        </w:tc>
      </w:tr>
      <w:tr w:rsidR="0035075E" w:rsidRPr="00E74E29" w:rsidTr="00F322C3">
        <w:tc>
          <w:tcPr>
            <w:tcW w:w="5000" w:type="pct"/>
            <w:gridSpan w:val="4"/>
          </w:tcPr>
          <w:p w:rsidR="0035075E" w:rsidRPr="00E74E29" w:rsidRDefault="0035075E" w:rsidP="0035075E">
            <w:pPr>
              <w:jc w:val="both"/>
              <w:rPr>
                <w:sz w:val="20"/>
              </w:rPr>
            </w:pPr>
          </w:p>
          <w:p w:rsidR="0035075E" w:rsidRPr="00E74E29" w:rsidRDefault="0035075E" w:rsidP="0035075E">
            <w:pPr>
              <w:widowControl w:val="0"/>
              <w:jc w:val="both"/>
              <w:rPr>
                <w:sz w:val="20"/>
              </w:rPr>
            </w:pPr>
            <w:r w:rsidRPr="00E74E29">
              <w:rPr>
                <w:spacing w:val="-7"/>
                <w:sz w:val="20"/>
              </w:rPr>
              <w:t xml:space="preserve">Three complainants were housed in a locked psychiatric unit of the Nova Scotia Hospital for years while waitlisted for community setting placements. They filed </w:t>
            </w:r>
            <w:r w:rsidRPr="00E74E29">
              <w:rPr>
                <w:sz w:val="20"/>
              </w:rPr>
              <w:t xml:space="preserve">complaints before the Nova Scotia Human Rights Commission alleging discrimination on the basis of mental disability in the provision of a service contrary to the </w:t>
            </w:r>
            <w:r w:rsidRPr="00E74E29">
              <w:rPr>
                <w:rFonts w:eastAsiaTheme="majorEastAsia"/>
                <w:i/>
                <w:sz w:val="20"/>
              </w:rPr>
              <w:t>Human Rights Act</w:t>
            </w:r>
            <w:r w:rsidRPr="00E74E29">
              <w:rPr>
                <w:sz w:val="20"/>
              </w:rPr>
              <w:t xml:space="preserve">, RSNS 1989, c. 214. The Disability Rights Coalition joined a systemic discrimination complaint. The Board of Inquiry in part dismissed the systemic discrimination complaint. The Court of Appeal in part </w:t>
            </w:r>
            <w:r w:rsidRPr="00E74E29">
              <w:rPr>
                <w:spacing w:val="-3"/>
                <w:sz w:val="20"/>
              </w:rPr>
              <w:t>granted an appeal and f</w:t>
            </w:r>
            <w:r w:rsidRPr="00E74E29">
              <w:rPr>
                <w:sz w:val="20"/>
              </w:rPr>
              <w:t xml:space="preserve">ound </w:t>
            </w:r>
            <w:r w:rsidRPr="00E74E29">
              <w:rPr>
                <w:i/>
                <w:sz w:val="20"/>
              </w:rPr>
              <w:t>prima facie</w:t>
            </w:r>
            <w:r w:rsidRPr="00E74E29">
              <w:rPr>
                <w:sz w:val="20"/>
              </w:rPr>
              <w:t xml:space="preserve"> systemic discrimination.</w:t>
            </w:r>
          </w:p>
        </w:tc>
      </w:tr>
      <w:tr w:rsidR="0035075E" w:rsidRPr="00E74E29" w:rsidTr="00F322C3">
        <w:tc>
          <w:tcPr>
            <w:tcW w:w="5000" w:type="pct"/>
            <w:gridSpan w:val="4"/>
          </w:tcPr>
          <w:p w:rsidR="0035075E" w:rsidRPr="00E74E29" w:rsidRDefault="0035075E" w:rsidP="0035075E">
            <w:pPr>
              <w:widowControl w:val="0"/>
              <w:jc w:val="both"/>
              <w:rPr>
                <w:sz w:val="20"/>
              </w:rPr>
            </w:pPr>
          </w:p>
        </w:tc>
      </w:tr>
      <w:tr w:rsidR="0035075E" w:rsidRPr="00E74E29" w:rsidTr="00F322C3">
        <w:tc>
          <w:tcPr>
            <w:tcW w:w="2427" w:type="pct"/>
            <w:gridSpan w:val="2"/>
          </w:tcPr>
          <w:p w:rsidR="0035075E" w:rsidRPr="00E74E29" w:rsidRDefault="0035075E" w:rsidP="0035075E">
            <w:pPr>
              <w:jc w:val="both"/>
              <w:rPr>
                <w:sz w:val="20"/>
              </w:rPr>
            </w:pPr>
            <w:r w:rsidRPr="00E74E29">
              <w:rPr>
                <w:sz w:val="20"/>
              </w:rPr>
              <w:t>March 4, 2019</w:t>
            </w:r>
          </w:p>
          <w:p w:rsidR="0035075E" w:rsidRPr="00E74E29" w:rsidRDefault="0035075E" w:rsidP="0035075E">
            <w:pPr>
              <w:jc w:val="both"/>
              <w:rPr>
                <w:sz w:val="20"/>
              </w:rPr>
            </w:pPr>
            <w:r w:rsidRPr="00E74E29">
              <w:rPr>
                <w:sz w:val="20"/>
              </w:rPr>
              <w:t xml:space="preserve">Nova Scotia Board of Inquiry </w:t>
            </w:r>
          </w:p>
          <w:p w:rsidR="0035075E" w:rsidRPr="00E74E29" w:rsidRDefault="0035075E" w:rsidP="0035075E">
            <w:pPr>
              <w:jc w:val="both"/>
              <w:rPr>
                <w:sz w:val="20"/>
              </w:rPr>
            </w:pPr>
            <w:r w:rsidRPr="00E74E29">
              <w:rPr>
                <w:sz w:val="20"/>
              </w:rPr>
              <w:t>(J.W. Thompson, Q.C.)</w:t>
            </w:r>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rPr>
            </w:pPr>
            <w:r w:rsidRPr="00E74E29">
              <w:rPr>
                <w:sz w:val="20"/>
              </w:rPr>
              <w:t xml:space="preserve">Claim of systemic discrimination dismissed and finding of discrimination against three individual complainants </w:t>
            </w:r>
          </w:p>
        </w:tc>
      </w:tr>
      <w:tr w:rsidR="0035075E" w:rsidRPr="00E74E29" w:rsidTr="00F322C3">
        <w:tc>
          <w:tcPr>
            <w:tcW w:w="2427" w:type="pct"/>
            <w:gridSpan w:val="2"/>
          </w:tcPr>
          <w:p w:rsidR="0035075E" w:rsidRPr="00E74E29" w:rsidRDefault="0035075E" w:rsidP="0035075E">
            <w:pPr>
              <w:jc w:val="both"/>
              <w:rPr>
                <w:sz w:val="20"/>
              </w:rPr>
            </w:pPr>
            <w:r w:rsidRPr="00E74E29">
              <w:rPr>
                <w:sz w:val="20"/>
              </w:rPr>
              <w:t>October 6, 2021</w:t>
            </w:r>
          </w:p>
          <w:p w:rsidR="0035075E" w:rsidRPr="00E74E29" w:rsidRDefault="0035075E" w:rsidP="0035075E">
            <w:pPr>
              <w:jc w:val="both"/>
              <w:rPr>
                <w:sz w:val="20"/>
              </w:rPr>
            </w:pPr>
            <w:r w:rsidRPr="00E74E29">
              <w:rPr>
                <w:sz w:val="20"/>
              </w:rPr>
              <w:t>Nova Scotia Court of Appeal</w:t>
            </w:r>
          </w:p>
          <w:p w:rsidR="0035075E" w:rsidRPr="00E74E29" w:rsidRDefault="0035075E" w:rsidP="0035075E">
            <w:pPr>
              <w:jc w:val="both"/>
              <w:rPr>
                <w:sz w:val="20"/>
              </w:rPr>
            </w:pPr>
            <w:r w:rsidRPr="00E74E29">
              <w:rPr>
                <w:sz w:val="20"/>
              </w:rPr>
              <w:t>(Wood, Farrar, Bourgeois JJ.A.)</w:t>
            </w:r>
          </w:p>
          <w:p w:rsidR="0035075E" w:rsidRPr="00E74E29" w:rsidRDefault="00463557" w:rsidP="0035075E">
            <w:pPr>
              <w:jc w:val="both"/>
              <w:rPr>
                <w:sz w:val="20"/>
              </w:rPr>
            </w:pPr>
            <w:hyperlink r:id="rId27" w:history="1">
              <w:r w:rsidR="0035075E" w:rsidRPr="00E74E29">
                <w:rPr>
                  <w:rStyle w:val="Hyperlink"/>
                  <w:sz w:val="20"/>
                </w:rPr>
                <w:t>2021 NSCA 70</w:t>
              </w:r>
            </w:hyperlink>
            <w:r w:rsidR="0035075E" w:rsidRPr="00E74E29">
              <w:rPr>
                <w:sz w:val="20"/>
              </w:rPr>
              <w:t>; CA 486952</w:t>
            </w:r>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rPr>
            </w:pPr>
            <w:r w:rsidRPr="00E74E29">
              <w:rPr>
                <w:sz w:val="20"/>
              </w:rPr>
              <w:t>In part, appeal from dismissal of systemic discrimination claim allowed and remand for justification hearing</w:t>
            </w:r>
          </w:p>
        </w:tc>
      </w:tr>
      <w:tr w:rsidR="0035075E" w:rsidRPr="00E74E29" w:rsidTr="00F322C3">
        <w:tc>
          <w:tcPr>
            <w:tcW w:w="2427" w:type="pct"/>
            <w:gridSpan w:val="2"/>
          </w:tcPr>
          <w:p w:rsidR="0035075E" w:rsidRPr="00E74E29" w:rsidRDefault="0035075E" w:rsidP="0035075E">
            <w:pPr>
              <w:jc w:val="both"/>
              <w:rPr>
                <w:sz w:val="20"/>
              </w:rPr>
            </w:pPr>
            <w:r w:rsidRPr="00E74E29">
              <w:rPr>
                <w:sz w:val="20"/>
              </w:rPr>
              <w:t>December 6, 2021</w:t>
            </w:r>
          </w:p>
          <w:p w:rsidR="0035075E" w:rsidRPr="00E74E29" w:rsidRDefault="0035075E" w:rsidP="0035075E">
            <w:pPr>
              <w:jc w:val="both"/>
              <w:rPr>
                <w:sz w:val="20"/>
              </w:rPr>
            </w:pPr>
            <w:r w:rsidRPr="00E74E29">
              <w:rPr>
                <w:sz w:val="20"/>
              </w:rPr>
              <w:t>Supreme Court of Canada</w:t>
            </w: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rPr>
            </w:pPr>
            <w:r w:rsidRPr="00E74E29">
              <w:rPr>
                <w:sz w:val="20"/>
              </w:rPr>
              <w:t>Application for leave to appeal filed</w:t>
            </w:r>
          </w:p>
          <w:p w:rsidR="0035075E" w:rsidRPr="00E74E29" w:rsidRDefault="0035075E" w:rsidP="0035075E">
            <w:pPr>
              <w:jc w:val="both"/>
              <w:rPr>
                <w:sz w:val="20"/>
              </w:rPr>
            </w:pPr>
          </w:p>
        </w:tc>
      </w:tr>
    </w:tbl>
    <w:p w:rsidR="0035075E" w:rsidRPr="00E74E29" w:rsidRDefault="0035075E" w:rsidP="0035075E">
      <w:pPr>
        <w:jc w:val="both"/>
        <w:rPr>
          <w:sz w:val="20"/>
        </w:rPr>
      </w:pPr>
    </w:p>
    <w:p w:rsidR="00F322C3" w:rsidRPr="00E74E29" w:rsidRDefault="00463557" w:rsidP="0035075E">
      <w:pPr>
        <w:jc w:val="both"/>
        <w:rPr>
          <w:sz w:val="20"/>
        </w:rPr>
      </w:pPr>
      <w:r>
        <w:rPr>
          <w:sz w:val="20"/>
        </w:rPr>
        <w:pict>
          <v:rect id="_x0000_i1031" style="width:2in;height:1pt" o:hrpct="0" o:hralign="center" o:hrstd="t" o:hrnoshade="t" o:hr="t" fillcolor="black [3213]" stroked="f"/>
        </w:pict>
      </w:r>
    </w:p>
    <w:p w:rsidR="00F322C3" w:rsidRPr="00E74E29" w:rsidRDefault="00F322C3" w:rsidP="0035075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075E" w:rsidRPr="00463557" w:rsidTr="00F322C3">
        <w:tc>
          <w:tcPr>
            <w:tcW w:w="543" w:type="pct"/>
          </w:tcPr>
          <w:p w:rsidR="0035075E" w:rsidRPr="00E74E29" w:rsidRDefault="0035075E" w:rsidP="0035075E">
            <w:pPr>
              <w:jc w:val="both"/>
              <w:rPr>
                <w:sz w:val="20"/>
                <w:lang w:val="fr-CA"/>
              </w:rPr>
            </w:pPr>
            <w:r w:rsidRPr="00E74E29">
              <w:rPr>
                <w:rStyle w:val="SCCFileNumberChar"/>
                <w:sz w:val="20"/>
                <w:szCs w:val="20"/>
                <w:lang w:val="fr-CA"/>
              </w:rPr>
              <w:t>39951</w:t>
            </w:r>
          </w:p>
        </w:tc>
        <w:tc>
          <w:tcPr>
            <w:tcW w:w="4457" w:type="pct"/>
            <w:gridSpan w:val="3"/>
          </w:tcPr>
          <w:p w:rsidR="0035075E" w:rsidRPr="00E74E29" w:rsidRDefault="0035075E" w:rsidP="0035075E">
            <w:pPr>
              <w:pStyle w:val="SCCLsocParty"/>
              <w:jc w:val="both"/>
              <w:rPr>
                <w:b/>
                <w:sz w:val="20"/>
                <w:szCs w:val="20"/>
              </w:rPr>
            </w:pPr>
            <w:r w:rsidRPr="00E74E29">
              <w:rPr>
                <w:b/>
                <w:sz w:val="20"/>
                <w:szCs w:val="20"/>
              </w:rPr>
              <w:t>Procureur général de la Nouvelle-Écosse représentant Sa Majesté la Reine du chef de la province de la Nouvelle-Écosse (dont le</w:t>
            </w:r>
            <w:r w:rsidRPr="00E74E29">
              <w:rPr>
                <w:b/>
                <w:color w:val="000000"/>
                <w:sz w:val="20"/>
                <w:szCs w:val="20"/>
              </w:rPr>
              <w:t xml:space="preserve"> ministre des Services communautaires</w:t>
            </w:r>
            <w:r w:rsidRPr="00E74E29">
              <w:rPr>
                <w:b/>
                <w:sz w:val="20"/>
                <w:szCs w:val="20"/>
              </w:rPr>
              <w:t xml:space="preserve"> et le ministre de la Santé et du Bien-être) c. Disability Rights Coalition</w:t>
            </w:r>
          </w:p>
          <w:p w:rsidR="0035075E" w:rsidRPr="00E74E29" w:rsidRDefault="0035075E" w:rsidP="0035075E">
            <w:pPr>
              <w:pStyle w:val="SCCLsocOtherPartySeparator"/>
              <w:rPr>
                <w:sz w:val="20"/>
                <w:szCs w:val="20"/>
              </w:rPr>
            </w:pPr>
            <w:r w:rsidRPr="00E74E29">
              <w:rPr>
                <w:sz w:val="20"/>
                <w:szCs w:val="20"/>
              </w:rPr>
              <w:t>- et -</w:t>
            </w:r>
          </w:p>
          <w:p w:rsidR="0035075E" w:rsidRPr="00E74E29" w:rsidRDefault="0035075E" w:rsidP="0035075E">
            <w:pPr>
              <w:pStyle w:val="SCCLsocParty"/>
              <w:jc w:val="both"/>
              <w:rPr>
                <w:b/>
                <w:sz w:val="20"/>
                <w:szCs w:val="20"/>
              </w:rPr>
            </w:pPr>
            <w:r w:rsidRPr="00E74E29">
              <w:rPr>
                <w:b/>
                <w:sz w:val="20"/>
                <w:szCs w:val="20"/>
              </w:rPr>
              <w:t>Nova Scotia Human Rights Commission, J. Walter Thompson, c.r., siégeant à une commission d’enquête</w:t>
            </w:r>
          </w:p>
          <w:p w:rsidR="0035075E" w:rsidRPr="00E74E29" w:rsidRDefault="0035075E" w:rsidP="0035075E">
            <w:pPr>
              <w:jc w:val="both"/>
              <w:rPr>
                <w:sz w:val="20"/>
                <w:lang w:val="fr-CA"/>
              </w:rPr>
            </w:pPr>
            <w:r w:rsidRPr="00E74E29">
              <w:rPr>
                <w:sz w:val="20"/>
                <w:lang w:val="fr-CA"/>
              </w:rPr>
              <w:t>(N.</w:t>
            </w:r>
            <w:r w:rsidRPr="00E74E29">
              <w:rPr>
                <w:sz w:val="20"/>
                <w:lang w:val="fr-CA"/>
              </w:rPr>
              <w:noBreakHyphen/>
              <w:t>É.) (Civile) (Sur autorisation)</w:t>
            </w:r>
          </w:p>
        </w:tc>
      </w:tr>
      <w:tr w:rsidR="0035075E" w:rsidRPr="00463557" w:rsidTr="00F322C3">
        <w:tc>
          <w:tcPr>
            <w:tcW w:w="5000" w:type="pct"/>
            <w:gridSpan w:val="4"/>
          </w:tcPr>
          <w:p w:rsidR="0035075E" w:rsidRPr="00E74E29" w:rsidRDefault="0035075E" w:rsidP="0035075E">
            <w:pPr>
              <w:jc w:val="both"/>
              <w:rPr>
                <w:sz w:val="20"/>
                <w:lang w:val="fr-CA"/>
              </w:rPr>
            </w:pPr>
            <w:r w:rsidRPr="00E74E29">
              <w:rPr>
                <w:sz w:val="20"/>
                <w:lang w:val="fr-CA"/>
              </w:rPr>
              <w:lastRenderedPageBreak/>
              <w:t xml:space="preserve">Droits de la personne — Droit à l’égalité — </w:t>
            </w:r>
            <w:r w:rsidRPr="00E74E29">
              <w:rPr>
                <w:iCs/>
                <w:sz w:val="20"/>
                <w:lang w:val="fr-CA"/>
              </w:rPr>
              <w:t>Pratiques discriminatoires</w:t>
            </w:r>
            <w:r w:rsidRPr="00E74E29">
              <w:rPr>
                <w:sz w:val="20"/>
                <w:lang w:val="fr-CA"/>
              </w:rPr>
              <w:t xml:space="preserve"> — Droits économiques et sociaux — La législation sur les droits de la personne exige</w:t>
            </w:r>
            <w:r w:rsidRPr="00E74E29">
              <w:rPr>
                <w:sz w:val="20"/>
                <w:lang w:val="fr-CA"/>
              </w:rPr>
              <w:noBreakHyphen/>
              <w:t>t</w:t>
            </w:r>
            <w:r w:rsidRPr="00E74E29">
              <w:rPr>
                <w:sz w:val="20"/>
                <w:lang w:val="fr-CA"/>
              </w:rPr>
              <w:noBreakHyphen/>
              <w:t>elle que les services de soutien en matière d’hébergement offerts aux personnes ayant une déficience doivent présenter les mêmes caractéristiques que le soutien financier offert par l’entremise des services d’aide au revenu ? — L’analyse relative à la discrimination en vertu d’une loi portant sur les droits de la personne exige-t-elle de procéder à une véritable analyse comparative ?</w:t>
            </w:r>
          </w:p>
        </w:tc>
      </w:tr>
      <w:tr w:rsidR="0035075E" w:rsidRPr="00463557" w:rsidTr="00F322C3">
        <w:tc>
          <w:tcPr>
            <w:tcW w:w="5000" w:type="pct"/>
            <w:gridSpan w:val="4"/>
          </w:tcPr>
          <w:p w:rsidR="0035075E" w:rsidRPr="00E74E29" w:rsidRDefault="0035075E" w:rsidP="0035075E">
            <w:pPr>
              <w:jc w:val="both"/>
              <w:rPr>
                <w:sz w:val="20"/>
                <w:lang w:val="fr-CA"/>
              </w:rPr>
            </w:pPr>
          </w:p>
          <w:p w:rsidR="0035075E" w:rsidRPr="00E74E29" w:rsidRDefault="0035075E" w:rsidP="0035075E">
            <w:pPr>
              <w:widowControl w:val="0"/>
              <w:jc w:val="both"/>
              <w:rPr>
                <w:sz w:val="20"/>
                <w:lang w:val="fr-CA"/>
              </w:rPr>
            </w:pPr>
            <w:r w:rsidRPr="00E74E29">
              <w:rPr>
                <w:spacing w:val="-7"/>
                <w:sz w:val="20"/>
                <w:lang w:val="fr-CA"/>
              </w:rPr>
              <w:t>Trois plaignants étaient hébergés dans une</w:t>
            </w:r>
            <w:r w:rsidRPr="00E74E29">
              <w:rPr>
                <w:sz w:val="20"/>
                <w:lang w:val="fr-CA"/>
              </w:rPr>
              <w:t xml:space="preserve"> </w:t>
            </w:r>
            <w:r w:rsidRPr="00E74E29">
              <w:rPr>
                <w:spacing w:val="-7"/>
                <w:sz w:val="20"/>
                <w:lang w:val="fr-CA"/>
              </w:rPr>
              <w:t xml:space="preserve">aile psychiatrique sécuritaire du Nova Scotia Hospital pendant des années, leurs noms étant sur une liste d’attente en vue d’être placés dans la collectivité. Ils ont déposé des plaintes auprès de la </w:t>
            </w:r>
            <w:r w:rsidRPr="00E74E29">
              <w:rPr>
                <w:sz w:val="20"/>
                <w:lang w:val="fr-CA"/>
              </w:rPr>
              <w:t xml:space="preserve">Nova Scotia Human Rights Commission, alléguant qu’ils avaient été victimes de discrimination fondée sur la déficience mentale dans le cadre de la prestation d’un service en contravention de la </w:t>
            </w:r>
            <w:r w:rsidRPr="00E74E29">
              <w:rPr>
                <w:rFonts w:eastAsiaTheme="majorEastAsia"/>
                <w:i/>
                <w:sz w:val="20"/>
                <w:lang w:val="fr-CA"/>
              </w:rPr>
              <w:t>Human Rights Act</w:t>
            </w:r>
            <w:r w:rsidRPr="00E74E29">
              <w:rPr>
                <w:sz w:val="20"/>
                <w:lang w:val="fr-CA"/>
              </w:rPr>
              <w:t xml:space="preserve">, RSNS 1989, c. 214. La Disability Rights Coalition a joint une plainte de discrimination systémique. La commission d’enquête a rejeté la plainte de discrimination systémique en partie. La Cour d’appel a accueilli l’appel en partie et a conclu </w:t>
            </w:r>
            <w:r w:rsidRPr="00E74E29">
              <w:rPr>
                <w:spacing w:val="-3"/>
                <w:sz w:val="20"/>
                <w:lang w:val="fr-CA"/>
              </w:rPr>
              <w:t xml:space="preserve">à l’existence de discrimination systémique </w:t>
            </w:r>
            <w:r w:rsidRPr="00E74E29">
              <w:rPr>
                <w:i/>
                <w:spacing w:val="-3"/>
                <w:sz w:val="20"/>
                <w:lang w:val="fr-CA"/>
              </w:rPr>
              <w:t>prima facie</w:t>
            </w:r>
            <w:r w:rsidRPr="00E74E29">
              <w:rPr>
                <w:sz w:val="20"/>
                <w:lang w:val="fr-CA"/>
              </w:rPr>
              <w:t>.</w:t>
            </w:r>
          </w:p>
        </w:tc>
      </w:tr>
      <w:tr w:rsidR="0035075E" w:rsidRPr="00463557" w:rsidTr="00F322C3">
        <w:tc>
          <w:tcPr>
            <w:tcW w:w="5000" w:type="pct"/>
            <w:gridSpan w:val="4"/>
          </w:tcPr>
          <w:p w:rsidR="0035075E" w:rsidRPr="00E74E29" w:rsidRDefault="0035075E" w:rsidP="0035075E">
            <w:pPr>
              <w:widowControl w:val="0"/>
              <w:jc w:val="both"/>
              <w:rPr>
                <w:sz w:val="20"/>
                <w:lang w:val="fr-CA"/>
              </w:rPr>
            </w:pP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t>4 mars 2019</w:t>
            </w:r>
          </w:p>
          <w:p w:rsidR="0035075E" w:rsidRPr="00E74E29" w:rsidRDefault="0035075E" w:rsidP="0035075E">
            <w:pPr>
              <w:jc w:val="both"/>
              <w:rPr>
                <w:sz w:val="20"/>
                <w:lang w:val="fr-CA"/>
              </w:rPr>
            </w:pPr>
            <w:r w:rsidRPr="00E74E29">
              <w:rPr>
                <w:sz w:val="20"/>
                <w:lang w:val="fr-CA"/>
              </w:rPr>
              <w:t>Commission d’enquête de la Nouvelle</w:t>
            </w:r>
            <w:r w:rsidRPr="00E74E29">
              <w:rPr>
                <w:sz w:val="20"/>
                <w:lang w:val="fr-CA"/>
              </w:rPr>
              <w:noBreakHyphen/>
              <w:t xml:space="preserve">Écosse </w:t>
            </w:r>
          </w:p>
          <w:p w:rsidR="0035075E" w:rsidRPr="00E74E29" w:rsidRDefault="0035075E" w:rsidP="0035075E">
            <w:pPr>
              <w:jc w:val="both"/>
              <w:rPr>
                <w:sz w:val="20"/>
              </w:rPr>
            </w:pPr>
            <w:r w:rsidRPr="00E74E29">
              <w:rPr>
                <w:sz w:val="20"/>
              </w:rPr>
              <w:t>(J.W. Thompson, c.r.)</w:t>
            </w:r>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lang w:val="fr-CA"/>
              </w:rPr>
            </w:pPr>
            <w:r w:rsidRPr="00E74E29">
              <w:rPr>
                <w:sz w:val="20"/>
                <w:lang w:val="fr-CA"/>
              </w:rPr>
              <w:t>La plainte relative à la discrimination systémique est rejetée et la commission conclut qu’il y a eu discrimination à l’égard de trois plaignants individuels.</w:t>
            </w:r>
          </w:p>
          <w:p w:rsidR="00F322C3" w:rsidRPr="00E74E29" w:rsidRDefault="00F322C3" w:rsidP="0035075E">
            <w:pPr>
              <w:jc w:val="both"/>
              <w:rPr>
                <w:sz w:val="20"/>
                <w:lang w:val="fr-CA"/>
              </w:rPr>
            </w:pP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t>6 octobre 2021</w:t>
            </w:r>
          </w:p>
          <w:p w:rsidR="0035075E" w:rsidRPr="00E74E29" w:rsidRDefault="0035075E" w:rsidP="0035075E">
            <w:pPr>
              <w:jc w:val="both"/>
              <w:rPr>
                <w:sz w:val="20"/>
                <w:lang w:val="fr-CA"/>
              </w:rPr>
            </w:pPr>
            <w:r w:rsidRPr="00E74E29">
              <w:rPr>
                <w:sz w:val="20"/>
                <w:lang w:val="fr-CA"/>
              </w:rPr>
              <w:t>Cour d’appel de la Nouvelle</w:t>
            </w:r>
            <w:r w:rsidRPr="00E74E29">
              <w:rPr>
                <w:sz w:val="20"/>
                <w:lang w:val="fr-CA"/>
              </w:rPr>
              <w:noBreakHyphen/>
              <w:t>Écosse</w:t>
            </w:r>
          </w:p>
          <w:p w:rsidR="0035075E" w:rsidRPr="00E74E29" w:rsidRDefault="0035075E" w:rsidP="0035075E">
            <w:pPr>
              <w:jc w:val="both"/>
              <w:rPr>
                <w:sz w:val="20"/>
              </w:rPr>
            </w:pPr>
            <w:r w:rsidRPr="00E74E29">
              <w:rPr>
                <w:sz w:val="20"/>
              </w:rPr>
              <w:t>(juges Wood, Farrar, Bourgeois)</w:t>
            </w:r>
          </w:p>
          <w:p w:rsidR="0035075E" w:rsidRPr="00E74E29" w:rsidRDefault="00463557" w:rsidP="0035075E">
            <w:pPr>
              <w:jc w:val="both"/>
              <w:rPr>
                <w:sz w:val="20"/>
              </w:rPr>
            </w:pPr>
            <w:hyperlink r:id="rId28" w:history="1">
              <w:r w:rsidR="0035075E" w:rsidRPr="00E74E29">
                <w:rPr>
                  <w:rStyle w:val="Hyperlink"/>
                  <w:sz w:val="20"/>
                </w:rPr>
                <w:t>2021 NSCA 70</w:t>
              </w:r>
            </w:hyperlink>
            <w:r w:rsidR="0035075E" w:rsidRPr="00E74E29">
              <w:rPr>
                <w:sz w:val="20"/>
              </w:rPr>
              <w:t>; CA 486952</w:t>
            </w:r>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lang w:val="fr-CA"/>
              </w:rPr>
            </w:pPr>
            <w:r w:rsidRPr="00E74E29">
              <w:rPr>
                <w:sz w:val="20"/>
                <w:lang w:val="fr-CA"/>
              </w:rPr>
              <w:t>L’appel du rejet de la plainte de discrimination systémique est accueilli en partie et l’affaire est renvoyée à une audience en justification.</w:t>
            </w: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t>6 décembre 2021</w:t>
            </w:r>
          </w:p>
          <w:p w:rsidR="0035075E" w:rsidRPr="00E74E29" w:rsidRDefault="0035075E" w:rsidP="0035075E">
            <w:pPr>
              <w:jc w:val="both"/>
              <w:rPr>
                <w:sz w:val="20"/>
                <w:lang w:val="fr-CA"/>
              </w:rPr>
            </w:pPr>
            <w:r w:rsidRPr="00E74E29">
              <w:rPr>
                <w:sz w:val="20"/>
                <w:lang w:val="fr-CA"/>
              </w:rPr>
              <w:t>Cour suprême du Canada</w:t>
            </w:r>
          </w:p>
        </w:tc>
        <w:tc>
          <w:tcPr>
            <w:tcW w:w="243" w:type="pct"/>
          </w:tcPr>
          <w:p w:rsidR="0035075E" w:rsidRPr="00E74E29" w:rsidRDefault="0035075E" w:rsidP="0035075E">
            <w:pPr>
              <w:jc w:val="both"/>
              <w:rPr>
                <w:sz w:val="20"/>
                <w:lang w:val="fr-CA"/>
              </w:rPr>
            </w:pPr>
          </w:p>
        </w:tc>
        <w:tc>
          <w:tcPr>
            <w:tcW w:w="2330" w:type="pct"/>
          </w:tcPr>
          <w:p w:rsidR="0035075E" w:rsidRPr="00E74E29" w:rsidRDefault="0035075E" w:rsidP="0035075E">
            <w:pPr>
              <w:jc w:val="both"/>
              <w:rPr>
                <w:sz w:val="20"/>
                <w:lang w:val="fr-CA"/>
              </w:rPr>
            </w:pPr>
            <w:r w:rsidRPr="00E74E29">
              <w:rPr>
                <w:sz w:val="20"/>
                <w:lang w:val="fr-CA"/>
              </w:rPr>
              <w:t>La demande d’autorisation d’appel est présentée.</w:t>
            </w:r>
          </w:p>
          <w:p w:rsidR="0035075E" w:rsidRPr="00E74E29" w:rsidRDefault="0035075E" w:rsidP="0035075E">
            <w:pPr>
              <w:jc w:val="both"/>
              <w:rPr>
                <w:sz w:val="20"/>
                <w:lang w:val="fr-CA"/>
              </w:rPr>
            </w:pPr>
          </w:p>
        </w:tc>
      </w:tr>
    </w:tbl>
    <w:p w:rsidR="0035075E" w:rsidRPr="00E74E29" w:rsidRDefault="0035075E" w:rsidP="0035075E">
      <w:pPr>
        <w:jc w:val="both"/>
        <w:rPr>
          <w:sz w:val="20"/>
          <w:lang w:val="fr-CA"/>
        </w:rPr>
      </w:pPr>
    </w:p>
    <w:p w:rsidR="00F322C3" w:rsidRPr="00E74E29" w:rsidRDefault="00463557" w:rsidP="0035075E">
      <w:pPr>
        <w:jc w:val="both"/>
        <w:rPr>
          <w:sz w:val="20"/>
          <w:lang w:val="fr-CA"/>
        </w:rPr>
      </w:pPr>
      <w:bookmarkStart w:id="0" w:name="_GoBack"/>
      <w:bookmarkEnd w:id="0"/>
      <w:r>
        <w:rPr>
          <w:sz w:val="20"/>
        </w:rPr>
        <w:pict>
          <v:rect id="_x0000_i1034" style="width:2in;height:1pt" o:hrpct="0" o:hralign="center" o:hrstd="t" o:hrnoshade="t" o:hr="t" fillcolor="black [3213]" stroked="f"/>
        </w:pict>
      </w:r>
    </w:p>
    <w:p w:rsidR="00DA2AB7" w:rsidRPr="00E74E29" w:rsidRDefault="00DA2AB7" w:rsidP="0035075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075E" w:rsidRPr="00E74E29" w:rsidTr="00F322C3">
        <w:tc>
          <w:tcPr>
            <w:tcW w:w="543" w:type="pct"/>
          </w:tcPr>
          <w:p w:rsidR="0035075E" w:rsidRPr="00E74E29" w:rsidRDefault="0035075E" w:rsidP="0035075E">
            <w:pPr>
              <w:jc w:val="both"/>
              <w:rPr>
                <w:sz w:val="20"/>
                <w:lang w:val="en-CA"/>
              </w:rPr>
            </w:pPr>
            <w:r w:rsidRPr="00E74E29">
              <w:rPr>
                <w:rStyle w:val="SCCFileNumberChar"/>
                <w:sz w:val="20"/>
                <w:szCs w:val="20"/>
              </w:rPr>
              <w:t>39961</w:t>
            </w:r>
          </w:p>
        </w:tc>
        <w:tc>
          <w:tcPr>
            <w:tcW w:w="4457" w:type="pct"/>
            <w:gridSpan w:val="3"/>
          </w:tcPr>
          <w:p w:rsidR="0035075E" w:rsidRPr="00E74E29" w:rsidRDefault="0035075E" w:rsidP="0035075E">
            <w:pPr>
              <w:pStyle w:val="SCCLsocParty"/>
              <w:jc w:val="both"/>
              <w:rPr>
                <w:b/>
                <w:sz w:val="20"/>
                <w:szCs w:val="20"/>
              </w:rPr>
            </w:pPr>
            <w:r w:rsidRPr="00E74E29">
              <w:rPr>
                <w:b/>
                <w:sz w:val="20"/>
                <w:szCs w:val="20"/>
              </w:rPr>
              <w:t>Saïd Boukendour v. Syndicat des professeures et des professeurs de l’Université du Québec en Outaouais – CSN and Université du Québec en Outaouais</w:t>
            </w:r>
          </w:p>
          <w:p w:rsidR="0035075E" w:rsidRPr="00E74E29" w:rsidRDefault="0035075E" w:rsidP="0035075E">
            <w:pPr>
              <w:pStyle w:val="SCCLsocOtherPartySeparator"/>
              <w:rPr>
                <w:sz w:val="20"/>
                <w:szCs w:val="20"/>
                <w:lang w:val="en-CA"/>
              </w:rPr>
            </w:pPr>
            <w:r w:rsidRPr="00E74E29">
              <w:rPr>
                <w:sz w:val="20"/>
                <w:szCs w:val="20"/>
                <w:lang w:val="en-CA"/>
              </w:rPr>
              <w:t>- and -</w:t>
            </w:r>
          </w:p>
          <w:p w:rsidR="0035075E" w:rsidRPr="00E74E29" w:rsidRDefault="0035075E" w:rsidP="0035075E">
            <w:pPr>
              <w:pStyle w:val="SCCLsocParty"/>
              <w:jc w:val="both"/>
              <w:rPr>
                <w:b/>
                <w:sz w:val="20"/>
                <w:szCs w:val="20"/>
                <w:lang w:val="en-CA"/>
              </w:rPr>
            </w:pPr>
            <w:r w:rsidRPr="00E74E29">
              <w:rPr>
                <w:b/>
                <w:sz w:val="20"/>
                <w:szCs w:val="20"/>
                <w:lang w:val="en-CA"/>
              </w:rPr>
              <w:t>Attorney General of Quebec</w:t>
            </w:r>
          </w:p>
          <w:p w:rsidR="0035075E" w:rsidRPr="00E74E29" w:rsidRDefault="0035075E" w:rsidP="0035075E">
            <w:pPr>
              <w:jc w:val="both"/>
              <w:rPr>
                <w:sz w:val="20"/>
                <w:lang w:val="en-CA"/>
              </w:rPr>
            </w:pPr>
            <w:r w:rsidRPr="00E74E29">
              <w:rPr>
                <w:sz w:val="20"/>
                <w:lang w:val="en-CA"/>
              </w:rPr>
              <w:t>(Que.) (Civil) (By Leave)</w:t>
            </w:r>
          </w:p>
        </w:tc>
      </w:tr>
      <w:tr w:rsidR="0035075E" w:rsidRPr="00E74E29" w:rsidTr="00F322C3">
        <w:tc>
          <w:tcPr>
            <w:tcW w:w="5000" w:type="pct"/>
            <w:gridSpan w:val="4"/>
          </w:tcPr>
          <w:p w:rsidR="0035075E" w:rsidRPr="00E74E29" w:rsidRDefault="0035075E" w:rsidP="0035075E">
            <w:pPr>
              <w:jc w:val="both"/>
              <w:rPr>
                <w:sz w:val="20"/>
                <w:lang w:val="en-CA"/>
              </w:rPr>
            </w:pPr>
            <w:r w:rsidRPr="00E74E29">
              <w:rPr>
                <w:sz w:val="20"/>
                <w:lang w:val="en-CA"/>
              </w:rPr>
              <w:t xml:space="preserve">Labour law </w:t>
            </w:r>
            <w:r w:rsidRPr="00E74E29">
              <w:rPr>
                <w:iCs/>
                <w:color w:val="000000"/>
                <w:sz w:val="20"/>
                <w:lang w:val="en-CA"/>
              </w:rPr>
              <w:t xml:space="preserve">— Duty of representation — Personal grievance — Appointment of arbitrator — Exception to union monopoly on representation — Jurisdiction of court — Whether application for leave to appeal raises question of public importance — </w:t>
            </w:r>
            <w:r w:rsidRPr="00E74E29">
              <w:rPr>
                <w:i/>
                <w:iCs/>
                <w:color w:val="000000"/>
                <w:sz w:val="20"/>
                <w:lang w:val="en-CA"/>
              </w:rPr>
              <w:t>Labour Code</w:t>
            </w:r>
            <w:r w:rsidRPr="00E74E29">
              <w:rPr>
                <w:iCs/>
                <w:color w:val="000000"/>
                <w:sz w:val="20"/>
                <w:lang w:val="en-CA"/>
              </w:rPr>
              <w:t>, CQLR, c. C</w:t>
            </w:r>
            <w:r w:rsidRPr="00E74E29">
              <w:rPr>
                <w:iCs/>
                <w:color w:val="000000"/>
                <w:sz w:val="20"/>
                <w:lang w:val="en-CA"/>
              </w:rPr>
              <w:noBreakHyphen/>
              <w:t>27, ss. 47.2, 47.5 and 100.</w:t>
            </w:r>
          </w:p>
        </w:tc>
      </w:tr>
      <w:tr w:rsidR="0035075E" w:rsidRPr="00E74E29" w:rsidTr="00F322C3">
        <w:tc>
          <w:tcPr>
            <w:tcW w:w="5000" w:type="pct"/>
            <w:gridSpan w:val="4"/>
          </w:tcPr>
          <w:p w:rsidR="0035075E" w:rsidRPr="00E74E29" w:rsidRDefault="0035075E" w:rsidP="0035075E">
            <w:pPr>
              <w:jc w:val="both"/>
              <w:rPr>
                <w:sz w:val="20"/>
                <w:lang w:val="en-CA"/>
              </w:rPr>
            </w:pPr>
          </w:p>
        </w:tc>
      </w:tr>
      <w:tr w:rsidR="0035075E" w:rsidRPr="00E74E29" w:rsidTr="00F322C3">
        <w:tc>
          <w:tcPr>
            <w:tcW w:w="5000" w:type="pct"/>
            <w:gridSpan w:val="4"/>
          </w:tcPr>
          <w:p w:rsidR="0035075E" w:rsidRPr="00E74E29" w:rsidRDefault="0035075E" w:rsidP="0035075E">
            <w:pPr>
              <w:jc w:val="both"/>
              <w:rPr>
                <w:sz w:val="20"/>
                <w:lang w:val="en-CA"/>
              </w:rPr>
            </w:pPr>
            <w:r w:rsidRPr="00E74E29">
              <w:rPr>
                <w:sz w:val="20"/>
                <w:lang w:val="en-CA"/>
              </w:rPr>
              <w:t xml:space="preserve">In 2020, the applicant, Mr. Boukendour, filed an originating application in which he sought a declaration that his union and his employer had, in bad faith and in a discriminatory manner, interfered with the exercise of his rights under the collective agreement. In the same application, Mr. Boukendour sought an order appointing an arbitrator and awarding moral and exemplary damages against his union and his employer. The employer had concluded that the grievance was out of time and unfounded in fact and in law, and the Ministère du Travail, de l’Emploi et de la Solidarité sociale had refused to appoint an arbitrator. The Superior Court held that the </w:t>
            </w:r>
            <w:r w:rsidRPr="00E74E29">
              <w:rPr>
                <w:i/>
                <w:sz w:val="20"/>
                <w:lang w:val="en-CA"/>
              </w:rPr>
              <w:t>Labour Code</w:t>
            </w:r>
            <w:r w:rsidRPr="00E74E29">
              <w:rPr>
                <w:sz w:val="20"/>
                <w:lang w:val="en-CA"/>
              </w:rPr>
              <w:t xml:space="preserve"> gives the Administrative Labour Tribunal exclusive jurisdiction to authorize the Minister of Labour to appoint an arbitrator if the Tribunal considers that a certified association has contravened the </w:t>
            </w:r>
            <w:r w:rsidRPr="00E74E29">
              <w:rPr>
                <w:i/>
                <w:sz w:val="20"/>
                <w:lang w:val="en-CA"/>
              </w:rPr>
              <w:t>Code</w:t>
            </w:r>
            <w:r w:rsidRPr="00E74E29">
              <w:rPr>
                <w:sz w:val="20"/>
                <w:lang w:val="en-CA"/>
              </w:rPr>
              <w:t>. It also determined that none of the exceptions that allow civil proceedings in the Superior Court applied in the circumstances. The Court of Appeal granted the motions to dismiss Mr. Boukendour’s appeal brought by the employer and the union and dismissed the appeal. In its view, Mr. Boukendour had not raised any error that would warrant appellate intervention, and the appeal therefore had no reasonable chance of success.</w:t>
            </w:r>
          </w:p>
          <w:p w:rsidR="0035075E" w:rsidRPr="00E74E29" w:rsidRDefault="0035075E" w:rsidP="0035075E">
            <w:pPr>
              <w:jc w:val="both"/>
              <w:rPr>
                <w:sz w:val="20"/>
                <w:lang w:val="en-CA"/>
              </w:rPr>
            </w:pPr>
          </w:p>
        </w:tc>
      </w:tr>
      <w:tr w:rsidR="0035075E" w:rsidRPr="00E74E29" w:rsidTr="00F322C3">
        <w:tc>
          <w:tcPr>
            <w:tcW w:w="2427" w:type="pct"/>
            <w:gridSpan w:val="2"/>
          </w:tcPr>
          <w:p w:rsidR="0035075E" w:rsidRPr="00E74E29" w:rsidRDefault="0035075E" w:rsidP="0035075E">
            <w:pPr>
              <w:jc w:val="both"/>
              <w:rPr>
                <w:sz w:val="20"/>
                <w:lang w:val="en-CA"/>
              </w:rPr>
            </w:pPr>
            <w:r w:rsidRPr="00E74E29">
              <w:rPr>
                <w:sz w:val="20"/>
                <w:lang w:val="en-CA"/>
              </w:rPr>
              <w:t>May 5, 2021</w:t>
            </w:r>
          </w:p>
          <w:p w:rsidR="0035075E" w:rsidRPr="00E74E29" w:rsidRDefault="0035075E" w:rsidP="0035075E">
            <w:pPr>
              <w:jc w:val="both"/>
              <w:rPr>
                <w:sz w:val="20"/>
                <w:lang w:val="en-CA"/>
              </w:rPr>
            </w:pPr>
            <w:r w:rsidRPr="00E74E29">
              <w:rPr>
                <w:sz w:val="20"/>
                <w:lang w:val="en-CA"/>
              </w:rPr>
              <w:t>Quebec Superior Court</w:t>
            </w:r>
          </w:p>
          <w:p w:rsidR="0035075E" w:rsidRPr="00E74E29" w:rsidRDefault="0035075E" w:rsidP="0035075E">
            <w:pPr>
              <w:jc w:val="both"/>
              <w:rPr>
                <w:sz w:val="20"/>
                <w:lang w:val="en-CA"/>
              </w:rPr>
            </w:pPr>
            <w:r w:rsidRPr="00E74E29">
              <w:rPr>
                <w:sz w:val="20"/>
                <w:lang w:val="en-CA"/>
              </w:rPr>
              <w:t>(Faullem J.)</w:t>
            </w:r>
          </w:p>
          <w:p w:rsidR="0035075E" w:rsidRPr="00E74E29" w:rsidRDefault="00463557" w:rsidP="0035075E">
            <w:pPr>
              <w:jc w:val="both"/>
              <w:rPr>
                <w:sz w:val="20"/>
                <w:lang w:val="en-CA"/>
              </w:rPr>
            </w:pPr>
            <w:hyperlink r:id="rId29" w:history="1">
              <w:r w:rsidR="0035075E" w:rsidRPr="00E74E29">
                <w:rPr>
                  <w:rStyle w:val="Hyperlink"/>
                  <w:sz w:val="20"/>
                  <w:lang w:val="en-CA"/>
                </w:rPr>
                <w:t>2021 QCCS 1788</w:t>
              </w:r>
            </w:hyperlink>
          </w:p>
          <w:p w:rsidR="0035075E" w:rsidRPr="00E74E29" w:rsidRDefault="0035075E" w:rsidP="0035075E">
            <w:pPr>
              <w:jc w:val="both"/>
              <w:rPr>
                <w:sz w:val="20"/>
                <w:lang w:val="en-CA"/>
              </w:rPr>
            </w:pPr>
            <w:r w:rsidRPr="00E74E29">
              <w:rPr>
                <w:sz w:val="20"/>
                <w:lang w:val="en-CA"/>
              </w:rPr>
              <w:lastRenderedPageBreak/>
              <w:t xml:space="preserve"> </w:t>
            </w:r>
          </w:p>
        </w:tc>
        <w:tc>
          <w:tcPr>
            <w:tcW w:w="243" w:type="pct"/>
          </w:tcPr>
          <w:p w:rsidR="0035075E" w:rsidRPr="00E74E29" w:rsidRDefault="0035075E" w:rsidP="0035075E">
            <w:pPr>
              <w:jc w:val="both"/>
              <w:rPr>
                <w:sz w:val="20"/>
                <w:lang w:val="en-CA"/>
              </w:rPr>
            </w:pPr>
          </w:p>
        </w:tc>
        <w:tc>
          <w:tcPr>
            <w:tcW w:w="2330" w:type="pct"/>
          </w:tcPr>
          <w:p w:rsidR="0035075E" w:rsidRPr="00E74E29" w:rsidRDefault="0035075E" w:rsidP="0035075E">
            <w:pPr>
              <w:jc w:val="both"/>
              <w:rPr>
                <w:sz w:val="20"/>
                <w:lang w:val="en-CA"/>
              </w:rPr>
            </w:pPr>
            <w:r w:rsidRPr="00E74E29">
              <w:rPr>
                <w:sz w:val="20"/>
                <w:lang w:val="en-CA"/>
              </w:rPr>
              <w:t xml:space="preserve">Applications for declinatory exception allowed; Administrative Labour Tribunal declared to have exclusive jurisdiction to hear application for appointment of grievance arbitrator and for award of </w:t>
            </w:r>
            <w:r w:rsidRPr="00E74E29">
              <w:rPr>
                <w:sz w:val="20"/>
                <w:lang w:val="en-CA"/>
              </w:rPr>
              <w:lastRenderedPageBreak/>
              <w:t>damages against union; originating application dismissed</w:t>
            </w:r>
          </w:p>
          <w:p w:rsidR="0035075E" w:rsidRPr="00E74E29" w:rsidRDefault="0035075E" w:rsidP="0035075E">
            <w:pPr>
              <w:jc w:val="both"/>
              <w:rPr>
                <w:sz w:val="20"/>
                <w:lang w:val="en-CA"/>
              </w:rPr>
            </w:pPr>
          </w:p>
        </w:tc>
      </w:tr>
      <w:tr w:rsidR="0035075E" w:rsidRPr="00E74E29" w:rsidTr="00F322C3">
        <w:tc>
          <w:tcPr>
            <w:tcW w:w="2427" w:type="pct"/>
            <w:gridSpan w:val="2"/>
          </w:tcPr>
          <w:p w:rsidR="0035075E" w:rsidRPr="00E74E29" w:rsidRDefault="0035075E" w:rsidP="0035075E">
            <w:pPr>
              <w:jc w:val="both"/>
              <w:rPr>
                <w:sz w:val="20"/>
                <w:lang w:val="en-CA"/>
              </w:rPr>
            </w:pPr>
            <w:r w:rsidRPr="00E74E29">
              <w:rPr>
                <w:sz w:val="20"/>
                <w:lang w:val="en-CA"/>
              </w:rPr>
              <w:lastRenderedPageBreak/>
              <w:t>September 16, 2021</w:t>
            </w:r>
          </w:p>
          <w:p w:rsidR="0035075E" w:rsidRPr="00E74E29" w:rsidRDefault="0035075E" w:rsidP="0035075E">
            <w:pPr>
              <w:jc w:val="both"/>
              <w:rPr>
                <w:sz w:val="20"/>
                <w:lang w:val="en-CA"/>
              </w:rPr>
            </w:pPr>
            <w:r w:rsidRPr="00E74E29">
              <w:rPr>
                <w:sz w:val="20"/>
                <w:lang w:val="en-CA"/>
              </w:rPr>
              <w:t>Quebec Court of Appeal (Montréal)</w:t>
            </w:r>
          </w:p>
          <w:p w:rsidR="0035075E" w:rsidRPr="00E74E29" w:rsidRDefault="0035075E" w:rsidP="0035075E">
            <w:pPr>
              <w:jc w:val="both"/>
              <w:rPr>
                <w:sz w:val="20"/>
                <w:lang w:val="en-CA"/>
              </w:rPr>
            </w:pPr>
            <w:r w:rsidRPr="00E74E29">
              <w:rPr>
                <w:sz w:val="20"/>
                <w:lang w:val="en-CA"/>
              </w:rPr>
              <w:t>(Vauclair, Healy and Hamilton JJ.A.)</w:t>
            </w:r>
          </w:p>
          <w:p w:rsidR="0035075E" w:rsidRPr="00E74E29" w:rsidRDefault="0035075E" w:rsidP="0035075E">
            <w:pPr>
              <w:jc w:val="both"/>
              <w:rPr>
                <w:sz w:val="20"/>
                <w:lang w:val="en-CA"/>
              </w:rPr>
            </w:pPr>
            <w:r w:rsidRPr="00E74E29">
              <w:rPr>
                <w:sz w:val="20"/>
                <w:lang w:val="en-CA"/>
              </w:rPr>
              <w:t>No. 500</w:t>
            </w:r>
            <w:r w:rsidRPr="00E74E29">
              <w:rPr>
                <w:sz w:val="20"/>
                <w:lang w:val="en-CA"/>
              </w:rPr>
              <w:noBreakHyphen/>
              <w:t>09</w:t>
            </w:r>
            <w:r w:rsidRPr="00E74E29">
              <w:rPr>
                <w:sz w:val="20"/>
                <w:lang w:val="en-CA"/>
              </w:rPr>
              <w:noBreakHyphen/>
              <w:t>029551</w:t>
            </w:r>
            <w:r w:rsidRPr="00E74E29">
              <w:rPr>
                <w:sz w:val="20"/>
                <w:lang w:val="en-CA"/>
              </w:rPr>
              <w:noBreakHyphen/>
              <w:t>215</w:t>
            </w:r>
          </w:p>
          <w:p w:rsidR="0035075E" w:rsidRPr="00E74E29" w:rsidRDefault="00463557" w:rsidP="0035075E">
            <w:pPr>
              <w:jc w:val="both"/>
              <w:rPr>
                <w:sz w:val="20"/>
                <w:lang w:val="en-CA"/>
              </w:rPr>
            </w:pPr>
            <w:hyperlink r:id="rId30" w:anchor="document" w:history="1">
              <w:r w:rsidR="0035075E" w:rsidRPr="00E74E29">
                <w:rPr>
                  <w:rStyle w:val="Hyperlink"/>
                  <w:sz w:val="20"/>
                  <w:lang w:val="en-CA"/>
                </w:rPr>
                <w:t>2021 QCCA 1381</w:t>
              </w:r>
            </w:hyperlink>
            <w:r w:rsidR="0035075E" w:rsidRPr="00E74E29">
              <w:rPr>
                <w:sz w:val="20"/>
                <w:lang w:val="en-CA"/>
              </w:rPr>
              <w:t xml:space="preserve"> </w:t>
            </w:r>
          </w:p>
          <w:p w:rsidR="0035075E" w:rsidRPr="00E74E29" w:rsidRDefault="0035075E" w:rsidP="0035075E">
            <w:pPr>
              <w:jc w:val="both"/>
              <w:rPr>
                <w:sz w:val="20"/>
                <w:lang w:val="en-CA"/>
              </w:rPr>
            </w:pPr>
          </w:p>
        </w:tc>
        <w:tc>
          <w:tcPr>
            <w:tcW w:w="243" w:type="pct"/>
          </w:tcPr>
          <w:p w:rsidR="0035075E" w:rsidRPr="00E74E29" w:rsidRDefault="0035075E" w:rsidP="0035075E">
            <w:pPr>
              <w:jc w:val="both"/>
              <w:rPr>
                <w:sz w:val="20"/>
                <w:lang w:val="en-CA"/>
              </w:rPr>
            </w:pPr>
          </w:p>
        </w:tc>
        <w:tc>
          <w:tcPr>
            <w:tcW w:w="2330" w:type="pct"/>
          </w:tcPr>
          <w:p w:rsidR="0035075E" w:rsidRPr="00E74E29" w:rsidRDefault="0035075E" w:rsidP="0035075E">
            <w:pPr>
              <w:jc w:val="both"/>
              <w:rPr>
                <w:sz w:val="20"/>
                <w:lang w:val="en-CA"/>
              </w:rPr>
            </w:pPr>
            <w:r w:rsidRPr="00E74E29">
              <w:rPr>
                <w:sz w:val="20"/>
                <w:lang w:val="en-CA"/>
              </w:rPr>
              <w:t>Motions to dismiss appeal granted; appeal dismissed</w:t>
            </w:r>
          </w:p>
          <w:p w:rsidR="0035075E" w:rsidRPr="00E74E29" w:rsidRDefault="0035075E" w:rsidP="0035075E">
            <w:pPr>
              <w:jc w:val="both"/>
              <w:rPr>
                <w:sz w:val="20"/>
                <w:lang w:val="en-CA"/>
              </w:rPr>
            </w:pPr>
          </w:p>
        </w:tc>
      </w:tr>
      <w:tr w:rsidR="0035075E" w:rsidRPr="00E74E29" w:rsidTr="00F322C3">
        <w:tc>
          <w:tcPr>
            <w:tcW w:w="2427" w:type="pct"/>
            <w:gridSpan w:val="2"/>
          </w:tcPr>
          <w:p w:rsidR="0035075E" w:rsidRPr="00E74E29" w:rsidRDefault="0035075E" w:rsidP="0035075E">
            <w:pPr>
              <w:jc w:val="both"/>
              <w:rPr>
                <w:sz w:val="20"/>
                <w:lang w:val="en-CA"/>
              </w:rPr>
            </w:pPr>
            <w:r w:rsidRPr="00E74E29">
              <w:rPr>
                <w:sz w:val="20"/>
                <w:lang w:val="en-CA"/>
              </w:rPr>
              <w:t>November 12, 2021</w:t>
            </w:r>
          </w:p>
          <w:p w:rsidR="0035075E" w:rsidRPr="00E74E29" w:rsidRDefault="0035075E" w:rsidP="00F322C3">
            <w:pPr>
              <w:jc w:val="both"/>
              <w:rPr>
                <w:sz w:val="20"/>
                <w:lang w:val="en-CA"/>
              </w:rPr>
            </w:pPr>
            <w:r w:rsidRPr="00E74E29">
              <w:rPr>
                <w:sz w:val="20"/>
                <w:lang w:val="en-CA"/>
              </w:rPr>
              <w:t>Supreme Court of Canada</w:t>
            </w:r>
          </w:p>
        </w:tc>
        <w:tc>
          <w:tcPr>
            <w:tcW w:w="243" w:type="pct"/>
          </w:tcPr>
          <w:p w:rsidR="0035075E" w:rsidRPr="00E74E29" w:rsidRDefault="0035075E" w:rsidP="0035075E">
            <w:pPr>
              <w:jc w:val="both"/>
              <w:rPr>
                <w:sz w:val="20"/>
                <w:lang w:val="en-CA"/>
              </w:rPr>
            </w:pPr>
          </w:p>
        </w:tc>
        <w:tc>
          <w:tcPr>
            <w:tcW w:w="2330" w:type="pct"/>
          </w:tcPr>
          <w:p w:rsidR="0035075E" w:rsidRPr="00E74E29" w:rsidRDefault="0035075E" w:rsidP="0035075E">
            <w:pPr>
              <w:jc w:val="both"/>
              <w:rPr>
                <w:sz w:val="20"/>
                <w:lang w:val="en-CA"/>
              </w:rPr>
            </w:pPr>
            <w:r w:rsidRPr="00E74E29">
              <w:rPr>
                <w:sz w:val="20"/>
                <w:lang w:val="en-CA"/>
              </w:rPr>
              <w:t>Application for leave to appeal filed</w:t>
            </w:r>
          </w:p>
          <w:p w:rsidR="0035075E" w:rsidRPr="00E74E29" w:rsidRDefault="0035075E" w:rsidP="0035075E">
            <w:pPr>
              <w:jc w:val="both"/>
              <w:rPr>
                <w:sz w:val="20"/>
                <w:lang w:val="en-CA"/>
              </w:rPr>
            </w:pPr>
          </w:p>
        </w:tc>
      </w:tr>
    </w:tbl>
    <w:p w:rsidR="0035075E" w:rsidRPr="00E74E29" w:rsidRDefault="0035075E" w:rsidP="0035075E">
      <w:pPr>
        <w:jc w:val="both"/>
        <w:rPr>
          <w:sz w:val="20"/>
          <w:lang w:val="en-CA"/>
        </w:rPr>
      </w:pPr>
    </w:p>
    <w:p w:rsidR="00F322C3" w:rsidRPr="00E74E29" w:rsidRDefault="00463557" w:rsidP="0035075E">
      <w:pPr>
        <w:jc w:val="both"/>
        <w:rPr>
          <w:sz w:val="20"/>
          <w:lang w:val="en-CA"/>
        </w:rPr>
      </w:pPr>
      <w:r>
        <w:rPr>
          <w:sz w:val="20"/>
        </w:rPr>
        <w:pict>
          <v:rect id="_x0000_i1035" style="width:2in;height:1pt" o:hrpct="0" o:hralign="center" o:hrstd="t" o:hrnoshade="t" o:hr="t" fillcolor="black [3213]" stroked="f"/>
        </w:pict>
      </w:r>
    </w:p>
    <w:p w:rsidR="00F322C3" w:rsidRPr="00E74E29" w:rsidRDefault="00F322C3" w:rsidP="0035075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075E" w:rsidRPr="00463557" w:rsidTr="00F322C3">
        <w:tc>
          <w:tcPr>
            <w:tcW w:w="543" w:type="pct"/>
          </w:tcPr>
          <w:p w:rsidR="0035075E" w:rsidRPr="00E74E29" w:rsidRDefault="0035075E" w:rsidP="0035075E">
            <w:pPr>
              <w:jc w:val="both"/>
              <w:rPr>
                <w:sz w:val="20"/>
              </w:rPr>
            </w:pPr>
            <w:r w:rsidRPr="00E74E29">
              <w:rPr>
                <w:rStyle w:val="SCCFileNumberChar"/>
                <w:sz w:val="20"/>
                <w:szCs w:val="20"/>
              </w:rPr>
              <w:t>39961</w:t>
            </w:r>
          </w:p>
        </w:tc>
        <w:tc>
          <w:tcPr>
            <w:tcW w:w="4457" w:type="pct"/>
            <w:gridSpan w:val="3"/>
          </w:tcPr>
          <w:p w:rsidR="0035075E" w:rsidRPr="00E74E29" w:rsidRDefault="0035075E" w:rsidP="0035075E">
            <w:pPr>
              <w:pStyle w:val="SCCLsocParty"/>
              <w:jc w:val="both"/>
              <w:rPr>
                <w:b/>
                <w:sz w:val="20"/>
                <w:szCs w:val="20"/>
              </w:rPr>
            </w:pPr>
            <w:r w:rsidRPr="00E74E29">
              <w:rPr>
                <w:b/>
                <w:sz w:val="20"/>
                <w:szCs w:val="20"/>
              </w:rPr>
              <w:t>Saïd Boukendour c. Syndicat des professeures et des professeurs de l’Université du Québec en Outaouais – CSN et Université du Québec en Outaouais</w:t>
            </w:r>
          </w:p>
          <w:p w:rsidR="0035075E" w:rsidRPr="00E74E29" w:rsidRDefault="0035075E" w:rsidP="0035075E">
            <w:pPr>
              <w:pStyle w:val="SCCLsocOtherPartySeparator"/>
              <w:rPr>
                <w:sz w:val="20"/>
                <w:szCs w:val="20"/>
              </w:rPr>
            </w:pPr>
            <w:r w:rsidRPr="00E74E29">
              <w:rPr>
                <w:sz w:val="20"/>
                <w:szCs w:val="20"/>
              </w:rPr>
              <w:t>- et -</w:t>
            </w:r>
          </w:p>
          <w:p w:rsidR="0035075E" w:rsidRPr="00E74E29" w:rsidRDefault="0035075E" w:rsidP="0035075E">
            <w:pPr>
              <w:pStyle w:val="SCCLsocParty"/>
              <w:jc w:val="both"/>
              <w:rPr>
                <w:b/>
                <w:sz w:val="20"/>
                <w:szCs w:val="20"/>
              </w:rPr>
            </w:pPr>
            <w:r w:rsidRPr="00E74E29">
              <w:rPr>
                <w:b/>
                <w:sz w:val="20"/>
                <w:szCs w:val="20"/>
              </w:rPr>
              <w:t>Procureur général du Québec</w:t>
            </w:r>
          </w:p>
          <w:p w:rsidR="0035075E" w:rsidRPr="00E74E29" w:rsidRDefault="0035075E" w:rsidP="0035075E">
            <w:pPr>
              <w:jc w:val="both"/>
              <w:rPr>
                <w:sz w:val="20"/>
                <w:lang w:val="fr-CA"/>
              </w:rPr>
            </w:pPr>
            <w:r w:rsidRPr="00E74E29">
              <w:rPr>
                <w:sz w:val="20"/>
                <w:lang w:val="fr-CA"/>
              </w:rPr>
              <w:t>(Qc) (Civile) (Autorisation)</w:t>
            </w:r>
          </w:p>
        </w:tc>
      </w:tr>
      <w:tr w:rsidR="0035075E" w:rsidRPr="00463557" w:rsidTr="00F322C3">
        <w:tc>
          <w:tcPr>
            <w:tcW w:w="5000" w:type="pct"/>
            <w:gridSpan w:val="4"/>
          </w:tcPr>
          <w:p w:rsidR="0035075E" w:rsidRPr="00E74E29" w:rsidRDefault="0035075E" w:rsidP="0035075E">
            <w:pPr>
              <w:jc w:val="both"/>
              <w:rPr>
                <w:sz w:val="20"/>
                <w:lang w:val="fr-CA"/>
              </w:rPr>
            </w:pPr>
            <w:r w:rsidRPr="00E74E29">
              <w:rPr>
                <w:sz w:val="20"/>
                <w:lang w:val="fr-CA"/>
              </w:rPr>
              <w:t xml:space="preserve">Droit du travail </w:t>
            </w:r>
            <w:r w:rsidRPr="00E74E29">
              <w:rPr>
                <w:iCs/>
                <w:color w:val="000000"/>
                <w:sz w:val="20"/>
                <w:lang w:val="fr-CA"/>
              </w:rPr>
              <w:t>— Devoir de représentation — Grief personnel — Nomination d’un arbitre — Exception au monopole de représentation syndicale — Compétence du tribunal — La demande d’autorisation d’appel soulève</w:t>
            </w:r>
            <w:r w:rsidRPr="00E74E29">
              <w:rPr>
                <w:iCs/>
                <w:color w:val="000000"/>
                <w:sz w:val="20"/>
                <w:lang w:val="fr-CA"/>
              </w:rPr>
              <w:noBreakHyphen/>
              <w:t>t</w:t>
            </w:r>
            <w:r w:rsidRPr="00E74E29">
              <w:rPr>
                <w:iCs/>
                <w:color w:val="000000"/>
                <w:sz w:val="20"/>
                <w:lang w:val="fr-CA"/>
              </w:rPr>
              <w:noBreakHyphen/>
              <w:t xml:space="preserve">elle une question d’importance pour le public? — </w:t>
            </w:r>
            <w:r w:rsidRPr="00E74E29">
              <w:rPr>
                <w:i/>
                <w:iCs/>
                <w:color w:val="000000"/>
                <w:sz w:val="20"/>
                <w:lang w:val="fr-CA"/>
              </w:rPr>
              <w:t>Code du travail</w:t>
            </w:r>
            <w:r w:rsidRPr="00E74E29">
              <w:rPr>
                <w:iCs/>
                <w:color w:val="000000"/>
                <w:sz w:val="20"/>
                <w:lang w:val="fr-CA"/>
              </w:rPr>
              <w:t>, RLRQ c. C</w:t>
            </w:r>
            <w:r w:rsidRPr="00E74E29">
              <w:rPr>
                <w:iCs/>
                <w:color w:val="000000"/>
                <w:sz w:val="20"/>
                <w:lang w:val="fr-CA"/>
              </w:rPr>
              <w:noBreakHyphen/>
              <w:t>27, art. 47.2, 47.5 et 100.</w:t>
            </w:r>
          </w:p>
        </w:tc>
      </w:tr>
      <w:tr w:rsidR="0035075E" w:rsidRPr="00463557" w:rsidTr="00F322C3">
        <w:tc>
          <w:tcPr>
            <w:tcW w:w="5000" w:type="pct"/>
            <w:gridSpan w:val="4"/>
          </w:tcPr>
          <w:p w:rsidR="0035075E" w:rsidRPr="00E74E29" w:rsidRDefault="0035075E" w:rsidP="0035075E">
            <w:pPr>
              <w:jc w:val="both"/>
              <w:rPr>
                <w:sz w:val="20"/>
                <w:lang w:val="fr-CA"/>
              </w:rPr>
            </w:pPr>
          </w:p>
        </w:tc>
      </w:tr>
      <w:tr w:rsidR="0035075E" w:rsidRPr="00463557" w:rsidTr="00F322C3">
        <w:tc>
          <w:tcPr>
            <w:tcW w:w="5000" w:type="pct"/>
            <w:gridSpan w:val="4"/>
          </w:tcPr>
          <w:p w:rsidR="0035075E" w:rsidRPr="00E74E29" w:rsidRDefault="0035075E" w:rsidP="0035075E">
            <w:pPr>
              <w:jc w:val="both"/>
              <w:rPr>
                <w:sz w:val="20"/>
                <w:lang w:val="fr-CA"/>
              </w:rPr>
            </w:pPr>
            <w:r w:rsidRPr="00E74E29">
              <w:rPr>
                <w:sz w:val="20"/>
                <w:lang w:val="fr-CA"/>
              </w:rPr>
              <w:t xml:space="preserve">En 2020, le demandeur, M. Boukendour, dépose une demande introductive d’instance visant une déclaration que son syndicat et employeur ont fait obstruction de mauvaise foi de manière discriminatoire dans l’exercice de ses droits prévus à la convention collective. Par la même demande, M. Boukendour recherche une ordonnance pour faire désigner un arbitre et pour condamner son syndicat et employeur à des dommages moraux et exemplaires. L’employeur a conclu que le grief est non fondé en fait et en droit et est hors délai, et le ministère du Travail, de l’Emploi et de la Solidarité sociale a refusé de désigner un arbitre. La Cour supérieure a conclu que le </w:t>
            </w:r>
            <w:r w:rsidRPr="00E74E29">
              <w:rPr>
                <w:i/>
                <w:sz w:val="20"/>
                <w:lang w:val="fr-CA"/>
              </w:rPr>
              <w:t>Code du travail</w:t>
            </w:r>
            <w:r w:rsidRPr="00E74E29">
              <w:rPr>
                <w:sz w:val="20"/>
                <w:lang w:val="fr-CA"/>
              </w:rPr>
              <w:t xml:space="preserve"> confère une compétence exclusive au Tribunal administratif du travail pour autoriser le ministre du Travail à nommer un arbitre s’il conclut que l’association accréditée a agi contrairement au </w:t>
            </w:r>
            <w:r w:rsidRPr="00E74E29">
              <w:rPr>
                <w:i/>
                <w:sz w:val="20"/>
                <w:lang w:val="fr-CA"/>
              </w:rPr>
              <w:t>Code</w:t>
            </w:r>
            <w:r w:rsidRPr="00E74E29">
              <w:rPr>
                <w:sz w:val="20"/>
                <w:lang w:val="fr-CA"/>
              </w:rPr>
              <w:t>. Elle a aussi déterminé qu’aucune des exceptions qui permettraient une poursuite civile devant elle n’était applicable dans les circonstances. La Cour d’appel a accueilli les requêtes en rejet d’appel de l’employeur et du syndicat, et a rejeté l’appel de M. Boukendour. Pour la Cour d’appel, M. Boukendour n’a soulevé aucune erreur qui justifierait une intervention en appel, et qu’en conséquence, l’appel n’avait aucune chance raisonnable de succès.</w:t>
            </w:r>
          </w:p>
          <w:p w:rsidR="0035075E" w:rsidRPr="00E74E29" w:rsidRDefault="0035075E" w:rsidP="0035075E">
            <w:pPr>
              <w:jc w:val="both"/>
              <w:rPr>
                <w:sz w:val="20"/>
                <w:lang w:val="fr-CA"/>
              </w:rPr>
            </w:pP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t>Le 5 mai 2021</w:t>
            </w:r>
          </w:p>
          <w:p w:rsidR="0035075E" w:rsidRPr="00E74E29" w:rsidRDefault="0035075E" w:rsidP="0035075E">
            <w:pPr>
              <w:jc w:val="both"/>
              <w:rPr>
                <w:sz w:val="20"/>
                <w:lang w:val="fr-CA"/>
              </w:rPr>
            </w:pPr>
            <w:r w:rsidRPr="00E74E29">
              <w:rPr>
                <w:sz w:val="20"/>
                <w:lang w:val="fr-CA"/>
              </w:rPr>
              <w:t>Cour supérieure du Québec</w:t>
            </w:r>
          </w:p>
          <w:p w:rsidR="0035075E" w:rsidRPr="00E74E29" w:rsidRDefault="0035075E" w:rsidP="0035075E">
            <w:pPr>
              <w:jc w:val="both"/>
              <w:rPr>
                <w:sz w:val="20"/>
              </w:rPr>
            </w:pPr>
            <w:r w:rsidRPr="00E74E29">
              <w:rPr>
                <w:sz w:val="20"/>
              </w:rPr>
              <w:t>(le juge Faullem)</w:t>
            </w:r>
          </w:p>
          <w:p w:rsidR="0035075E" w:rsidRPr="00E74E29" w:rsidRDefault="00463557" w:rsidP="0035075E">
            <w:pPr>
              <w:jc w:val="both"/>
              <w:rPr>
                <w:sz w:val="20"/>
              </w:rPr>
            </w:pPr>
            <w:hyperlink r:id="rId31" w:history="1">
              <w:r w:rsidR="0035075E" w:rsidRPr="00E74E29">
                <w:rPr>
                  <w:rStyle w:val="Hyperlink"/>
                  <w:sz w:val="20"/>
                </w:rPr>
                <w:t>2021 QCCS 1788</w:t>
              </w:r>
            </w:hyperlink>
          </w:p>
          <w:p w:rsidR="0035075E" w:rsidRPr="00E74E29" w:rsidRDefault="0035075E" w:rsidP="0035075E">
            <w:pPr>
              <w:jc w:val="both"/>
              <w:rPr>
                <w:sz w:val="20"/>
              </w:rPr>
            </w:pPr>
            <w:r w:rsidRPr="00E74E29">
              <w:rPr>
                <w:sz w:val="20"/>
              </w:rPr>
              <w:t xml:space="preserve"> </w:t>
            </w: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lang w:val="fr-CA"/>
              </w:rPr>
            </w:pPr>
            <w:r w:rsidRPr="00E74E29">
              <w:rPr>
                <w:sz w:val="20"/>
                <w:lang w:val="fr-CA"/>
              </w:rPr>
              <w:t>Demandes en exception déclinatoire accueillies; compétence exclusive pour entendre la demande de nomination d’un arbitre de grief et pour octroyer des dommages</w:t>
            </w:r>
            <w:r w:rsidRPr="00E74E29">
              <w:rPr>
                <w:sz w:val="20"/>
                <w:lang w:val="fr-CA"/>
              </w:rPr>
              <w:noBreakHyphen/>
              <w:t>intérêts à l’égard du syndicat déclarée; demande introductive d’instance rejetée</w:t>
            </w:r>
          </w:p>
          <w:p w:rsidR="0035075E" w:rsidRPr="00E74E29" w:rsidRDefault="0035075E" w:rsidP="0035075E">
            <w:pPr>
              <w:jc w:val="both"/>
              <w:rPr>
                <w:sz w:val="20"/>
                <w:lang w:val="fr-CA"/>
              </w:rPr>
            </w:pP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t>Le 16 septembre 2021</w:t>
            </w:r>
          </w:p>
          <w:p w:rsidR="0035075E" w:rsidRPr="00E74E29" w:rsidRDefault="0035075E" w:rsidP="0035075E">
            <w:pPr>
              <w:jc w:val="both"/>
              <w:rPr>
                <w:sz w:val="20"/>
                <w:lang w:val="fr-CA"/>
              </w:rPr>
            </w:pPr>
            <w:r w:rsidRPr="00E74E29">
              <w:rPr>
                <w:sz w:val="20"/>
                <w:lang w:val="fr-CA"/>
              </w:rPr>
              <w:t>Cour d’appel du Québec (Montréal)</w:t>
            </w:r>
          </w:p>
          <w:p w:rsidR="0035075E" w:rsidRPr="00E74E29" w:rsidRDefault="0035075E" w:rsidP="0035075E">
            <w:pPr>
              <w:jc w:val="both"/>
              <w:rPr>
                <w:sz w:val="20"/>
                <w:lang w:val="fr-CA"/>
              </w:rPr>
            </w:pPr>
            <w:r w:rsidRPr="00E74E29">
              <w:rPr>
                <w:sz w:val="20"/>
                <w:lang w:val="fr-CA"/>
              </w:rPr>
              <w:t>(les juges Vauclair, Healy et Hamilton)</w:t>
            </w:r>
          </w:p>
          <w:p w:rsidR="0035075E" w:rsidRPr="00E74E29" w:rsidRDefault="0035075E" w:rsidP="0035075E">
            <w:pPr>
              <w:jc w:val="both"/>
              <w:rPr>
                <w:sz w:val="20"/>
              </w:rPr>
            </w:pPr>
            <w:r w:rsidRPr="00E74E29">
              <w:rPr>
                <w:sz w:val="20"/>
              </w:rPr>
              <w:t>No. 500</w:t>
            </w:r>
            <w:r w:rsidRPr="00E74E29">
              <w:rPr>
                <w:sz w:val="20"/>
              </w:rPr>
              <w:noBreakHyphen/>
              <w:t>09</w:t>
            </w:r>
            <w:r w:rsidRPr="00E74E29">
              <w:rPr>
                <w:sz w:val="20"/>
              </w:rPr>
              <w:noBreakHyphen/>
              <w:t>029551</w:t>
            </w:r>
            <w:r w:rsidRPr="00E74E29">
              <w:rPr>
                <w:sz w:val="20"/>
              </w:rPr>
              <w:noBreakHyphen/>
              <w:t>215</w:t>
            </w:r>
          </w:p>
          <w:p w:rsidR="0035075E" w:rsidRPr="00E74E29" w:rsidRDefault="00463557" w:rsidP="0035075E">
            <w:pPr>
              <w:jc w:val="both"/>
              <w:rPr>
                <w:sz w:val="20"/>
              </w:rPr>
            </w:pPr>
            <w:hyperlink r:id="rId32" w:anchor="document" w:history="1">
              <w:r w:rsidR="0035075E" w:rsidRPr="00E74E29">
                <w:rPr>
                  <w:rStyle w:val="Hyperlink"/>
                  <w:sz w:val="20"/>
                </w:rPr>
                <w:t>2021 QCCA 1381</w:t>
              </w:r>
            </w:hyperlink>
            <w:r w:rsidR="0035075E" w:rsidRPr="00E74E29">
              <w:rPr>
                <w:sz w:val="20"/>
              </w:rPr>
              <w:t xml:space="preserve"> </w:t>
            </w:r>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lang w:val="fr-CA"/>
              </w:rPr>
            </w:pPr>
            <w:r w:rsidRPr="00E74E29">
              <w:rPr>
                <w:sz w:val="20"/>
                <w:lang w:val="fr-CA"/>
              </w:rPr>
              <w:t>Requêtes en rejet d’appel accueillies; appel rejeté</w:t>
            </w:r>
          </w:p>
          <w:p w:rsidR="0035075E" w:rsidRPr="00E74E29" w:rsidRDefault="0035075E" w:rsidP="0035075E">
            <w:pPr>
              <w:jc w:val="both"/>
              <w:rPr>
                <w:sz w:val="20"/>
                <w:lang w:val="fr-CA"/>
              </w:rPr>
            </w:pPr>
          </w:p>
        </w:tc>
      </w:tr>
      <w:tr w:rsidR="0035075E" w:rsidRPr="00E74E29" w:rsidTr="00F322C3">
        <w:tc>
          <w:tcPr>
            <w:tcW w:w="2427" w:type="pct"/>
            <w:gridSpan w:val="2"/>
          </w:tcPr>
          <w:p w:rsidR="0035075E" w:rsidRPr="00E74E29" w:rsidRDefault="0035075E" w:rsidP="0035075E">
            <w:pPr>
              <w:jc w:val="both"/>
              <w:rPr>
                <w:sz w:val="20"/>
                <w:lang w:val="fr-CA"/>
              </w:rPr>
            </w:pPr>
            <w:r w:rsidRPr="00E74E29">
              <w:rPr>
                <w:sz w:val="20"/>
                <w:lang w:val="fr-CA"/>
              </w:rPr>
              <w:t>Le 12 novembre 2021</w:t>
            </w:r>
          </w:p>
          <w:p w:rsidR="0035075E" w:rsidRPr="00E74E29" w:rsidRDefault="0035075E" w:rsidP="00F322C3">
            <w:pPr>
              <w:jc w:val="both"/>
              <w:rPr>
                <w:sz w:val="20"/>
                <w:lang w:val="fr-CA"/>
              </w:rPr>
            </w:pPr>
            <w:r w:rsidRPr="00E74E29">
              <w:rPr>
                <w:sz w:val="20"/>
                <w:lang w:val="fr-CA"/>
              </w:rPr>
              <w:t>Cour suprême du Canada</w:t>
            </w:r>
          </w:p>
        </w:tc>
        <w:tc>
          <w:tcPr>
            <w:tcW w:w="243" w:type="pct"/>
          </w:tcPr>
          <w:p w:rsidR="0035075E" w:rsidRPr="00E74E29" w:rsidRDefault="0035075E" w:rsidP="0035075E">
            <w:pPr>
              <w:jc w:val="both"/>
              <w:rPr>
                <w:sz w:val="20"/>
                <w:lang w:val="fr-CA"/>
              </w:rPr>
            </w:pPr>
          </w:p>
        </w:tc>
        <w:tc>
          <w:tcPr>
            <w:tcW w:w="2330" w:type="pct"/>
          </w:tcPr>
          <w:p w:rsidR="0035075E" w:rsidRPr="00E74E29" w:rsidRDefault="0035075E" w:rsidP="0035075E">
            <w:pPr>
              <w:jc w:val="both"/>
              <w:rPr>
                <w:sz w:val="20"/>
              </w:rPr>
            </w:pPr>
            <w:r w:rsidRPr="00E74E29">
              <w:rPr>
                <w:sz w:val="20"/>
              </w:rPr>
              <w:t>Demande d’autorisation d’appel déposée</w:t>
            </w:r>
          </w:p>
          <w:p w:rsidR="0035075E" w:rsidRPr="00E74E29" w:rsidRDefault="0035075E" w:rsidP="0035075E">
            <w:pPr>
              <w:jc w:val="both"/>
              <w:rPr>
                <w:sz w:val="20"/>
              </w:rPr>
            </w:pPr>
          </w:p>
        </w:tc>
      </w:tr>
    </w:tbl>
    <w:p w:rsidR="0035075E" w:rsidRPr="00E74E29" w:rsidRDefault="0035075E" w:rsidP="0035075E">
      <w:pPr>
        <w:jc w:val="both"/>
        <w:rPr>
          <w:sz w:val="20"/>
        </w:rPr>
      </w:pPr>
    </w:p>
    <w:p w:rsidR="00F322C3" w:rsidRPr="00E74E29" w:rsidRDefault="00463557" w:rsidP="0035075E">
      <w:pPr>
        <w:jc w:val="both"/>
        <w:rPr>
          <w:sz w:val="20"/>
        </w:rPr>
      </w:pPr>
      <w:r>
        <w:rPr>
          <w:sz w:val="20"/>
        </w:rPr>
        <w:pict>
          <v:rect id="_x0000_i1036" style="width:2in;height:1pt" o:hrpct="0" o:hralign="center" o:hrstd="t" o:hrnoshade="t" o:hr="t" fillcolor="black [3213]" stroked="f"/>
        </w:pict>
      </w:r>
    </w:p>
    <w:p w:rsidR="00DA2AB7" w:rsidRPr="00E74E29" w:rsidRDefault="00DA2AB7" w:rsidP="0035075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075E" w:rsidRPr="00E74E29" w:rsidTr="00F322C3">
        <w:tc>
          <w:tcPr>
            <w:tcW w:w="543" w:type="pct"/>
          </w:tcPr>
          <w:p w:rsidR="0035075E" w:rsidRPr="00E74E29" w:rsidRDefault="0035075E" w:rsidP="0035075E">
            <w:pPr>
              <w:jc w:val="both"/>
              <w:rPr>
                <w:sz w:val="20"/>
                <w:lang w:val="en-CA"/>
              </w:rPr>
            </w:pPr>
            <w:r w:rsidRPr="00E74E29">
              <w:rPr>
                <w:rStyle w:val="SCCFileNumberChar"/>
                <w:sz w:val="20"/>
                <w:szCs w:val="20"/>
              </w:rPr>
              <w:lastRenderedPageBreak/>
              <w:t>39988</w:t>
            </w:r>
          </w:p>
        </w:tc>
        <w:tc>
          <w:tcPr>
            <w:tcW w:w="4457" w:type="pct"/>
            <w:gridSpan w:val="3"/>
          </w:tcPr>
          <w:p w:rsidR="0035075E" w:rsidRPr="00E74E29" w:rsidRDefault="0035075E" w:rsidP="0035075E">
            <w:pPr>
              <w:pStyle w:val="SCCLsocParty"/>
              <w:jc w:val="both"/>
              <w:rPr>
                <w:b/>
                <w:sz w:val="20"/>
                <w:szCs w:val="20"/>
                <w:lang w:val="en-CA"/>
              </w:rPr>
            </w:pPr>
            <w:r w:rsidRPr="00E74E29">
              <w:rPr>
                <w:b/>
                <w:sz w:val="20"/>
                <w:szCs w:val="20"/>
                <w:lang w:val="en-CA"/>
              </w:rPr>
              <w:t>Yohan Murray v. Usiroyal inc. and Jacques Poulin</w:t>
            </w:r>
          </w:p>
          <w:p w:rsidR="0035075E" w:rsidRPr="00E74E29" w:rsidRDefault="0035075E" w:rsidP="0035075E">
            <w:pPr>
              <w:pStyle w:val="SCCLsocOtherPartySeparator"/>
              <w:rPr>
                <w:sz w:val="20"/>
                <w:szCs w:val="20"/>
                <w:lang w:val="en-CA"/>
              </w:rPr>
            </w:pPr>
            <w:r w:rsidRPr="00E74E29">
              <w:rPr>
                <w:sz w:val="20"/>
                <w:szCs w:val="20"/>
                <w:lang w:val="en-CA"/>
              </w:rPr>
              <w:t>- and -</w:t>
            </w:r>
          </w:p>
          <w:p w:rsidR="0035075E" w:rsidRPr="00E74E29" w:rsidRDefault="0035075E" w:rsidP="0035075E">
            <w:pPr>
              <w:pStyle w:val="SCCLsocParty"/>
              <w:jc w:val="both"/>
              <w:rPr>
                <w:b/>
                <w:sz w:val="20"/>
                <w:szCs w:val="20"/>
                <w:lang w:val="en-CA"/>
              </w:rPr>
            </w:pPr>
            <w:r w:rsidRPr="00E74E29">
              <w:rPr>
                <w:b/>
                <w:sz w:val="20"/>
                <w:szCs w:val="20"/>
                <w:lang w:val="en-CA"/>
              </w:rPr>
              <w:t>Denis Goulet, Guy Dufresne and Chantal Gaudreault</w:t>
            </w:r>
          </w:p>
          <w:p w:rsidR="0035075E" w:rsidRPr="00E74E29" w:rsidRDefault="0035075E" w:rsidP="0035075E">
            <w:pPr>
              <w:jc w:val="both"/>
              <w:rPr>
                <w:sz w:val="20"/>
                <w:lang w:val="en-CA"/>
              </w:rPr>
            </w:pPr>
            <w:r w:rsidRPr="00E74E29">
              <w:rPr>
                <w:sz w:val="20"/>
                <w:lang w:val="en-CA"/>
              </w:rPr>
              <w:t>(Que.) (Civil) (By Leave)</w:t>
            </w:r>
          </w:p>
        </w:tc>
      </w:tr>
      <w:tr w:rsidR="0035075E" w:rsidRPr="00E74E29" w:rsidTr="00F322C3">
        <w:tc>
          <w:tcPr>
            <w:tcW w:w="5000" w:type="pct"/>
            <w:gridSpan w:val="4"/>
          </w:tcPr>
          <w:p w:rsidR="0035075E" w:rsidRPr="00E74E29" w:rsidRDefault="0035075E" w:rsidP="0035075E">
            <w:pPr>
              <w:jc w:val="both"/>
              <w:rPr>
                <w:sz w:val="20"/>
                <w:lang w:val="en-CA"/>
              </w:rPr>
            </w:pPr>
            <w:r w:rsidRPr="00E74E29">
              <w:rPr>
                <w:sz w:val="20"/>
                <w:lang w:val="en-CA"/>
              </w:rPr>
              <w:t xml:space="preserve">Civil liability — Liability for personal act or omission — Loan of money — Fraudulent transaction — Intermediary — Guideposts structuring power of courts, in matters of extracontractual civil liability in Quebec, to derive rules of conduct based on circumstances of each case — Whether Yohan Murray departed from rule of conduct within meaning of art. 1457 C.C.Q. — Whether Mr. Murray’s conduct could be cause of Usiroyal inc.’s contractual misadventures — Whether courts below should have ruled on abuse of procedure by Usiroyal inc. and Jacques Poulin — </w:t>
            </w:r>
            <w:r w:rsidRPr="00E74E29">
              <w:rPr>
                <w:i/>
                <w:sz w:val="20"/>
                <w:lang w:val="en-CA"/>
              </w:rPr>
              <w:t>Civil Code of Québec</w:t>
            </w:r>
            <w:r w:rsidRPr="00E74E29">
              <w:rPr>
                <w:sz w:val="20"/>
                <w:lang w:val="en-CA"/>
              </w:rPr>
              <w:t>, art. 1457.</w:t>
            </w:r>
          </w:p>
        </w:tc>
      </w:tr>
      <w:tr w:rsidR="0035075E" w:rsidRPr="00E74E29" w:rsidTr="00F322C3">
        <w:tc>
          <w:tcPr>
            <w:tcW w:w="5000" w:type="pct"/>
            <w:gridSpan w:val="4"/>
          </w:tcPr>
          <w:p w:rsidR="0035075E" w:rsidRPr="00E74E29" w:rsidRDefault="0035075E" w:rsidP="0035075E">
            <w:pPr>
              <w:jc w:val="both"/>
              <w:rPr>
                <w:sz w:val="20"/>
                <w:lang w:val="en-CA"/>
              </w:rPr>
            </w:pPr>
          </w:p>
        </w:tc>
      </w:tr>
      <w:tr w:rsidR="0035075E" w:rsidRPr="00E74E29" w:rsidTr="00F322C3">
        <w:tc>
          <w:tcPr>
            <w:tcW w:w="5000" w:type="pct"/>
            <w:gridSpan w:val="4"/>
          </w:tcPr>
          <w:p w:rsidR="0035075E" w:rsidRPr="00E74E29" w:rsidRDefault="0035075E" w:rsidP="0035075E">
            <w:pPr>
              <w:jc w:val="both"/>
              <w:rPr>
                <w:sz w:val="20"/>
                <w:lang w:val="en-CA"/>
              </w:rPr>
            </w:pPr>
            <w:r w:rsidRPr="00E74E29">
              <w:rPr>
                <w:sz w:val="20"/>
                <w:lang w:val="en-CA"/>
              </w:rPr>
              <w:t>The respondent Jacques Poulin is the sole shareholder of the respondent Usiroyal inc. In 2016, the applicant, Yohan Murray, introduced Denis Goulet, Guy Dufresne and Chantal Gaudreault to Mr. Poulin as potential purchasers of a company related to Usiroyal. Reassured by the advice of Mr. Murray, who considered Mr. Goulet and Mr. Dufresne to be trustworthy, Mr. Poulin signed, on behalf of Usiroyal, a loan agreement between Usiroyal and 9608478 Canada inc. (Alfi Capital), a company registered in 2016 whose shareholders were Mr. Goulet, Mr. Dufresne and Ms. Gaudreault. The agreement provided that the $250,000 being loaned was to be used for the purchase of a financial instrument to be issued by a bank. The transaction was protected by, among other things, the personal suretyship of Mr. Goulet and Mr. Dufresne and a letter of suretyship provided by Victor Gatto, the president of GDG Venture Capital LLC. It turned out that Mr. Poulin and Usiroyal were the victims of a scam and were never to see the loaned money again. Usiroyal therefore filed a judicial application seeking a solidary award for the sum of $250,000. Mr. Murray filed a cross</w:t>
            </w:r>
            <w:r w:rsidRPr="00E74E29">
              <w:rPr>
                <w:sz w:val="20"/>
                <w:lang w:val="en-CA"/>
              </w:rPr>
              <w:noBreakHyphen/>
              <w:t>application seeking reimbursement of his extrajudicial fees, as he considered the action abusive.</w:t>
            </w:r>
          </w:p>
          <w:p w:rsidR="0035075E" w:rsidRPr="00E74E29" w:rsidRDefault="0035075E" w:rsidP="0035075E">
            <w:pPr>
              <w:jc w:val="both"/>
              <w:rPr>
                <w:sz w:val="20"/>
                <w:lang w:val="en-CA"/>
              </w:rPr>
            </w:pPr>
          </w:p>
          <w:p w:rsidR="0035075E" w:rsidRPr="00E74E29" w:rsidRDefault="0035075E" w:rsidP="0035075E">
            <w:pPr>
              <w:jc w:val="both"/>
              <w:rPr>
                <w:sz w:val="20"/>
                <w:lang w:val="en-CA"/>
              </w:rPr>
            </w:pPr>
            <w:r w:rsidRPr="00E74E29">
              <w:rPr>
                <w:sz w:val="20"/>
                <w:lang w:val="en-CA"/>
              </w:rPr>
              <w:t>The Superior Court allowed the amended originating application and ordered 9608478 Canada inc., Mr. Goulet, Mr. Dufresne, Ms. Gaudreault, GDG Venture Capital LLC and Mr. Murray solidarily to pay  $250,000 to Usiroyal inc. It dismissed Mr. Murray’s cross</w:t>
            </w:r>
            <w:r w:rsidRPr="00E74E29">
              <w:rPr>
                <w:sz w:val="20"/>
                <w:lang w:val="en-CA"/>
              </w:rPr>
              <w:noBreakHyphen/>
              <w:t xml:space="preserve">application, finding that his participation in the fraudulent scheme had been definite and intentional and that the transaction would not have occurred without his involvement. The Court of Appeal dismissed Mr. Murray’s appeal. No palpable and overriding error had been shown in the judge’s factual inferences and findings with regard to the extracontractual fault committed by Mr. Murray. </w:t>
            </w:r>
          </w:p>
          <w:p w:rsidR="0035075E" w:rsidRPr="00E74E29" w:rsidRDefault="0035075E" w:rsidP="0035075E">
            <w:pPr>
              <w:jc w:val="both"/>
              <w:rPr>
                <w:sz w:val="20"/>
                <w:lang w:val="en-CA"/>
              </w:rPr>
            </w:pPr>
          </w:p>
        </w:tc>
      </w:tr>
      <w:tr w:rsidR="0035075E" w:rsidRPr="00E74E29" w:rsidTr="00F322C3">
        <w:tc>
          <w:tcPr>
            <w:tcW w:w="2427" w:type="pct"/>
            <w:gridSpan w:val="2"/>
          </w:tcPr>
          <w:p w:rsidR="0035075E" w:rsidRPr="00E74E29" w:rsidRDefault="0035075E" w:rsidP="0035075E">
            <w:pPr>
              <w:jc w:val="both"/>
              <w:rPr>
                <w:sz w:val="20"/>
                <w:lang w:val="en-CA"/>
              </w:rPr>
            </w:pPr>
            <w:r w:rsidRPr="00E74E29">
              <w:rPr>
                <w:sz w:val="20"/>
                <w:lang w:val="en-CA"/>
              </w:rPr>
              <w:t>March 3, 2020</w:t>
            </w:r>
          </w:p>
          <w:p w:rsidR="0035075E" w:rsidRPr="00E74E29" w:rsidRDefault="0035075E" w:rsidP="0035075E">
            <w:pPr>
              <w:jc w:val="both"/>
              <w:rPr>
                <w:sz w:val="20"/>
                <w:lang w:val="en-CA"/>
              </w:rPr>
            </w:pPr>
            <w:r w:rsidRPr="00E74E29">
              <w:rPr>
                <w:sz w:val="20"/>
                <w:lang w:val="en-CA"/>
              </w:rPr>
              <w:t>Quebec Superior Court</w:t>
            </w:r>
          </w:p>
          <w:p w:rsidR="0035075E" w:rsidRPr="00E74E29" w:rsidRDefault="0035075E" w:rsidP="0035075E">
            <w:pPr>
              <w:jc w:val="both"/>
              <w:rPr>
                <w:sz w:val="20"/>
                <w:lang w:val="en-CA"/>
              </w:rPr>
            </w:pPr>
            <w:r w:rsidRPr="00E74E29">
              <w:rPr>
                <w:sz w:val="20"/>
                <w:lang w:val="en-CA"/>
              </w:rPr>
              <w:t>(Lacroix J.)</w:t>
            </w:r>
          </w:p>
          <w:p w:rsidR="0035075E" w:rsidRPr="00E74E29" w:rsidRDefault="00463557" w:rsidP="0035075E">
            <w:pPr>
              <w:jc w:val="both"/>
              <w:rPr>
                <w:sz w:val="20"/>
                <w:lang w:val="en-CA"/>
              </w:rPr>
            </w:pPr>
            <w:hyperlink r:id="rId33" w:history="1">
              <w:r w:rsidR="0035075E" w:rsidRPr="00E74E29">
                <w:rPr>
                  <w:rStyle w:val="Hyperlink"/>
                  <w:sz w:val="20"/>
                  <w:lang w:val="en-CA"/>
                </w:rPr>
                <w:t>2020 QCCS 3613</w:t>
              </w:r>
            </w:hyperlink>
          </w:p>
          <w:p w:rsidR="0035075E" w:rsidRPr="00E74E29" w:rsidRDefault="0035075E" w:rsidP="0035075E">
            <w:pPr>
              <w:jc w:val="both"/>
              <w:rPr>
                <w:sz w:val="20"/>
                <w:lang w:val="en-CA"/>
              </w:rPr>
            </w:pPr>
          </w:p>
        </w:tc>
        <w:tc>
          <w:tcPr>
            <w:tcW w:w="243" w:type="pct"/>
          </w:tcPr>
          <w:p w:rsidR="0035075E" w:rsidRPr="00E74E29" w:rsidRDefault="0035075E" w:rsidP="0035075E">
            <w:pPr>
              <w:jc w:val="both"/>
              <w:rPr>
                <w:sz w:val="20"/>
                <w:lang w:val="en-CA"/>
              </w:rPr>
            </w:pPr>
          </w:p>
        </w:tc>
        <w:tc>
          <w:tcPr>
            <w:tcW w:w="2330" w:type="pct"/>
          </w:tcPr>
          <w:p w:rsidR="0035075E" w:rsidRPr="00E74E29" w:rsidRDefault="0035075E" w:rsidP="0035075E">
            <w:pPr>
              <w:jc w:val="both"/>
              <w:rPr>
                <w:sz w:val="20"/>
                <w:lang w:val="en-CA"/>
              </w:rPr>
            </w:pPr>
            <w:r w:rsidRPr="00E74E29">
              <w:rPr>
                <w:sz w:val="20"/>
                <w:lang w:val="en-CA"/>
              </w:rPr>
              <w:t>Amended originating application of Usiroyal inc. allowed; 9608478 Canada inc. (Alfi Capital), Denis Goulet, Guy Dufresne, Chantal Gaudreault, GDG Venture Capital LLC and Yohan Murray ordered solidarily to pay $250,000 to Usiroyal inc.; Yohan Murray’s cross</w:t>
            </w:r>
            <w:r w:rsidRPr="00E74E29">
              <w:rPr>
                <w:sz w:val="20"/>
                <w:lang w:val="en-CA"/>
              </w:rPr>
              <w:noBreakHyphen/>
              <w:t>application dismissed</w:t>
            </w:r>
          </w:p>
          <w:p w:rsidR="0035075E" w:rsidRPr="00E74E29" w:rsidRDefault="0035075E" w:rsidP="0035075E">
            <w:pPr>
              <w:jc w:val="both"/>
              <w:rPr>
                <w:sz w:val="20"/>
                <w:lang w:val="en-CA"/>
              </w:rPr>
            </w:pPr>
          </w:p>
        </w:tc>
      </w:tr>
      <w:tr w:rsidR="0035075E" w:rsidRPr="00E74E29" w:rsidTr="00F322C3">
        <w:tc>
          <w:tcPr>
            <w:tcW w:w="2427" w:type="pct"/>
            <w:gridSpan w:val="2"/>
          </w:tcPr>
          <w:p w:rsidR="0035075E" w:rsidRPr="00E74E29" w:rsidRDefault="0035075E" w:rsidP="0035075E">
            <w:pPr>
              <w:jc w:val="both"/>
              <w:rPr>
                <w:sz w:val="20"/>
                <w:lang w:val="en-CA"/>
              </w:rPr>
            </w:pPr>
            <w:r w:rsidRPr="00E74E29">
              <w:rPr>
                <w:sz w:val="20"/>
                <w:lang w:val="en-CA"/>
              </w:rPr>
              <w:t>October 29, 2021</w:t>
            </w:r>
          </w:p>
          <w:p w:rsidR="0035075E" w:rsidRPr="00E74E29" w:rsidRDefault="0035075E" w:rsidP="0035075E">
            <w:pPr>
              <w:jc w:val="both"/>
              <w:rPr>
                <w:sz w:val="20"/>
                <w:lang w:val="en-CA"/>
              </w:rPr>
            </w:pPr>
            <w:r w:rsidRPr="00E74E29">
              <w:rPr>
                <w:sz w:val="20"/>
                <w:lang w:val="en-CA"/>
              </w:rPr>
              <w:t>Quebec Court of Appeal (Québec)</w:t>
            </w:r>
          </w:p>
          <w:p w:rsidR="0035075E" w:rsidRPr="00E74E29" w:rsidRDefault="0035075E" w:rsidP="0035075E">
            <w:pPr>
              <w:jc w:val="both"/>
              <w:rPr>
                <w:sz w:val="20"/>
                <w:lang w:val="en-CA"/>
              </w:rPr>
            </w:pPr>
            <w:r w:rsidRPr="00E74E29">
              <w:rPr>
                <w:sz w:val="20"/>
                <w:lang w:val="en-CA"/>
              </w:rPr>
              <w:t>(Doyon, Rancourt and Beaupré JJ.A.)</w:t>
            </w:r>
          </w:p>
          <w:p w:rsidR="0035075E" w:rsidRPr="00E74E29" w:rsidRDefault="00463557" w:rsidP="0035075E">
            <w:pPr>
              <w:jc w:val="both"/>
              <w:rPr>
                <w:sz w:val="20"/>
                <w:lang w:val="en-CA"/>
              </w:rPr>
            </w:pPr>
            <w:hyperlink r:id="rId34" w:history="1">
              <w:r w:rsidR="0035075E" w:rsidRPr="00E74E29">
                <w:rPr>
                  <w:rStyle w:val="Hyperlink"/>
                  <w:sz w:val="20"/>
                  <w:lang w:val="en-CA"/>
                </w:rPr>
                <w:t>2021 QCCA 1620</w:t>
              </w:r>
            </w:hyperlink>
            <w:r w:rsidR="0035075E" w:rsidRPr="00E74E29">
              <w:rPr>
                <w:sz w:val="20"/>
                <w:lang w:val="en-CA"/>
              </w:rPr>
              <w:t xml:space="preserve"> (200</w:t>
            </w:r>
            <w:r w:rsidR="0035075E" w:rsidRPr="00E74E29">
              <w:rPr>
                <w:sz w:val="20"/>
                <w:lang w:val="en-CA"/>
              </w:rPr>
              <w:noBreakHyphen/>
              <w:t>09</w:t>
            </w:r>
            <w:r w:rsidR="0035075E" w:rsidRPr="00E74E29">
              <w:rPr>
                <w:sz w:val="20"/>
                <w:lang w:val="en-CA"/>
              </w:rPr>
              <w:noBreakHyphen/>
              <w:t>010173</w:t>
            </w:r>
            <w:r w:rsidR="0035075E" w:rsidRPr="00E74E29">
              <w:rPr>
                <w:sz w:val="20"/>
                <w:lang w:val="en-CA"/>
              </w:rPr>
              <w:noBreakHyphen/>
              <w:t>208)</w:t>
            </w:r>
          </w:p>
          <w:p w:rsidR="0035075E" w:rsidRPr="00E74E29" w:rsidRDefault="0035075E" w:rsidP="0035075E">
            <w:pPr>
              <w:jc w:val="both"/>
              <w:rPr>
                <w:sz w:val="20"/>
                <w:lang w:val="en-CA"/>
              </w:rPr>
            </w:pPr>
          </w:p>
        </w:tc>
        <w:tc>
          <w:tcPr>
            <w:tcW w:w="243" w:type="pct"/>
          </w:tcPr>
          <w:p w:rsidR="0035075E" w:rsidRPr="00E74E29" w:rsidRDefault="0035075E" w:rsidP="0035075E">
            <w:pPr>
              <w:jc w:val="both"/>
              <w:rPr>
                <w:sz w:val="20"/>
                <w:lang w:val="en-CA"/>
              </w:rPr>
            </w:pPr>
          </w:p>
        </w:tc>
        <w:tc>
          <w:tcPr>
            <w:tcW w:w="2330" w:type="pct"/>
          </w:tcPr>
          <w:p w:rsidR="0035075E" w:rsidRPr="00E74E29" w:rsidRDefault="0035075E" w:rsidP="0035075E">
            <w:pPr>
              <w:jc w:val="both"/>
              <w:rPr>
                <w:sz w:val="20"/>
                <w:lang w:val="en-CA"/>
              </w:rPr>
            </w:pPr>
            <w:r w:rsidRPr="00E74E29">
              <w:rPr>
                <w:sz w:val="20"/>
                <w:lang w:val="en-CA"/>
              </w:rPr>
              <w:t>Appeal dismissed</w:t>
            </w:r>
          </w:p>
          <w:p w:rsidR="0035075E" w:rsidRPr="00E74E29" w:rsidRDefault="0035075E" w:rsidP="0035075E">
            <w:pPr>
              <w:jc w:val="both"/>
              <w:rPr>
                <w:sz w:val="20"/>
                <w:lang w:val="en-CA"/>
              </w:rPr>
            </w:pPr>
          </w:p>
        </w:tc>
      </w:tr>
      <w:tr w:rsidR="0035075E" w:rsidRPr="00E74E29" w:rsidTr="00F322C3">
        <w:tc>
          <w:tcPr>
            <w:tcW w:w="2427" w:type="pct"/>
            <w:gridSpan w:val="2"/>
          </w:tcPr>
          <w:p w:rsidR="0035075E" w:rsidRPr="00E74E29" w:rsidRDefault="0035075E" w:rsidP="0035075E">
            <w:pPr>
              <w:jc w:val="both"/>
              <w:rPr>
                <w:sz w:val="20"/>
                <w:lang w:val="en-CA"/>
              </w:rPr>
            </w:pPr>
            <w:r w:rsidRPr="00E74E29">
              <w:rPr>
                <w:sz w:val="20"/>
                <w:lang w:val="en-CA"/>
              </w:rPr>
              <w:t>December 23, 2021</w:t>
            </w:r>
          </w:p>
          <w:p w:rsidR="0035075E" w:rsidRPr="00E74E29" w:rsidRDefault="0035075E" w:rsidP="0035075E">
            <w:pPr>
              <w:jc w:val="both"/>
              <w:rPr>
                <w:sz w:val="20"/>
                <w:lang w:val="en-CA"/>
              </w:rPr>
            </w:pPr>
            <w:r w:rsidRPr="00E74E29">
              <w:rPr>
                <w:sz w:val="20"/>
                <w:lang w:val="en-CA"/>
              </w:rPr>
              <w:t>Supreme Court of Canada</w:t>
            </w:r>
          </w:p>
        </w:tc>
        <w:tc>
          <w:tcPr>
            <w:tcW w:w="243" w:type="pct"/>
          </w:tcPr>
          <w:p w:rsidR="0035075E" w:rsidRPr="00E74E29" w:rsidRDefault="0035075E" w:rsidP="0035075E">
            <w:pPr>
              <w:jc w:val="both"/>
              <w:rPr>
                <w:sz w:val="20"/>
                <w:lang w:val="en-CA"/>
              </w:rPr>
            </w:pPr>
          </w:p>
        </w:tc>
        <w:tc>
          <w:tcPr>
            <w:tcW w:w="2330" w:type="pct"/>
          </w:tcPr>
          <w:p w:rsidR="0035075E" w:rsidRPr="00E74E29" w:rsidRDefault="0035075E" w:rsidP="0035075E">
            <w:pPr>
              <w:jc w:val="both"/>
              <w:rPr>
                <w:sz w:val="20"/>
                <w:lang w:val="en-CA"/>
              </w:rPr>
            </w:pPr>
            <w:r w:rsidRPr="00E74E29">
              <w:rPr>
                <w:sz w:val="20"/>
                <w:lang w:val="en-CA"/>
              </w:rPr>
              <w:t>Application for leave to appeal filed</w:t>
            </w:r>
          </w:p>
          <w:p w:rsidR="0035075E" w:rsidRPr="00E74E29" w:rsidRDefault="0035075E" w:rsidP="0035075E">
            <w:pPr>
              <w:jc w:val="both"/>
              <w:rPr>
                <w:sz w:val="20"/>
                <w:lang w:val="en-CA"/>
              </w:rPr>
            </w:pPr>
          </w:p>
        </w:tc>
      </w:tr>
    </w:tbl>
    <w:p w:rsidR="0035075E" w:rsidRPr="00E74E29" w:rsidRDefault="0035075E" w:rsidP="0035075E">
      <w:pPr>
        <w:jc w:val="both"/>
        <w:rPr>
          <w:sz w:val="20"/>
          <w:lang w:val="en-CA"/>
        </w:rPr>
      </w:pPr>
    </w:p>
    <w:p w:rsidR="00F322C3" w:rsidRPr="00E74E29" w:rsidRDefault="00463557" w:rsidP="0035075E">
      <w:pPr>
        <w:jc w:val="both"/>
        <w:rPr>
          <w:sz w:val="20"/>
          <w:lang w:val="en-CA"/>
        </w:rPr>
      </w:pPr>
      <w:r>
        <w:rPr>
          <w:sz w:val="20"/>
        </w:rPr>
        <w:pict>
          <v:rect id="_x0000_i1037" style="width:2in;height:1pt" o:hrpct="0" o:hralign="center" o:hrstd="t" o:hrnoshade="t" o:hr="t" fillcolor="black [3213]" stroked="f"/>
        </w:pict>
      </w:r>
    </w:p>
    <w:p w:rsidR="00F322C3" w:rsidRPr="00E74E29" w:rsidRDefault="00F322C3" w:rsidP="0035075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075E" w:rsidRPr="00E74E29" w:rsidTr="00F322C3">
        <w:tc>
          <w:tcPr>
            <w:tcW w:w="543" w:type="pct"/>
          </w:tcPr>
          <w:p w:rsidR="0035075E" w:rsidRPr="00E74E29" w:rsidRDefault="0035075E" w:rsidP="0035075E">
            <w:pPr>
              <w:jc w:val="both"/>
              <w:rPr>
                <w:sz w:val="20"/>
              </w:rPr>
            </w:pPr>
            <w:r w:rsidRPr="00E74E29">
              <w:rPr>
                <w:rStyle w:val="SCCFileNumberChar"/>
                <w:sz w:val="20"/>
                <w:szCs w:val="20"/>
              </w:rPr>
              <w:t>39988</w:t>
            </w:r>
          </w:p>
        </w:tc>
        <w:tc>
          <w:tcPr>
            <w:tcW w:w="4457" w:type="pct"/>
            <w:gridSpan w:val="3"/>
          </w:tcPr>
          <w:p w:rsidR="0035075E" w:rsidRPr="00E74E29" w:rsidRDefault="0035075E" w:rsidP="0035075E">
            <w:pPr>
              <w:pStyle w:val="SCCLsocParty"/>
              <w:jc w:val="both"/>
              <w:rPr>
                <w:b/>
                <w:sz w:val="20"/>
                <w:szCs w:val="20"/>
              </w:rPr>
            </w:pPr>
            <w:r w:rsidRPr="00E74E29">
              <w:rPr>
                <w:b/>
                <w:sz w:val="20"/>
                <w:szCs w:val="20"/>
              </w:rPr>
              <w:t>Yohan Murray c. Usiroyal inc. et Jacques Poulin</w:t>
            </w:r>
          </w:p>
          <w:p w:rsidR="0035075E" w:rsidRPr="00E74E29" w:rsidRDefault="0035075E" w:rsidP="0035075E">
            <w:pPr>
              <w:pStyle w:val="SCCLsocOtherPartySeparator"/>
              <w:rPr>
                <w:sz w:val="20"/>
                <w:szCs w:val="20"/>
              </w:rPr>
            </w:pPr>
            <w:r w:rsidRPr="00E74E29">
              <w:rPr>
                <w:sz w:val="20"/>
                <w:szCs w:val="20"/>
              </w:rPr>
              <w:t>- et -</w:t>
            </w:r>
          </w:p>
          <w:p w:rsidR="0035075E" w:rsidRPr="00E74E29" w:rsidRDefault="0035075E" w:rsidP="0035075E">
            <w:pPr>
              <w:pStyle w:val="SCCLsocParty"/>
              <w:jc w:val="both"/>
              <w:rPr>
                <w:b/>
                <w:sz w:val="20"/>
                <w:szCs w:val="20"/>
              </w:rPr>
            </w:pPr>
            <w:r w:rsidRPr="00E74E29">
              <w:rPr>
                <w:b/>
                <w:sz w:val="20"/>
                <w:szCs w:val="20"/>
              </w:rPr>
              <w:t>Denis Goulet, Guy Dufresne et Chantal Gaudreault</w:t>
            </w:r>
          </w:p>
          <w:p w:rsidR="0035075E" w:rsidRPr="00E74E29" w:rsidRDefault="0035075E" w:rsidP="0035075E">
            <w:pPr>
              <w:jc w:val="both"/>
              <w:rPr>
                <w:sz w:val="20"/>
              </w:rPr>
            </w:pPr>
            <w:r w:rsidRPr="00E74E29">
              <w:rPr>
                <w:sz w:val="20"/>
              </w:rPr>
              <w:t>(Qc) (Civile) (Autorisation)</w:t>
            </w:r>
          </w:p>
        </w:tc>
      </w:tr>
      <w:tr w:rsidR="0035075E" w:rsidRPr="00463557" w:rsidTr="00F322C3">
        <w:tc>
          <w:tcPr>
            <w:tcW w:w="5000" w:type="pct"/>
            <w:gridSpan w:val="4"/>
          </w:tcPr>
          <w:p w:rsidR="0035075E" w:rsidRPr="00E74E29" w:rsidRDefault="0035075E" w:rsidP="0035075E">
            <w:pPr>
              <w:jc w:val="both"/>
              <w:rPr>
                <w:sz w:val="20"/>
                <w:lang w:val="fr-CA"/>
              </w:rPr>
            </w:pPr>
            <w:r w:rsidRPr="00E74E29">
              <w:rPr>
                <w:sz w:val="20"/>
                <w:lang w:val="fr-CA"/>
              </w:rPr>
              <w:t>Responsabilité civile — Responsabilité du fait personnel — Prêt d’argent — Transaction frauduleuse — Intermédiaire — Au Québec, en matière de responsabilité civile extracontractuelle, quelles sont les balises structurant le pouvoir des tribunaux de dégager des règles de conduite à partir des circonstances de chaque cause? — Yohan Murray a</w:t>
            </w:r>
            <w:r w:rsidRPr="00E74E29">
              <w:rPr>
                <w:sz w:val="20"/>
                <w:lang w:val="fr-CA"/>
              </w:rPr>
              <w:noBreakHyphen/>
              <w:t>t</w:t>
            </w:r>
            <w:r w:rsidRPr="00E74E29">
              <w:rPr>
                <w:sz w:val="20"/>
                <w:lang w:val="fr-CA"/>
              </w:rPr>
              <w:noBreakHyphen/>
              <w:t>il dérogé à une règle de conduite au sens de l’article 1457 C.c.Q.? — La conduite de M. Murray peut</w:t>
            </w:r>
            <w:r w:rsidRPr="00E74E29">
              <w:rPr>
                <w:sz w:val="20"/>
                <w:lang w:val="fr-CA"/>
              </w:rPr>
              <w:noBreakHyphen/>
              <w:t xml:space="preserve">elle </w:t>
            </w:r>
            <w:r w:rsidRPr="00E74E29">
              <w:rPr>
                <w:sz w:val="20"/>
                <w:lang w:val="fr-CA"/>
              </w:rPr>
              <w:lastRenderedPageBreak/>
              <w:t>être la cause des mésaventures contractuelles d’Usiroyal inc.? — Les tribunaux inférieurs auraient</w:t>
            </w:r>
            <w:r w:rsidRPr="00E74E29">
              <w:rPr>
                <w:sz w:val="20"/>
                <w:lang w:val="fr-CA"/>
              </w:rPr>
              <w:noBreakHyphen/>
              <w:t xml:space="preserve">ils dû se prononcer sur l’abus de procédure de la part d’Usiroyal inc. et de Jacques Poulin? — </w:t>
            </w:r>
            <w:r w:rsidRPr="00E74E29">
              <w:rPr>
                <w:i/>
                <w:sz w:val="20"/>
                <w:lang w:val="fr-CA"/>
              </w:rPr>
              <w:t>Code civil du Québec</w:t>
            </w:r>
            <w:r w:rsidRPr="00E74E29">
              <w:rPr>
                <w:sz w:val="20"/>
                <w:lang w:val="fr-CA"/>
              </w:rPr>
              <w:t>, art. 1457.</w:t>
            </w:r>
          </w:p>
        </w:tc>
      </w:tr>
      <w:tr w:rsidR="0035075E" w:rsidRPr="00463557" w:rsidTr="00F322C3">
        <w:tc>
          <w:tcPr>
            <w:tcW w:w="5000" w:type="pct"/>
            <w:gridSpan w:val="4"/>
          </w:tcPr>
          <w:p w:rsidR="0035075E" w:rsidRPr="00E74E29" w:rsidRDefault="0035075E" w:rsidP="0035075E">
            <w:pPr>
              <w:jc w:val="both"/>
              <w:rPr>
                <w:sz w:val="20"/>
                <w:lang w:val="fr-CA"/>
              </w:rPr>
            </w:pPr>
          </w:p>
        </w:tc>
      </w:tr>
      <w:tr w:rsidR="0035075E" w:rsidRPr="00463557" w:rsidTr="00F322C3">
        <w:tc>
          <w:tcPr>
            <w:tcW w:w="5000" w:type="pct"/>
            <w:gridSpan w:val="4"/>
          </w:tcPr>
          <w:p w:rsidR="0035075E" w:rsidRPr="00E74E29" w:rsidRDefault="0035075E" w:rsidP="0035075E">
            <w:pPr>
              <w:jc w:val="both"/>
              <w:rPr>
                <w:sz w:val="20"/>
                <w:lang w:val="fr-CA"/>
              </w:rPr>
            </w:pPr>
            <w:r w:rsidRPr="00E74E29">
              <w:rPr>
                <w:sz w:val="20"/>
                <w:lang w:val="fr-CA"/>
              </w:rPr>
              <w:t>L’intimé Jacques Poulin est l’unique actionnaire de l’intimée Usiroyal inc. En 2016, le demandeur, Yohan Murray, présente Denis Goulet, Guy Dufresne et Chantal Gaudreault à M. Poulin comme étant des acquéreurs potentiels d’une société liée à Usiroyal. Rassuré par les conseils de M. Murray qui considère MM. Goulet et Dufresne comme étant dignes de confiance, M. Poulin signe, au nom d’Usiroyal, une convention de prêt entre Usiroyal et 9608478 Canada inc. (Alfi Capital), une société immatriculée en 2016 et ayant pour actionnaires MM. Goulet et Dufresne et Mme Gaudreault. Selon l’entente, la somme prêtée de 250 000 $ devait servir à l’achat d’un instrument financier à être émis par une banque. La transaction est protégée notamment par la caution personnelle de MM. Goulet et Dufresne, et par une lettre de caution, fournie par M. Victor Gatto, président de GDG Venture Capital LLC. Or, il s’avère que M. Poulin et Usiroyal sont victimes d’une arnaque et ne reverront en aucun temps l’argent prêté. Usiroyal dépose donc une demande en justice dans laquelle elle recherche une condamnation solidaire pour le paiement de la somme de 250 000 $. M. Murray se porte demandeur reconventionnel et demande le remboursement de ses honoraires extrajudiciaires, d’avis que l’action est abusive.</w:t>
            </w:r>
          </w:p>
          <w:p w:rsidR="0035075E" w:rsidRPr="00E74E29" w:rsidRDefault="0035075E" w:rsidP="0035075E">
            <w:pPr>
              <w:jc w:val="both"/>
              <w:rPr>
                <w:sz w:val="20"/>
                <w:lang w:val="fr-CA"/>
              </w:rPr>
            </w:pPr>
          </w:p>
          <w:p w:rsidR="0035075E" w:rsidRPr="00E74E29" w:rsidRDefault="0035075E" w:rsidP="0035075E">
            <w:pPr>
              <w:jc w:val="both"/>
              <w:rPr>
                <w:sz w:val="20"/>
                <w:lang w:val="fr-CA"/>
              </w:rPr>
            </w:pPr>
            <w:r w:rsidRPr="00E74E29">
              <w:rPr>
                <w:sz w:val="20"/>
                <w:lang w:val="fr-CA"/>
              </w:rPr>
              <w:lastRenderedPageBreak/>
              <w:t>La Cour supérieure</w:t>
            </w:r>
            <w:r w:rsidRPr="00E74E29">
              <w:rPr>
                <w:b/>
                <w:sz w:val="20"/>
                <w:lang w:val="fr-CA"/>
              </w:rPr>
              <w:t xml:space="preserve"> </w:t>
            </w:r>
            <w:r w:rsidRPr="00E74E29">
              <w:rPr>
                <w:sz w:val="20"/>
                <w:lang w:val="fr-CA"/>
              </w:rPr>
              <w:t xml:space="preserve">accueille la demande introductive d’instance modifiée et condamne solidairement 9608478 Canada inc., MM. Goulet et Dufresne, Mme Gaudreault, GDG Venture Capital LLC et M. Murray à payer 250 000 $ à Usiroyal inc. Elle rejette la demande reconventionnelle de M. Murray. La cour retient que la participation de M. Murray au stratagème frauduleux est certaine et intentionnelle et que sans son implication, la transaction n’aurait pas eu lieu. La Cour d’appel rejette l’appel de M. Murray. Aucune erreur manifeste et déterminante n’est démontrée au sujet des conclusions et inférences factuelles retenues par la juge quant à la faute extracontractuelle commise par M. Murray. </w:t>
            </w:r>
          </w:p>
          <w:p w:rsidR="0035075E" w:rsidRPr="00E74E29" w:rsidRDefault="0035075E" w:rsidP="0035075E">
            <w:pPr>
              <w:jc w:val="both"/>
              <w:rPr>
                <w:sz w:val="20"/>
                <w:lang w:val="fr-CA"/>
              </w:rPr>
            </w:pP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lastRenderedPageBreak/>
              <w:t>Le 3 mars 2020</w:t>
            </w:r>
          </w:p>
          <w:p w:rsidR="0035075E" w:rsidRPr="00E74E29" w:rsidRDefault="0035075E" w:rsidP="0035075E">
            <w:pPr>
              <w:jc w:val="both"/>
              <w:rPr>
                <w:sz w:val="20"/>
                <w:lang w:val="fr-CA"/>
              </w:rPr>
            </w:pPr>
            <w:r w:rsidRPr="00E74E29">
              <w:rPr>
                <w:sz w:val="20"/>
                <w:lang w:val="fr-CA"/>
              </w:rPr>
              <w:t>Cour supérieure du Québec</w:t>
            </w:r>
          </w:p>
          <w:p w:rsidR="0035075E" w:rsidRPr="00E74E29" w:rsidRDefault="0035075E" w:rsidP="0035075E">
            <w:pPr>
              <w:jc w:val="both"/>
              <w:rPr>
                <w:sz w:val="20"/>
              </w:rPr>
            </w:pPr>
            <w:r w:rsidRPr="00E74E29">
              <w:rPr>
                <w:sz w:val="20"/>
              </w:rPr>
              <w:t>(La juge Lacroix)</w:t>
            </w:r>
          </w:p>
          <w:p w:rsidR="0035075E" w:rsidRPr="00E74E29" w:rsidRDefault="00463557" w:rsidP="0035075E">
            <w:pPr>
              <w:jc w:val="both"/>
              <w:rPr>
                <w:sz w:val="20"/>
              </w:rPr>
            </w:pPr>
            <w:hyperlink r:id="rId35" w:history="1">
              <w:r w:rsidR="0035075E" w:rsidRPr="00E74E29">
                <w:rPr>
                  <w:rStyle w:val="Hyperlink"/>
                  <w:sz w:val="20"/>
                </w:rPr>
                <w:t>2020 QCCS 3613</w:t>
              </w:r>
            </w:hyperlink>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lang w:val="fr-CA"/>
              </w:rPr>
            </w:pPr>
            <w:r w:rsidRPr="00E74E29">
              <w:rPr>
                <w:sz w:val="20"/>
                <w:lang w:val="fr-CA"/>
              </w:rPr>
              <w:t>Demande introductive d’instance modifiée  d’Usiroyal inc. accueillie; condamnation solidaire de 9608478 Canada inc. (Alfi Capital), Denis Goulet, Guy Dufresne, Chantal Gaudreault, GDG Venture Capital LLC et Yohan Murray à payer 250 000 $ à Usiroyal inc.; demande reconventionnelle de Yohan Murray rejetée</w:t>
            </w:r>
          </w:p>
          <w:p w:rsidR="0035075E" w:rsidRPr="00E74E29" w:rsidRDefault="0035075E" w:rsidP="0035075E">
            <w:pPr>
              <w:jc w:val="both"/>
              <w:rPr>
                <w:sz w:val="20"/>
                <w:lang w:val="fr-CA"/>
              </w:rPr>
            </w:pPr>
          </w:p>
        </w:tc>
      </w:tr>
      <w:tr w:rsidR="0035075E" w:rsidRPr="00E74E29" w:rsidTr="00F322C3">
        <w:tc>
          <w:tcPr>
            <w:tcW w:w="2427" w:type="pct"/>
            <w:gridSpan w:val="2"/>
          </w:tcPr>
          <w:p w:rsidR="0035075E" w:rsidRPr="00E74E29" w:rsidRDefault="0035075E" w:rsidP="0035075E">
            <w:pPr>
              <w:jc w:val="both"/>
              <w:rPr>
                <w:sz w:val="20"/>
                <w:lang w:val="fr-CA"/>
              </w:rPr>
            </w:pPr>
            <w:r w:rsidRPr="00E74E29">
              <w:rPr>
                <w:sz w:val="20"/>
                <w:lang w:val="fr-CA"/>
              </w:rPr>
              <w:t>Le 29 octobre 2021</w:t>
            </w:r>
          </w:p>
          <w:p w:rsidR="0035075E" w:rsidRPr="00E74E29" w:rsidRDefault="0035075E" w:rsidP="0035075E">
            <w:pPr>
              <w:jc w:val="both"/>
              <w:rPr>
                <w:sz w:val="20"/>
                <w:lang w:val="fr-CA"/>
              </w:rPr>
            </w:pPr>
            <w:r w:rsidRPr="00E74E29">
              <w:rPr>
                <w:sz w:val="20"/>
                <w:lang w:val="fr-CA"/>
              </w:rPr>
              <w:t>Cour d’appel du Québec (Québec)</w:t>
            </w:r>
          </w:p>
          <w:p w:rsidR="0035075E" w:rsidRPr="00E74E29" w:rsidRDefault="0035075E" w:rsidP="0035075E">
            <w:pPr>
              <w:jc w:val="both"/>
              <w:rPr>
                <w:sz w:val="20"/>
                <w:lang w:val="fr-CA"/>
              </w:rPr>
            </w:pPr>
            <w:r w:rsidRPr="00E74E29">
              <w:rPr>
                <w:sz w:val="20"/>
                <w:lang w:val="fr-CA"/>
              </w:rPr>
              <w:t>(Les juges Doyon, Rancourt et Beaupré)</w:t>
            </w:r>
          </w:p>
          <w:p w:rsidR="0035075E" w:rsidRPr="00E74E29" w:rsidRDefault="00463557" w:rsidP="0035075E">
            <w:pPr>
              <w:jc w:val="both"/>
              <w:rPr>
                <w:sz w:val="20"/>
              </w:rPr>
            </w:pPr>
            <w:hyperlink r:id="rId36" w:history="1">
              <w:r w:rsidR="0035075E" w:rsidRPr="00E74E29">
                <w:rPr>
                  <w:rStyle w:val="Hyperlink"/>
                  <w:sz w:val="20"/>
                </w:rPr>
                <w:t>2021 QCCA 1620</w:t>
              </w:r>
            </w:hyperlink>
            <w:r w:rsidR="0035075E" w:rsidRPr="00E74E29">
              <w:rPr>
                <w:sz w:val="20"/>
              </w:rPr>
              <w:t xml:space="preserve"> (200</w:t>
            </w:r>
            <w:r w:rsidR="0035075E" w:rsidRPr="00E74E29">
              <w:rPr>
                <w:sz w:val="20"/>
              </w:rPr>
              <w:noBreakHyphen/>
              <w:t>09</w:t>
            </w:r>
            <w:r w:rsidR="0035075E" w:rsidRPr="00E74E29">
              <w:rPr>
                <w:sz w:val="20"/>
              </w:rPr>
              <w:noBreakHyphen/>
              <w:t>010173</w:t>
            </w:r>
            <w:r w:rsidR="0035075E" w:rsidRPr="00E74E29">
              <w:rPr>
                <w:sz w:val="20"/>
              </w:rPr>
              <w:noBreakHyphen/>
              <w:t>208)</w:t>
            </w:r>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rPr>
            </w:pPr>
            <w:r w:rsidRPr="00E74E29">
              <w:rPr>
                <w:sz w:val="20"/>
              </w:rPr>
              <w:t>Appel rejeté</w:t>
            </w:r>
          </w:p>
          <w:p w:rsidR="0035075E" w:rsidRPr="00E74E29" w:rsidRDefault="0035075E" w:rsidP="0035075E">
            <w:pPr>
              <w:jc w:val="both"/>
              <w:rPr>
                <w:sz w:val="20"/>
              </w:rPr>
            </w:pPr>
          </w:p>
        </w:tc>
      </w:tr>
      <w:tr w:rsidR="0035075E" w:rsidRPr="00E74E29" w:rsidTr="00F322C3">
        <w:tc>
          <w:tcPr>
            <w:tcW w:w="2427" w:type="pct"/>
            <w:gridSpan w:val="2"/>
          </w:tcPr>
          <w:p w:rsidR="0035075E" w:rsidRPr="00E74E29" w:rsidRDefault="0035075E" w:rsidP="0035075E">
            <w:pPr>
              <w:jc w:val="both"/>
              <w:rPr>
                <w:sz w:val="20"/>
                <w:lang w:val="fr-CA"/>
              </w:rPr>
            </w:pPr>
            <w:r w:rsidRPr="00E74E29">
              <w:rPr>
                <w:sz w:val="20"/>
                <w:lang w:val="fr-CA"/>
              </w:rPr>
              <w:t>Le 23 décembre 2021</w:t>
            </w:r>
          </w:p>
          <w:p w:rsidR="0035075E" w:rsidRPr="00E74E29" w:rsidRDefault="0035075E" w:rsidP="0035075E">
            <w:pPr>
              <w:jc w:val="both"/>
              <w:rPr>
                <w:sz w:val="20"/>
                <w:lang w:val="fr-CA"/>
              </w:rPr>
            </w:pPr>
            <w:r w:rsidRPr="00E74E29">
              <w:rPr>
                <w:sz w:val="20"/>
                <w:lang w:val="fr-CA"/>
              </w:rPr>
              <w:t>Cour suprême du Canada</w:t>
            </w:r>
          </w:p>
        </w:tc>
        <w:tc>
          <w:tcPr>
            <w:tcW w:w="243" w:type="pct"/>
          </w:tcPr>
          <w:p w:rsidR="0035075E" w:rsidRPr="00E74E29" w:rsidRDefault="0035075E" w:rsidP="0035075E">
            <w:pPr>
              <w:jc w:val="both"/>
              <w:rPr>
                <w:sz w:val="20"/>
                <w:lang w:val="fr-CA"/>
              </w:rPr>
            </w:pPr>
          </w:p>
        </w:tc>
        <w:tc>
          <w:tcPr>
            <w:tcW w:w="2330" w:type="pct"/>
          </w:tcPr>
          <w:p w:rsidR="0035075E" w:rsidRPr="00E74E29" w:rsidRDefault="0035075E" w:rsidP="0035075E">
            <w:pPr>
              <w:jc w:val="both"/>
              <w:rPr>
                <w:sz w:val="20"/>
              </w:rPr>
            </w:pPr>
            <w:r w:rsidRPr="00E74E29">
              <w:rPr>
                <w:sz w:val="20"/>
              </w:rPr>
              <w:t>Demande d’autorisation d’appel déposée</w:t>
            </w:r>
          </w:p>
          <w:p w:rsidR="0035075E" w:rsidRPr="00E74E29" w:rsidRDefault="0035075E" w:rsidP="0035075E">
            <w:pPr>
              <w:jc w:val="both"/>
              <w:rPr>
                <w:sz w:val="20"/>
              </w:rPr>
            </w:pPr>
          </w:p>
        </w:tc>
      </w:tr>
    </w:tbl>
    <w:p w:rsidR="0035075E" w:rsidRPr="00E74E29" w:rsidRDefault="0035075E" w:rsidP="0035075E">
      <w:pPr>
        <w:jc w:val="both"/>
        <w:rPr>
          <w:sz w:val="20"/>
        </w:rPr>
      </w:pPr>
    </w:p>
    <w:p w:rsidR="00F322C3" w:rsidRPr="00E74E29" w:rsidRDefault="00463557" w:rsidP="0035075E">
      <w:pPr>
        <w:jc w:val="both"/>
        <w:rPr>
          <w:sz w:val="20"/>
        </w:rPr>
      </w:pPr>
      <w:r>
        <w:rPr>
          <w:sz w:val="20"/>
        </w:rPr>
        <w:pict>
          <v:rect id="_x0000_i1038" style="width:2in;height:1pt" o:hrpct="0" o:hralign="center" o:hrstd="t" o:hrnoshade="t" o:hr="t" fillcolor="black [3213]" stroked="f"/>
        </w:pict>
      </w:r>
    </w:p>
    <w:p w:rsidR="0001473D" w:rsidRPr="00E74E29" w:rsidRDefault="0001473D" w:rsidP="0035075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075E" w:rsidRPr="00E74E29" w:rsidTr="00F322C3">
        <w:tc>
          <w:tcPr>
            <w:tcW w:w="543" w:type="pct"/>
          </w:tcPr>
          <w:p w:rsidR="0035075E" w:rsidRPr="00E74E29" w:rsidRDefault="0035075E" w:rsidP="0035075E">
            <w:pPr>
              <w:jc w:val="both"/>
              <w:rPr>
                <w:sz w:val="20"/>
                <w:lang w:val="en-CA"/>
              </w:rPr>
            </w:pPr>
            <w:r w:rsidRPr="00E74E29">
              <w:rPr>
                <w:rStyle w:val="SCCFileNumberChar"/>
                <w:sz w:val="20"/>
                <w:szCs w:val="20"/>
              </w:rPr>
              <w:t>39758</w:t>
            </w:r>
          </w:p>
        </w:tc>
        <w:tc>
          <w:tcPr>
            <w:tcW w:w="4457" w:type="pct"/>
            <w:gridSpan w:val="3"/>
          </w:tcPr>
          <w:p w:rsidR="0035075E" w:rsidRPr="00E74E29" w:rsidRDefault="0035075E" w:rsidP="0035075E">
            <w:pPr>
              <w:pStyle w:val="SCCLsocParty"/>
              <w:jc w:val="both"/>
              <w:rPr>
                <w:b/>
                <w:sz w:val="20"/>
                <w:szCs w:val="20"/>
                <w:lang w:val="en-CA"/>
              </w:rPr>
            </w:pPr>
            <w:r w:rsidRPr="00E74E29">
              <w:rPr>
                <w:b/>
                <w:sz w:val="20"/>
                <w:szCs w:val="20"/>
                <w:lang w:val="en-CA"/>
              </w:rPr>
              <w:t>André Legault v. Her Majesty the Queen</w:t>
            </w:r>
          </w:p>
          <w:p w:rsidR="0035075E" w:rsidRPr="00E74E29" w:rsidRDefault="0035075E" w:rsidP="0035075E">
            <w:pPr>
              <w:jc w:val="both"/>
              <w:rPr>
                <w:sz w:val="20"/>
                <w:lang w:val="en-CA"/>
              </w:rPr>
            </w:pPr>
            <w:r w:rsidRPr="00E74E29">
              <w:rPr>
                <w:sz w:val="20"/>
                <w:lang w:val="en-CA"/>
              </w:rPr>
              <w:t>(Que.) (Criminal) (By Leave)</w:t>
            </w:r>
          </w:p>
        </w:tc>
      </w:tr>
      <w:tr w:rsidR="0035075E" w:rsidRPr="00E74E29" w:rsidTr="00F322C3">
        <w:tc>
          <w:tcPr>
            <w:tcW w:w="5000" w:type="pct"/>
            <w:gridSpan w:val="4"/>
          </w:tcPr>
          <w:p w:rsidR="0035075E" w:rsidRPr="00E74E29" w:rsidRDefault="0035075E" w:rsidP="0035075E">
            <w:pPr>
              <w:pStyle w:val="SCCBanSummary"/>
              <w:rPr>
                <w:sz w:val="20"/>
                <w:szCs w:val="20"/>
              </w:rPr>
            </w:pPr>
            <w:r w:rsidRPr="00E74E29">
              <w:rPr>
                <w:sz w:val="20"/>
                <w:szCs w:val="20"/>
              </w:rPr>
              <w:t>(Publication ban in case) (Certain information not available to the public)</w:t>
            </w:r>
          </w:p>
          <w:p w:rsidR="0035075E" w:rsidRPr="00E74E29" w:rsidRDefault="0035075E" w:rsidP="0035075E">
            <w:pPr>
              <w:jc w:val="both"/>
              <w:rPr>
                <w:sz w:val="20"/>
                <w:lang w:val="en-CA"/>
              </w:rPr>
            </w:pPr>
          </w:p>
          <w:p w:rsidR="0035075E" w:rsidRPr="00E74E29" w:rsidRDefault="0035075E" w:rsidP="0035075E">
            <w:pPr>
              <w:jc w:val="both"/>
              <w:rPr>
                <w:sz w:val="20"/>
                <w:lang w:val="en-CA"/>
              </w:rPr>
            </w:pPr>
            <w:r w:rsidRPr="00E74E29">
              <w:rPr>
                <w:sz w:val="20"/>
                <w:lang w:val="en-CA"/>
              </w:rPr>
              <w:t xml:space="preserve">Criminal law — Charge to jury — Reasonable doubt — Argument by Crown — No intervention or instruction to correct argument — Whether instructions on reasonable doubt given by judge presiding over jury must always include cautionary instruction from </w:t>
            </w:r>
            <w:r w:rsidRPr="00E74E29">
              <w:rPr>
                <w:i/>
                <w:sz w:val="20"/>
                <w:lang w:val="en-CA"/>
              </w:rPr>
              <w:t>R. v. Starr</w:t>
            </w:r>
            <w:r w:rsidRPr="00E74E29">
              <w:rPr>
                <w:sz w:val="20"/>
                <w:lang w:val="en-CA"/>
              </w:rPr>
              <w:t>, [2000] 2 S.C.R. 144, by indicating that reasonable doubt, though not amounting to absolute certainty, is what comes closest to it — Whether judge presiding over jury must correct misconduct committed by prosecutor during argument and, in particular, whether judge must always give correcting instruction where prosecutor addresses jury last.</w:t>
            </w:r>
          </w:p>
        </w:tc>
      </w:tr>
      <w:tr w:rsidR="0035075E" w:rsidRPr="00E74E29" w:rsidTr="00F322C3">
        <w:tc>
          <w:tcPr>
            <w:tcW w:w="5000" w:type="pct"/>
            <w:gridSpan w:val="4"/>
          </w:tcPr>
          <w:p w:rsidR="0035075E" w:rsidRPr="00E74E29" w:rsidRDefault="0035075E" w:rsidP="0035075E">
            <w:pPr>
              <w:jc w:val="both"/>
              <w:rPr>
                <w:sz w:val="20"/>
                <w:lang w:val="en-CA"/>
              </w:rPr>
            </w:pPr>
          </w:p>
        </w:tc>
      </w:tr>
      <w:tr w:rsidR="0035075E" w:rsidRPr="00E74E29" w:rsidTr="00F322C3">
        <w:tc>
          <w:tcPr>
            <w:tcW w:w="5000" w:type="pct"/>
            <w:gridSpan w:val="4"/>
          </w:tcPr>
          <w:p w:rsidR="0035075E" w:rsidRPr="00E74E29" w:rsidRDefault="0035075E" w:rsidP="0035075E">
            <w:pPr>
              <w:jc w:val="both"/>
              <w:rPr>
                <w:sz w:val="20"/>
                <w:lang w:val="en-CA"/>
              </w:rPr>
            </w:pPr>
            <w:r w:rsidRPr="00E74E29">
              <w:rPr>
                <w:sz w:val="20"/>
                <w:lang w:val="en-CA"/>
              </w:rPr>
              <w:lastRenderedPageBreak/>
              <w:t>The applicant, André Legault, was charged with sexual touching and sexual assault against two sisters who were seven and five years old at the time. Following a jury trial, he was convicted of the offences against the older child but acquitted of the offences against the younger child. The count of sexual assault was later conditionally stayed.</w:t>
            </w:r>
          </w:p>
          <w:p w:rsidR="0035075E" w:rsidRPr="00E74E29" w:rsidRDefault="0035075E" w:rsidP="0035075E">
            <w:pPr>
              <w:jc w:val="both"/>
              <w:rPr>
                <w:sz w:val="20"/>
                <w:lang w:val="en-CA"/>
              </w:rPr>
            </w:pPr>
          </w:p>
          <w:p w:rsidR="0035075E" w:rsidRPr="00E74E29" w:rsidRDefault="0035075E" w:rsidP="0035075E">
            <w:pPr>
              <w:jc w:val="both"/>
              <w:rPr>
                <w:sz w:val="20"/>
                <w:lang w:val="en-CA"/>
              </w:rPr>
            </w:pPr>
            <w:r w:rsidRPr="00E74E29">
              <w:rPr>
                <w:sz w:val="20"/>
                <w:lang w:val="en-CA"/>
              </w:rPr>
              <w:t xml:space="preserve">The Court of Appeal dismissed Mr. Legault’s appeal. It found, among other things, that the trial judge did not have to intervene by giving the jury an immediate instruction to correct what Crown counsel had said in argument. Crown counsel’s comments were not inappropriate in the context of the evidence, the questions asked by defence counsel and the argument of defence counsel. The Court of Appeal also held that the instruction on reasonable doubt did not have to include a statement similar to the one proposed by Iacobucci J. in </w:t>
            </w:r>
            <w:r w:rsidRPr="00E74E29">
              <w:rPr>
                <w:i/>
                <w:sz w:val="20"/>
                <w:lang w:val="en-CA"/>
              </w:rPr>
              <w:t>R. v. Starr</w:t>
            </w:r>
            <w:r w:rsidRPr="00E74E29">
              <w:rPr>
                <w:sz w:val="20"/>
                <w:lang w:val="en-CA"/>
              </w:rPr>
              <w:t xml:space="preserve">, 2000 SCC 40. The instruction on reasonable doubt was consistent with </w:t>
            </w:r>
            <w:r w:rsidRPr="00E74E29">
              <w:rPr>
                <w:i/>
                <w:sz w:val="20"/>
                <w:lang w:val="en-CA"/>
              </w:rPr>
              <w:t>R. v. Lifchus</w:t>
            </w:r>
            <w:r w:rsidRPr="00E74E29">
              <w:rPr>
                <w:sz w:val="20"/>
                <w:lang w:val="en-CA"/>
              </w:rPr>
              <w:t xml:space="preserve">, [1997] 3 S.C.R. 320, and was therefore, in principle, unassailable. The explanations given were appropriate and intelligible. </w:t>
            </w:r>
          </w:p>
          <w:p w:rsidR="0035075E" w:rsidRPr="00E74E29" w:rsidRDefault="0035075E" w:rsidP="0035075E">
            <w:pPr>
              <w:jc w:val="both"/>
              <w:rPr>
                <w:sz w:val="20"/>
                <w:lang w:val="en-CA"/>
              </w:rPr>
            </w:pPr>
          </w:p>
        </w:tc>
      </w:tr>
      <w:tr w:rsidR="0035075E" w:rsidRPr="00E74E29" w:rsidTr="00F322C3">
        <w:tc>
          <w:tcPr>
            <w:tcW w:w="2427" w:type="pct"/>
            <w:gridSpan w:val="2"/>
          </w:tcPr>
          <w:p w:rsidR="0035075E" w:rsidRPr="00E74E29" w:rsidRDefault="0035075E" w:rsidP="0035075E">
            <w:pPr>
              <w:jc w:val="both"/>
              <w:rPr>
                <w:sz w:val="20"/>
                <w:lang w:val="en-CA"/>
              </w:rPr>
            </w:pPr>
            <w:r w:rsidRPr="00E74E29">
              <w:rPr>
                <w:sz w:val="20"/>
                <w:lang w:val="en-CA"/>
              </w:rPr>
              <w:t>January 26, 2019</w:t>
            </w:r>
          </w:p>
          <w:p w:rsidR="0035075E" w:rsidRPr="00E74E29" w:rsidRDefault="0035075E" w:rsidP="0035075E">
            <w:pPr>
              <w:jc w:val="both"/>
              <w:rPr>
                <w:sz w:val="20"/>
                <w:lang w:val="en-CA"/>
              </w:rPr>
            </w:pPr>
            <w:r w:rsidRPr="00E74E29">
              <w:rPr>
                <w:sz w:val="20"/>
                <w:lang w:val="en-CA"/>
              </w:rPr>
              <w:t>Quebec Superior Court</w:t>
            </w:r>
          </w:p>
          <w:p w:rsidR="0035075E" w:rsidRPr="00E74E29" w:rsidRDefault="0035075E" w:rsidP="0035075E">
            <w:pPr>
              <w:jc w:val="both"/>
              <w:rPr>
                <w:sz w:val="20"/>
                <w:lang w:val="en-CA"/>
              </w:rPr>
            </w:pPr>
            <w:r w:rsidRPr="00E74E29">
              <w:rPr>
                <w:sz w:val="20"/>
                <w:lang w:val="en-CA"/>
              </w:rPr>
              <w:t>(Thibault J.)</w:t>
            </w:r>
          </w:p>
          <w:p w:rsidR="0035075E" w:rsidRPr="00E74E29" w:rsidRDefault="0035075E" w:rsidP="0035075E">
            <w:pPr>
              <w:jc w:val="both"/>
              <w:rPr>
                <w:sz w:val="20"/>
                <w:lang w:val="en-CA"/>
              </w:rPr>
            </w:pPr>
            <w:r w:rsidRPr="00E74E29">
              <w:rPr>
                <w:sz w:val="20"/>
                <w:lang w:val="en-CA"/>
              </w:rPr>
              <w:t>200</w:t>
            </w:r>
            <w:r w:rsidRPr="00E74E29">
              <w:rPr>
                <w:sz w:val="20"/>
                <w:lang w:val="en-CA"/>
              </w:rPr>
              <w:noBreakHyphen/>
              <w:t>01</w:t>
            </w:r>
            <w:r w:rsidRPr="00E74E29">
              <w:rPr>
                <w:sz w:val="20"/>
                <w:lang w:val="en-CA"/>
              </w:rPr>
              <w:noBreakHyphen/>
              <w:t>195426</w:t>
            </w:r>
            <w:r w:rsidRPr="00E74E29">
              <w:rPr>
                <w:sz w:val="20"/>
                <w:lang w:val="en-CA"/>
              </w:rPr>
              <w:noBreakHyphen/>
              <w:t>154</w:t>
            </w:r>
          </w:p>
          <w:p w:rsidR="0035075E" w:rsidRPr="00E74E29" w:rsidRDefault="0035075E" w:rsidP="0035075E">
            <w:pPr>
              <w:jc w:val="both"/>
              <w:rPr>
                <w:sz w:val="20"/>
                <w:lang w:val="en-CA"/>
              </w:rPr>
            </w:pPr>
          </w:p>
        </w:tc>
        <w:tc>
          <w:tcPr>
            <w:tcW w:w="243" w:type="pct"/>
          </w:tcPr>
          <w:p w:rsidR="0035075E" w:rsidRPr="00E74E29" w:rsidRDefault="0035075E" w:rsidP="0035075E">
            <w:pPr>
              <w:jc w:val="both"/>
              <w:rPr>
                <w:sz w:val="20"/>
                <w:lang w:val="en-CA"/>
              </w:rPr>
            </w:pPr>
          </w:p>
        </w:tc>
        <w:tc>
          <w:tcPr>
            <w:tcW w:w="2330" w:type="pct"/>
          </w:tcPr>
          <w:p w:rsidR="0035075E" w:rsidRPr="00E74E29" w:rsidRDefault="0035075E" w:rsidP="0035075E">
            <w:pPr>
              <w:jc w:val="both"/>
              <w:rPr>
                <w:sz w:val="20"/>
                <w:lang w:val="en-CA"/>
              </w:rPr>
            </w:pPr>
            <w:r w:rsidRPr="00E74E29">
              <w:rPr>
                <w:sz w:val="20"/>
                <w:lang w:val="en-CA"/>
              </w:rPr>
              <w:t>Conviction for two sexual offences returned by jury</w:t>
            </w:r>
          </w:p>
        </w:tc>
      </w:tr>
      <w:tr w:rsidR="0035075E" w:rsidRPr="00E74E29" w:rsidTr="00F322C3">
        <w:tc>
          <w:tcPr>
            <w:tcW w:w="2427" w:type="pct"/>
            <w:gridSpan w:val="2"/>
          </w:tcPr>
          <w:p w:rsidR="0035075E" w:rsidRPr="00E74E29" w:rsidRDefault="0035075E" w:rsidP="0035075E">
            <w:pPr>
              <w:jc w:val="both"/>
              <w:rPr>
                <w:sz w:val="20"/>
                <w:lang w:val="en-CA"/>
              </w:rPr>
            </w:pPr>
            <w:r w:rsidRPr="00E74E29">
              <w:rPr>
                <w:sz w:val="20"/>
                <w:lang w:val="en-CA"/>
              </w:rPr>
              <w:t>July 26, 2021</w:t>
            </w:r>
          </w:p>
          <w:p w:rsidR="0035075E" w:rsidRPr="00E74E29" w:rsidRDefault="0035075E" w:rsidP="0035075E">
            <w:pPr>
              <w:jc w:val="both"/>
              <w:rPr>
                <w:sz w:val="20"/>
                <w:lang w:val="en-CA"/>
              </w:rPr>
            </w:pPr>
            <w:r w:rsidRPr="00E74E29">
              <w:rPr>
                <w:sz w:val="20"/>
                <w:lang w:val="en-CA"/>
              </w:rPr>
              <w:lastRenderedPageBreak/>
              <w:t>Quebec Court of Appeal (Québec)</w:t>
            </w:r>
          </w:p>
          <w:p w:rsidR="0035075E" w:rsidRPr="00E74E29" w:rsidRDefault="0035075E" w:rsidP="0035075E">
            <w:pPr>
              <w:jc w:val="both"/>
              <w:rPr>
                <w:sz w:val="20"/>
                <w:lang w:val="en-CA"/>
              </w:rPr>
            </w:pPr>
            <w:r w:rsidRPr="00E74E29">
              <w:rPr>
                <w:sz w:val="20"/>
                <w:lang w:val="en-CA"/>
              </w:rPr>
              <w:t>(Savard C.J. and Bich and Beaupré JJ.A.)</w:t>
            </w:r>
          </w:p>
          <w:p w:rsidR="0035075E" w:rsidRPr="00E74E29" w:rsidRDefault="00463557" w:rsidP="0035075E">
            <w:pPr>
              <w:jc w:val="both"/>
              <w:rPr>
                <w:sz w:val="20"/>
                <w:lang w:val="en-CA"/>
              </w:rPr>
            </w:pPr>
            <w:hyperlink r:id="rId37" w:history="1">
              <w:r w:rsidR="0035075E" w:rsidRPr="00E74E29">
                <w:rPr>
                  <w:rStyle w:val="Hyperlink"/>
                  <w:sz w:val="20"/>
                  <w:lang w:val="en-CA"/>
                </w:rPr>
                <w:t>2021 QCCA 1188</w:t>
              </w:r>
            </w:hyperlink>
            <w:r w:rsidR="0035075E" w:rsidRPr="00E74E29">
              <w:rPr>
                <w:sz w:val="20"/>
                <w:lang w:val="en-CA"/>
              </w:rPr>
              <w:t xml:space="preserve"> (200</w:t>
            </w:r>
            <w:r w:rsidR="0035075E" w:rsidRPr="00E74E29">
              <w:rPr>
                <w:sz w:val="20"/>
                <w:lang w:val="en-CA"/>
              </w:rPr>
              <w:noBreakHyphen/>
              <w:t>10</w:t>
            </w:r>
            <w:r w:rsidR="0035075E" w:rsidRPr="00E74E29">
              <w:rPr>
                <w:sz w:val="20"/>
                <w:lang w:val="en-CA"/>
              </w:rPr>
              <w:noBreakHyphen/>
              <w:t>003620</w:t>
            </w:r>
            <w:r w:rsidR="0035075E" w:rsidRPr="00E74E29">
              <w:rPr>
                <w:sz w:val="20"/>
                <w:lang w:val="en-CA"/>
              </w:rPr>
              <w:noBreakHyphen/>
              <w:t>197)</w:t>
            </w:r>
          </w:p>
          <w:p w:rsidR="0035075E" w:rsidRPr="00E74E29" w:rsidRDefault="0035075E" w:rsidP="0035075E">
            <w:pPr>
              <w:jc w:val="both"/>
              <w:rPr>
                <w:sz w:val="20"/>
                <w:lang w:val="en-CA"/>
              </w:rPr>
            </w:pPr>
          </w:p>
        </w:tc>
        <w:tc>
          <w:tcPr>
            <w:tcW w:w="243" w:type="pct"/>
          </w:tcPr>
          <w:p w:rsidR="0035075E" w:rsidRPr="00E74E29" w:rsidRDefault="0035075E" w:rsidP="0035075E">
            <w:pPr>
              <w:jc w:val="both"/>
              <w:rPr>
                <w:sz w:val="20"/>
                <w:lang w:val="en-CA"/>
              </w:rPr>
            </w:pPr>
          </w:p>
        </w:tc>
        <w:tc>
          <w:tcPr>
            <w:tcW w:w="2330" w:type="pct"/>
          </w:tcPr>
          <w:p w:rsidR="0035075E" w:rsidRPr="00E74E29" w:rsidRDefault="0035075E" w:rsidP="0035075E">
            <w:pPr>
              <w:jc w:val="both"/>
              <w:rPr>
                <w:sz w:val="20"/>
                <w:lang w:val="en-CA"/>
              </w:rPr>
            </w:pPr>
            <w:r w:rsidRPr="00E74E29">
              <w:rPr>
                <w:sz w:val="20"/>
                <w:lang w:val="en-CA"/>
              </w:rPr>
              <w:t>Appeal dismissed</w:t>
            </w:r>
          </w:p>
          <w:p w:rsidR="0035075E" w:rsidRPr="00E74E29" w:rsidRDefault="0035075E" w:rsidP="0035075E">
            <w:pPr>
              <w:jc w:val="both"/>
              <w:rPr>
                <w:sz w:val="20"/>
                <w:lang w:val="en-CA"/>
              </w:rPr>
            </w:pPr>
          </w:p>
        </w:tc>
      </w:tr>
      <w:tr w:rsidR="0035075E" w:rsidRPr="00E74E29" w:rsidTr="00F322C3">
        <w:tc>
          <w:tcPr>
            <w:tcW w:w="2427" w:type="pct"/>
            <w:gridSpan w:val="2"/>
          </w:tcPr>
          <w:p w:rsidR="0035075E" w:rsidRPr="00E74E29" w:rsidRDefault="0035075E" w:rsidP="0035075E">
            <w:pPr>
              <w:jc w:val="both"/>
              <w:rPr>
                <w:sz w:val="20"/>
                <w:lang w:val="en-CA"/>
              </w:rPr>
            </w:pPr>
            <w:r w:rsidRPr="00E74E29">
              <w:rPr>
                <w:sz w:val="20"/>
                <w:lang w:val="en-CA"/>
              </w:rPr>
              <w:lastRenderedPageBreak/>
              <w:t>November 30, 2021</w:t>
            </w:r>
          </w:p>
          <w:p w:rsidR="0035075E" w:rsidRPr="00E74E29" w:rsidRDefault="0035075E" w:rsidP="00F322C3">
            <w:pPr>
              <w:jc w:val="both"/>
              <w:rPr>
                <w:sz w:val="20"/>
                <w:lang w:val="en-CA"/>
              </w:rPr>
            </w:pPr>
            <w:r w:rsidRPr="00E74E29">
              <w:rPr>
                <w:sz w:val="20"/>
                <w:lang w:val="en-CA"/>
              </w:rPr>
              <w:t>Supreme Court of Canada</w:t>
            </w:r>
          </w:p>
        </w:tc>
        <w:tc>
          <w:tcPr>
            <w:tcW w:w="243" w:type="pct"/>
          </w:tcPr>
          <w:p w:rsidR="0035075E" w:rsidRPr="00E74E29" w:rsidRDefault="0035075E" w:rsidP="0035075E">
            <w:pPr>
              <w:jc w:val="both"/>
              <w:rPr>
                <w:sz w:val="20"/>
                <w:lang w:val="en-CA"/>
              </w:rPr>
            </w:pPr>
          </w:p>
        </w:tc>
        <w:tc>
          <w:tcPr>
            <w:tcW w:w="2330" w:type="pct"/>
          </w:tcPr>
          <w:p w:rsidR="0035075E" w:rsidRPr="00E74E29" w:rsidRDefault="0035075E" w:rsidP="0035075E">
            <w:pPr>
              <w:jc w:val="both"/>
              <w:rPr>
                <w:sz w:val="20"/>
                <w:lang w:val="en-CA"/>
              </w:rPr>
            </w:pPr>
            <w:r w:rsidRPr="00E74E29">
              <w:rPr>
                <w:sz w:val="20"/>
                <w:lang w:val="en-CA"/>
              </w:rPr>
              <w:t>Application for leave to appeal and motion to extend time to serve and file application for leave to appeal filed</w:t>
            </w:r>
          </w:p>
        </w:tc>
      </w:tr>
    </w:tbl>
    <w:p w:rsidR="0035075E" w:rsidRPr="00E74E29" w:rsidRDefault="0035075E" w:rsidP="0035075E">
      <w:pPr>
        <w:jc w:val="both"/>
        <w:rPr>
          <w:sz w:val="20"/>
          <w:lang w:val="en-CA"/>
        </w:rPr>
      </w:pPr>
    </w:p>
    <w:p w:rsidR="00F322C3" w:rsidRPr="00E74E29" w:rsidRDefault="00463557" w:rsidP="0035075E">
      <w:pPr>
        <w:jc w:val="both"/>
        <w:rPr>
          <w:sz w:val="20"/>
          <w:lang w:val="en-CA"/>
        </w:rPr>
      </w:pPr>
      <w:r>
        <w:rPr>
          <w:sz w:val="20"/>
        </w:rPr>
        <w:pict>
          <v:rect id="_x0000_i1039" style="width:2in;height:1pt" o:hrpct="0" o:hralign="center" o:hrstd="t" o:hrnoshade="t" o:hr="t" fillcolor="black [3213]" stroked="f"/>
        </w:pict>
      </w:r>
    </w:p>
    <w:p w:rsidR="00F322C3" w:rsidRPr="00E74E29" w:rsidRDefault="00F322C3" w:rsidP="0035075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075E" w:rsidRPr="00E74E29" w:rsidTr="00F322C3">
        <w:tc>
          <w:tcPr>
            <w:tcW w:w="543" w:type="pct"/>
          </w:tcPr>
          <w:p w:rsidR="0035075E" w:rsidRPr="00E74E29" w:rsidRDefault="0035075E" w:rsidP="0035075E">
            <w:pPr>
              <w:jc w:val="both"/>
              <w:rPr>
                <w:sz w:val="20"/>
              </w:rPr>
            </w:pPr>
            <w:r w:rsidRPr="00E74E29">
              <w:rPr>
                <w:rStyle w:val="SCCFileNumberChar"/>
                <w:sz w:val="20"/>
                <w:szCs w:val="20"/>
              </w:rPr>
              <w:t>39758</w:t>
            </w:r>
          </w:p>
        </w:tc>
        <w:tc>
          <w:tcPr>
            <w:tcW w:w="4457" w:type="pct"/>
            <w:gridSpan w:val="3"/>
          </w:tcPr>
          <w:p w:rsidR="0035075E" w:rsidRPr="00E74E29" w:rsidRDefault="0035075E" w:rsidP="0035075E">
            <w:pPr>
              <w:pStyle w:val="SCCLsocParty"/>
              <w:jc w:val="both"/>
              <w:rPr>
                <w:b/>
                <w:sz w:val="20"/>
                <w:szCs w:val="20"/>
              </w:rPr>
            </w:pPr>
            <w:r w:rsidRPr="00E74E29">
              <w:rPr>
                <w:b/>
                <w:sz w:val="20"/>
                <w:szCs w:val="20"/>
              </w:rPr>
              <w:t>André Legault c. Sa Majesté la Reine</w:t>
            </w:r>
          </w:p>
          <w:p w:rsidR="0035075E" w:rsidRPr="00E74E29" w:rsidRDefault="0035075E" w:rsidP="0035075E">
            <w:pPr>
              <w:jc w:val="both"/>
              <w:rPr>
                <w:sz w:val="20"/>
              </w:rPr>
            </w:pPr>
            <w:r w:rsidRPr="00E74E29">
              <w:rPr>
                <w:sz w:val="20"/>
              </w:rPr>
              <w:t>(Qc) (Criminelle) (Autorisation)</w:t>
            </w:r>
          </w:p>
        </w:tc>
      </w:tr>
      <w:tr w:rsidR="0035075E" w:rsidRPr="00463557" w:rsidTr="00F322C3">
        <w:tc>
          <w:tcPr>
            <w:tcW w:w="5000" w:type="pct"/>
            <w:gridSpan w:val="4"/>
          </w:tcPr>
          <w:p w:rsidR="0035075E" w:rsidRPr="00E74E29" w:rsidRDefault="0035075E" w:rsidP="0035075E">
            <w:pPr>
              <w:pStyle w:val="SCCBanSummary"/>
              <w:rPr>
                <w:sz w:val="20"/>
                <w:szCs w:val="20"/>
                <w:lang w:val="fr-CA"/>
              </w:rPr>
            </w:pPr>
            <w:r w:rsidRPr="00E74E29">
              <w:rPr>
                <w:sz w:val="20"/>
                <w:szCs w:val="20"/>
                <w:lang w:val="fr-CA"/>
              </w:rPr>
              <w:t>(Ordonnance de non</w:t>
            </w:r>
            <w:r w:rsidRPr="00E74E29">
              <w:rPr>
                <w:sz w:val="20"/>
                <w:szCs w:val="20"/>
                <w:lang w:val="fr-CA"/>
              </w:rPr>
              <w:noBreakHyphen/>
              <w:t>publication dans le dossier) (Certaines informations non disponibles pour le public)</w:t>
            </w:r>
          </w:p>
          <w:p w:rsidR="0035075E" w:rsidRPr="00E74E29" w:rsidRDefault="0035075E" w:rsidP="0035075E">
            <w:pPr>
              <w:jc w:val="both"/>
              <w:rPr>
                <w:sz w:val="20"/>
                <w:lang w:val="fr-CA"/>
              </w:rPr>
            </w:pPr>
          </w:p>
          <w:p w:rsidR="0035075E" w:rsidRPr="00E74E29" w:rsidRDefault="0035075E" w:rsidP="0035075E">
            <w:pPr>
              <w:jc w:val="both"/>
              <w:rPr>
                <w:sz w:val="20"/>
                <w:lang w:val="fr-CA"/>
              </w:rPr>
            </w:pPr>
            <w:r w:rsidRPr="00E74E29">
              <w:rPr>
                <w:sz w:val="20"/>
                <w:lang w:val="fr-CA"/>
              </w:rPr>
              <w:t>Droit criminel — Exposé au jury — Doute raisonnable — Plaidoirie du ministère public — Absence d’intervention et de directive destinées à corriger la plaidoirie — Les directives données par un juge présidant un jury concernant le doute raisonnable doivent</w:t>
            </w:r>
            <w:r w:rsidRPr="00E74E29">
              <w:rPr>
                <w:sz w:val="20"/>
                <w:lang w:val="fr-CA"/>
              </w:rPr>
              <w:noBreakHyphen/>
              <w:t xml:space="preserve">elles toujours contenir une mise en garde du type de l’arrêt </w:t>
            </w:r>
            <w:r w:rsidRPr="00E74E29">
              <w:rPr>
                <w:i/>
                <w:sz w:val="20"/>
                <w:lang w:val="fr-CA"/>
              </w:rPr>
              <w:t>R. c. Starr</w:t>
            </w:r>
            <w:r w:rsidRPr="00E74E29">
              <w:rPr>
                <w:sz w:val="20"/>
                <w:lang w:val="fr-CA"/>
              </w:rPr>
              <w:t>, [2000] 2 R.C.S. 144, en indiquant que le doute raisonnable, sans atteindre la certitude absolue, est ce qui s’en rapproche le plus? — Le juge présidant un jury doit</w:t>
            </w:r>
            <w:r w:rsidRPr="00E74E29">
              <w:rPr>
                <w:sz w:val="20"/>
                <w:lang w:val="fr-CA"/>
              </w:rPr>
              <w:noBreakHyphen/>
              <w:t>il corriger les inconduites que commet la poursuivante dans le cadre de sa plaidoirie, et plus particulièrement doit</w:t>
            </w:r>
            <w:r w:rsidRPr="00E74E29">
              <w:rPr>
                <w:sz w:val="20"/>
                <w:lang w:val="fr-CA"/>
              </w:rPr>
              <w:noBreakHyphen/>
              <w:t>il toujours donner une directive correctrice lorsque la poursuivante est la dernière à s’adresser au jury?</w:t>
            </w:r>
          </w:p>
        </w:tc>
      </w:tr>
      <w:tr w:rsidR="0035075E" w:rsidRPr="00463557" w:rsidTr="00F322C3">
        <w:tc>
          <w:tcPr>
            <w:tcW w:w="5000" w:type="pct"/>
            <w:gridSpan w:val="4"/>
          </w:tcPr>
          <w:p w:rsidR="0035075E" w:rsidRPr="00E74E29" w:rsidRDefault="0035075E" w:rsidP="0035075E">
            <w:pPr>
              <w:jc w:val="both"/>
              <w:rPr>
                <w:sz w:val="20"/>
                <w:lang w:val="fr-CA"/>
              </w:rPr>
            </w:pPr>
          </w:p>
        </w:tc>
      </w:tr>
      <w:tr w:rsidR="0035075E" w:rsidRPr="00E74E29" w:rsidTr="00F322C3">
        <w:tc>
          <w:tcPr>
            <w:tcW w:w="5000" w:type="pct"/>
            <w:gridSpan w:val="4"/>
          </w:tcPr>
          <w:p w:rsidR="0035075E" w:rsidRPr="00E74E29" w:rsidRDefault="0035075E" w:rsidP="0035075E">
            <w:pPr>
              <w:jc w:val="both"/>
              <w:rPr>
                <w:sz w:val="20"/>
                <w:lang w:val="fr-CA"/>
              </w:rPr>
            </w:pPr>
            <w:r w:rsidRPr="00E74E29">
              <w:rPr>
                <w:sz w:val="20"/>
                <w:lang w:val="fr-CA"/>
              </w:rPr>
              <w:t>Le demandeur, André Legault, est accusé d’attouchements sexuels et d’agressions sexuelles sur deux sœurs alors âgées de 7 et 5 ans. Au terme d’un procès devant jury, M. Legault est déclaré coupable des infractions quant à l’enfant aînée, mais acquitté quant à l’autre. Le chef d’agression sexuelle fait subséquemment l’objet d’un arrêt conditionnel des procédures.</w:t>
            </w:r>
          </w:p>
          <w:p w:rsidR="0035075E" w:rsidRPr="00E74E29" w:rsidRDefault="0035075E" w:rsidP="0035075E">
            <w:pPr>
              <w:jc w:val="both"/>
              <w:rPr>
                <w:sz w:val="20"/>
                <w:lang w:val="fr-CA"/>
              </w:rPr>
            </w:pPr>
          </w:p>
          <w:p w:rsidR="0035075E" w:rsidRPr="00E74E29" w:rsidRDefault="0035075E" w:rsidP="0035075E">
            <w:pPr>
              <w:jc w:val="both"/>
              <w:rPr>
                <w:sz w:val="20"/>
              </w:rPr>
            </w:pPr>
            <w:r w:rsidRPr="00E74E29">
              <w:rPr>
                <w:sz w:val="20"/>
                <w:lang w:val="fr-CA"/>
              </w:rPr>
              <w:t>La Cour d’appel rejette</w:t>
            </w:r>
            <w:r w:rsidRPr="00E74E29">
              <w:rPr>
                <w:b/>
                <w:sz w:val="20"/>
                <w:lang w:val="fr-CA"/>
              </w:rPr>
              <w:t xml:space="preserve"> </w:t>
            </w:r>
            <w:r w:rsidRPr="00E74E29">
              <w:rPr>
                <w:sz w:val="20"/>
                <w:lang w:val="fr-CA"/>
              </w:rPr>
              <w:t xml:space="preserve">l’appel de M. Legault. Elle retient notamment que le juge du procès n’avait pas à intervenir en donnant une directive immédiate au jury destinée à corriger la plaidoirie de l’avocat de la poursuite. Les commentaires de l’avocat de la poursuite n’étaient pas inappropriés dans le contexte de la preuve, des questions posées par l’avocat de la défense et de sa plaidoirie. La Cour d’appel conclut également que la directive relative au doute raisonnable ne devait pas inclure un prononcé semblable à celui que préconisait le juge Iacobucci dans l’arrêt </w:t>
            </w:r>
            <w:r w:rsidRPr="00E74E29">
              <w:rPr>
                <w:i/>
                <w:sz w:val="20"/>
                <w:lang w:val="fr-CA"/>
              </w:rPr>
              <w:t>R. c. Starr</w:t>
            </w:r>
            <w:r w:rsidRPr="00E74E29">
              <w:rPr>
                <w:sz w:val="20"/>
                <w:lang w:val="fr-CA"/>
              </w:rPr>
              <w:t xml:space="preserve">, 2000 CSC 40. La directive au sujet du doute raisonnable était conforme à l’arrêt </w:t>
            </w:r>
            <w:r w:rsidRPr="00E74E29">
              <w:rPr>
                <w:i/>
                <w:sz w:val="20"/>
                <w:lang w:val="fr-CA"/>
              </w:rPr>
              <w:t>R. c. Lifchus</w:t>
            </w:r>
            <w:r w:rsidRPr="00E74E29">
              <w:rPr>
                <w:sz w:val="20"/>
                <w:lang w:val="fr-CA"/>
              </w:rPr>
              <w:t xml:space="preserve">, [1997] 3 R.C.S. 320, et donc en principe inattaquable. </w:t>
            </w:r>
            <w:r w:rsidRPr="00E74E29">
              <w:rPr>
                <w:sz w:val="20"/>
              </w:rPr>
              <w:t xml:space="preserve">Les explications données étaient appropriées et intelligibles. </w:t>
            </w:r>
          </w:p>
          <w:p w:rsidR="0035075E" w:rsidRPr="00E74E29" w:rsidRDefault="0035075E" w:rsidP="0035075E">
            <w:pPr>
              <w:jc w:val="both"/>
              <w:rPr>
                <w:sz w:val="20"/>
              </w:rPr>
            </w:pP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t>Le 26 janvier 2019</w:t>
            </w:r>
          </w:p>
          <w:p w:rsidR="0035075E" w:rsidRPr="00E74E29" w:rsidRDefault="0035075E" w:rsidP="0035075E">
            <w:pPr>
              <w:jc w:val="both"/>
              <w:rPr>
                <w:sz w:val="20"/>
                <w:lang w:val="fr-CA"/>
              </w:rPr>
            </w:pPr>
            <w:r w:rsidRPr="00E74E29">
              <w:rPr>
                <w:sz w:val="20"/>
                <w:lang w:val="fr-CA"/>
              </w:rPr>
              <w:t>Cour supérieure du Québec</w:t>
            </w:r>
          </w:p>
          <w:p w:rsidR="0035075E" w:rsidRPr="00E74E29" w:rsidRDefault="0035075E" w:rsidP="0035075E">
            <w:pPr>
              <w:jc w:val="both"/>
              <w:rPr>
                <w:sz w:val="20"/>
              </w:rPr>
            </w:pPr>
            <w:r w:rsidRPr="00E74E29">
              <w:rPr>
                <w:sz w:val="20"/>
              </w:rPr>
              <w:t>(Le juge Thibault)</w:t>
            </w:r>
          </w:p>
          <w:p w:rsidR="0035075E" w:rsidRPr="00E74E29" w:rsidRDefault="0035075E" w:rsidP="0035075E">
            <w:pPr>
              <w:jc w:val="both"/>
              <w:rPr>
                <w:sz w:val="20"/>
              </w:rPr>
            </w:pPr>
            <w:r w:rsidRPr="00E74E29">
              <w:rPr>
                <w:sz w:val="20"/>
              </w:rPr>
              <w:t>200</w:t>
            </w:r>
            <w:r w:rsidRPr="00E74E29">
              <w:rPr>
                <w:sz w:val="20"/>
              </w:rPr>
              <w:noBreakHyphen/>
              <w:t>01</w:t>
            </w:r>
            <w:r w:rsidRPr="00E74E29">
              <w:rPr>
                <w:sz w:val="20"/>
              </w:rPr>
              <w:noBreakHyphen/>
              <w:t>195426</w:t>
            </w:r>
            <w:r w:rsidRPr="00E74E29">
              <w:rPr>
                <w:sz w:val="20"/>
              </w:rPr>
              <w:noBreakHyphen/>
              <w:t>154</w:t>
            </w:r>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lang w:val="fr-CA"/>
              </w:rPr>
            </w:pPr>
            <w:r w:rsidRPr="00E74E29">
              <w:rPr>
                <w:sz w:val="20"/>
                <w:lang w:val="fr-CA"/>
              </w:rPr>
              <w:t>Déclaration de culpabilité pour deux infractions de nature sexuelle prononcée par un jury</w:t>
            </w:r>
          </w:p>
        </w:tc>
      </w:tr>
      <w:tr w:rsidR="0035075E" w:rsidRPr="00E74E29" w:rsidTr="00F322C3">
        <w:tc>
          <w:tcPr>
            <w:tcW w:w="2427" w:type="pct"/>
            <w:gridSpan w:val="2"/>
          </w:tcPr>
          <w:p w:rsidR="0035075E" w:rsidRPr="00E74E29" w:rsidRDefault="0035075E" w:rsidP="0035075E">
            <w:pPr>
              <w:jc w:val="both"/>
              <w:rPr>
                <w:sz w:val="20"/>
                <w:lang w:val="fr-CA"/>
              </w:rPr>
            </w:pPr>
            <w:r w:rsidRPr="00E74E29">
              <w:rPr>
                <w:sz w:val="20"/>
                <w:lang w:val="fr-CA"/>
              </w:rPr>
              <w:t>Le 26 juillet 2021</w:t>
            </w:r>
          </w:p>
          <w:p w:rsidR="0035075E" w:rsidRPr="00E74E29" w:rsidRDefault="0035075E" w:rsidP="0035075E">
            <w:pPr>
              <w:jc w:val="both"/>
              <w:rPr>
                <w:sz w:val="20"/>
                <w:lang w:val="fr-CA"/>
              </w:rPr>
            </w:pPr>
            <w:r w:rsidRPr="00E74E29">
              <w:rPr>
                <w:sz w:val="20"/>
                <w:lang w:val="fr-CA"/>
              </w:rPr>
              <w:t>Cour d’appel du Québec (Québec)</w:t>
            </w:r>
          </w:p>
          <w:p w:rsidR="0035075E" w:rsidRPr="00E74E29" w:rsidRDefault="0035075E" w:rsidP="0035075E">
            <w:pPr>
              <w:jc w:val="both"/>
              <w:rPr>
                <w:sz w:val="20"/>
                <w:lang w:val="fr-CA"/>
              </w:rPr>
            </w:pPr>
            <w:r w:rsidRPr="00E74E29">
              <w:rPr>
                <w:sz w:val="20"/>
                <w:lang w:val="fr-CA"/>
              </w:rPr>
              <w:t>(La juge en chef Savard et les juges Bich et Beaupré)</w:t>
            </w:r>
          </w:p>
          <w:p w:rsidR="0035075E" w:rsidRPr="00E74E29" w:rsidRDefault="00463557" w:rsidP="0035075E">
            <w:pPr>
              <w:jc w:val="both"/>
              <w:rPr>
                <w:sz w:val="20"/>
              </w:rPr>
            </w:pPr>
            <w:hyperlink r:id="rId38" w:history="1">
              <w:r w:rsidR="0035075E" w:rsidRPr="00E74E29">
                <w:rPr>
                  <w:rStyle w:val="Hyperlink"/>
                  <w:sz w:val="20"/>
                </w:rPr>
                <w:t>2021 QCCA 1188</w:t>
              </w:r>
            </w:hyperlink>
            <w:r w:rsidR="0035075E" w:rsidRPr="00E74E29">
              <w:rPr>
                <w:sz w:val="20"/>
              </w:rPr>
              <w:t xml:space="preserve"> (200</w:t>
            </w:r>
            <w:r w:rsidR="0035075E" w:rsidRPr="00E74E29">
              <w:rPr>
                <w:sz w:val="20"/>
              </w:rPr>
              <w:noBreakHyphen/>
              <w:t>10</w:t>
            </w:r>
            <w:r w:rsidR="0035075E" w:rsidRPr="00E74E29">
              <w:rPr>
                <w:sz w:val="20"/>
              </w:rPr>
              <w:noBreakHyphen/>
              <w:t>003620</w:t>
            </w:r>
            <w:r w:rsidR="0035075E" w:rsidRPr="00E74E29">
              <w:rPr>
                <w:sz w:val="20"/>
              </w:rPr>
              <w:noBreakHyphen/>
              <w:t>197)</w:t>
            </w:r>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rPr>
            </w:pPr>
            <w:r w:rsidRPr="00E74E29">
              <w:rPr>
                <w:sz w:val="20"/>
              </w:rPr>
              <w:t>Appel rejeté</w:t>
            </w:r>
          </w:p>
          <w:p w:rsidR="0035075E" w:rsidRPr="00E74E29" w:rsidRDefault="0035075E" w:rsidP="0035075E">
            <w:pPr>
              <w:jc w:val="both"/>
              <w:rPr>
                <w:sz w:val="20"/>
              </w:rPr>
            </w:pP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t>Le 30 novembre 2021</w:t>
            </w:r>
          </w:p>
          <w:p w:rsidR="0035075E" w:rsidRPr="00E74E29" w:rsidRDefault="0035075E" w:rsidP="00F322C3">
            <w:pPr>
              <w:jc w:val="both"/>
              <w:rPr>
                <w:sz w:val="20"/>
                <w:lang w:val="fr-CA"/>
              </w:rPr>
            </w:pPr>
            <w:r w:rsidRPr="00E74E29">
              <w:rPr>
                <w:sz w:val="20"/>
                <w:lang w:val="fr-CA"/>
              </w:rPr>
              <w:t>Cour suprême du Canada</w:t>
            </w:r>
          </w:p>
        </w:tc>
        <w:tc>
          <w:tcPr>
            <w:tcW w:w="243" w:type="pct"/>
          </w:tcPr>
          <w:p w:rsidR="0035075E" w:rsidRPr="00E74E29" w:rsidRDefault="0035075E" w:rsidP="0035075E">
            <w:pPr>
              <w:jc w:val="both"/>
              <w:rPr>
                <w:sz w:val="20"/>
                <w:lang w:val="fr-CA"/>
              </w:rPr>
            </w:pPr>
          </w:p>
        </w:tc>
        <w:tc>
          <w:tcPr>
            <w:tcW w:w="2330" w:type="pct"/>
          </w:tcPr>
          <w:p w:rsidR="0035075E" w:rsidRPr="00E74E29" w:rsidRDefault="0035075E" w:rsidP="0035075E">
            <w:pPr>
              <w:jc w:val="both"/>
              <w:rPr>
                <w:sz w:val="20"/>
                <w:lang w:val="fr-CA"/>
              </w:rPr>
            </w:pPr>
            <w:r w:rsidRPr="00E74E29">
              <w:rPr>
                <w:sz w:val="20"/>
                <w:lang w:val="fr-CA"/>
              </w:rPr>
              <w:t>Demande d’autorisation d’appel et requête en prorogation du délai de signification et de dépôt de la demande d’autorisation d’appel déposées</w:t>
            </w:r>
          </w:p>
        </w:tc>
      </w:tr>
    </w:tbl>
    <w:p w:rsidR="0035075E" w:rsidRPr="00E74E29" w:rsidRDefault="0035075E" w:rsidP="0035075E">
      <w:pPr>
        <w:jc w:val="both"/>
        <w:rPr>
          <w:sz w:val="20"/>
          <w:lang w:val="fr-CA"/>
        </w:rPr>
      </w:pPr>
    </w:p>
    <w:p w:rsidR="00F322C3" w:rsidRPr="00E74E29" w:rsidRDefault="00463557" w:rsidP="0035075E">
      <w:pPr>
        <w:jc w:val="both"/>
        <w:rPr>
          <w:sz w:val="20"/>
          <w:lang w:val="fr-CA"/>
        </w:rPr>
      </w:pPr>
      <w:r>
        <w:rPr>
          <w:sz w:val="20"/>
        </w:rPr>
        <w:pict>
          <v:rect id="_x0000_i1040" style="width:2in;height:1pt" o:hrpct="0" o:hralign="center" o:hrstd="t" o:hrnoshade="t" o:hr="t" fillcolor="black [3213]" stroked="f"/>
        </w:pict>
      </w:r>
    </w:p>
    <w:p w:rsidR="0001473D" w:rsidRPr="00E74E29" w:rsidRDefault="0001473D" w:rsidP="0035075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075E" w:rsidRPr="00E74E29" w:rsidTr="00F322C3">
        <w:tc>
          <w:tcPr>
            <w:tcW w:w="543" w:type="pct"/>
          </w:tcPr>
          <w:p w:rsidR="0035075E" w:rsidRPr="00E74E29" w:rsidRDefault="0035075E" w:rsidP="0035075E">
            <w:pPr>
              <w:jc w:val="both"/>
              <w:rPr>
                <w:sz w:val="20"/>
                <w:lang w:val="en-CA"/>
              </w:rPr>
            </w:pPr>
            <w:r w:rsidRPr="00E74E29">
              <w:rPr>
                <w:rStyle w:val="SCCFileNumberChar"/>
                <w:sz w:val="20"/>
                <w:szCs w:val="20"/>
              </w:rPr>
              <w:t>39915</w:t>
            </w:r>
          </w:p>
        </w:tc>
        <w:tc>
          <w:tcPr>
            <w:tcW w:w="4457" w:type="pct"/>
            <w:gridSpan w:val="3"/>
          </w:tcPr>
          <w:p w:rsidR="0035075E" w:rsidRPr="00E74E29" w:rsidRDefault="0035075E" w:rsidP="0035075E">
            <w:pPr>
              <w:pStyle w:val="SCCLsocParty"/>
              <w:jc w:val="both"/>
              <w:rPr>
                <w:b/>
                <w:sz w:val="20"/>
                <w:szCs w:val="20"/>
                <w:lang w:val="en-CA"/>
              </w:rPr>
            </w:pPr>
            <w:r w:rsidRPr="00E74E29">
              <w:rPr>
                <w:b/>
                <w:sz w:val="20"/>
                <w:szCs w:val="20"/>
                <w:lang w:val="en-CA"/>
              </w:rPr>
              <w:t>Commission scolaire francophone des Territoires du Nord-Ouest, A.B. v. Minister of Education, Culture and Employment of the Northwest Territories</w:t>
            </w:r>
          </w:p>
          <w:p w:rsidR="0035075E" w:rsidRPr="00E74E29" w:rsidRDefault="0035075E" w:rsidP="0035075E">
            <w:pPr>
              <w:pStyle w:val="SCCLsocSubfileSeparator"/>
              <w:rPr>
                <w:sz w:val="20"/>
                <w:szCs w:val="20"/>
              </w:rPr>
            </w:pPr>
            <w:r w:rsidRPr="00E74E29">
              <w:rPr>
                <w:sz w:val="20"/>
                <w:szCs w:val="20"/>
              </w:rPr>
              <w:t>- and between -</w:t>
            </w:r>
          </w:p>
          <w:p w:rsidR="0035075E" w:rsidRPr="00E74E29" w:rsidRDefault="0035075E" w:rsidP="0035075E">
            <w:pPr>
              <w:pStyle w:val="SCCLsocParty"/>
              <w:jc w:val="both"/>
              <w:rPr>
                <w:b/>
                <w:sz w:val="20"/>
                <w:szCs w:val="20"/>
                <w:lang w:val="en-CA"/>
              </w:rPr>
            </w:pPr>
            <w:r w:rsidRPr="00E74E29">
              <w:rPr>
                <w:b/>
                <w:sz w:val="20"/>
                <w:szCs w:val="20"/>
                <w:lang w:val="en-CA"/>
              </w:rPr>
              <w:lastRenderedPageBreak/>
              <w:t>Commission scolaire francophone des Territoires du Nord-Ouest, A.B., F.A., T.B., E.S. and J.J. v. Minister of Education, Culture and Employment of the Northwest Territories</w:t>
            </w:r>
          </w:p>
          <w:p w:rsidR="0035075E" w:rsidRPr="00E74E29" w:rsidRDefault="0035075E" w:rsidP="0035075E">
            <w:pPr>
              <w:jc w:val="both"/>
              <w:rPr>
                <w:sz w:val="20"/>
                <w:lang w:val="en-CA"/>
              </w:rPr>
            </w:pPr>
            <w:r w:rsidRPr="00E74E29">
              <w:rPr>
                <w:sz w:val="20"/>
                <w:lang w:val="en-CA"/>
              </w:rPr>
              <w:t>(N.W.T.) (Civil) (By Leave)</w:t>
            </w:r>
          </w:p>
        </w:tc>
      </w:tr>
      <w:tr w:rsidR="0035075E" w:rsidRPr="00E74E29" w:rsidTr="00F322C3">
        <w:tc>
          <w:tcPr>
            <w:tcW w:w="5000" w:type="pct"/>
            <w:gridSpan w:val="4"/>
          </w:tcPr>
          <w:p w:rsidR="0035075E" w:rsidRPr="00E74E29" w:rsidRDefault="0035075E" w:rsidP="0035075E">
            <w:pPr>
              <w:jc w:val="both"/>
              <w:rPr>
                <w:sz w:val="20"/>
                <w:lang w:val="en-CA"/>
              </w:rPr>
            </w:pPr>
            <w:r w:rsidRPr="00E74E29">
              <w:rPr>
                <w:sz w:val="20"/>
                <w:lang w:val="en-CA"/>
              </w:rPr>
              <w:lastRenderedPageBreak/>
              <w:t>Constitutional law — Charter of Rights — Minority language educational rights — Ministerial directive — Administrative law — Discretion — Right to use French in court proceedings — Simultaneous interpretation — Children of non</w:t>
            </w:r>
            <w:r w:rsidRPr="00E74E29">
              <w:rPr>
                <w:sz w:val="20"/>
                <w:lang w:val="en-CA"/>
              </w:rPr>
              <w:noBreakHyphen/>
              <w:t>rights holder parents — Minister denying applications for admission to French</w:t>
            </w:r>
            <w:r w:rsidRPr="00E74E29">
              <w:rPr>
                <w:sz w:val="20"/>
                <w:lang w:val="en-CA"/>
              </w:rPr>
              <w:noBreakHyphen/>
              <w:t xml:space="preserve">language minority schools — Decisions set aside at first instance but restored on appeal — Whether s. 23 is fundamentally different from other </w:t>
            </w:r>
            <w:r w:rsidRPr="00E74E29">
              <w:rPr>
                <w:i/>
                <w:sz w:val="20"/>
                <w:lang w:val="en-CA"/>
              </w:rPr>
              <w:t>Charter</w:t>
            </w:r>
            <w:r w:rsidRPr="00E74E29">
              <w:rPr>
                <w:sz w:val="20"/>
                <w:lang w:val="en-CA"/>
              </w:rPr>
              <w:t xml:space="preserve"> rights in that administrative decision makers do not have to consider values underlying this right or its three purposes in exercising their discretion — Whether individual must show infringement of </w:t>
            </w:r>
            <w:r w:rsidRPr="00E74E29">
              <w:rPr>
                <w:i/>
                <w:sz w:val="20"/>
                <w:lang w:val="en-CA"/>
              </w:rPr>
              <w:t>Charter</w:t>
            </w:r>
            <w:r w:rsidRPr="00E74E29">
              <w:rPr>
                <w:sz w:val="20"/>
                <w:lang w:val="en-CA"/>
              </w:rPr>
              <w:t xml:space="preserve"> right in order for administrative decision maker to be required to consider values underlying right or purpose of right in making decision — Whether discretion holder has obligation to decide whether or not to exercise discretion — Whether right to use French in Territories courts includes right to be understood directly, that is, without interpreter — </w:t>
            </w:r>
            <w:r w:rsidRPr="00E74E29">
              <w:rPr>
                <w:i/>
                <w:sz w:val="20"/>
                <w:lang w:val="en-CA"/>
              </w:rPr>
              <w:t>Canadian Charter of Rights and Freedoms</w:t>
            </w:r>
            <w:r w:rsidRPr="00E74E29">
              <w:rPr>
                <w:sz w:val="20"/>
                <w:lang w:val="en-CA"/>
              </w:rPr>
              <w:t xml:space="preserve">, ss. 19(1) and 23 — </w:t>
            </w:r>
            <w:r w:rsidRPr="00E74E29">
              <w:rPr>
                <w:i/>
                <w:sz w:val="20"/>
                <w:lang w:val="en-CA"/>
              </w:rPr>
              <w:t>Official Languages Act</w:t>
            </w:r>
            <w:r w:rsidRPr="00E74E29">
              <w:rPr>
                <w:sz w:val="20"/>
                <w:lang w:val="en-CA"/>
              </w:rPr>
              <w:t>, R.S.N.W.T. 1988, c. O</w:t>
            </w:r>
            <w:r w:rsidRPr="00E74E29">
              <w:rPr>
                <w:sz w:val="20"/>
                <w:lang w:val="en-CA"/>
              </w:rPr>
              <w:noBreakHyphen/>
              <w:t>1, s. 9(1).</w:t>
            </w:r>
          </w:p>
        </w:tc>
      </w:tr>
      <w:tr w:rsidR="0035075E" w:rsidRPr="00E74E29" w:rsidTr="00F322C3">
        <w:tc>
          <w:tcPr>
            <w:tcW w:w="5000" w:type="pct"/>
            <w:gridSpan w:val="4"/>
          </w:tcPr>
          <w:p w:rsidR="0035075E" w:rsidRPr="00E74E29" w:rsidRDefault="0035075E" w:rsidP="0035075E">
            <w:pPr>
              <w:jc w:val="both"/>
              <w:rPr>
                <w:sz w:val="20"/>
                <w:lang w:val="en-CA"/>
              </w:rPr>
            </w:pPr>
          </w:p>
        </w:tc>
      </w:tr>
      <w:tr w:rsidR="0035075E" w:rsidRPr="00E74E29" w:rsidTr="00F322C3">
        <w:tc>
          <w:tcPr>
            <w:tcW w:w="5000" w:type="pct"/>
            <w:gridSpan w:val="4"/>
          </w:tcPr>
          <w:p w:rsidR="0035075E" w:rsidRPr="00E74E29" w:rsidRDefault="0035075E" w:rsidP="0035075E">
            <w:pPr>
              <w:jc w:val="both"/>
              <w:rPr>
                <w:sz w:val="20"/>
                <w:lang w:val="en-CA"/>
              </w:rPr>
            </w:pPr>
            <w:r w:rsidRPr="00E74E29">
              <w:rPr>
                <w:sz w:val="20"/>
                <w:lang w:val="en-CA"/>
              </w:rPr>
              <w:t>In 2018 and 2019, the Minister of Education, Culture and Employment of the Northwest Territories denied six applications for admission to French</w:t>
            </w:r>
            <w:r w:rsidRPr="00E74E29">
              <w:rPr>
                <w:sz w:val="20"/>
                <w:lang w:val="en-CA"/>
              </w:rPr>
              <w:noBreakHyphen/>
              <w:t>language schools made by non</w:t>
            </w:r>
            <w:r w:rsidRPr="00E74E29">
              <w:rPr>
                <w:sz w:val="20"/>
                <w:lang w:val="en-CA"/>
              </w:rPr>
              <w:noBreakHyphen/>
              <w:t xml:space="preserve">rights holder parents. The ineligibility of their children was assessed according to the criteria established in the </w:t>
            </w:r>
            <w:r w:rsidRPr="00E74E29">
              <w:rPr>
                <w:i/>
                <w:sz w:val="20"/>
                <w:lang w:val="en-CA"/>
              </w:rPr>
              <w:t>Ministerial Directive – Enrolment of Students in French First Language Education Programs</w:t>
            </w:r>
            <w:r w:rsidRPr="00E74E29">
              <w:rPr>
                <w:sz w:val="20"/>
                <w:lang w:val="en-CA"/>
              </w:rPr>
              <w:t xml:space="preserve">. Because none of the criteria in the Directive applied in the circumstances, the parents asked the Minister to exercise her residual discretion to authorize the admission of the six children concerned, which was denied. The non-rights holder parents and the school board applied for judicial review of the Minister’s decisions. In two judgments, the Northwest Territories Supreme Court set aside the Minister’s decisions on the ground that there had been no proportionate balancing of the protections guaranteed by s. 23 of the </w:t>
            </w:r>
            <w:r w:rsidRPr="00E74E29">
              <w:rPr>
                <w:i/>
                <w:sz w:val="20"/>
                <w:lang w:val="en-CA"/>
              </w:rPr>
              <w:t>Charter</w:t>
            </w:r>
            <w:r w:rsidRPr="00E74E29">
              <w:rPr>
                <w:sz w:val="20"/>
                <w:lang w:val="en-CA"/>
              </w:rPr>
              <w:t xml:space="preserve"> and the government’s interests. The majority of the Court of Appeal allowed the Minister’s appeals and restored her decisions. It found that the chambers judge’s reasoning on constitutional values had proceeded on the mistaken assumption that the case involved constitutional rights. The families in question did not qualify under s. 23 and had no other legal or statutory right or expectation to attend the schools</w:t>
            </w:r>
            <w:r w:rsidRPr="00E74E29">
              <w:rPr>
                <w:color w:val="000000"/>
                <w:sz w:val="20"/>
                <w:lang w:val="en-CA"/>
              </w:rPr>
              <w:t>.</w:t>
            </w:r>
          </w:p>
          <w:p w:rsidR="0035075E" w:rsidRPr="00E74E29" w:rsidRDefault="0035075E" w:rsidP="0035075E">
            <w:pPr>
              <w:jc w:val="both"/>
              <w:rPr>
                <w:sz w:val="20"/>
                <w:lang w:val="en-CA"/>
              </w:rPr>
            </w:pPr>
          </w:p>
        </w:tc>
      </w:tr>
      <w:tr w:rsidR="0035075E" w:rsidRPr="00E74E29" w:rsidTr="00F322C3">
        <w:tc>
          <w:tcPr>
            <w:tcW w:w="2427" w:type="pct"/>
            <w:gridSpan w:val="2"/>
          </w:tcPr>
          <w:p w:rsidR="0035075E" w:rsidRPr="00E74E29" w:rsidRDefault="0035075E" w:rsidP="0035075E">
            <w:pPr>
              <w:jc w:val="both"/>
              <w:rPr>
                <w:sz w:val="20"/>
                <w:lang w:val="en-CA"/>
              </w:rPr>
            </w:pPr>
            <w:r w:rsidRPr="00E74E29">
              <w:rPr>
                <w:sz w:val="20"/>
                <w:lang w:val="en-CA"/>
              </w:rPr>
              <w:t>July 2, 2019</w:t>
            </w:r>
          </w:p>
          <w:p w:rsidR="0035075E" w:rsidRPr="00E74E29" w:rsidRDefault="0035075E" w:rsidP="0035075E">
            <w:pPr>
              <w:jc w:val="both"/>
              <w:rPr>
                <w:sz w:val="20"/>
                <w:lang w:val="en-CA"/>
              </w:rPr>
            </w:pPr>
            <w:r w:rsidRPr="00E74E29">
              <w:rPr>
                <w:sz w:val="20"/>
                <w:lang w:val="en-CA"/>
              </w:rPr>
              <w:t>Northwest Territories Supreme Court</w:t>
            </w:r>
          </w:p>
          <w:p w:rsidR="0035075E" w:rsidRPr="00E74E29" w:rsidRDefault="0035075E" w:rsidP="0035075E">
            <w:pPr>
              <w:jc w:val="both"/>
              <w:rPr>
                <w:sz w:val="20"/>
                <w:lang w:val="en-CA"/>
              </w:rPr>
            </w:pPr>
            <w:r w:rsidRPr="00E74E29">
              <w:rPr>
                <w:sz w:val="20"/>
                <w:lang w:val="en-CA"/>
              </w:rPr>
              <w:t>(Rouleau J.)</w:t>
            </w:r>
          </w:p>
          <w:p w:rsidR="0035075E" w:rsidRPr="00E74E29" w:rsidRDefault="00463557" w:rsidP="0035075E">
            <w:pPr>
              <w:jc w:val="both"/>
              <w:rPr>
                <w:sz w:val="20"/>
                <w:lang w:val="en-CA"/>
              </w:rPr>
            </w:pPr>
            <w:hyperlink r:id="rId39" w:history="1">
              <w:r w:rsidR="0035075E" w:rsidRPr="00E74E29">
                <w:rPr>
                  <w:rStyle w:val="Hyperlink"/>
                  <w:sz w:val="20"/>
                  <w:lang w:val="en-CA"/>
                </w:rPr>
                <w:t>2019 NWTSC 25</w:t>
              </w:r>
            </w:hyperlink>
            <w:r w:rsidR="0035075E" w:rsidRPr="00E74E29">
              <w:rPr>
                <w:sz w:val="20"/>
                <w:lang w:val="en-CA"/>
              </w:rPr>
              <w:t xml:space="preserve"> </w:t>
            </w:r>
          </w:p>
        </w:tc>
        <w:tc>
          <w:tcPr>
            <w:tcW w:w="243" w:type="pct"/>
          </w:tcPr>
          <w:p w:rsidR="0035075E" w:rsidRPr="00E74E29" w:rsidRDefault="0035075E" w:rsidP="0035075E">
            <w:pPr>
              <w:jc w:val="both"/>
              <w:rPr>
                <w:sz w:val="20"/>
                <w:lang w:val="en-CA"/>
              </w:rPr>
            </w:pPr>
          </w:p>
        </w:tc>
        <w:tc>
          <w:tcPr>
            <w:tcW w:w="2330" w:type="pct"/>
          </w:tcPr>
          <w:p w:rsidR="0035075E" w:rsidRPr="00E74E29" w:rsidRDefault="0035075E" w:rsidP="0035075E">
            <w:pPr>
              <w:jc w:val="both"/>
              <w:rPr>
                <w:sz w:val="20"/>
                <w:lang w:val="en-CA"/>
              </w:rPr>
            </w:pPr>
            <w:r w:rsidRPr="00E74E29">
              <w:rPr>
                <w:sz w:val="20"/>
                <w:lang w:val="en-CA"/>
              </w:rPr>
              <w:t>Application for judicial review allowed; Minister’s decisions refusing to admit child of non</w:t>
            </w:r>
            <w:r w:rsidRPr="00E74E29">
              <w:rPr>
                <w:sz w:val="20"/>
                <w:lang w:val="en-CA"/>
              </w:rPr>
              <w:noBreakHyphen/>
              <w:t>rights holder parents to French</w:t>
            </w:r>
            <w:r w:rsidRPr="00E74E29">
              <w:rPr>
                <w:sz w:val="20"/>
                <w:lang w:val="en-CA"/>
              </w:rPr>
              <w:noBreakHyphen/>
              <w:t>language school set aside; application for admission of child referred back to Minister for reconsideration</w:t>
            </w:r>
          </w:p>
          <w:p w:rsidR="0035075E" w:rsidRPr="00E74E29" w:rsidRDefault="0035075E" w:rsidP="0035075E">
            <w:pPr>
              <w:jc w:val="both"/>
              <w:rPr>
                <w:sz w:val="20"/>
                <w:lang w:val="en-CA"/>
              </w:rPr>
            </w:pPr>
          </w:p>
        </w:tc>
      </w:tr>
      <w:tr w:rsidR="0035075E" w:rsidRPr="00E74E29" w:rsidTr="00F322C3">
        <w:tc>
          <w:tcPr>
            <w:tcW w:w="2427" w:type="pct"/>
            <w:gridSpan w:val="2"/>
          </w:tcPr>
          <w:p w:rsidR="0035075E" w:rsidRPr="00E74E29" w:rsidRDefault="0035075E" w:rsidP="0035075E">
            <w:pPr>
              <w:jc w:val="both"/>
              <w:rPr>
                <w:sz w:val="20"/>
                <w:lang w:val="en-CA"/>
              </w:rPr>
            </w:pPr>
            <w:r w:rsidRPr="00E74E29">
              <w:rPr>
                <w:sz w:val="20"/>
                <w:lang w:val="en-CA"/>
              </w:rPr>
              <w:t>July 23, 2020</w:t>
            </w:r>
          </w:p>
          <w:p w:rsidR="0035075E" w:rsidRPr="00E74E29" w:rsidRDefault="0035075E" w:rsidP="0035075E">
            <w:pPr>
              <w:jc w:val="both"/>
              <w:rPr>
                <w:sz w:val="20"/>
                <w:lang w:val="en-CA"/>
              </w:rPr>
            </w:pPr>
            <w:r w:rsidRPr="00E74E29">
              <w:rPr>
                <w:sz w:val="20"/>
                <w:lang w:val="en-CA"/>
              </w:rPr>
              <w:t>Northwest Territories Supreme Court</w:t>
            </w:r>
          </w:p>
          <w:p w:rsidR="0035075E" w:rsidRPr="00E74E29" w:rsidRDefault="0035075E" w:rsidP="0035075E">
            <w:pPr>
              <w:jc w:val="both"/>
              <w:rPr>
                <w:sz w:val="20"/>
                <w:lang w:val="en-CA"/>
              </w:rPr>
            </w:pPr>
            <w:r w:rsidRPr="00E74E29">
              <w:rPr>
                <w:sz w:val="20"/>
                <w:lang w:val="en-CA"/>
              </w:rPr>
              <w:t>(Rouleau J.)</w:t>
            </w:r>
          </w:p>
          <w:p w:rsidR="0035075E" w:rsidRPr="00E74E29" w:rsidRDefault="00463557" w:rsidP="0035075E">
            <w:pPr>
              <w:jc w:val="both"/>
              <w:rPr>
                <w:sz w:val="20"/>
                <w:lang w:val="en-CA"/>
              </w:rPr>
            </w:pPr>
            <w:hyperlink r:id="rId40" w:history="1">
              <w:r w:rsidR="0035075E" w:rsidRPr="00E74E29">
                <w:rPr>
                  <w:rStyle w:val="Hyperlink"/>
                  <w:sz w:val="20"/>
                  <w:lang w:val="en-CA"/>
                </w:rPr>
                <w:t>2020 NWTSC 28</w:t>
              </w:r>
            </w:hyperlink>
            <w:r w:rsidR="0035075E" w:rsidRPr="00E74E29">
              <w:rPr>
                <w:sz w:val="20"/>
                <w:lang w:val="en-CA"/>
              </w:rPr>
              <w:t xml:space="preserve"> </w:t>
            </w:r>
          </w:p>
          <w:p w:rsidR="0035075E" w:rsidRPr="00E74E29" w:rsidRDefault="0035075E" w:rsidP="0035075E">
            <w:pPr>
              <w:jc w:val="both"/>
              <w:rPr>
                <w:sz w:val="20"/>
                <w:lang w:val="en-CA"/>
              </w:rPr>
            </w:pPr>
          </w:p>
        </w:tc>
        <w:tc>
          <w:tcPr>
            <w:tcW w:w="243" w:type="pct"/>
          </w:tcPr>
          <w:p w:rsidR="0035075E" w:rsidRPr="00E74E29" w:rsidRDefault="0035075E" w:rsidP="0035075E">
            <w:pPr>
              <w:jc w:val="both"/>
              <w:rPr>
                <w:sz w:val="20"/>
                <w:lang w:val="en-CA"/>
              </w:rPr>
            </w:pPr>
          </w:p>
        </w:tc>
        <w:tc>
          <w:tcPr>
            <w:tcW w:w="2330" w:type="pct"/>
          </w:tcPr>
          <w:p w:rsidR="0035075E" w:rsidRPr="00E74E29" w:rsidRDefault="0035075E" w:rsidP="0035075E">
            <w:pPr>
              <w:jc w:val="both"/>
              <w:rPr>
                <w:sz w:val="20"/>
                <w:lang w:val="en-CA"/>
              </w:rPr>
            </w:pPr>
            <w:r w:rsidRPr="00E74E29">
              <w:rPr>
                <w:sz w:val="20"/>
                <w:lang w:val="en-CA"/>
              </w:rPr>
              <w:t>Applications for judicial review allowed; Minister’s decisions refusing to admit children of non</w:t>
            </w:r>
            <w:r w:rsidRPr="00E74E29">
              <w:rPr>
                <w:sz w:val="20"/>
                <w:lang w:val="en-CA"/>
              </w:rPr>
              <w:noBreakHyphen/>
              <w:t>rights holder parents to French</w:t>
            </w:r>
            <w:r w:rsidRPr="00E74E29">
              <w:rPr>
                <w:sz w:val="20"/>
                <w:lang w:val="en-CA"/>
              </w:rPr>
              <w:noBreakHyphen/>
              <w:t>language schools set aside; applications for admission of children referred back to Minister for reconsideration</w:t>
            </w:r>
          </w:p>
          <w:p w:rsidR="0035075E" w:rsidRPr="00E74E29" w:rsidRDefault="0035075E" w:rsidP="0035075E">
            <w:pPr>
              <w:jc w:val="both"/>
              <w:rPr>
                <w:sz w:val="20"/>
                <w:lang w:val="en-CA"/>
              </w:rPr>
            </w:pPr>
          </w:p>
        </w:tc>
      </w:tr>
      <w:tr w:rsidR="0035075E" w:rsidRPr="00E74E29" w:rsidTr="00F322C3">
        <w:tc>
          <w:tcPr>
            <w:tcW w:w="2427" w:type="pct"/>
            <w:gridSpan w:val="2"/>
          </w:tcPr>
          <w:p w:rsidR="0035075E" w:rsidRPr="00E74E29" w:rsidRDefault="0035075E" w:rsidP="0035075E">
            <w:pPr>
              <w:jc w:val="both"/>
              <w:rPr>
                <w:sz w:val="20"/>
                <w:lang w:val="en-CA"/>
              </w:rPr>
            </w:pPr>
            <w:r w:rsidRPr="00E74E29">
              <w:rPr>
                <w:sz w:val="20"/>
                <w:lang w:val="en-CA"/>
              </w:rPr>
              <w:t>September 1, 2021</w:t>
            </w:r>
          </w:p>
          <w:p w:rsidR="0035075E" w:rsidRPr="00E74E29" w:rsidRDefault="0035075E" w:rsidP="0035075E">
            <w:pPr>
              <w:jc w:val="both"/>
              <w:rPr>
                <w:sz w:val="20"/>
                <w:lang w:val="en-CA"/>
              </w:rPr>
            </w:pPr>
            <w:r w:rsidRPr="00E74E29">
              <w:rPr>
                <w:sz w:val="20"/>
                <w:lang w:val="en-CA"/>
              </w:rPr>
              <w:t>Northwest Territories Court of Appeal</w:t>
            </w:r>
          </w:p>
          <w:p w:rsidR="0035075E" w:rsidRPr="00E74E29" w:rsidRDefault="0035075E" w:rsidP="0035075E">
            <w:pPr>
              <w:jc w:val="both"/>
              <w:rPr>
                <w:sz w:val="20"/>
                <w:lang w:val="en-CA"/>
              </w:rPr>
            </w:pPr>
            <w:r w:rsidRPr="00E74E29">
              <w:rPr>
                <w:sz w:val="20"/>
                <w:lang w:val="en-CA"/>
              </w:rPr>
              <w:t>(Slatter, Rowbotham and Crighton JJ.A.)</w:t>
            </w:r>
          </w:p>
          <w:p w:rsidR="0035075E" w:rsidRPr="00E74E29" w:rsidRDefault="0035075E" w:rsidP="0035075E">
            <w:pPr>
              <w:jc w:val="both"/>
              <w:rPr>
                <w:sz w:val="20"/>
                <w:lang w:val="en-CA"/>
              </w:rPr>
            </w:pPr>
            <w:r w:rsidRPr="00E74E29">
              <w:rPr>
                <w:sz w:val="20"/>
                <w:lang w:val="en-CA"/>
              </w:rPr>
              <w:t>Nos. A</w:t>
            </w:r>
            <w:r w:rsidRPr="00E74E29">
              <w:rPr>
                <w:sz w:val="20"/>
                <w:lang w:val="en-CA"/>
              </w:rPr>
              <w:noBreakHyphen/>
              <w:t>1</w:t>
            </w:r>
            <w:r w:rsidRPr="00E74E29">
              <w:rPr>
                <w:sz w:val="20"/>
                <w:lang w:val="en-CA"/>
              </w:rPr>
              <w:noBreakHyphen/>
              <w:t>AP</w:t>
            </w:r>
            <w:r w:rsidRPr="00E74E29">
              <w:rPr>
                <w:sz w:val="20"/>
                <w:lang w:val="en-CA"/>
              </w:rPr>
              <w:noBreakHyphen/>
              <w:t>2019</w:t>
            </w:r>
            <w:r w:rsidRPr="00E74E29">
              <w:rPr>
                <w:sz w:val="20"/>
                <w:lang w:val="en-CA"/>
              </w:rPr>
              <w:noBreakHyphen/>
              <w:t>000006 and A</w:t>
            </w:r>
            <w:r w:rsidRPr="00E74E29">
              <w:rPr>
                <w:sz w:val="20"/>
                <w:lang w:val="en-CA"/>
              </w:rPr>
              <w:noBreakHyphen/>
              <w:t>1</w:t>
            </w:r>
            <w:r w:rsidRPr="00E74E29">
              <w:rPr>
                <w:sz w:val="20"/>
                <w:lang w:val="en-CA"/>
              </w:rPr>
              <w:noBreakHyphen/>
              <w:t>AP</w:t>
            </w:r>
            <w:r w:rsidRPr="00E74E29">
              <w:rPr>
                <w:sz w:val="20"/>
                <w:lang w:val="en-CA"/>
              </w:rPr>
              <w:noBreakHyphen/>
              <w:t>2020-000009</w:t>
            </w:r>
          </w:p>
          <w:p w:rsidR="0035075E" w:rsidRPr="00E74E29" w:rsidRDefault="00463557" w:rsidP="0035075E">
            <w:pPr>
              <w:jc w:val="both"/>
              <w:rPr>
                <w:sz w:val="20"/>
                <w:lang w:val="en-CA"/>
              </w:rPr>
            </w:pPr>
            <w:hyperlink r:id="rId41" w:history="1">
              <w:r w:rsidR="0035075E" w:rsidRPr="00E74E29">
                <w:rPr>
                  <w:rStyle w:val="Hyperlink"/>
                  <w:sz w:val="20"/>
                  <w:lang w:val="en-CA"/>
                </w:rPr>
                <w:t>2021 NWTCA 8</w:t>
              </w:r>
            </w:hyperlink>
          </w:p>
          <w:p w:rsidR="0035075E" w:rsidRPr="00E74E29" w:rsidRDefault="0035075E" w:rsidP="0035075E">
            <w:pPr>
              <w:jc w:val="both"/>
              <w:rPr>
                <w:sz w:val="20"/>
                <w:lang w:val="en-CA"/>
              </w:rPr>
            </w:pPr>
          </w:p>
        </w:tc>
        <w:tc>
          <w:tcPr>
            <w:tcW w:w="243" w:type="pct"/>
          </w:tcPr>
          <w:p w:rsidR="0035075E" w:rsidRPr="00E74E29" w:rsidRDefault="0035075E" w:rsidP="0035075E">
            <w:pPr>
              <w:jc w:val="both"/>
              <w:rPr>
                <w:sz w:val="20"/>
                <w:lang w:val="en-CA"/>
              </w:rPr>
            </w:pPr>
          </w:p>
        </w:tc>
        <w:tc>
          <w:tcPr>
            <w:tcW w:w="2330" w:type="pct"/>
          </w:tcPr>
          <w:p w:rsidR="0035075E" w:rsidRPr="00E74E29" w:rsidRDefault="0035075E" w:rsidP="0035075E">
            <w:pPr>
              <w:jc w:val="both"/>
              <w:rPr>
                <w:sz w:val="20"/>
                <w:lang w:val="en-CA"/>
              </w:rPr>
            </w:pPr>
            <w:r w:rsidRPr="00E74E29">
              <w:rPr>
                <w:sz w:val="20"/>
                <w:lang w:val="en-CA"/>
              </w:rPr>
              <w:t>Appeals allowed; orders of Northwest Territories Supreme Court set aside</w:t>
            </w:r>
          </w:p>
          <w:p w:rsidR="0035075E" w:rsidRPr="00E74E29" w:rsidRDefault="0035075E" w:rsidP="0035075E">
            <w:pPr>
              <w:jc w:val="both"/>
              <w:rPr>
                <w:sz w:val="20"/>
                <w:lang w:val="en-CA"/>
              </w:rPr>
            </w:pPr>
          </w:p>
        </w:tc>
      </w:tr>
      <w:tr w:rsidR="0035075E" w:rsidRPr="00E74E29" w:rsidTr="00F322C3">
        <w:tc>
          <w:tcPr>
            <w:tcW w:w="2427" w:type="pct"/>
            <w:gridSpan w:val="2"/>
          </w:tcPr>
          <w:p w:rsidR="0035075E" w:rsidRPr="00E74E29" w:rsidRDefault="0035075E" w:rsidP="0035075E">
            <w:pPr>
              <w:jc w:val="both"/>
              <w:rPr>
                <w:sz w:val="20"/>
                <w:lang w:val="en-CA"/>
              </w:rPr>
            </w:pPr>
            <w:r w:rsidRPr="00E74E29">
              <w:rPr>
                <w:sz w:val="20"/>
                <w:lang w:val="en-CA"/>
              </w:rPr>
              <w:t>November 1, 2021</w:t>
            </w:r>
          </w:p>
          <w:p w:rsidR="0035075E" w:rsidRPr="00E74E29" w:rsidRDefault="0035075E" w:rsidP="0035075E">
            <w:pPr>
              <w:jc w:val="both"/>
              <w:rPr>
                <w:sz w:val="20"/>
                <w:lang w:val="en-CA"/>
              </w:rPr>
            </w:pPr>
            <w:r w:rsidRPr="00E74E29">
              <w:rPr>
                <w:sz w:val="20"/>
                <w:lang w:val="en-CA"/>
              </w:rPr>
              <w:t>Supreme Court of Canada</w:t>
            </w:r>
          </w:p>
          <w:p w:rsidR="0035075E" w:rsidRPr="00E74E29" w:rsidRDefault="0035075E" w:rsidP="0035075E">
            <w:pPr>
              <w:jc w:val="both"/>
              <w:rPr>
                <w:sz w:val="20"/>
                <w:lang w:val="en-CA"/>
              </w:rPr>
            </w:pPr>
          </w:p>
        </w:tc>
        <w:tc>
          <w:tcPr>
            <w:tcW w:w="243" w:type="pct"/>
          </w:tcPr>
          <w:p w:rsidR="0035075E" w:rsidRPr="00E74E29" w:rsidRDefault="0035075E" w:rsidP="0035075E">
            <w:pPr>
              <w:jc w:val="both"/>
              <w:rPr>
                <w:sz w:val="20"/>
                <w:lang w:val="en-CA"/>
              </w:rPr>
            </w:pPr>
          </w:p>
        </w:tc>
        <w:tc>
          <w:tcPr>
            <w:tcW w:w="2330" w:type="pct"/>
          </w:tcPr>
          <w:p w:rsidR="0035075E" w:rsidRPr="00E74E29" w:rsidRDefault="0035075E" w:rsidP="0035075E">
            <w:pPr>
              <w:jc w:val="both"/>
              <w:rPr>
                <w:sz w:val="20"/>
                <w:lang w:val="en-CA"/>
              </w:rPr>
            </w:pPr>
            <w:r w:rsidRPr="00E74E29">
              <w:rPr>
                <w:sz w:val="20"/>
                <w:lang w:val="en-CA"/>
              </w:rPr>
              <w:t>Application for leave to appeal filed</w:t>
            </w:r>
          </w:p>
          <w:p w:rsidR="0035075E" w:rsidRPr="00E74E29" w:rsidRDefault="0035075E" w:rsidP="0035075E">
            <w:pPr>
              <w:jc w:val="both"/>
              <w:rPr>
                <w:sz w:val="20"/>
                <w:lang w:val="en-CA"/>
              </w:rPr>
            </w:pPr>
          </w:p>
        </w:tc>
      </w:tr>
      <w:tr w:rsidR="0035075E" w:rsidRPr="00E74E29" w:rsidTr="00F322C3">
        <w:tc>
          <w:tcPr>
            <w:tcW w:w="2427" w:type="pct"/>
            <w:gridSpan w:val="2"/>
          </w:tcPr>
          <w:p w:rsidR="0035075E" w:rsidRPr="00E74E29" w:rsidRDefault="0035075E" w:rsidP="0035075E">
            <w:pPr>
              <w:jc w:val="both"/>
              <w:rPr>
                <w:sz w:val="20"/>
                <w:lang w:val="en-CA"/>
              </w:rPr>
            </w:pPr>
            <w:r w:rsidRPr="00E74E29">
              <w:rPr>
                <w:sz w:val="20"/>
                <w:lang w:val="en-CA"/>
              </w:rPr>
              <w:t>November 1, 2021</w:t>
            </w:r>
          </w:p>
          <w:p w:rsidR="0035075E" w:rsidRPr="00E74E29" w:rsidRDefault="0035075E" w:rsidP="0035075E">
            <w:pPr>
              <w:jc w:val="both"/>
              <w:rPr>
                <w:sz w:val="20"/>
                <w:lang w:val="en-CA"/>
              </w:rPr>
            </w:pPr>
            <w:r w:rsidRPr="00E74E29">
              <w:rPr>
                <w:sz w:val="20"/>
                <w:lang w:val="en-CA"/>
              </w:rPr>
              <w:t>Supreme Court of Canada</w:t>
            </w:r>
          </w:p>
        </w:tc>
        <w:tc>
          <w:tcPr>
            <w:tcW w:w="243" w:type="pct"/>
          </w:tcPr>
          <w:p w:rsidR="0035075E" w:rsidRPr="00E74E29" w:rsidRDefault="0035075E" w:rsidP="0035075E">
            <w:pPr>
              <w:jc w:val="both"/>
              <w:rPr>
                <w:sz w:val="20"/>
                <w:lang w:val="en-CA"/>
              </w:rPr>
            </w:pPr>
          </w:p>
        </w:tc>
        <w:tc>
          <w:tcPr>
            <w:tcW w:w="2330" w:type="pct"/>
          </w:tcPr>
          <w:p w:rsidR="0035075E" w:rsidRPr="00E74E29" w:rsidRDefault="0035075E" w:rsidP="0035075E">
            <w:pPr>
              <w:jc w:val="both"/>
              <w:rPr>
                <w:sz w:val="20"/>
                <w:lang w:val="en-CA"/>
              </w:rPr>
            </w:pPr>
            <w:r w:rsidRPr="00E74E29">
              <w:rPr>
                <w:sz w:val="20"/>
                <w:lang w:val="en-CA"/>
              </w:rPr>
              <w:t>Motion to adduce new evidence filed</w:t>
            </w:r>
          </w:p>
        </w:tc>
      </w:tr>
    </w:tbl>
    <w:p w:rsidR="0035075E" w:rsidRPr="00E74E29" w:rsidRDefault="0035075E" w:rsidP="0035075E">
      <w:pPr>
        <w:jc w:val="both"/>
        <w:rPr>
          <w:sz w:val="20"/>
          <w:lang w:val="en-CA"/>
        </w:rPr>
      </w:pPr>
    </w:p>
    <w:p w:rsidR="00F322C3" w:rsidRPr="00E74E29" w:rsidRDefault="00463557" w:rsidP="0035075E">
      <w:pPr>
        <w:jc w:val="both"/>
        <w:rPr>
          <w:sz w:val="20"/>
          <w:lang w:val="en-CA"/>
        </w:rPr>
      </w:pPr>
      <w:r>
        <w:rPr>
          <w:sz w:val="20"/>
        </w:rPr>
        <w:pict>
          <v:rect id="_x0000_i1041" style="width:2in;height:1pt" o:hrpct="0" o:hralign="center" o:hrstd="t" o:hrnoshade="t" o:hr="t" fillcolor="black [3213]" stroked="f"/>
        </w:pict>
      </w:r>
    </w:p>
    <w:p w:rsidR="00F322C3" w:rsidRPr="00E74E29" w:rsidRDefault="00F322C3" w:rsidP="0035075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075E" w:rsidRPr="00463557" w:rsidTr="00F322C3">
        <w:tc>
          <w:tcPr>
            <w:tcW w:w="543" w:type="pct"/>
          </w:tcPr>
          <w:p w:rsidR="0035075E" w:rsidRPr="00E74E29" w:rsidRDefault="0035075E" w:rsidP="0035075E">
            <w:pPr>
              <w:jc w:val="both"/>
              <w:rPr>
                <w:sz w:val="20"/>
              </w:rPr>
            </w:pPr>
            <w:r w:rsidRPr="00E74E29">
              <w:rPr>
                <w:rStyle w:val="SCCFileNumberChar"/>
                <w:sz w:val="20"/>
                <w:szCs w:val="20"/>
              </w:rPr>
              <w:lastRenderedPageBreak/>
              <w:t>39915</w:t>
            </w:r>
          </w:p>
        </w:tc>
        <w:tc>
          <w:tcPr>
            <w:tcW w:w="4457" w:type="pct"/>
            <w:gridSpan w:val="3"/>
          </w:tcPr>
          <w:p w:rsidR="0035075E" w:rsidRPr="00E74E29" w:rsidRDefault="0035075E" w:rsidP="0035075E">
            <w:pPr>
              <w:pStyle w:val="SCCLsocParty"/>
              <w:jc w:val="both"/>
              <w:rPr>
                <w:b/>
                <w:sz w:val="20"/>
                <w:szCs w:val="20"/>
              </w:rPr>
            </w:pPr>
            <w:r w:rsidRPr="00E74E29">
              <w:rPr>
                <w:b/>
                <w:sz w:val="20"/>
                <w:szCs w:val="20"/>
              </w:rPr>
              <w:t>Commission scolaire francophone des Territoires du Nord-Ouest, A.B. c. Ministre de l’Éducation, de la Culture  et de la Formation des Territoires du  Nord-Ouest</w:t>
            </w:r>
          </w:p>
          <w:p w:rsidR="0035075E" w:rsidRPr="00E74E29" w:rsidRDefault="0035075E" w:rsidP="0035075E">
            <w:pPr>
              <w:pStyle w:val="SCCLsocSubfileSeparator"/>
              <w:rPr>
                <w:sz w:val="20"/>
                <w:szCs w:val="20"/>
                <w:lang w:val="fr-CA"/>
              </w:rPr>
            </w:pPr>
            <w:r w:rsidRPr="00E74E29">
              <w:rPr>
                <w:sz w:val="20"/>
                <w:szCs w:val="20"/>
                <w:lang w:val="fr-CA"/>
              </w:rPr>
              <w:t>- et entre -</w:t>
            </w:r>
          </w:p>
          <w:p w:rsidR="0035075E" w:rsidRPr="00E74E29" w:rsidRDefault="0035075E" w:rsidP="0035075E">
            <w:pPr>
              <w:pStyle w:val="SCCLsocParty"/>
              <w:jc w:val="both"/>
              <w:rPr>
                <w:b/>
                <w:sz w:val="20"/>
                <w:szCs w:val="20"/>
              </w:rPr>
            </w:pPr>
            <w:r w:rsidRPr="00E74E29">
              <w:rPr>
                <w:b/>
                <w:sz w:val="20"/>
                <w:szCs w:val="20"/>
              </w:rPr>
              <w:t>Commission scolaire francophone des Territoires du Nord-Ouest, A.B., F.A., T.B., E.S. et J.J. c. Ministre de l’Éducation, de la Culture et de la Formation des Territoires du  Nord-Ouest</w:t>
            </w:r>
          </w:p>
          <w:p w:rsidR="0035075E" w:rsidRPr="00E74E29" w:rsidRDefault="0035075E" w:rsidP="00F322C3">
            <w:pPr>
              <w:jc w:val="both"/>
              <w:rPr>
                <w:sz w:val="20"/>
                <w:lang w:val="fr-CA"/>
              </w:rPr>
            </w:pPr>
            <w:r w:rsidRPr="00E74E29">
              <w:rPr>
                <w:sz w:val="20"/>
                <w:lang w:val="fr-CA"/>
              </w:rPr>
              <w:t>(T.N.</w:t>
            </w:r>
            <w:r w:rsidRPr="00E74E29">
              <w:rPr>
                <w:sz w:val="20"/>
                <w:lang w:val="fr-CA"/>
              </w:rPr>
              <w:noBreakHyphen/>
              <w:t>O.) (Civile) (Autorisation)</w:t>
            </w:r>
          </w:p>
        </w:tc>
      </w:tr>
      <w:tr w:rsidR="0035075E" w:rsidRPr="00463557" w:rsidTr="00F322C3">
        <w:tc>
          <w:tcPr>
            <w:tcW w:w="5000" w:type="pct"/>
            <w:gridSpan w:val="4"/>
          </w:tcPr>
          <w:p w:rsidR="0035075E" w:rsidRPr="00E74E29" w:rsidRDefault="0035075E" w:rsidP="0035075E">
            <w:pPr>
              <w:jc w:val="both"/>
              <w:rPr>
                <w:sz w:val="20"/>
                <w:lang w:val="fr-CA"/>
              </w:rPr>
            </w:pPr>
            <w:r w:rsidRPr="00E74E29">
              <w:rPr>
                <w:sz w:val="20"/>
                <w:lang w:val="fr-CA"/>
              </w:rPr>
              <w:t xml:space="preserve">Droit constitutionnel — </w:t>
            </w:r>
            <w:r w:rsidRPr="00E74E29">
              <w:rPr>
                <w:i/>
                <w:sz w:val="20"/>
                <w:lang w:val="fr-CA"/>
              </w:rPr>
              <w:t>Charte des droits</w:t>
            </w:r>
            <w:r w:rsidRPr="00E74E29">
              <w:rPr>
                <w:sz w:val="20"/>
                <w:lang w:val="fr-CA"/>
              </w:rPr>
              <w:t xml:space="preserve"> — Droit à l’instruction dans la langue de la minorité — Directive ministérielle — Droit administratif — Discrétion — Droit d’employer le français dans des instances judiciaires — Interprétation simultanée — Enfants de parents non-ayants droit — Demandes d’admission à des écoles de la minorité francophone refusées par Ministre — Décisions annulées en première instance, mais rétablies en appel — Est</w:t>
            </w:r>
            <w:r w:rsidRPr="00E74E29">
              <w:rPr>
                <w:sz w:val="20"/>
                <w:lang w:val="fr-CA"/>
              </w:rPr>
              <w:noBreakHyphen/>
              <w:t xml:space="preserve">ce que l’article 23 est fondamentalement différent des autres droits de la </w:t>
            </w:r>
            <w:r w:rsidRPr="00E74E29">
              <w:rPr>
                <w:i/>
                <w:sz w:val="20"/>
                <w:lang w:val="fr-CA"/>
              </w:rPr>
              <w:t>Charte</w:t>
            </w:r>
            <w:r w:rsidRPr="00E74E29">
              <w:rPr>
                <w:sz w:val="20"/>
                <w:lang w:val="fr-CA"/>
              </w:rPr>
              <w:t xml:space="preserve"> en ce que les décideurs administratifs n’ont pas à considérer les valeurs sous</w:t>
            </w:r>
            <w:r w:rsidRPr="00E74E29">
              <w:rPr>
                <w:sz w:val="20"/>
                <w:lang w:val="fr-CA"/>
              </w:rPr>
              <w:noBreakHyphen/>
              <w:t>jacentes à ce droit ou son triple objet dans l’exercice de leur discrétion? — Un administré doit</w:t>
            </w:r>
            <w:r w:rsidRPr="00E74E29">
              <w:rPr>
                <w:sz w:val="20"/>
                <w:lang w:val="fr-CA"/>
              </w:rPr>
              <w:noBreakHyphen/>
              <w:t xml:space="preserve">il démontrer une atteinte à un droit protégé par la </w:t>
            </w:r>
            <w:r w:rsidRPr="00E74E29">
              <w:rPr>
                <w:i/>
                <w:sz w:val="20"/>
                <w:lang w:val="fr-CA"/>
              </w:rPr>
              <w:t>Charte</w:t>
            </w:r>
            <w:r w:rsidRPr="00E74E29">
              <w:rPr>
                <w:sz w:val="20"/>
                <w:lang w:val="fr-CA"/>
              </w:rPr>
              <w:t xml:space="preserve"> pour qu’un décideur administratif ait l’obligation de considérer les valeurs sous</w:t>
            </w:r>
            <w:r w:rsidRPr="00E74E29">
              <w:rPr>
                <w:sz w:val="20"/>
                <w:lang w:val="fr-CA"/>
              </w:rPr>
              <w:noBreakHyphen/>
              <w:t>jacentes ou l’objet de ce droit dans sa prise de décision? — Le détenteur d’un pouvoir discrétionnaire a</w:t>
            </w:r>
            <w:r w:rsidRPr="00E74E29">
              <w:rPr>
                <w:sz w:val="20"/>
                <w:lang w:val="fr-CA"/>
              </w:rPr>
              <w:noBreakHyphen/>
              <w:t>t</w:t>
            </w:r>
            <w:r w:rsidRPr="00E74E29">
              <w:rPr>
                <w:sz w:val="20"/>
                <w:lang w:val="fr-CA"/>
              </w:rPr>
              <w:noBreakHyphen/>
              <w:t>il l’obligation de décider d’exercer le pouvoir discrétionnaire ou non? — Le droit « d’employer » le français devant les tribunaux des Territoires inclut</w:t>
            </w:r>
            <w:r w:rsidRPr="00E74E29">
              <w:rPr>
                <w:sz w:val="20"/>
                <w:lang w:val="fr-CA"/>
              </w:rPr>
              <w:noBreakHyphen/>
              <w:t>il celui d’être compris directement, c’est</w:t>
            </w:r>
            <w:r w:rsidRPr="00E74E29">
              <w:rPr>
                <w:sz w:val="20"/>
                <w:lang w:val="fr-CA"/>
              </w:rPr>
              <w:noBreakHyphen/>
              <w:t>à</w:t>
            </w:r>
            <w:r w:rsidRPr="00E74E29">
              <w:rPr>
                <w:sz w:val="20"/>
                <w:lang w:val="fr-CA"/>
              </w:rPr>
              <w:noBreakHyphen/>
              <w:t xml:space="preserve">dire sans interprète? — </w:t>
            </w:r>
            <w:r w:rsidRPr="00E74E29">
              <w:rPr>
                <w:i/>
                <w:sz w:val="20"/>
                <w:lang w:val="fr-CA"/>
              </w:rPr>
              <w:t>Charte canadienne des droits et libertés</w:t>
            </w:r>
            <w:r w:rsidRPr="00E74E29">
              <w:rPr>
                <w:sz w:val="20"/>
                <w:lang w:val="fr-CA"/>
              </w:rPr>
              <w:t xml:space="preserve">, art. 19(1) et 23 — </w:t>
            </w:r>
            <w:r w:rsidRPr="00E74E29">
              <w:rPr>
                <w:i/>
                <w:sz w:val="20"/>
                <w:lang w:val="fr-CA"/>
              </w:rPr>
              <w:t>Loi sur les langues officielles</w:t>
            </w:r>
            <w:r w:rsidRPr="00E74E29">
              <w:rPr>
                <w:sz w:val="20"/>
                <w:lang w:val="fr-CA"/>
              </w:rPr>
              <w:t>, LRTN</w:t>
            </w:r>
            <w:r w:rsidRPr="00E74E29">
              <w:rPr>
                <w:sz w:val="20"/>
                <w:lang w:val="fr-CA"/>
              </w:rPr>
              <w:noBreakHyphen/>
              <w:t>O 1988, c O</w:t>
            </w:r>
            <w:r w:rsidRPr="00E74E29">
              <w:rPr>
                <w:sz w:val="20"/>
                <w:lang w:val="fr-CA"/>
              </w:rPr>
              <w:noBreakHyphen/>
              <w:t>1, art. 9(1).</w:t>
            </w:r>
          </w:p>
        </w:tc>
      </w:tr>
      <w:tr w:rsidR="0035075E" w:rsidRPr="00463557" w:rsidTr="00F322C3">
        <w:tc>
          <w:tcPr>
            <w:tcW w:w="5000" w:type="pct"/>
            <w:gridSpan w:val="4"/>
          </w:tcPr>
          <w:p w:rsidR="0035075E" w:rsidRPr="00E74E29" w:rsidRDefault="0035075E" w:rsidP="0035075E">
            <w:pPr>
              <w:jc w:val="both"/>
              <w:rPr>
                <w:sz w:val="20"/>
                <w:lang w:val="fr-CA"/>
              </w:rPr>
            </w:pPr>
          </w:p>
        </w:tc>
      </w:tr>
      <w:tr w:rsidR="0035075E" w:rsidRPr="00463557" w:rsidTr="00F322C3">
        <w:tc>
          <w:tcPr>
            <w:tcW w:w="5000" w:type="pct"/>
            <w:gridSpan w:val="4"/>
          </w:tcPr>
          <w:p w:rsidR="0035075E" w:rsidRPr="00E74E29" w:rsidRDefault="0035075E" w:rsidP="0035075E">
            <w:pPr>
              <w:jc w:val="both"/>
              <w:rPr>
                <w:sz w:val="20"/>
                <w:lang w:val="fr-CA"/>
              </w:rPr>
            </w:pPr>
            <w:r w:rsidRPr="00E74E29">
              <w:rPr>
                <w:sz w:val="20"/>
                <w:lang w:val="fr-CA"/>
              </w:rPr>
              <w:t>En 2018 et 2019, la Ministre de l’Éducation, de la Culture et de la Formation des Territoires du Nord</w:t>
            </w:r>
            <w:r w:rsidRPr="00E74E29">
              <w:rPr>
                <w:sz w:val="20"/>
                <w:lang w:val="fr-CA"/>
              </w:rPr>
              <w:noBreakHyphen/>
              <w:t>Ouest a refusé six demandes d’admission à des écoles francophones formulées par des parents non</w:t>
            </w:r>
            <w:r w:rsidRPr="00E74E29">
              <w:rPr>
                <w:sz w:val="20"/>
                <w:lang w:val="fr-CA"/>
              </w:rPr>
              <w:noBreakHyphen/>
              <w:t xml:space="preserve">ayants droit. L’inadmissibilité des enfants de ces parents a été appréciée selon les critères établis dans la </w:t>
            </w:r>
            <w:r w:rsidRPr="00E74E29">
              <w:rPr>
                <w:i/>
                <w:sz w:val="20"/>
                <w:lang w:val="fr-CA"/>
              </w:rPr>
              <w:t>Directive ministérielle sur l’inscription des élèves aux programmes d’enseignement en français langue première</w:t>
            </w:r>
            <w:r w:rsidRPr="00E74E29">
              <w:rPr>
                <w:sz w:val="20"/>
                <w:lang w:val="fr-CA"/>
              </w:rPr>
              <w:t>. Puisqu’aucun des critères de la Directive ne s’appliquait dans les circonstances, les parents ont demandé à la Ministre d’exercer sa discrétion résiduelle pour permettre aux six enfants concernés d’être admis, ce qui a été refusé. Les parents non</w:t>
            </w:r>
            <w:r w:rsidRPr="00E74E29">
              <w:rPr>
                <w:sz w:val="20"/>
                <w:lang w:val="fr-CA"/>
              </w:rPr>
              <w:noBreakHyphen/>
              <w:t>ayants droit, ainsi que la Commission scolaire, ont porté les décisions ministérielles en révision judiciaire. Par le biais de deux jugements, la Cour suprême des Territoires du Nord</w:t>
            </w:r>
            <w:r w:rsidRPr="00E74E29">
              <w:rPr>
                <w:sz w:val="20"/>
                <w:lang w:val="fr-CA"/>
              </w:rPr>
              <w:noBreakHyphen/>
              <w:t xml:space="preserve">Ouest a annulé les décisions de la Ministre, ayant conclu à l’absence d’une mise en balance proportionnée entre les protections garanties par l’art. 23 de la </w:t>
            </w:r>
            <w:r w:rsidRPr="00E74E29">
              <w:rPr>
                <w:i/>
                <w:sz w:val="20"/>
                <w:lang w:val="fr-CA"/>
              </w:rPr>
              <w:t>Charte</w:t>
            </w:r>
            <w:r w:rsidRPr="00E74E29">
              <w:rPr>
                <w:sz w:val="20"/>
                <w:lang w:val="fr-CA"/>
              </w:rPr>
              <w:t xml:space="preserve"> et les intérêts du gouvernement. La majorité de la Cour d’appel a accueilli les appels de la Ministre et a rétabli ses décisions. </w:t>
            </w:r>
            <w:r w:rsidRPr="00E74E29">
              <w:rPr>
                <w:color w:val="000000"/>
                <w:sz w:val="20"/>
                <w:lang w:val="fr-CA"/>
              </w:rPr>
              <w:t>Elle a conclu que le raisonnement du juge de première instance relativement aux valeurs constitutionnelles partait d’une hypothèse erronée selon laquelle l’affaire mettait en cause des droits constitutionnels. Les familles en question ne répondaient pas aux critères de l’article 23 et n’avaient aucun autre droit ou expectative en common law ou d’origine législative de fréquenter les écoles.</w:t>
            </w:r>
          </w:p>
          <w:p w:rsidR="0035075E" w:rsidRPr="00E74E29" w:rsidRDefault="0035075E" w:rsidP="0035075E">
            <w:pPr>
              <w:jc w:val="both"/>
              <w:rPr>
                <w:sz w:val="20"/>
                <w:lang w:val="fr-CA"/>
              </w:rPr>
            </w:pP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t>Le 2 juillet 2019</w:t>
            </w:r>
          </w:p>
          <w:p w:rsidR="0035075E" w:rsidRPr="00E74E29" w:rsidRDefault="0035075E" w:rsidP="0035075E">
            <w:pPr>
              <w:jc w:val="both"/>
              <w:rPr>
                <w:sz w:val="20"/>
                <w:lang w:val="fr-CA"/>
              </w:rPr>
            </w:pPr>
            <w:r w:rsidRPr="00E74E29">
              <w:rPr>
                <w:sz w:val="20"/>
                <w:lang w:val="fr-CA"/>
              </w:rPr>
              <w:t>Cour suprême des Territoires du Nord</w:t>
            </w:r>
            <w:r w:rsidRPr="00E74E29">
              <w:rPr>
                <w:sz w:val="20"/>
                <w:lang w:val="fr-CA"/>
              </w:rPr>
              <w:noBreakHyphen/>
              <w:t>Ouest (le juge Rouleau)</w:t>
            </w:r>
          </w:p>
          <w:p w:rsidR="0035075E" w:rsidRPr="00E74E29" w:rsidRDefault="00463557" w:rsidP="0035075E">
            <w:pPr>
              <w:jc w:val="both"/>
              <w:rPr>
                <w:sz w:val="20"/>
              </w:rPr>
            </w:pPr>
            <w:hyperlink r:id="rId42" w:anchor="document" w:history="1">
              <w:r w:rsidR="0035075E" w:rsidRPr="00E74E29">
                <w:rPr>
                  <w:rStyle w:val="Hyperlink"/>
                  <w:sz w:val="20"/>
                </w:rPr>
                <w:t>2019 TNOCS 25</w:t>
              </w:r>
            </w:hyperlink>
            <w:r w:rsidR="0035075E" w:rsidRPr="00E74E29">
              <w:rPr>
                <w:sz w:val="20"/>
              </w:rPr>
              <w:t xml:space="preserve"> </w:t>
            </w: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lang w:val="fr-CA"/>
              </w:rPr>
            </w:pPr>
            <w:r w:rsidRPr="00E74E29">
              <w:rPr>
                <w:sz w:val="20"/>
                <w:lang w:val="fr-CA"/>
              </w:rPr>
              <w:t>Demande de contrôle judiciaire accueillie; décisions de la Ministre refusant d’admettre enfant de parents non</w:t>
            </w:r>
            <w:r w:rsidRPr="00E74E29">
              <w:rPr>
                <w:sz w:val="20"/>
                <w:lang w:val="fr-CA"/>
              </w:rPr>
              <w:noBreakHyphen/>
              <w:t>ayants droits à une école francophone annulées; demande d’admission de l’enfant retournée à la Ministre aux fins d’un nouvel examen</w:t>
            </w:r>
          </w:p>
          <w:p w:rsidR="0035075E" w:rsidRPr="00E74E29" w:rsidRDefault="0035075E" w:rsidP="0035075E">
            <w:pPr>
              <w:jc w:val="both"/>
              <w:rPr>
                <w:sz w:val="20"/>
                <w:lang w:val="fr-CA"/>
              </w:rPr>
            </w:pP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t>Le 23 juillet 2020</w:t>
            </w:r>
          </w:p>
          <w:p w:rsidR="0035075E" w:rsidRPr="00E74E29" w:rsidRDefault="0035075E" w:rsidP="0035075E">
            <w:pPr>
              <w:jc w:val="both"/>
              <w:rPr>
                <w:sz w:val="20"/>
                <w:lang w:val="fr-CA"/>
              </w:rPr>
            </w:pPr>
            <w:r w:rsidRPr="00E74E29">
              <w:rPr>
                <w:sz w:val="20"/>
                <w:lang w:val="fr-CA"/>
              </w:rPr>
              <w:t>Cour suprême des Territoires du Nord</w:t>
            </w:r>
            <w:r w:rsidRPr="00E74E29">
              <w:rPr>
                <w:sz w:val="20"/>
                <w:lang w:val="fr-CA"/>
              </w:rPr>
              <w:noBreakHyphen/>
              <w:t>Ouest</w:t>
            </w:r>
          </w:p>
          <w:p w:rsidR="0035075E" w:rsidRPr="00E74E29" w:rsidRDefault="0035075E" w:rsidP="0035075E">
            <w:pPr>
              <w:jc w:val="both"/>
              <w:rPr>
                <w:sz w:val="20"/>
              </w:rPr>
            </w:pPr>
            <w:r w:rsidRPr="00E74E29">
              <w:rPr>
                <w:sz w:val="20"/>
              </w:rPr>
              <w:t>(le juge Rouleau)</w:t>
            </w:r>
          </w:p>
          <w:p w:rsidR="0035075E" w:rsidRPr="00E74E29" w:rsidRDefault="00463557" w:rsidP="0035075E">
            <w:pPr>
              <w:jc w:val="both"/>
              <w:rPr>
                <w:sz w:val="20"/>
              </w:rPr>
            </w:pPr>
            <w:hyperlink r:id="rId43" w:history="1">
              <w:r w:rsidR="0035075E" w:rsidRPr="00E74E29">
                <w:rPr>
                  <w:rStyle w:val="Hyperlink"/>
                  <w:sz w:val="20"/>
                </w:rPr>
                <w:t>2020 TNOCS 28</w:t>
              </w:r>
            </w:hyperlink>
            <w:r w:rsidR="0035075E" w:rsidRPr="00E74E29">
              <w:rPr>
                <w:sz w:val="20"/>
              </w:rPr>
              <w:t xml:space="preserve"> </w:t>
            </w:r>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lang w:val="fr-CA"/>
              </w:rPr>
            </w:pPr>
            <w:r w:rsidRPr="00E74E29">
              <w:rPr>
                <w:sz w:val="20"/>
                <w:lang w:val="fr-CA"/>
              </w:rPr>
              <w:t>Demandes de contrôle judiciaire accueillies; décisions de la Ministre refusant d’admettre enfants de parents non</w:t>
            </w:r>
            <w:r w:rsidRPr="00E74E29">
              <w:rPr>
                <w:sz w:val="20"/>
                <w:lang w:val="fr-CA"/>
              </w:rPr>
              <w:noBreakHyphen/>
              <w:t>ayants droits à des écoles francophones annulées; demandes d’admission des enfants retournées à la Ministre aux fins d’un nouvel examen</w:t>
            </w:r>
          </w:p>
          <w:p w:rsidR="0035075E" w:rsidRPr="00E74E29" w:rsidRDefault="0035075E" w:rsidP="0035075E">
            <w:pPr>
              <w:jc w:val="both"/>
              <w:rPr>
                <w:sz w:val="20"/>
                <w:lang w:val="fr-CA"/>
              </w:rPr>
            </w:pP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t>Le 1 septembre 2021</w:t>
            </w:r>
          </w:p>
          <w:p w:rsidR="0035075E" w:rsidRPr="00E74E29" w:rsidRDefault="0035075E" w:rsidP="0035075E">
            <w:pPr>
              <w:jc w:val="both"/>
              <w:rPr>
                <w:sz w:val="20"/>
                <w:lang w:val="fr-CA"/>
              </w:rPr>
            </w:pPr>
            <w:r w:rsidRPr="00E74E29">
              <w:rPr>
                <w:sz w:val="20"/>
                <w:lang w:val="fr-CA"/>
              </w:rPr>
              <w:t>Cour d’appel des Territoires du Nord</w:t>
            </w:r>
            <w:r w:rsidRPr="00E74E29">
              <w:rPr>
                <w:sz w:val="20"/>
                <w:lang w:val="fr-CA"/>
              </w:rPr>
              <w:noBreakHyphen/>
              <w:t>Ouest</w:t>
            </w:r>
          </w:p>
          <w:p w:rsidR="0035075E" w:rsidRPr="00E74E29" w:rsidRDefault="0035075E" w:rsidP="0035075E">
            <w:pPr>
              <w:jc w:val="both"/>
              <w:rPr>
                <w:sz w:val="20"/>
                <w:lang w:val="fr-CA"/>
              </w:rPr>
            </w:pPr>
            <w:r w:rsidRPr="00E74E29">
              <w:rPr>
                <w:sz w:val="20"/>
                <w:lang w:val="fr-CA"/>
              </w:rPr>
              <w:t>(les juges Slatter, Rowbotham et Crighton)</w:t>
            </w:r>
          </w:p>
          <w:p w:rsidR="0035075E" w:rsidRPr="00E74E29" w:rsidRDefault="0035075E" w:rsidP="0035075E">
            <w:pPr>
              <w:jc w:val="both"/>
              <w:rPr>
                <w:sz w:val="20"/>
                <w:lang w:val="fr-CA"/>
              </w:rPr>
            </w:pPr>
            <w:r w:rsidRPr="00E74E29">
              <w:rPr>
                <w:sz w:val="20"/>
                <w:lang w:val="fr-CA"/>
              </w:rPr>
              <w:t>Nos. A</w:t>
            </w:r>
            <w:r w:rsidRPr="00E74E29">
              <w:rPr>
                <w:sz w:val="20"/>
                <w:lang w:val="fr-CA"/>
              </w:rPr>
              <w:noBreakHyphen/>
              <w:t>1</w:t>
            </w:r>
            <w:r w:rsidRPr="00E74E29">
              <w:rPr>
                <w:sz w:val="20"/>
                <w:lang w:val="fr-CA"/>
              </w:rPr>
              <w:noBreakHyphen/>
              <w:t>AP</w:t>
            </w:r>
            <w:r w:rsidRPr="00E74E29">
              <w:rPr>
                <w:sz w:val="20"/>
                <w:lang w:val="fr-CA"/>
              </w:rPr>
              <w:noBreakHyphen/>
              <w:t>2019</w:t>
            </w:r>
            <w:r w:rsidRPr="00E74E29">
              <w:rPr>
                <w:sz w:val="20"/>
                <w:lang w:val="fr-CA"/>
              </w:rPr>
              <w:noBreakHyphen/>
              <w:t>000006 et A</w:t>
            </w:r>
            <w:r w:rsidRPr="00E74E29">
              <w:rPr>
                <w:sz w:val="20"/>
                <w:lang w:val="fr-CA"/>
              </w:rPr>
              <w:noBreakHyphen/>
              <w:t>1</w:t>
            </w:r>
            <w:r w:rsidRPr="00E74E29">
              <w:rPr>
                <w:sz w:val="20"/>
                <w:lang w:val="fr-CA"/>
              </w:rPr>
              <w:noBreakHyphen/>
              <w:t>AP</w:t>
            </w:r>
            <w:r w:rsidRPr="00E74E29">
              <w:rPr>
                <w:sz w:val="20"/>
                <w:lang w:val="fr-CA"/>
              </w:rPr>
              <w:noBreakHyphen/>
              <w:t>2020-000009</w:t>
            </w:r>
          </w:p>
          <w:p w:rsidR="0035075E" w:rsidRPr="00E74E29" w:rsidRDefault="00463557" w:rsidP="0035075E">
            <w:pPr>
              <w:jc w:val="both"/>
              <w:rPr>
                <w:sz w:val="20"/>
              </w:rPr>
            </w:pPr>
            <w:hyperlink r:id="rId44" w:history="1">
              <w:r w:rsidR="0035075E" w:rsidRPr="00E74E29">
                <w:rPr>
                  <w:rStyle w:val="Hyperlink"/>
                  <w:sz w:val="20"/>
                </w:rPr>
                <w:t>2021 TNOCA 8</w:t>
              </w:r>
            </w:hyperlink>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lang w:val="fr-CA"/>
              </w:rPr>
            </w:pPr>
            <w:r w:rsidRPr="00E74E29">
              <w:rPr>
                <w:sz w:val="20"/>
                <w:lang w:val="fr-CA"/>
              </w:rPr>
              <w:t>Appels accueillis; ordonnances de la Cour suprême des Territoires du Nord</w:t>
            </w:r>
            <w:r w:rsidRPr="00E74E29">
              <w:rPr>
                <w:sz w:val="20"/>
                <w:lang w:val="fr-CA"/>
              </w:rPr>
              <w:noBreakHyphen/>
              <w:t>Ouest annulées</w:t>
            </w:r>
          </w:p>
          <w:p w:rsidR="0035075E" w:rsidRPr="00E74E29" w:rsidRDefault="0035075E" w:rsidP="0035075E">
            <w:pPr>
              <w:jc w:val="both"/>
              <w:rPr>
                <w:sz w:val="20"/>
                <w:lang w:val="fr-CA"/>
              </w:rPr>
            </w:pPr>
          </w:p>
        </w:tc>
      </w:tr>
      <w:tr w:rsidR="0035075E" w:rsidRPr="00E74E29" w:rsidTr="00F322C3">
        <w:tc>
          <w:tcPr>
            <w:tcW w:w="2427" w:type="pct"/>
            <w:gridSpan w:val="2"/>
          </w:tcPr>
          <w:p w:rsidR="0035075E" w:rsidRPr="00E74E29" w:rsidRDefault="0035075E" w:rsidP="0035075E">
            <w:pPr>
              <w:jc w:val="both"/>
              <w:rPr>
                <w:sz w:val="20"/>
                <w:lang w:val="fr-CA"/>
              </w:rPr>
            </w:pPr>
            <w:r w:rsidRPr="00E74E29">
              <w:rPr>
                <w:sz w:val="20"/>
                <w:lang w:val="fr-CA"/>
              </w:rPr>
              <w:t>Le 1 novembre 2021</w:t>
            </w:r>
          </w:p>
          <w:p w:rsidR="0035075E" w:rsidRPr="00E74E29" w:rsidRDefault="0035075E" w:rsidP="0035075E">
            <w:pPr>
              <w:jc w:val="both"/>
              <w:rPr>
                <w:sz w:val="20"/>
                <w:lang w:val="fr-CA"/>
              </w:rPr>
            </w:pPr>
            <w:r w:rsidRPr="00E74E29">
              <w:rPr>
                <w:sz w:val="20"/>
                <w:lang w:val="fr-CA"/>
              </w:rPr>
              <w:t>Cour suprême du Canada</w:t>
            </w:r>
          </w:p>
          <w:p w:rsidR="0035075E" w:rsidRPr="00E74E29" w:rsidRDefault="0035075E" w:rsidP="0035075E">
            <w:pPr>
              <w:jc w:val="both"/>
              <w:rPr>
                <w:sz w:val="20"/>
                <w:lang w:val="fr-CA"/>
              </w:rPr>
            </w:pPr>
          </w:p>
        </w:tc>
        <w:tc>
          <w:tcPr>
            <w:tcW w:w="243" w:type="pct"/>
          </w:tcPr>
          <w:p w:rsidR="0035075E" w:rsidRPr="00E74E29" w:rsidRDefault="0035075E" w:rsidP="0035075E">
            <w:pPr>
              <w:jc w:val="both"/>
              <w:rPr>
                <w:sz w:val="20"/>
                <w:lang w:val="fr-CA"/>
              </w:rPr>
            </w:pPr>
          </w:p>
        </w:tc>
        <w:tc>
          <w:tcPr>
            <w:tcW w:w="2330" w:type="pct"/>
          </w:tcPr>
          <w:p w:rsidR="0035075E" w:rsidRPr="00E74E29" w:rsidRDefault="0035075E" w:rsidP="0035075E">
            <w:pPr>
              <w:jc w:val="both"/>
              <w:rPr>
                <w:sz w:val="20"/>
              </w:rPr>
            </w:pPr>
            <w:r w:rsidRPr="00E74E29">
              <w:rPr>
                <w:sz w:val="20"/>
              </w:rPr>
              <w:t>Demande d’autorisation d’appel déposée</w:t>
            </w:r>
          </w:p>
          <w:p w:rsidR="0035075E" w:rsidRPr="00E74E29" w:rsidRDefault="0035075E" w:rsidP="0035075E">
            <w:pPr>
              <w:jc w:val="both"/>
              <w:rPr>
                <w:sz w:val="20"/>
              </w:rPr>
            </w:pP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t>Le 1 novembre 2021</w:t>
            </w:r>
          </w:p>
          <w:p w:rsidR="0035075E" w:rsidRPr="00E74E29" w:rsidRDefault="0035075E" w:rsidP="0035075E">
            <w:pPr>
              <w:jc w:val="both"/>
              <w:rPr>
                <w:sz w:val="20"/>
                <w:lang w:val="fr-CA"/>
              </w:rPr>
            </w:pPr>
            <w:r w:rsidRPr="00E74E29">
              <w:rPr>
                <w:sz w:val="20"/>
                <w:lang w:val="fr-CA"/>
              </w:rPr>
              <w:lastRenderedPageBreak/>
              <w:t>Cour suprême du Canada</w:t>
            </w:r>
          </w:p>
        </w:tc>
        <w:tc>
          <w:tcPr>
            <w:tcW w:w="243" w:type="pct"/>
          </w:tcPr>
          <w:p w:rsidR="0035075E" w:rsidRPr="00E74E29" w:rsidRDefault="0035075E" w:rsidP="0035075E">
            <w:pPr>
              <w:jc w:val="both"/>
              <w:rPr>
                <w:sz w:val="20"/>
                <w:lang w:val="fr-CA"/>
              </w:rPr>
            </w:pPr>
          </w:p>
        </w:tc>
        <w:tc>
          <w:tcPr>
            <w:tcW w:w="2330" w:type="pct"/>
          </w:tcPr>
          <w:p w:rsidR="0035075E" w:rsidRPr="00E74E29" w:rsidRDefault="0035075E" w:rsidP="0035075E">
            <w:pPr>
              <w:jc w:val="both"/>
              <w:rPr>
                <w:sz w:val="20"/>
                <w:lang w:val="fr-CA"/>
              </w:rPr>
            </w:pPr>
            <w:r w:rsidRPr="00E74E29">
              <w:rPr>
                <w:sz w:val="20"/>
                <w:lang w:val="fr-CA"/>
              </w:rPr>
              <w:t>Requête pour production de preuve nouvelle déposée</w:t>
            </w:r>
          </w:p>
        </w:tc>
      </w:tr>
    </w:tbl>
    <w:p w:rsidR="0035075E" w:rsidRPr="00E74E29" w:rsidRDefault="0035075E" w:rsidP="0035075E">
      <w:pPr>
        <w:jc w:val="both"/>
        <w:rPr>
          <w:sz w:val="20"/>
          <w:lang w:val="fr-CA"/>
        </w:rPr>
      </w:pPr>
    </w:p>
    <w:p w:rsidR="00F322C3" w:rsidRPr="00E74E29" w:rsidRDefault="00463557" w:rsidP="0035075E">
      <w:pPr>
        <w:jc w:val="both"/>
        <w:rPr>
          <w:sz w:val="20"/>
          <w:lang w:val="fr-CA"/>
        </w:rPr>
      </w:pPr>
      <w:r>
        <w:rPr>
          <w:sz w:val="20"/>
        </w:rPr>
        <w:pict>
          <v:rect id="_x0000_i1042" style="width:2in;height:1pt" o:hrpct="0" o:hralign="center" o:hrstd="t" o:hrnoshade="t" o:hr="t" fillcolor="black [3213]" stroked="f"/>
        </w:pict>
      </w:r>
    </w:p>
    <w:p w:rsidR="0001473D" w:rsidRPr="00E74E29" w:rsidRDefault="0001473D" w:rsidP="0035075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075E" w:rsidRPr="00E74E29" w:rsidTr="00F322C3">
        <w:tc>
          <w:tcPr>
            <w:tcW w:w="543" w:type="pct"/>
          </w:tcPr>
          <w:p w:rsidR="0035075E" w:rsidRPr="00E74E29" w:rsidRDefault="0035075E" w:rsidP="0035075E">
            <w:pPr>
              <w:jc w:val="both"/>
              <w:rPr>
                <w:sz w:val="20"/>
              </w:rPr>
            </w:pPr>
            <w:r w:rsidRPr="00E74E29">
              <w:rPr>
                <w:rStyle w:val="SCCFileNumberChar"/>
                <w:sz w:val="20"/>
                <w:szCs w:val="20"/>
              </w:rPr>
              <w:t>39956</w:t>
            </w:r>
          </w:p>
        </w:tc>
        <w:tc>
          <w:tcPr>
            <w:tcW w:w="4457" w:type="pct"/>
            <w:gridSpan w:val="3"/>
          </w:tcPr>
          <w:p w:rsidR="0035075E" w:rsidRPr="00E74E29" w:rsidRDefault="0035075E" w:rsidP="0035075E">
            <w:pPr>
              <w:pStyle w:val="SCCLsocParty"/>
              <w:jc w:val="both"/>
              <w:rPr>
                <w:b/>
                <w:sz w:val="20"/>
                <w:szCs w:val="20"/>
                <w:lang w:val="en-US"/>
              </w:rPr>
            </w:pPr>
            <w:r w:rsidRPr="00E74E29">
              <w:rPr>
                <w:b/>
                <w:sz w:val="20"/>
                <w:szCs w:val="20"/>
                <w:lang w:val="en-US"/>
              </w:rPr>
              <w:t>Thomas William Rivers v. Corporation of the District of North Vancouver, Mount Seymour Little League Association, West Vancouver Little League Society, John Doe 1, John Doe 2, John Doe 3, John Doe 4, John Doe 5, John Doe 6, John Doe 7, John Doe 8, John Doe 9, John Doe 10, John Doe 11, John Doe 12, John Doe 13, John Doe 14</w:t>
            </w:r>
          </w:p>
          <w:p w:rsidR="0035075E" w:rsidRPr="00E74E29" w:rsidRDefault="0035075E" w:rsidP="0035075E">
            <w:pPr>
              <w:jc w:val="both"/>
              <w:rPr>
                <w:sz w:val="20"/>
              </w:rPr>
            </w:pPr>
            <w:r w:rsidRPr="00E74E29">
              <w:rPr>
                <w:sz w:val="20"/>
              </w:rPr>
              <w:t>(B.C.) (Civil) (By Leave)</w:t>
            </w:r>
          </w:p>
        </w:tc>
      </w:tr>
      <w:tr w:rsidR="0035075E" w:rsidRPr="00E74E29" w:rsidTr="00F322C3">
        <w:tc>
          <w:tcPr>
            <w:tcW w:w="5000" w:type="pct"/>
            <w:gridSpan w:val="4"/>
          </w:tcPr>
          <w:p w:rsidR="0035075E" w:rsidRPr="00E74E29" w:rsidRDefault="0035075E" w:rsidP="0035075E">
            <w:pPr>
              <w:jc w:val="both"/>
              <w:rPr>
                <w:sz w:val="20"/>
              </w:rPr>
            </w:pPr>
            <w:r w:rsidRPr="00E74E29">
              <w:rPr>
                <w:sz w:val="20"/>
              </w:rPr>
              <w:t>Torts — Negligence — Standard of Care — Assumption of risk — Is a plaintiff's assumption of risk a proper factor to consider when assessing whether a defendant met the standard of care?</w:t>
            </w:r>
          </w:p>
          <w:p w:rsidR="0035075E" w:rsidRPr="00E74E29" w:rsidRDefault="0035075E" w:rsidP="0035075E">
            <w:pPr>
              <w:jc w:val="both"/>
              <w:rPr>
                <w:sz w:val="20"/>
              </w:rPr>
            </w:pPr>
          </w:p>
        </w:tc>
      </w:tr>
      <w:tr w:rsidR="0035075E" w:rsidRPr="00E74E29" w:rsidTr="00F322C3">
        <w:tc>
          <w:tcPr>
            <w:tcW w:w="5000" w:type="pct"/>
            <w:gridSpan w:val="4"/>
          </w:tcPr>
          <w:p w:rsidR="0035075E" w:rsidRPr="00E74E29" w:rsidRDefault="0035075E" w:rsidP="0035075E">
            <w:pPr>
              <w:jc w:val="both"/>
              <w:rPr>
                <w:sz w:val="20"/>
              </w:rPr>
            </w:pPr>
            <w:r w:rsidRPr="00E74E29">
              <w:rPr>
                <w:sz w:val="20"/>
              </w:rPr>
              <w:t>The applicant was struck on the back of the head by a foul ball while he watched a Little League baseball game at Inter River Park in North Vancouver. The ball emanated from another diamond, which was back</w:t>
            </w:r>
            <w:r w:rsidRPr="00E74E29">
              <w:rPr>
                <w:sz w:val="20"/>
              </w:rPr>
              <w:noBreakHyphen/>
              <w:t>to</w:t>
            </w:r>
            <w:r w:rsidRPr="00E74E29">
              <w:rPr>
                <w:sz w:val="20"/>
              </w:rPr>
              <w:noBreakHyphen/>
              <w:t xml:space="preserve">back to the diamond on which his son was playing. The applicant was seated in the first row of bleachers on the third base side watching his son play on field D, with his back to the game that was being played on field C. The applicant brought a claim under the </w:t>
            </w:r>
            <w:r w:rsidRPr="00E74E29">
              <w:rPr>
                <w:i/>
                <w:sz w:val="20"/>
              </w:rPr>
              <w:t>Occupiers Liability Act</w:t>
            </w:r>
            <w:r w:rsidRPr="00E74E29">
              <w:rPr>
                <w:sz w:val="20"/>
              </w:rPr>
              <w:t>, R.S.B.C. 1996, c. 337 (“</w:t>
            </w:r>
            <w:r w:rsidRPr="00E74E29">
              <w:rPr>
                <w:i/>
                <w:sz w:val="20"/>
              </w:rPr>
              <w:t>OLA</w:t>
            </w:r>
            <w:r w:rsidRPr="00E74E29">
              <w:rPr>
                <w:sz w:val="20"/>
              </w:rPr>
              <w:t>”) and a common law claim in negligence against the respondents seeking damages for his injuries.</w:t>
            </w:r>
          </w:p>
          <w:p w:rsidR="0035075E" w:rsidRPr="00E74E29" w:rsidRDefault="0035075E" w:rsidP="0035075E">
            <w:pPr>
              <w:jc w:val="both"/>
              <w:rPr>
                <w:sz w:val="20"/>
              </w:rPr>
            </w:pPr>
          </w:p>
          <w:p w:rsidR="0035075E" w:rsidRPr="00E74E29" w:rsidRDefault="0035075E" w:rsidP="0035075E">
            <w:pPr>
              <w:jc w:val="both"/>
              <w:rPr>
                <w:sz w:val="20"/>
              </w:rPr>
            </w:pPr>
            <w:r w:rsidRPr="00E74E29">
              <w:rPr>
                <w:sz w:val="20"/>
              </w:rPr>
              <w:t xml:space="preserve">The applicant’s action was dismissed by the Supreme Court of British Columbia following a summary trial. The Court of Appeal for British Columbia dismissed the appeal. The appellate court rejected the applicant’s argument that the trial court had incorrectly invoked the </w:t>
            </w:r>
            <w:r w:rsidRPr="00E74E29">
              <w:rPr>
                <w:i/>
                <w:sz w:val="20"/>
              </w:rPr>
              <w:t>volenti</w:t>
            </w:r>
            <w:r w:rsidRPr="00E74E29">
              <w:rPr>
                <w:sz w:val="20"/>
              </w:rPr>
              <w:t xml:space="preserve"> doctrine, under which a person otherwise entitled to recover damages for the negligent act of another may be denied recovery on the basis that they voluntarily assumed the risks associated with the activity. In its view, the judge was not looking to whether the respondents had established a defence to what would have been negligence, but rather considering all the circumstances to see whether a breach of the standard of care had been established. An inherent risk, known to a reasonable spectator, was one relevant contextual factor for the determination of whether there was an objectively unreasonable risk that a person sitting where the applicant sat in the bleachers would be injured.</w:t>
            </w:r>
          </w:p>
        </w:tc>
      </w:tr>
      <w:tr w:rsidR="0035075E" w:rsidRPr="00E74E29" w:rsidTr="00F322C3">
        <w:tc>
          <w:tcPr>
            <w:tcW w:w="5000" w:type="pct"/>
            <w:gridSpan w:val="4"/>
          </w:tcPr>
          <w:p w:rsidR="0035075E" w:rsidRPr="00E74E29" w:rsidRDefault="0035075E" w:rsidP="0035075E">
            <w:pPr>
              <w:jc w:val="both"/>
              <w:rPr>
                <w:sz w:val="20"/>
              </w:rPr>
            </w:pPr>
          </w:p>
        </w:tc>
      </w:tr>
      <w:tr w:rsidR="0035075E" w:rsidRPr="00E74E29" w:rsidTr="00F322C3">
        <w:tc>
          <w:tcPr>
            <w:tcW w:w="2427" w:type="pct"/>
            <w:gridSpan w:val="2"/>
          </w:tcPr>
          <w:p w:rsidR="0035075E" w:rsidRPr="00E74E29" w:rsidRDefault="0035075E" w:rsidP="0035075E">
            <w:pPr>
              <w:jc w:val="both"/>
              <w:rPr>
                <w:sz w:val="20"/>
              </w:rPr>
            </w:pPr>
            <w:r w:rsidRPr="00E74E29">
              <w:rPr>
                <w:sz w:val="20"/>
              </w:rPr>
              <w:t>July 15, 2020</w:t>
            </w:r>
          </w:p>
          <w:p w:rsidR="0035075E" w:rsidRPr="00E74E29" w:rsidRDefault="0035075E" w:rsidP="0035075E">
            <w:pPr>
              <w:jc w:val="both"/>
              <w:rPr>
                <w:sz w:val="20"/>
              </w:rPr>
            </w:pPr>
            <w:r w:rsidRPr="00E74E29">
              <w:rPr>
                <w:sz w:val="20"/>
              </w:rPr>
              <w:t>Supreme Court of British Columbia</w:t>
            </w:r>
          </w:p>
          <w:p w:rsidR="0035075E" w:rsidRPr="00E74E29" w:rsidRDefault="0035075E" w:rsidP="0035075E">
            <w:pPr>
              <w:jc w:val="both"/>
              <w:rPr>
                <w:sz w:val="20"/>
              </w:rPr>
            </w:pPr>
            <w:r w:rsidRPr="00E74E29">
              <w:rPr>
                <w:sz w:val="20"/>
              </w:rPr>
              <w:t>(Tammen J.)</w:t>
            </w:r>
          </w:p>
          <w:p w:rsidR="0035075E" w:rsidRPr="00E74E29" w:rsidRDefault="00463557" w:rsidP="0035075E">
            <w:pPr>
              <w:jc w:val="both"/>
              <w:rPr>
                <w:sz w:val="20"/>
              </w:rPr>
            </w:pPr>
            <w:hyperlink r:id="rId45" w:history="1">
              <w:r w:rsidR="0035075E" w:rsidRPr="00E74E29">
                <w:rPr>
                  <w:rStyle w:val="Hyperlink"/>
                  <w:sz w:val="20"/>
                </w:rPr>
                <w:t>2020 BCSC 1050</w:t>
              </w:r>
            </w:hyperlink>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rPr>
            </w:pPr>
            <w:r w:rsidRPr="00E74E29">
              <w:rPr>
                <w:sz w:val="20"/>
              </w:rPr>
              <w:t>Action against the respondents dismissed.</w:t>
            </w:r>
          </w:p>
          <w:p w:rsidR="0035075E" w:rsidRPr="00E74E29" w:rsidRDefault="0035075E" w:rsidP="0035075E">
            <w:pPr>
              <w:jc w:val="both"/>
              <w:rPr>
                <w:sz w:val="20"/>
              </w:rPr>
            </w:pPr>
          </w:p>
        </w:tc>
      </w:tr>
      <w:tr w:rsidR="0035075E" w:rsidRPr="00E74E29" w:rsidTr="00F322C3">
        <w:tc>
          <w:tcPr>
            <w:tcW w:w="2427" w:type="pct"/>
            <w:gridSpan w:val="2"/>
          </w:tcPr>
          <w:p w:rsidR="0035075E" w:rsidRPr="00E74E29" w:rsidRDefault="0035075E" w:rsidP="0035075E">
            <w:pPr>
              <w:jc w:val="both"/>
              <w:rPr>
                <w:sz w:val="20"/>
              </w:rPr>
            </w:pPr>
            <w:r w:rsidRPr="00E74E29">
              <w:rPr>
                <w:sz w:val="20"/>
              </w:rPr>
              <w:t>October 26, 2021</w:t>
            </w:r>
          </w:p>
          <w:p w:rsidR="0035075E" w:rsidRPr="00E74E29" w:rsidRDefault="0035075E" w:rsidP="0035075E">
            <w:pPr>
              <w:jc w:val="both"/>
              <w:rPr>
                <w:sz w:val="20"/>
              </w:rPr>
            </w:pPr>
            <w:r w:rsidRPr="00E74E29">
              <w:rPr>
                <w:sz w:val="20"/>
              </w:rPr>
              <w:t xml:space="preserve">Court of Appeal for British Columbia </w:t>
            </w:r>
          </w:p>
          <w:p w:rsidR="0035075E" w:rsidRPr="00E74E29" w:rsidRDefault="0035075E" w:rsidP="0035075E">
            <w:pPr>
              <w:jc w:val="both"/>
              <w:rPr>
                <w:sz w:val="20"/>
              </w:rPr>
            </w:pPr>
            <w:r w:rsidRPr="00E74E29">
              <w:rPr>
                <w:sz w:val="20"/>
              </w:rPr>
              <w:t>(Vancouver)</w:t>
            </w:r>
          </w:p>
          <w:p w:rsidR="0035075E" w:rsidRPr="00E74E29" w:rsidRDefault="0035075E" w:rsidP="0035075E">
            <w:pPr>
              <w:jc w:val="both"/>
              <w:rPr>
                <w:sz w:val="20"/>
              </w:rPr>
            </w:pPr>
            <w:r w:rsidRPr="00E74E29">
              <w:rPr>
                <w:sz w:val="20"/>
              </w:rPr>
              <w:t>(Fenlon, Fitch and Griffin JJ.A.)</w:t>
            </w:r>
          </w:p>
          <w:p w:rsidR="0035075E" w:rsidRPr="00E74E29" w:rsidRDefault="00463557" w:rsidP="0035075E">
            <w:pPr>
              <w:jc w:val="both"/>
              <w:rPr>
                <w:sz w:val="20"/>
              </w:rPr>
            </w:pPr>
            <w:hyperlink r:id="rId46" w:history="1">
              <w:r w:rsidR="0035075E" w:rsidRPr="00E74E29">
                <w:rPr>
                  <w:rStyle w:val="Hyperlink"/>
                  <w:sz w:val="20"/>
                </w:rPr>
                <w:t>2021 BCCA 407</w:t>
              </w:r>
            </w:hyperlink>
            <w:r w:rsidR="0035075E" w:rsidRPr="00E74E29">
              <w:rPr>
                <w:sz w:val="20"/>
              </w:rPr>
              <w:t>; CA46946</w:t>
            </w:r>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rPr>
            </w:pPr>
            <w:r w:rsidRPr="00E74E29">
              <w:rPr>
                <w:sz w:val="20"/>
              </w:rPr>
              <w:t>Appeal dismissed.</w:t>
            </w:r>
          </w:p>
          <w:p w:rsidR="0035075E" w:rsidRPr="00E74E29" w:rsidRDefault="0035075E" w:rsidP="0035075E">
            <w:pPr>
              <w:jc w:val="both"/>
              <w:rPr>
                <w:sz w:val="20"/>
              </w:rPr>
            </w:pPr>
          </w:p>
        </w:tc>
      </w:tr>
      <w:tr w:rsidR="0035075E" w:rsidRPr="00E74E29" w:rsidTr="00F322C3">
        <w:tc>
          <w:tcPr>
            <w:tcW w:w="2427" w:type="pct"/>
            <w:gridSpan w:val="2"/>
          </w:tcPr>
          <w:p w:rsidR="0035075E" w:rsidRPr="00E74E29" w:rsidRDefault="0035075E" w:rsidP="0035075E">
            <w:pPr>
              <w:jc w:val="both"/>
              <w:rPr>
                <w:sz w:val="20"/>
              </w:rPr>
            </w:pPr>
            <w:r w:rsidRPr="00E74E29">
              <w:rPr>
                <w:sz w:val="20"/>
              </w:rPr>
              <w:t>December 20, 2021</w:t>
            </w:r>
          </w:p>
          <w:p w:rsidR="0035075E" w:rsidRPr="00E74E29" w:rsidRDefault="0035075E" w:rsidP="0035075E">
            <w:pPr>
              <w:jc w:val="both"/>
              <w:rPr>
                <w:sz w:val="20"/>
              </w:rPr>
            </w:pPr>
            <w:r w:rsidRPr="00E74E29">
              <w:rPr>
                <w:sz w:val="20"/>
              </w:rPr>
              <w:t>Supreme Court of Canada</w:t>
            </w: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rPr>
            </w:pPr>
            <w:r w:rsidRPr="00E74E29">
              <w:rPr>
                <w:sz w:val="20"/>
              </w:rPr>
              <w:t>Application for leave to appeal filed.</w:t>
            </w:r>
          </w:p>
          <w:p w:rsidR="0035075E" w:rsidRPr="00E74E29" w:rsidRDefault="0035075E" w:rsidP="0035075E">
            <w:pPr>
              <w:jc w:val="both"/>
              <w:rPr>
                <w:sz w:val="20"/>
              </w:rPr>
            </w:pPr>
          </w:p>
        </w:tc>
      </w:tr>
    </w:tbl>
    <w:p w:rsidR="0035075E" w:rsidRPr="00E74E29" w:rsidRDefault="0035075E" w:rsidP="0035075E">
      <w:pPr>
        <w:jc w:val="both"/>
        <w:rPr>
          <w:sz w:val="20"/>
        </w:rPr>
      </w:pPr>
    </w:p>
    <w:p w:rsidR="00F322C3" w:rsidRPr="00E74E29" w:rsidRDefault="00463557" w:rsidP="0035075E">
      <w:pPr>
        <w:jc w:val="both"/>
        <w:rPr>
          <w:sz w:val="20"/>
        </w:rPr>
      </w:pPr>
      <w:r>
        <w:rPr>
          <w:sz w:val="20"/>
        </w:rPr>
        <w:pict>
          <v:rect id="_x0000_i1043" style="width:2in;height:1pt" o:hrpct="0" o:hralign="center" o:hrstd="t" o:hrnoshade="t" o:hr="t" fillcolor="black [3213]" stroked="f"/>
        </w:pict>
      </w:r>
    </w:p>
    <w:p w:rsidR="00F322C3" w:rsidRPr="00E74E29" w:rsidRDefault="00F322C3" w:rsidP="0035075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075E" w:rsidRPr="00E74E29" w:rsidTr="00F322C3">
        <w:tc>
          <w:tcPr>
            <w:tcW w:w="543" w:type="pct"/>
          </w:tcPr>
          <w:p w:rsidR="0035075E" w:rsidRPr="00E74E29" w:rsidRDefault="0035075E" w:rsidP="0035075E">
            <w:pPr>
              <w:jc w:val="both"/>
              <w:rPr>
                <w:sz w:val="20"/>
              </w:rPr>
            </w:pPr>
            <w:r w:rsidRPr="00E74E29">
              <w:rPr>
                <w:rStyle w:val="SCCFileNumberChar"/>
                <w:sz w:val="20"/>
                <w:szCs w:val="20"/>
              </w:rPr>
              <w:t>39956</w:t>
            </w:r>
          </w:p>
        </w:tc>
        <w:tc>
          <w:tcPr>
            <w:tcW w:w="4457" w:type="pct"/>
            <w:gridSpan w:val="3"/>
          </w:tcPr>
          <w:p w:rsidR="0035075E" w:rsidRPr="00E74E29" w:rsidRDefault="0035075E" w:rsidP="0035075E">
            <w:pPr>
              <w:pStyle w:val="SCCLsocParty"/>
              <w:jc w:val="both"/>
              <w:rPr>
                <w:b/>
                <w:sz w:val="20"/>
                <w:szCs w:val="20"/>
                <w:lang w:val="en-US"/>
              </w:rPr>
            </w:pPr>
            <w:r w:rsidRPr="00E74E29">
              <w:rPr>
                <w:b/>
                <w:sz w:val="20"/>
                <w:szCs w:val="20"/>
                <w:lang w:val="en-US"/>
              </w:rPr>
              <w:t>Thomas William Rivers c. Corporation of the District of North Vancouver, Mount Seymour Little League Association, West Vancouver Little League Society, M. Untel 1, M. Untel 2, M. Untel 3, M. Untel 4, M. Untel 5, M. Untel 6, M. Untel 7, M. Untel 8, M. Untel 9, M. Untel 10, M. Untel 11, M. Untel 12, M. Untel 13, M. Untel 14</w:t>
            </w:r>
          </w:p>
          <w:p w:rsidR="0035075E" w:rsidRPr="00E74E29" w:rsidRDefault="0035075E" w:rsidP="0035075E">
            <w:pPr>
              <w:jc w:val="both"/>
              <w:rPr>
                <w:sz w:val="20"/>
              </w:rPr>
            </w:pPr>
            <w:r w:rsidRPr="00E74E29">
              <w:rPr>
                <w:sz w:val="20"/>
              </w:rPr>
              <w:t>(C.</w:t>
            </w:r>
            <w:r w:rsidRPr="00E74E29">
              <w:rPr>
                <w:sz w:val="20"/>
              </w:rPr>
              <w:noBreakHyphen/>
              <w:t>B.) (Civile) (Autorisation)</w:t>
            </w:r>
          </w:p>
        </w:tc>
      </w:tr>
      <w:tr w:rsidR="0035075E" w:rsidRPr="00463557" w:rsidTr="00F322C3">
        <w:tc>
          <w:tcPr>
            <w:tcW w:w="5000" w:type="pct"/>
            <w:gridSpan w:val="4"/>
          </w:tcPr>
          <w:p w:rsidR="0035075E" w:rsidRPr="00E74E29" w:rsidRDefault="0035075E" w:rsidP="0035075E">
            <w:pPr>
              <w:jc w:val="both"/>
              <w:rPr>
                <w:sz w:val="20"/>
                <w:lang w:val="fr-CA"/>
              </w:rPr>
            </w:pPr>
            <w:r w:rsidRPr="00E74E29">
              <w:rPr>
                <w:sz w:val="20"/>
                <w:lang w:val="fr-CA"/>
              </w:rPr>
              <w:t>Responsabilité délictuelle — Négligence — Norme de diligence — Acceptation du risque —L’acceptation du risque par le demandeur en première instance est</w:t>
            </w:r>
            <w:r w:rsidRPr="00E74E29">
              <w:rPr>
                <w:sz w:val="20"/>
                <w:lang w:val="fr-CA"/>
              </w:rPr>
              <w:noBreakHyphen/>
              <w:t>elle un facteur qu’il convient de considérer pour déterminer si un défendeur a satisfait la norme de diligence?</w:t>
            </w:r>
          </w:p>
          <w:p w:rsidR="0035075E" w:rsidRPr="00E74E29" w:rsidRDefault="0035075E" w:rsidP="0035075E">
            <w:pPr>
              <w:jc w:val="both"/>
              <w:rPr>
                <w:sz w:val="20"/>
                <w:lang w:val="fr-CA"/>
              </w:rPr>
            </w:pPr>
          </w:p>
        </w:tc>
      </w:tr>
      <w:tr w:rsidR="0035075E" w:rsidRPr="00463557" w:rsidTr="00F322C3">
        <w:tc>
          <w:tcPr>
            <w:tcW w:w="5000" w:type="pct"/>
            <w:gridSpan w:val="4"/>
          </w:tcPr>
          <w:p w:rsidR="0035075E" w:rsidRPr="00E74E29" w:rsidRDefault="0035075E" w:rsidP="0035075E">
            <w:pPr>
              <w:jc w:val="both"/>
              <w:rPr>
                <w:sz w:val="20"/>
                <w:lang w:val="fr-CA"/>
              </w:rPr>
            </w:pPr>
            <w:r w:rsidRPr="00E74E29">
              <w:rPr>
                <w:sz w:val="20"/>
                <w:lang w:val="fr-CA"/>
              </w:rPr>
              <w:lastRenderedPageBreak/>
              <w:t>Le demandeur a été frappé à l'arrière de la tête par une fausse balle alors qu'il assistait à un match de baseball de la Petite Ligue au parc Inter River à North Vancouver. La balle provenait d’un autre losange, qui était adossé au losange sur lequel jouait son fils. Le demandeur était assis dans la première rangée des gradins, du côté du troisième but, et regardait son fils jouer sur le terrain D, le dos tourné à la partie qui se déroulait sur le terrain C. Le demandeur a intenté une action fondée sur l’</w:t>
            </w:r>
            <w:r w:rsidRPr="00E74E29">
              <w:rPr>
                <w:i/>
                <w:sz w:val="20"/>
                <w:lang w:val="fr-CA"/>
              </w:rPr>
              <w:t>Occupiers Liability Act</w:t>
            </w:r>
            <w:r w:rsidRPr="00E74E29">
              <w:rPr>
                <w:sz w:val="20"/>
                <w:lang w:val="fr-CA"/>
              </w:rPr>
              <w:t>, R.S.B.C. 1996, ch. 337 (« </w:t>
            </w:r>
            <w:r w:rsidRPr="00E74E29">
              <w:rPr>
                <w:i/>
                <w:sz w:val="20"/>
                <w:lang w:val="fr-CA"/>
              </w:rPr>
              <w:t>OLA</w:t>
            </w:r>
            <w:r w:rsidRPr="00E74E29">
              <w:rPr>
                <w:sz w:val="20"/>
                <w:lang w:val="fr-CA"/>
              </w:rPr>
              <w:t> ») et une action en common law pour négligence contre les intimés en vue d'obtenir des dommages</w:t>
            </w:r>
            <w:r w:rsidRPr="00E74E29">
              <w:rPr>
                <w:sz w:val="20"/>
                <w:lang w:val="fr-CA"/>
              </w:rPr>
              <w:noBreakHyphen/>
              <w:t>intérêts pour ses blessures.</w:t>
            </w:r>
          </w:p>
          <w:p w:rsidR="0035075E" w:rsidRPr="00E74E29" w:rsidRDefault="0035075E" w:rsidP="0035075E">
            <w:pPr>
              <w:jc w:val="both"/>
              <w:rPr>
                <w:sz w:val="20"/>
                <w:lang w:val="fr-CA"/>
              </w:rPr>
            </w:pPr>
          </w:p>
          <w:p w:rsidR="0035075E" w:rsidRPr="00E74E29" w:rsidRDefault="0035075E" w:rsidP="0035075E">
            <w:pPr>
              <w:jc w:val="both"/>
              <w:rPr>
                <w:sz w:val="20"/>
                <w:lang w:val="fr-CA"/>
              </w:rPr>
            </w:pPr>
            <w:r w:rsidRPr="00E74E29">
              <w:rPr>
                <w:sz w:val="20"/>
                <w:lang w:val="fr-CA"/>
              </w:rPr>
              <w:t>L’action du demandeur a été rejetée par la Cour suprême de la Colombie</w:t>
            </w:r>
            <w:r w:rsidRPr="00E74E29">
              <w:rPr>
                <w:sz w:val="20"/>
                <w:lang w:val="fr-CA"/>
              </w:rPr>
              <w:noBreakHyphen/>
              <w:t>Britannique au terme d'un procès sommaire. La Cour d’appel de la Colombie</w:t>
            </w:r>
            <w:r w:rsidRPr="00E74E29">
              <w:rPr>
                <w:sz w:val="20"/>
                <w:lang w:val="fr-CA"/>
              </w:rPr>
              <w:noBreakHyphen/>
              <w:t>Britannique a rejeté l’appel. La Cour d’appel a rejeté l’argument du demandeur selon lequel le tribunal de première instance avait invoqué à tort le principe de l’acceptation du risque, en vertu duquel une personne qui aurait autrement le droit de recouvrer des dommages</w:t>
            </w:r>
            <w:r w:rsidRPr="00E74E29">
              <w:rPr>
                <w:sz w:val="20"/>
                <w:lang w:val="fr-CA"/>
              </w:rPr>
              <w:noBreakHyphen/>
              <w:t>intérêts pour l’acte négligent d’un autre peut se voir refuser le recouvrement au motif qu’elle a volontairement assumé les risques liés à l'activité. À son avis, le juge ne cherchait pas à savoir si les intimés avaient établi une défense contre ce qui aurait été de la négligence, mais plutôt à examiner l’ensemble des circonstances pour voir si un manquement à la norme de diligence avait été établi. Un risque inhérent, connu d’un spectateur raisonnable, était un facteur contextuel pertinent pour déterminer s’il existait un risque objectivement déraisonnable qu’une personne assise à l’endroit où le demandeur était assis dans les gradins soit blessée.</w:t>
            </w:r>
          </w:p>
        </w:tc>
      </w:tr>
      <w:tr w:rsidR="0035075E" w:rsidRPr="00463557" w:rsidTr="00F322C3">
        <w:tc>
          <w:tcPr>
            <w:tcW w:w="5000" w:type="pct"/>
            <w:gridSpan w:val="4"/>
          </w:tcPr>
          <w:p w:rsidR="0035075E" w:rsidRPr="00E74E29" w:rsidRDefault="0035075E" w:rsidP="0035075E">
            <w:pPr>
              <w:jc w:val="both"/>
              <w:rPr>
                <w:sz w:val="20"/>
                <w:lang w:val="fr-CA"/>
              </w:rPr>
            </w:pP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t>15 juillet 2020</w:t>
            </w:r>
          </w:p>
          <w:p w:rsidR="0035075E" w:rsidRPr="00E74E29" w:rsidRDefault="0035075E" w:rsidP="0035075E">
            <w:pPr>
              <w:jc w:val="both"/>
              <w:rPr>
                <w:sz w:val="20"/>
                <w:lang w:val="fr-CA"/>
              </w:rPr>
            </w:pPr>
            <w:r w:rsidRPr="00E74E29">
              <w:rPr>
                <w:sz w:val="20"/>
                <w:lang w:val="fr-CA"/>
              </w:rPr>
              <w:t>Cour suprême de la Colombie</w:t>
            </w:r>
            <w:r w:rsidRPr="00E74E29">
              <w:rPr>
                <w:sz w:val="20"/>
                <w:lang w:val="fr-CA"/>
              </w:rPr>
              <w:noBreakHyphen/>
              <w:t>Britannique</w:t>
            </w:r>
          </w:p>
          <w:p w:rsidR="0035075E" w:rsidRPr="00E74E29" w:rsidRDefault="0035075E" w:rsidP="0035075E">
            <w:pPr>
              <w:jc w:val="both"/>
              <w:rPr>
                <w:sz w:val="20"/>
              </w:rPr>
            </w:pPr>
            <w:r w:rsidRPr="00E74E29">
              <w:rPr>
                <w:sz w:val="20"/>
              </w:rPr>
              <w:t>(Juge Tammen)</w:t>
            </w:r>
          </w:p>
          <w:p w:rsidR="0035075E" w:rsidRPr="00E74E29" w:rsidRDefault="00463557" w:rsidP="0035075E">
            <w:pPr>
              <w:jc w:val="both"/>
              <w:rPr>
                <w:sz w:val="20"/>
              </w:rPr>
            </w:pPr>
            <w:hyperlink r:id="rId47" w:history="1">
              <w:r w:rsidR="0035075E" w:rsidRPr="00E74E29">
                <w:rPr>
                  <w:rStyle w:val="Hyperlink"/>
                  <w:sz w:val="20"/>
                </w:rPr>
                <w:t>2020 BCSC 1050</w:t>
              </w:r>
            </w:hyperlink>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lang w:val="fr-CA"/>
              </w:rPr>
            </w:pPr>
            <w:r w:rsidRPr="00E74E29">
              <w:rPr>
                <w:sz w:val="20"/>
                <w:lang w:val="fr-CA"/>
              </w:rPr>
              <w:t>Rejet de l’action contre les intimés.</w:t>
            </w:r>
          </w:p>
          <w:p w:rsidR="0035075E" w:rsidRPr="00E74E29" w:rsidRDefault="0035075E" w:rsidP="0035075E">
            <w:pPr>
              <w:jc w:val="both"/>
              <w:rPr>
                <w:sz w:val="20"/>
                <w:lang w:val="fr-CA"/>
              </w:rPr>
            </w:pPr>
          </w:p>
        </w:tc>
      </w:tr>
      <w:tr w:rsidR="0035075E" w:rsidRPr="00E74E29" w:rsidTr="00F322C3">
        <w:tc>
          <w:tcPr>
            <w:tcW w:w="2427" w:type="pct"/>
            <w:gridSpan w:val="2"/>
          </w:tcPr>
          <w:p w:rsidR="0035075E" w:rsidRPr="00E74E29" w:rsidRDefault="0035075E" w:rsidP="0035075E">
            <w:pPr>
              <w:jc w:val="both"/>
              <w:rPr>
                <w:sz w:val="20"/>
                <w:lang w:val="fr-CA"/>
              </w:rPr>
            </w:pPr>
            <w:r w:rsidRPr="00E74E29">
              <w:rPr>
                <w:sz w:val="20"/>
                <w:lang w:val="fr-CA"/>
              </w:rPr>
              <w:t>26 octobre 2021</w:t>
            </w:r>
          </w:p>
          <w:p w:rsidR="0035075E" w:rsidRPr="00E74E29" w:rsidRDefault="0035075E" w:rsidP="0035075E">
            <w:pPr>
              <w:jc w:val="both"/>
              <w:rPr>
                <w:sz w:val="20"/>
                <w:lang w:val="fr-CA"/>
              </w:rPr>
            </w:pPr>
            <w:r w:rsidRPr="00E74E29">
              <w:rPr>
                <w:sz w:val="20"/>
                <w:lang w:val="fr-CA"/>
              </w:rPr>
              <w:t>Cour d'appel de la Colombie</w:t>
            </w:r>
            <w:r w:rsidRPr="00E74E29">
              <w:rPr>
                <w:sz w:val="20"/>
                <w:lang w:val="fr-CA"/>
              </w:rPr>
              <w:noBreakHyphen/>
              <w:t xml:space="preserve">Britannique </w:t>
            </w:r>
          </w:p>
          <w:p w:rsidR="0035075E" w:rsidRPr="00E74E29" w:rsidRDefault="0035075E" w:rsidP="0035075E">
            <w:pPr>
              <w:jc w:val="both"/>
              <w:rPr>
                <w:sz w:val="20"/>
                <w:lang w:val="fr-CA"/>
              </w:rPr>
            </w:pPr>
            <w:r w:rsidRPr="00E74E29">
              <w:rPr>
                <w:sz w:val="20"/>
                <w:lang w:val="fr-CA"/>
              </w:rPr>
              <w:t>(Vancouver)</w:t>
            </w:r>
          </w:p>
          <w:p w:rsidR="0035075E" w:rsidRPr="00E74E29" w:rsidRDefault="0035075E" w:rsidP="0035075E">
            <w:pPr>
              <w:jc w:val="both"/>
              <w:rPr>
                <w:sz w:val="20"/>
                <w:lang w:val="fr-CA"/>
              </w:rPr>
            </w:pPr>
            <w:r w:rsidRPr="00E74E29">
              <w:rPr>
                <w:sz w:val="20"/>
                <w:lang w:val="fr-CA"/>
              </w:rPr>
              <w:t>(Juges Fenlon, Fitch et Griffin)</w:t>
            </w:r>
          </w:p>
          <w:p w:rsidR="0035075E" w:rsidRPr="00E74E29" w:rsidRDefault="00463557" w:rsidP="0035075E">
            <w:pPr>
              <w:jc w:val="both"/>
              <w:rPr>
                <w:sz w:val="20"/>
              </w:rPr>
            </w:pPr>
            <w:hyperlink r:id="rId48" w:history="1">
              <w:r w:rsidR="0035075E" w:rsidRPr="00E74E29">
                <w:rPr>
                  <w:rStyle w:val="Hyperlink"/>
                  <w:sz w:val="20"/>
                </w:rPr>
                <w:t>2021 BCCA 407</w:t>
              </w:r>
            </w:hyperlink>
            <w:r w:rsidR="0035075E" w:rsidRPr="00E74E29">
              <w:rPr>
                <w:sz w:val="20"/>
              </w:rPr>
              <w:t>; CA46946</w:t>
            </w:r>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rPr>
            </w:pPr>
            <w:r w:rsidRPr="00E74E29">
              <w:rPr>
                <w:sz w:val="20"/>
              </w:rPr>
              <w:t>Rejet de l’appel.</w:t>
            </w:r>
          </w:p>
          <w:p w:rsidR="0035075E" w:rsidRPr="00E74E29" w:rsidRDefault="0035075E" w:rsidP="0035075E">
            <w:pPr>
              <w:jc w:val="both"/>
              <w:rPr>
                <w:sz w:val="20"/>
              </w:rPr>
            </w:pP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t>20 décembre 2021</w:t>
            </w:r>
          </w:p>
          <w:p w:rsidR="0035075E" w:rsidRPr="00E74E29" w:rsidRDefault="0035075E" w:rsidP="0035075E">
            <w:pPr>
              <w:jc w:val="both"/>
              <w:rPr>
                <w:sz w:val="20"/>
                <w:lang w:val="fr-CA"/>
              </w:rPr>
            </w:pPr>
            <w:r w:rsidRPr="00E74E29">
              <w:rPr>
                <w:sz w:val="20"/>
                <w:lang w:val="fr-CA"/>
              </w:rPr>
              <w:t>Cour suprême du Canada</w:t>
            </w:r>
          </w:p>
        </w:tc>
        <w:tc>
          <w:tcPr>
            <w:tcW w:w="243" w:type="pct"/>
          </w:tcPr>
          <w:p w:rsidR="0035075E" w:rsidRPr="00E74E29" w:rsidRDefault="0035075E" w:rsidP="0035075E">
            <w:pPr>
              <w:jc w:val="both"/>
              <w:rPr>
                <w:sz w:val="20"/>
                <w:lang w:val="fr-CA"/>
              </w:rPr>
            </w:pPr>
          </w:p>
        </w:tc>
        <w:tc>
          <w:tcPr>
            <w:tcW w:w="2330" w:type="pct"/>
          </w:tcPr>
          <w:p w:rsidR="0035075E" w:rsidRPr="00E74E29" w:rsidRDefault="0035075E" w:rsidP="0035075E">
            <w:pPr>
              <w:jc w:val="both"/>
              <w:rPr>
                <w:sz w:val="20"/>
                <w:lang w:val="fr-CA"/>
              </w:rPr>
            </w:pPr>
            <w:r w:rsidRPr="00E74E29">
              <w:rPr>
                <w:sz w:val="20"/>
                <w:lang w:val="fr-CA"/>
              </w:rPr>
              <w:t>Dépôt de la demande d'autorisation d'appel.</w:t>
            </w:r>
          </w:p>
          <w:p w:rsidR="0035075E" w:rsidRPr="00E74E29" w:rsidRDefault="0035075E" w:rsidP="0035075E">
            <w:pPr>
              <w:jc w:val="both"/>
              <w:rPr>
                <w:sz w:val="20"/>
                <w:lang w:val="fr-CA"/>
              </w:rPr>
            </w:pPr>
          </w:p>
        </w:tc>
      </w:tr>
    </w:tbl>
    <w:p w:rsidR="0035075E" w:rsidRPr="00E74E29" w:rsidRDefault="0035075E" w:rsidP="0035075E">
      <w:pPr>
        <w:jc w:val="both"/>
        <w:rPr>
          <w:sz w:val="20"/>
          <w:lang w:val="fr-CA"/>
        </w:rPr>
      </w:pPr>
    </w:p>
    <w:p w:rsidR="00F322C3" w:rsidRPr="00E74E29" w:rsidRDefault="00463557" w:rsidP="0035075E">
      <w:pPr>
        <w:jc w:val="both"/>
        <w:rPr>
          <w:sz w:val="20"/>
          <w:lang w:val="fr-CA"/>
        </w:rPr>
      </w:pPr>
      <w:r>
        <w:rPr>
          <w:sz w:val="20"/>
        </w:rPr>
        <w:pict>
          <v:rect id="_x0000_i1044" style="width:2in;height:1pt" o:hrpct="0" o:hralign="center" o:hrstd="t" o:hrnoshade="t" o:hr="t" fillcolor="black [3213]" stroked="f"/>
        </w:pict>
      </w:r>
    </w:p>
    <w:p w:rsidR="0001473D" w:rsidRPr="00E74E29" w:rsidRDefault="0001473D" w:rsidP="0035075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075E" w:rsidRPr="00E74E29" w:rsidTr="00F322C3">
        <w:tc>
          <w:tcPr>
            <w:tcW w:w="543" w:type="pct"/>
          </w:tcPr>
          <w:p w:rsidR="0035075E" w:rsidRPr="00E74E29" w:rsidRDefault="0035075E" w:rsidP="0035075E">
            <w:pPr>
              <w:jc w:val="both"/>
              <w:rPr>
                <w:sz w:val="20"/>
              </w:rPr>
            </w:pPr>
            <w:r w:rsidRPr="00E74E29">
              <w:rPr>
                <w:rStyle w:val="SCCFileNumberChar"/>
                <w:sz w:val="20"/>
                <w:szCs w:val="20"/>
              </w:rPr>
              <w:t>40010</w:t>
            </w:r>
          </w:p>
        </w:tc>
        <w:tc>
          <w:tcPr>
            <w:tcW w:w="4457" w:type="pct"/>
            <w:gridSpan w:val="3"/>
          </w:tcPr>
          <w:p w:rsidR="0035075E" w:rsidRPr="00E74E29" w:rsidRDefault="0035075E" w:rsidP="0035075E">
            <w:pPr>
              <w:pStyle w:val="SCCLsocParty"/>
              <w:jc w:val="both"/>
              <w:rPr>
                <w:b/>
                <w:sz w:val="20"/>
                <w:szCs w:val="20"/>
                <w:lang w:val="en-US"/>
              </w:rPr>
            </w:pPr>
            <w:r w:rsidRPr="00E74E29">
              <w:rPr>
                <w:b/>
                <w:sz w:val="20"/>
                <w:szCs w:val="20"/>
                <w:lang w:val="en-US"/>
              </w:rPr>
              <w:t>Adriana Hornstein v. Anatoly Kats and Rachel Higgins</w:t>
            </w:r>
          </w:p>
          <w:p w:rsidR="0035075E" w:rsidRPr="00E74E29" w:rsidRDefault="0035075E" w:rsidP="0035075E">
            <w:pPr>
              <w:jc w:val="both"/>
              <w:rPr>
                <w:sz w:val="20"/>
              </w:rPr>
            </w:pPr>
            <w:r w:rsidRPr="00E74E29">
              <w:rPr>
                <w:sz w:val="20"/>
              </w:rPr>
              <w:t>(Ont.) (Civil) (By Leave)</w:t>
            </w:r>
          </w:p>
        </w:tc>
      </w:tr>
      <w:tr w:rsidR="0035075E" w:rsidRPr="00E74E29" w:rsidTr="00F322C3">
        <w:tc>
          <w:tcPr>
            <w:tcW w:w="5000" w:type="pct"/>
            <w:gridSpan w:val="4"/>
          </w:tcPr>
          <w:p w:rsidR="0035075E" w:rsidRPr="00E74E29" w:rsidRDefault="0035075E" w:rsidP="0035075E">
            <w:pPr>
              <w:jc w:val="both"/>
              <w:rPr>
                <w:sz w:val="20"/>
              </w:rPr>
            </w:pPr>
            <w:r w:rsidRPr="00E74E29">
              <w:rPr>
                <w:sz w:val="20"/>
              </w:rPr>
              <w:t>Civil procedure — Appeals — Costs — Property — Real property — Alleged partnership for purchase of residential property — Lower courts finding applicant has no entitlement to division of subject property and has no interest in property — Agreement of Purchase and Sale between respondents found to be valid — Whether lower courts erred in their reasoning and decision — Whether application for leave to appeal raises issues of national and public importance.</w:t>
            </w:r>
          </w:p>
        </w:tc>
      </w:tr>
      <w:tr w:rsidR="0035075E" w:rsidRPr="00E74E29" w:rsidTr="00F322C3">
        <w:tc>
          <w:tcPr>
            <w:tcW w:w="5000" w:type="pct"/>
            <w:gridSpan w:val="4"/>
          </w:tcPr>
          <w:p w:rsidR="0035075E" w:rsidRPr="00E74E29" w:rsidRDefault="0035075E" w:rsidP="0035075E">
            <w:pPr>
              <w:jc w:val="both"/>
              <w:rPr>
                <w:sz w:val="20"/>
              </w:rPr>
            </w:pPr>
          </w:p>
        </w:tc>
      </w:tr>
      <w:tr w:rsidR="0035075E" w:rsidRPr="00E74E29" w:rsidTr="00F322C3">
        <w:tc>
          <w:tcPr>
            <w:tcW w:w="5000" w:type="pct"/>
            <w:gridSpan w:val="4"/>
          </w:tcPr>
          <w:p w:rsidR="0035075E" w:rsidRPr="00E74E29" w:rsidRDefault="0035075E" w:rsidP="0035075E">
            <w:pPr>
              <w:jc w:val="both"/>
              <w:rPr>
                <w:sz w:val="20"/>
              </w:rPr>
            </w:pPr>
            <w:r w:rsidRPr="00E74E29">
              <w:rPr>
                <w:sz w:val="20"/>
              </w:rPr>
              <w:t>This case arises out of an alleged partnership for the purchase of a residential property. The applicant brought actions against the respondents claiming a beneficial interest in the property and a declaration that the Agreement of Purchase and Sale between the respondents be null and void and of no force or effect. Both respondents brought counterclaims for a declaration that the applicant had no legal title to the property and a claim for punitive damages.</w:t>
            </w:r>
          </w:p>
          <w:p w:rsidR="0035075E" w:rsidRPr="00E74E29" w:rsidRDefault="0035075E" w:rsidP="0035075E">
            <w:pPr>
              <w:jc w:val="both"/>
              <w:rPr>
                <w:sz w:val="20"/>
              </w:rPr>
            </w:pPr>
          </w:p>
          <w:p w:rsidR="0035075E" w:rsidRPr="00E74E29" w:rsidRDefault="0035075E" w:rsidP="0035075E">
            <w:pPr>
              <w:jc w:val="both"/>
              <w:rPr>
                <w:sz w:val="20"/>
              </w:rPr>
            </w:pPr>
            <w:r w:rsidRPr="00E74E29">
              <w:rPr>
                <w:sz w:val="20"/>
              </w:rPr>
              <w:t>The trial judge found that, on an objective view, the applicant’s actions were not consistent with a partnership and that no partnership was created. The trial judge also found that she had not contributed any monies to the purchase or maintenance of the property and had no beneficial interest in the property she alleged was owned by the partnership. The Court of Appeal found that the trial judge’s findings were entitled to deference. The appeal against the respondent Mr. Kats was dismissed.</w:t>
            </w:r>
          </w:p>
          <w:p w:rsidR="0035075E" w:rsidRPr="00E74E29" w:rsidRDefault="0035075E" w:rsidP="0035075E">
            <w:pPr>
              <w:jc w:val="both"/>
              <w:rPr>
                <w:sz w:val="20"/>
              </w:rPr>
            </w:pPr>
          </w:p>
          <w:p w:rsidR="0035075E" w:rsidRPr="00E74E29" w:rsidRDefault="0035075E" w:rsidP="0035075E">
            <w:pPr>
              <w:jc w:val="both"/>
              <w:rPr>
                <w:sz w:val="20"/>
              </w:rPr>
            </w:pPr>
            <w:r w:rsidRPr="00E74E29">
              <w:rPr>
                <w:sz w:val="20"/>
              </w:rPr>
              <w:t xml:space="preserve">The trial judge found that the respondent, Ms. Higgins had neither a claim for slander of title nor a claim for damages for breach of s. 132 of the </w:t>
            </w:r>
            <w:r w:rsidRPr="00E74E29">
              <w:rPr>
                <w:i/>
                <w:iCs/>
                <w:sz w:val="20"/>
              </w:rPr>
              <w:t>Land Titles Act</w:t>
            </w:r>
            <w:r w:rsidRPr="00E74E29">
              <w:rPr>
                <w:sz w:val="20"/>
              </w:rPr>
              <w:t xml:space="preserve">, R.S.O. 1990, c. L.5. Nevertheless, she ordered the applicant to pay Ms. Higgins punitive damages in the amount of $35,000, citing the egregious, unreasonable, and malicious nature of </w:t>
            </w:r>
            <w:r w:rsidRPr="00E74E29">
              <w:rPr>
                <w:sz w:val="20"/>
              </w:rPr>
              <w:lastRenderedPageBreak/>
              <w:t>the applicant’s actions. The Court of Appeal found that the award of punitive damages must be set aside and the appeal was allowed only to that extent.</w:t>
            </w:r>
          </w:p>
          <w:p w:rsidR="0035075E" w:rsidRPr="00E74E29" w:rsidRDefault="0035075E" w:rsidP="0035075E">
            <w:pPr>
              <w:jc w:val="both"/>
              <w:rPr>
                <w:sz w:val="20"/>
              </w:rPr>
            </w:pPr>
          </w:p>
        </w:tc>
      </w:tr>
      <w:tr w:rsidR="0035075E" w:rsidRPr="00E74E29" w:rsidTr="00F322C3">
        <w:tc>
          <w:tcPr>
            <w:tcW w:w="2427" w:type="pct"/>
            <w:gridSpan w:val="2"/>
          </w:tcPr>
          <w:p w:rsidR="0035075E" w:rsidRPr="00E74E29" w:rsidRDefault="0035075E" w:rsidP="0035075E">
            <w:pPr>
              <w:jc w:val="both"/>
              <w:rPr>
                <w:sz w:val="20"/>
              </w:rPr>
            </w:pPr>
            <w:r w:rsidRPr="00E74E29">
              <w:rPr>
                <w:sz w:val="20"/>
              </w:rPr>
              <w:lastRenderedPageBreak/>
              <w:t>May 21, 2020</w:t>
            </w:r>
          </w:p>
          <w:p w:rsidR="0035075E" w:rsidRPr="00E74E29" w:rsidRDefault="0035075E" w:rsidP="0035075E">
            <w:pPr>
              <w:jc w:val="both"/>
              <w:rPr>
                <w:sz w:val="20"/>
              </w:rPr>
            </w:pPr>
            <w:r w:rsidRPr="00E74E29">
              <w:rPr>
                <w:sz w:val="20"/>
              </w:rPr>
              <w:t>Ontario Superior Court of Justice</w:t>
            </w:r>
          </w:p>
          <w:p w:rsidR="0035075E" w:rsidRPr="00E74E29" w:rsidRDefault="0035075E" w:rsidP="0035075E">
            <w:pPr>
              <w:jc w:val="both"/>
              <w:rPr>
                <w:sz w:val="20"/>
              </w:rPr>
            </w:pPr>
            <w:r w:rsidRPr="00E74E29">
              <w:rPr>
                <w:sz w:val="20"/>
              </w:rPr>
              <w:t>(Brown J.)</w:t>
            </w:r>
          </w:p>
          <w:p w:rsidR="0035075E" w:rsidRPr="00E74E29" w:rsidRDefault="00463557" w:rsidP="0035075E">
            <w:pPr>
              <w:jc w:val="both"/>
              <w:rPr>
                <w:sz w:val="20"/>
              </w:rPr>
            </w:pPr>
            <w:hyperlink r:id="rId49" w:history="1">
              <w:r w:rsidR="0035075E" w:rsidRPr="00E74E29">
                <w:rPr>
                  <w:rStyle w:val="Hyperlink"/>
                  <w:sz w:val="20"/>
                </w:rPr>
                <w:t>2020 ONSC 870</w:t>
              </w:r>
            </w:hyperlink>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rPr>
            </w:pPr>
            <w:r w:rsidRPr="00E74E29">
              <w:rPr>
                <w:sz w:val="20"/>
              </w:rPr>
              <w:t>The Agreement of Purchase and Sale and the amendment to the APS for Alexis property are valid and the transaction is to proceed as agreed between Mr. Kats and Ms. Higgins.</w:t>
            </w:r>
          </w:p>
          <w:p w:rsidR="0035075E" w:rsidRPr="00E74E29" w:rsidRDefault="0035075E" w:rsidP="0035075E">
            <w:pPr>
              <w:jc w:val="both"/>
              <w:rPr>
                <w:sz w:val="20"/>
              </w:rPr>
            </w:pPr>
          </w:p>
          <w:p w:rsidR="0035075E" w:rsidRPr="00E74E29" w:rsidRDefault="0035075E" w:rsidP="0035075E">
            <w:pPr>
              <w:jc w:val="both"/>
              <w:rPr>
                <w:sz w:val="20"/>
              </w:rPr>
            </w:pPr>
            <w:r w:rsidRPr="00E74E29">
              <w:rPr>
                <w:sz w:val="20"/>
              </w:rPr>
              <w:t>The indeterminate notice registered on Alexis property on December 19, 2012 is improperly registered and is to be immediately removed such that the transaction can proceed.</w:t>
            </w:r>
          </w:p>
          <w:p w:rsidR="0035075E" w:rsidRPr="00E74E29" w:rsidRDefault="0035075E" w:rsidP="0035075E">
            <w:pPr>
              <w:jc w:val="both"/>
              <w:rPr>
                <w:sz w:val="20"/>
              </w:rPr>
            </w:pPr>
          </w:p>
          <w:p w:rsidR="0035075E" w:rsidRPr="00E74E29" w:rsidRDefault="0035075E" w:rsidP="0035075E">
            <w:pPr>
              <w:jc w:val="both"/>
              <w:rPr>
                <w:sz w:val="20"/>
              </w:rPr>
            </w:pPr>
            <w:r w:rsidRPr="00E74E29">
              <w:rPr>
                <w:sz w:val="20"/>
              </w:rPr>
              <w:t>Ms. Hornstein has no entitlement to a division of the subject property, has no interest in the property, and has no interest in any potential increase in value from 2011, when she improperly registered two notices on title, such that the sale of the Alexis property could not proceed, to this day.</w:t>
            </w:r>
          </w:p>
          <w:p w:rsidR="0035075E" w:rsidRPr="00E74E29" w:rsidRDefault="0035075E" w:rsidP="0035075E">
            <w:pPr>
              <w:jc w:val="both"/>
              <w:rPr>
                <w:sz w:val="20"/>
              </w:rPr>
            </w:pPr>
          </w:p>
          <w:p w:rsidR="0035075E" w:rsidRPr="00E74E29" w:rsidRDefault="0035075E" w:rsidP="0035075E">
            <w:pPr>
              <w:jc w:val="both"/>
              <w:rPr>
                <w:sz w:val="20"/>
              </w:rPr>
            </w:pPr>
            <w:r w:rsidRPr="00E74E29">
              <w:rPr>
                <w:sz w:val="20"/>
              </w:rPr>
              <w:t>All notices currently on title registered by Ms. Hornstein regarding Alexis property are to be deleted immediately by the Land Registrar.</w:t>
            </w:r>
          </w:p>
          <w:p w:rsidR="0035075E" w:rsidRPr="00E74E29" w:rsidRDefault="0035075E" w:rsidP="0035075E">
            <w:pPr>
              <w:jc w:val="both"/>
              <w:rPr>
                <w:sz w:val="20"/>
              </w:rPr>
            </w:pPr>
          </w:p>
          <w:p w:rsidR="0035075E" w:rsidRPr="00E74E29" w:rsidRDefault="0035075E" w:rsidP="0035075E">
            <w:pPr>
              <w:jc w:val="both"/>
              <w:rPr>
                <w:sz w:val="20"/>
              </w:rPr>
            </w:pPr>
            <w:r w:rsidRPr="00E74E29">
              <w:rPr>
                <w:sz w:val="20"/>
              </w:rPr>
              <w:t>Mr. Kats is entitled to the outstanding balance on the loan that he advanced to Ms. Hornstein with respect to another property, the Waterloo property, in the amount of $12,000, payable forthwith, less $1,400, the amount Ms. Hornstein paid Mr. Kats at one point.</w:t>
            </w:r>
          </w:p>
          <w:p w:rsidR="0035075E" w:rsidRPr="00E74E29" w:rsidRDefault="0035075E" w:rsidP="0035075E">
            <w:pPr>
              <w:jc w:val="both"/>
              <w:rPr>
                <w:sz w:val="20"/>
              </w:rPr>
            </w:pPr>
          </w:p>
          <w:p w:rsidR="0035075E" w:rsidRPr="00E74E29" w:rsidRDefault="0035075E" w:rsidP="0035075E">
            <w:pPr>
              <w:jc w:val="both"/>
              <w:rPr>
                <w:sz w:val="20"/>
              </w:rPr>
            </w:pPr>
            <w:r w:rsidRPr="00E74E29">
              <w:rPr>
                <w:sz w:val="20"/>
              </w:rPr>
              <w:t>Ms. Higgins is entitled to punitive damages in the amount of $35,000, payable by Ms. Hornstein.</w:t>
            </w:r>
          </w:p>
          <w:p w:rsidR="0035075E" w:rsidRPr="00E74E29" w:rsidRDefault="0035075E" w:rsidP="0035075E">
            <w:pPr>
              <w:jc w:val="both"/>
              <w:rPr>
                <w:sz w:val="20"/>
              </w:rPr>
            </w:pPr>
          </w:p>
        </w:tc>
      </w:tr>
      <w:tr w:rsidR="0035075E" w:rsidRPr="00E74E29" w:rsidTr="00F322C3">
        <w:tc>
          <w:tcPr>
            <w:tcW w:w="2427" w:type="pct"/>
            <w:gridSpan w:val="2"/>
          </w:tcPr>
          <w:p w:rsidR="0035075E" w:rsidRPr="00E74E29" w:rsidRDefault="0035075E" w:rsidP="0035075E">
            <w:pPr>
              <w:jc w:val="both"/>
              <w:rPr>
                <w:sz w:val="20"/>
              </w:rPr>
            </w:pPr>
            <w:r w:rsidRPr="00E74E29">
              <w:rPr>
                <w:sz w:val="20"/>
              </w:rPr>
              <w:t>September 21, 2020</w:t>
            </w:r>
          </w:p>
          <w:p w:rsidR="0035075E" w:rsidRPr="00E74E29" w:rsidRDefault="0035075E" w:rsidP="0035075E">
            <w:pPr>
              <w:jc w:val="both"/>
              <w:rPr>
                <w:sz w:val="20"/>
              </w:rPr>
            </w:pPr>
            <w:r w:rsidRPr="00E74E29">
              <w:rPr>
                <w:sz w:val="20"/>
              </w:rPr>
              <w:t>Ontario Superior Court of Justice</w:t>
            </w:r>
          </w:p>
          <w:p w:rsidR="0035075E" w:rsidRPr="00E74E29" w:rsidRDefault="0035075E" w:rsidP="0035075E">
            <w:pPr>
              <w:jc w:val="both"/>
              <w:rPr>
                <w:sz w:val="20"/>
              </w:rPr>
            </w:pPr>
            <w:r w:rsidRPr="00E74E29">
              <w:rPr>
                <w:sz w:val="20"/>
              </w:rPr>
              <w:t>(Brown J.)</w:t>
            </w:r>
          </w:p>
          <w:p w:rsidR="0035075E" w:rsidRPr="00E74E29" w:rsidRDefault="00463557" w:rsidP="0035075E">
            <w:pPr>
              <w:jc w:val="both"/>
              <w:rPr>
                <w:sz w:val="20"/>
              </w:rPr>
            </w:pPr>
            <w:hyperlink r:id="rId50" w:history="1">
              <w:r w:rsidR="0035075E" w:rsidRPr="00E74E29">
                <w:rPr>
                  <w:rStyle w:val="Hyperlink"/>
                  <w:sz w:val="20"/>
                </w:rPr>
                <w:t>2020 ONSC 5664</w:t>
              </w:r>
            </w:hyperlink>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rPr>
            </w:pPr>
            <w:r w:rsidRPr="00E74E29">
              <w:rPr>
                <w:sz w:val="20"/>
              </w:rPr>
              <w:t>Costs awarded on substantial indemnity basis to Mr. Kats and Ms. Higgins.</w:t>
            </w:r>
          </w:p>
        </w:tc>
      </w:tr>
      <w:tr w:rsidR="0035075E" w:rsidRPr="00E74E29" w:rsidTr="00F322C3">
        <w:tc>
          <w:tcPr>
            <w:tcW w:w="2427" w:type="pct"/>
            <w:gridSpan w:val="2"/>
          </w:tcPr>
          <w:p w:rsidR="0035075E" w:rsidRPr="00E74E29" w:rsidRDefault="0035075E" w:rsidP="0035075E">
            <w:pPr>
              <w:jc w:val="both"/>
              <w:rPr>
                <w:sz w:val="20"/>
              </w:rPr>
            </w:pPr>
            <w:r w:rsidRPr="00E74E29">
              <w:rPr>
                <w:sz w:val="20"/>
              </w:rPr>
              <w:t>May 6, 2021</w:t>
            </w:r>
          </w:p>
          <w:p w:rsidR="0035075E" w:rsidRPr="00E74E29" w:rsidRDefault="0035075E" w:rsidP="0035075E">
            <w:pPr>
              <w:jc w:val="both"/>
              <w:rPr>
                <w:sz w:val="20"/>
              </w:rPr>
            </w:pPr>
            <w:r w:rsidRPr="00E74E29">
              <w:rPr>
                <w:sz w:val="20"/>
              </w:rPr>
              <w:t>Court of Appeal for Ontario</w:t>
            </w:r>
          </w:p>
          <w:p w:rsidR="0035075E" w:rsidRPr="00E74E29" w:rsidRDefault="0035075E" w:rsidP="0035075E">
            <w:pPr>
              <w:jc w:val="both"/>
              <w:rPr>
                <w:sz w:val="20"/>
              </w:rPr>
            </w:pPr>
            <w:r w:rsidRPr="00E74E29">
              <w:rPr>
                <w:sz w:val="20"/>
              </w:rPr>
              <w:t>(Huscroft, Nordheimer and Harvison Young JJ.A.)</w:t>
            </w:r>
          </w:p>
          <w:p w:rsidR="0035075E" w:rsidRPr="00E74E29" w:rsidRDefault="00463557" w:rsidP="0035075E">
            <w:pPr>
              <w:jc w:val="both"/>
              <w:rPr>
                <w:sz w:val="20"/>
              </w:rPr>
            </w:pPr>
            <w:hyperlink r:id="rId51" w:history="1">
              <w:r w:rsidR="0035075E" w:rsidRPr="00E74E29">
                <w:rPr>
                  <w:rStyle w:val="Hyperlink"/>
                  <w:sz w:val="20"/>
                </w:rPr>
                <w:t>2021 ONCA 293</w:t>
              </w:r>
            </w:hyperlink>
          </w:p>
          <w:p w:rsidR="0035075E" w:rsidRPr="00E74E29" w:rsidRDefault="0035075E" w:rsidP="0035075E">
            <w:pPr>
              <w:jc w:val="both"/>
              <w:rPr>
                <w:sz w:val="20"/>
              </w:rPr>
            </w:pPr>
            <w:r w:rsidRPr="00E74E29">
              <w:rPr>
                <w:sz w:val="20"/>
              </w:rPr>
              <w:t>File No.: C68450</w:t>
            </w:r>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rPr>
            </w:pPr>
            <w:r w:rsidRPr="00E74E29">
              <w:rPr>
                <w:sz w:val="20"/>
              </w:rPr>
              <w:t>Appeal dismissed as against Mr. Kats.  Appeal allowed only to the extent that the award of punitive damages payable to Ms. Higgins is set aside.</w:t>
            </w:r>
          </w:p>
          <w:p w:rsidR="0035075E" w:rsidRPr="00E74E29" w:rsidRDefault="0035075E" w:rsidP="0035075E">
            <w:pPr>
              <w:jc w:val="both"/>
              <w:rPr>
                <w:sz w:val="20"/>
              </w:rPr>
            </w:pPr>
          </w:p>
        </w:tc>
      </w:tr>
      <w:tr w:rsidR="0035075E" w:rsidRPr="00E74E29" w:rsidTr="00F322C3">
        <w:tc>
          <w:tcPr>
            <w:tcW w:w="2427" w:type="pct"/>
            <w:gridSpan w:val="2"/>
          </w:tcPr>
          <w:p w:rsidR="0035075E" w:rsidRPr="00E74E29" w:rsidRDefault="0035075E" w:rsidP="0035075E">
            <w:pPr>
              <w:jc w:val="both"/>
              <w:rPr>
                <w:sz w:val="20"/>
              </w:rPr>
            </w:pPr>
            <w:r w:rsidRPr="00E74E29">
              <w:rPr>
                <w:sz w:val="20"/>
              </w:rPr>
              <w:t>August 5, 2021</w:t>
            </w:r>
          </w:p>
          <w:p w:rsidR="0035075E" w:rsidRPr="00E74E29" w:rsidRDefault="0035075E" w:rsidP="0035075E">
            <w:pPr>
              <w:jc w:val="both"/>
              <w:rPr>
                <w:sz w:val="20"/>
              </w:rPr>
            </w:pPr>
            <w:r w:rsidRPr="00E74E29">
              <w:rPr>
                <w:sz w:val="20"/>
              </w:rPr>
              <w:t>Supreme Court of Canada</w:t>
            </w:r>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rPr>
            </w:pPr>
            <w:r w:rsidRPr="00E74E29">
              <w:rPr>
                <w:sz w:val="20"/>
              </w:rPr>
              <w:t>Application for leave to appeal filed.</w:t>
            </w:r>
          </w:p>
          <w:p w:rsidR="0035075E" w:rsidRPr="00E74E29" w:rsidRDefault="0035075E" w:rsidP="0035075E">
            <w:pPr>
              <w:jc w:val="both"/>
              <w:rPr>
                <w:sz w:val="20"/>
              </w:rPr>
            </w:pPr>
          </w:p>
        </w:tc>
      </w:tr>
      <w:tr w:rsidR="0035075E" w:rsidRPr="00E74E29" w:rsidTr="00F322C3">
        <w:tc>
          <w:tcPr>
            <w:tcW w:w="2427" w:type="pct"/>
            <w:gridSpan w:val="2"/>
          </w:tcPr>
          <w:p w:rsidR="0035075E" w:rsidRPr="00E74E29" w:rsidRDefault="0035075E" w:rsidP="0035075E">
            <w:pPr>
              <w:jc w:val="both"/>
              <w:rPr>
                <w:sz w:val="20"/>
              </w:rPr>
            </w:pPr>
            <w:r w:rsidRPr="00E74E29">
              <w:rPr>
                <w:sz w:val="20"/>
              </w:rPr>
              <w:t>February 16, 2022</w:t>
            </w:r>
          </w:p>
          <w:p w:rsidR="0035075E" w:rsidRPr="00E74E29" w:rsidRDefault="0035075E" w:rsidP="0035075E">
            <w:pPr>
              <w:jc w:val="both"/>
              <w:rPr>
                <w:sz w:val="20"/>
              </w:rPr>
            </w:pPr>
            <w:r w:rsidRPr="00E74E29">
              <w:rPr>
                <w:sz w:val="20"/>
              </w:rPr>
              <w:t>Supreme Court of Canada</w:t>
            </w: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rPr>
            </w:pPr>
            <w:r w:rsidRPr="00E74E29">
              <w:rPr>
                <w:sz w:val="20"/>
              </w:rPr>
              <w:t xml:space="preserve">Motion by Ms. Higgins for extension of time to serve and file response. </w:t>
            </w:r>
          </w:p>
        </w:tc>
      </w:tr>
    </w:tbl>
    <w:p w:rsidR="0035075E" w:rsidRPr="00E74E29" w:rsidRDefault="0035075E" w:rsidP="0035075E">
      <w:pPr>
        <w:jc w:val="both"/>
        <w:rPr>
          <w:sz w:val="20"/>
        </w:rPr>
      </w:pPr>
    </w:p>
    <w:p w:rsidR="00F322C3" w:rsidRPr="00E74E29" w:rsidRDefault="00463557" w:rsidP="0035075E">
      <w:pPr>
        <w:jc w:val="both"/>
        <w:rPr>
          <w:sz w:val="20"/>
        </w:rPr>
      </w:pPr>
      <w:r>
        <w:rPr>
          <w:sz w:val="20"/>
        </w:rPr>
        <w:pict>
          <v:rect id="_x0000_i1045" style="width:2in;height:1pt" o:hrpct="0" o:hralign="center" o:hrstd="t" o:hrnoshade="t" o:hr="t" fillcolor="black [3213]" stroked="f"/>
        </w:pict>
      </w:r>
    </w:p>
    <w:p w:rsidR="00F322C3" w:rsidRPr="00E74E29" w:rsidRDefault="00F322C3" w:rsidP="0035075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075E" w:rsidRPr="00463557" w:rsidTr="00F322C3">
        <w:tc>
          <w:tcPr>
            <w:tcW w:w="543" w:type="pct"/>
          </w:tcPr>
          <w:p w:rsidR="0035075E" w:rsidRPr="00E74E29" w:rsidRDefault="0035075E" w:rsidP="0035075E">
            <w:pPr>
              <w:jc w:val="both"/>
              <w:rPr>
                <w:sz w:val="20"/>
              </w:rPr>
            </w:pPr>
            <w:r w:rsidRPr="00E74E29">
              <w:rPr>
                <w:rStyle w:val="SCCFileNumberChar"/>
                <w:sz w:val="20"/>
                <w:szCs w:val="20"/>
              </w:rPr>
              <w:t>40010</w:t>
            </w:r>
          </w:p>
        </w:tc>
        <w:tc>
          <w:tcPr>
            <w:tcW w:w="4457" w:type="pct"/>
            <w:gridSpan w:val="3"/>
          </w:tcPr>
          <w:p w:rsidR="0035075E" w:rsidRPr="00E74E29" w:rsidRDefault="0035075E" w:rsidP="0035075E">
            <w:pPr>
              <w:pStyle w:val="SCCLsocParty"/>
              <w:jc w:val="both"/>
              <w:rPr>
                <w:b/>
                <w:sz w:val="20"/>
                <w:szCs w:val="20"/>
              </w:rPr>
            </w:pPr>
            <w:r w:rsidRPr="00E74E29">
              <w:rPr>
                <w:b/>
                <w:sz w:val="20"/>
                <w:szCs w:val="20"/>
              </w:rPr>
              <w:t>Adriana Hornstein c. Anatoly Kats et Rachel Higgins</w:t>
            </w:r>
          </w:p>
          <w:p w:rsidR="0035075E" w:rsidRPr="00E74E29" w:rsidRDefault="0035075E" w:rsidP="0035075E">
            <w:pPr>
              <w:jc w:val="both"/>
              <w:rPr>
                <w:sz w:val="20"/>
                <w:lang w:val="fr-CA"/>
              </w:rPr>
            </w:pPr>
            <w:r w:rsidRPr="00E74E29">
              <w:rPr>
                <w:sz w:val="20"/>
                <w:lang w:val="fr-CA"/>
              </w:rPr>
              <w:t>(Ont.) (Civile) (Autorisation)</w:t>
            </w:r>
          </w:p>
        </w:tc>
      </w:tr>
      <w:tr w:rsidR="0035075E" w:rsidRPr="00463557" w:rsidTr="00F322C3">
        <w:tc>
          <w:tcPr>
            <w:tcW w:w="5000" w:type="pct"/>
            <w:gridSpan w:val="4"/>
          </w:tcPr>
          <w:p w:rsidR="0035075E" w:rsidRPr="00E74E29" w:rsidRDefault="0035075E" w:rsidP="0035075E">
            <w:pPr>
              <w:jc w:val="both"/>
              <w:rPr>
                <w:sz w:val="20"/>
                <w:lang w:val="fr-CA"/>
              </w:rPr>
            </w:pPr>
            <w:r w:rsidRPr="00E74E29">
              <w:rPr>
                <w:sz w:val="20"/>
                <w:lang w:val="fr-CA"/>
              </w:rPr>
              <w:t xml:space="preserve">Procédure civile — Appels — Dépens — Biens — Biens réels — Prétendue société pour l’achat d’un immeuble résidentiel — Les juridictions inférieures concluent que la demanderesse n’a pas droit au partage de l’immeuble en </w:t>
            </w:r>
            <w:r w:rsidRPr="00E74E29">
              <w:rPr>
                <w:sz w:val="20"/>
                <w:lang w:val="fr-CA"/>
              </w:rPr>
              <w:lastRenderedPageBreak/>
              <w:t>question et n’a aucun droit à l’égard de l’immeuble — La convention d’achat</w:t>
            </w:r>
            <w:r w:rsidRPr="00E74E29">
              <w:rPr>
                <w:sz w:val="20"/>
                <w:lang w:val="fr-CA"/>
              </w:rPr>
              <w:noBreakHyphen/>
              <w:t>vente entre les intimés est jugée valide — Les juridictions inférieures ont</w:t>
            </w:r>
            <w:r w:rsidRPr="00E74E29">
              <w:rPr>
                <w:sz w:val="20"/>
                <w:lang w:val="fr-CA"/>
              </w:rPr>
              <w:noBreakHyphen/>
              <w:t>elles commis une erreur dans leur raisonnement et leur décision? — La demande d’autorisation d’appel soulève</w:t>
            </w:r>
            <w:r w:rsidRPr="00E74E29">
              <w:rPr>
                <w:sz w:val="20"/>
                <w:lang w:val="fr-CA"/>
              </w:rPr>
              <w:noBreakHyphen/>
              <w:t>t</w:t>
            </w:r>
            <w:r w:rsidRPr="00E74E29">
              <w:rPr>
                <w:sz w:val="20"/>
                <w:lang w:val="fr-CA"/>
              </w:rPr>
              <w:noBreakHyphen/>
              <w:t>elle des questions d’importance nationale et pour le public?</w:t>
            </w:r>
          </w:p>
        </w:tc>
      </w:tr>
      <w:tr w:rsidR="0035075E" w:rsidRPr="00463557" w:rsidTr="00F322C3">
        <w:tc>
          <w:tcPr>
            <w:tcW w:w="5000" w:type="pct"/>
            <w:gridSpan w:val="4"/>
          </w:tcPr>
          <w:p w:rsidR="0035075E" w:rsidRPr="00E74E29" w:rsidRDefault="0035075E" w:rsidP="0035075E">
            <w:pPr>
              <w:jc w:val="both"/>
              <w:rPr>
                <w:sz w:val="20"/>
                <w:lang w:val="fr-CA"/>
              </w:rPr>
            </w:pPr>
          </w:p>
        </w:tc>
      </w:tr>
      <w:tr w:rsidR="0035075E" w:rsidRPr="00463557" w:rsidTr="00F322C3">
        <w:tc>
          <w:tcPr>
            <w:tcW w:w="5000" w:type="pct"/>
            <w:gridSpan w:val="4"/>
          </w:tcPr>
          <w:p w:rsidR="0035075E" w:rsidRPr="00E74E29" w:rsidRDefault="0035075E" w:rsidP="0035075E">
            <w:pPr>
              <w:jc w:val="both"/>
              <w:rPr>
                <w:sz w:val="20"/>
                <w:lang w:val="fr-CA"/>
              </w:rPr>
            </w:pPr>
            <w:r w:rsidRPr="00E74E29">
              <w:rPr>
                <w:sz w:val="20"/>
                <w:lang w:val="fr-CA"/>
              </w:rPr>
              <w:t>Cette affaire découle d’une prétendue société pour l’achat d’un immeuble résidentiel. La demanderesse a intenté des actions contre les intimés, alléguant avoir un droit bénéficiaire à l’égard de l’immeuble et sollicitant un jugement déclarant que la convention d’achat</w:t>
            </w:r>
            <w:r w:rsidRPr="00E74E29">
              <w:rPr>
                <w:sz w:val="20"/>
                <w:lang w:val="fr-CA"/>
              </w:rPr>
              <w:noBreakHyphen/>
              <w:t>vente entre les intimés est nulle de nullité absolue et inopérante. Les deux intimés ont introduit des demandes reconventionnelles en vue d’obtenir un jugement déclarant que la demanderesse n’avait aucun titre valable en droit à l’égard de l’immeuble et d’obtenir des dommages</w:t>
            </w:r>
            <w:r w:rsidRPr="00E74E29">
              <w:rPr>
                <w:sz w:val="20"/>
                <w:lang w:val="fr-CA"/>
              </w:rPr>
              <w:noBreakHyphen/>
              <w:t>intérêts punitifs.</w:t>
            </w:r>
          </w:p>
          <w:p w:rsidR="0035075E" w:rsidRPr="00E74E29" w:rsidRDefault="0035075E" w:rsidP="0035075E">
            <w:pPr>
              <w:jc w:val="both"/>
              <w:rPr>
                <w:sz w:val="20"/>
                <w:lang w:val="fr-CA"/>
              </w:rPr>
            </w:pPr>
          </w:p>
          <w:p w:rsidR="0035075E" w:rsidRPr="00E74E29" w:rsidRDefault="0035075E" w:rsidP="0035075E">
            <w:pPr>
              <w:jc w:val="both"/>
              <w:rPr>
                <w:sz w:val="20"/>
                <w:lang w:val="fr-CA"/>
              </w:rPr>
            </w:pPr>
            <w:r w:rsidRPr="00E74E29">
              <w:rPr>
                <w:sz w:val="20"/>
                <w:lang w:val="fr-CA"/>
              </w:rPr>
              <w:t>La juge de première instance a conclu que, d’un point de vue objectif, les gestes de la demanderesse n’étaient pas compatibles avec une société et qu’aucune société n’avait été créée. La juge de première instance a également conclu que la demanderesse n’avait pas contribué à l’achat ou à l’entretien de l’immeuble et qu’elle n’avait aucun droit bénéficiaire à l’égard de l’immeuble dont la société, prétend la demanderesse, aurait été propriétaire. La Cour d’appel a conclu que la déférence était de mise à l’égard des conclusions de la juge de première instance. L’appel contre l'intimé M. Kats a été rejeté.</w:t>
            </w:r>
          </w:p>
          <w:p w:rsidR="0035075E" w:rsidRPr="00E74E29" w:rsidRDefault="0035075E" w:rsidP="0035075E">
            <w:pPr>
              <w:jc w:val="both"/>
              <w:rPr>
                <w:sz w:val="20"/>
                <w:lang w:val="fr-CA"/>
              </w:rPr>
            </w:pPr>
          </w:p>
          <w:p w:rsidR="0035075E" w:rsidRPr="00E74E29" w:rsidRDefault="0035075E" w:rsidP="0035075E">
            <w:pPr>
              <w:jc w:val="both"/>
              <w:rPr>
                <w:sz w:val="20"/>
                <w:lang w:val="fr-CA"/>
              </w:rPr>
            </w:pPr>
            <w:r w:rsidRPr="00E74E29">
              <w:rPr>
                <w:sz w:val="20"/>
                <w:lang w:val="fr-CA"/>
              </w:rPr>
              <w:t>La juge de première instance a conclu que l’intimée, Mme Higgins, n’avait aucun droit d’action pour discrédit de titre ni de droit d’action en dommages</w:t>
            </w:r>
            <w:r w:rsidRPr="00E74E29">
              <w:rPr>
                <w:sz w:val="20"/>
                <w:lang w:val="fr-CA"/>
              </w:rPr>
              <w:noBreakHyphen/>
              <w:t xml:space="preserve">intérêts pour violation de l'article 132 de la </w:t>
            </w:r>
            <w:r w:rsidRPr="00E74E29">
              <w:rPr>
                <w:i/>
                <w:sz w:val="20"/>
                <w:lang w:val="fr-CA"/>
              </w:rPr>
              <w:t>Loi sur l'enregistrement des droits immobiliers</w:t>
            </w:r>
            <w:r w:rsidRPr="00E74E29">
              <w:rPr>
                <w:sz w:val="20"/>
                <w:lang w:val="fr-CA"/>
              </w:rPr>
              <w:t>, L.R.O. 1990, ch. L.5. Néanmoins, elle a ordonné à la demanderesse de verser à Mme Higgins des dommages</w:t>
            </w:r>
            <w:r w:rsidRPr="00E74E29">
              <w:rPr>
                <w:sz w:val="20"/>
                <w:lang w:val="fr-CA"/>
              </w:rPr>
              <w:noBreakHyphen/>
              <w:t>intérêts punitifs d’un montant de 35 000 $, en invoquant la nature flagrante, déraisonnable et malveillante des gestes de la demanderesse. La Cour d’appel a conclu que l'attribution de dommages</w:t>
            </w:r>
            <w:r w:rsidRPr="00E74E29">
              <w:rPr>
                <w:sz w:val="20"/>
                <w:lang w:val="fr-CA"/>
              </w:rPr>
              <w:noBreakHyphen/>
              <w:t>intérêts punitifs devait être annulée et l'appel a été accueilli uniquement dans cette mesure.</w:t>
            </w:r>
          </w:p>
          <w:p w:rsidR="0035075E" w:rsidRPr="00E74E29" w:rsidRDefault="0035075E" w:rsidP="0035075E">
            <w:pPr>
              <w:jc w:val="both"/>
              <w:rPr>
                <w:sz w:val="20"/>
                <w:lang w:val="fr-CA"/>
              </w:rPr>
            </w:pP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t>21 mai 2020</w:t>
            </w:r>
          </w:p>
          <w:p w:rsidR="0035075E" w:rsidRPr="00E74E29" w:rsidRDefault="0035075E" w:rsidP="0035075E">
            <w:pPr>
              <w:jc w:val="both"/>
              <w:rPr>
                <w:sz w:val="20"/>
                <w:lang w:val="fr-CA"/>
              </w:rPr>
            </w:pPr>
            <w:r w:rsidRPr="00E74E29">
              <w:rPr>
                <w:sz w:val="20"/>
                <w:lang w:val="fr-CA"/>
              </w:rPr>
              <w:t>Cour supérieure de justice de l'Ontario</w:t>
            </w:r>
          </w:p>
          <w:p w:rsidR="0035075E" w:rsidRPr="00E74E29" w:rsidRDefault="0035075E" w:rsidP="0035075E">
            <w:pPr>
              <w:jc w:val="both"/>
              <w:rPr>
                <w:sz w:val="20"/>
              </w:rPr>
            </w:pPr>
            <w:r w:rsidRPr="00E74E29">
              <w:rPr>
                <w:sz w:val="20"/>
              </w:rPr>
              <w:t>(Juge Brown)</w:t>
            </w:r>
          </w:p>
          <w:p w:rsidR="0035075E" w:rsidRPr="00E74E29" w:rsidRDefault="00463557" w:rsidP="0035075E">
            <w:pPr>
              <w:jc w:val="both"/>
              <w:rPr>
                <w:sz w:val="20"/>
              </w:rPr>
            </w:pPr>
            <w:hyperlink r:id="rId52" w:history="1">
              <w:r w:rsidR="0035075E" w:rsidRPr="00E74E29">
                <w:rPr>
                  <w:rStyle w:val="Hyperlink"/>
                  <w:sz w:val="20"/>
                </w:rPr>
                <w:t>2020 ONSC 870</w:t>
              </w:r>
            </w:hyperlink>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lang w:val="fr-CA"/>
              </w:rPr>
            </w:pPr>
            <w:r w:rsidRPr="00E74E29">
              <w:rPr>
                <w:sz w:val="20"/>
                <w:lang w:val="fr-CA"/>
              </w:rPr>
              <w:t>La convention d’achat</w:t>
            </w:r>
            <w:r w:rsidRPr="00E74E29">
              <w:rPr>
                <w:sz w:val="20"/>
                <w:lang w:val="fr-CA"/>
              </w:rPr>
              <w:noBreakHyphen/>
              <w:t>vente et la modification de la CAV en ce qui concerne l’immeuble Alexis sont valides et la transaction doit se dérouler comme convenu entre M. Kats et Mme Higgins.</w:t>
            </w:r>
          </w:p>
          <w:p w:rsidR="0035075E" w:rsidRPr="00E74E29" w:rsidRDefault="0035075E" w:rsidP="0035075E">
            <w:pPr>
              <w:jc w:val="both"/>
              <w:rPr>
                <w:sz w:val="20"/>
                <w:lang w:val="fr-CA"/>
              </w:rPr>
            </w:pPr>
          </w:p>
          <w:p w:rsidR="0035075E" w:rsidRPr="00E74E29" w:rsidRDefault="0035075E" w:rsidP="0035075E">
            <w:pPr>
              <w:jc w:val="both"/>
              <w:rPr>
                <w:sz w:val="20"/>
                <w:lang w:val="fr-CA"/>
              </w:rPr>
            </w:pPr>
            <w:r w:rsidRPr="00E74E29">
              <w:rPr>
                <w:sz w:val="20"/>
                <w:lang w:val="fr-CA"/>
              </w:rPr>
              <w:t>L’avis indéterminé enregistré contre l’immeuble Alexis le 19 décembre 2012 est irrégulier et doit être immédiatement retiré afin que la transaction puisse aller de l’avant.</w:t>
            </w:r>
          </w:p>
          <w:p w:rsidR="0035075E" w:rsidRPr="00E74E29" w:rsidRDefault="0035075E" w:rsidP="0035075E">
            <w:pPr>
              <w:jc w:val="both"/>
              <w:rPr>
                <w:sz w:val="20"/>
                <w:lang w:val="fr-CA"/>
              </w:rPr>
            </w:pPr>
          </w:p>
          <w:p w:rsidR="0035075E" w:rsidRPr="00E74E29" w:rsidRDefault="0035075E" w:rsidP="0035075E">
            <w:pPr>
              <w:jc w:val="both"/>
              <w:rPr>
                <w:sz w:val="20"/>
                <w:lang w:val="fr-CA"/>
              </w:rPr>
            </w:pPr>
            <w:r w:rsidRPr="00E74E29">
              <w:rPr>
                <w:sz w:val="20"/>
                <w:lang w:val="fr-CA"/>
              </w:rPr>
              <w:t>Madame Hornstein n’a aucun droit à un partage de l’immeuble en question, n’a aucun droit à l’égard de l’immeuble et n’a aucun droit à l’égard d’une éventuelle augmentation de valeur depuis 2011, lorsqu’elle a enregistré irrégulièrement deux avis contre le titre, de sorte que la vente de l’immeuble Alexis ne pouvait pas aller de l’avant, jusqu'à ce jour.</w:t>
            </w:r>
          </w:p>
          <w:p w:rsidR="0035075E" w:rsidRPr="00E74E29" w:rsidRDefault="0035075E" w:rsidP="0035075E">
            <w:pPr>
              <w:jc w:val="both"/>
              <w:rPr>
                <w:sz w:val="20"/>
                <w:lang w:val="fr-CA"/>
              </w:rPr>
            </w:pPr>
          </w:p>
          <w:p w:rsidR="0035075E" w:rsidRPr="00E74E29" w:rsidRDefault="0035075E" w:rsidP="0035075E">
            <w:pPr>
              <w:jc w:val="both"/>
              <w:rPr>
                <w:sz w:val="20"/>
                <w:lang w:val="fr-CA"/>
              </w:rPr>
            </w:pPr>
            <w:r w:rsidRPr="00E74E29">
              <w:rPr>
                <w:sz w:val="20"/>
                <w:lang w:val="fr-CA"/>
              </w:rPr>
              <w:t>Tous les avis actuellement enregistrés contre le titre par Mme Hornstein relativement à l’immeuble Alexis doivent être immédiatement supprimés par le registrateur.</w:t>
            </w:r>
          </w:p>
          <w:p w:rsidR="0035075E" w:rsidRPr="00E74E29" w:rsidRDefault="0035075E" w:rsidP="0035075E">
            <w:pPr>
              <w:jc w:val="both"/>
              <w:rPr>
                <w:sz w:val="20"/>
                <w:lang w:val="fr-CA"/>
              </w:rPr>
            </w:pPr>
          </w:p>
          <w:p w:rsidR="0035075E" w:rsidRPr="00E74E29" w:rsidRDefault="0035075E" w:rsidP="0035075E">
            <w:pPr>
              <w:jc w:val="both"/>
              <w:rPr>
                <w:sz w:val="20"/>
                <w:lang w:val="fr-CA"/>
              </w:rPr>
            </w:pPr>
            <w:r w:rsidRPr="00E74E29">
              <w:rPr>
                <w:sz w:val="20"/>
                <w:lang w:val="fr-CA"/>
              </w:rPr>
              <w:t>Monsieur Kats a droit au solde impayé du prêt qu’il a consenti à Mme Hornstein à l’égard d’un autre immeuble, celui de Waterloo, d'une somme de 12 000 $, payable immédiatement, moins 1 400 $, c’est</w:t>
            </w:r>
            <w:r w:rsidRPr="00E74E29">
              <w:rPr>
                <w:sz w:val="20"/>
                <w:lang w:val="fr-CA"/>
              </w:rPr>
              <w:noBreakHyphen/>
              <w:t>à</w:t>
            </w:r>
            <w:r w:rsidRPr="00E74E29">
              <w:rPr>
                <w:sz w:val="20"/>
                <w:lang w:val="fr-CA"/>
              </w:rPr>
              <w:noBreakHyphen/>
              <w:t>dire le montant que Mme Hornstein a versé à M. Kats à un moment donné.</w:t>
            </w:r>
          </w:p>
          <w:p w:rsidR="0035075E" w:rsidRPr="00E74E29" w:rsidRDefault="0035075E" w:rsidP="0035075E">
            <w:pPr>
              <w:jc w:val="both"/>
              <w:rPr>
                <w:sz w:val="20"/>
                <w:lang w:val="fr-CA"/>
              </w:rPr>
            </w:pPr>
          </w:p>
          <w:p w:rsidR="0035075E" w:rsidRPr="00E74E29" w:rsidRDefault="0035075E" w:rsidP="0035075E">
            <w:pPr>
              <w:jc w:val="both"/>
              <w:rPr>
                <w:sz w:val="20"/>
                <w:lang w:val="fr-CA"/>
              </w:rPr>
            </w:pPr>
            <w:r w:rsidRPr="00E74E29">
              <w:rPr>
                <w:sz w:val="20"/>
                <w:lang w:val="fr-CA"/>
              </w:rPr>
              <w:t>Madame Higgins a droit à des dommages-intérêts punitifs d'un montant de 35 000 $, payables par Mme Hornstein.</w:t>
            </w:r>
          </w:p>
          <w:p w:rsidR="0035075E" w:rsidRPr="00E74E29" w:rsidRDefault="0035075E" w:rsidP="0035075E">
            <w:pPr>
              <w:jc w:val="both"/>
              <w:rPr>
                <w:sz w:val="20"/>
                <w:lang w:val="fr-CA"/>
              </w:rPr>
            </w:pP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lastRenderedPageBreak/>
              <w:t>21 septembre 2020</w:t>
            </w:r>
          </w:p>
          <w:p w:rsidR="0035075E" w:rsidRPr="00E74E29" w:rsidRDefault="0035075E" w:rsidP="0035075E">
            <w:pPr>
              <w:jc w:val="both"/>
              <w:rPr>
                <w:sz w:val="20"/>
                <w:lang w:val="fr-CA"/>
              </w:rPr>
            </w:pPr>
            <w:r w:rsidRPr="00E74E29">
              <w:rPr>
                <w:sz w:val="20"/>
                <w:lang w:val="fr-CA"/>
              </w:rPr>
              <w:t>Cour supérieure de justice de l'Ontario</w:t>
            </w:r>
          </w:p>
          <w:p w:rsidR="0035075E" w:rsidRPr="00E74E29" w:rsidRDefault="0035075E" w:rsidP="0035075E">
            <w:pPr>
              <w:jc w:val="both"/>
              <w:rPr>
                <w:sz w:val="20"/>
              </w:rPr>
            </w:pPr>
            <w:r w:rsidRPr="00E74E29">
              <w:rPr>
                <w:sz w:val="20"/>
              </w:rPr>
              <w:t>(Juge Brown)</w:t>
            </w:r>
          </w:p>
          <w:p w:rsidR="0035075E" w:rsidRPr="00E74E29" w:rsidRDefault="00463557" w:rsidP="0035075E">
            <w:pPr>
              <w:jc w:val="both"/>
              <w:rPr>
                <w:sz w:val="20"/>
              </w:rPr>
            </w:pPr>
            <w:hyperlink r:id="rId53" w:history="1">
              <w:r w:rsidR="0035075E" w:rsidRPr="00E74E29">
                <w:rPr>
                  <w:rStyle w:val="Hyperlink"/>
                  <w:sz w:val="20"/>
                </w:rPr>
                <w:t>2020 ONSC 5664</w:t>
              </w:r>
            </w:hyperlink>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lang w:val="fr-CA"/>
              </w:rPr>
            </w:pPr>
            <w:r w:rsidRPr="00E74E29">
              <w:rPr>
                <w:sz w:val="20"/>
                <w:lang w:val="fr-CA"/>
              </w:rPr>
              <w:t>Dépens d’indemnisation substantielle adjugés à M. Kats et à Mme Higgins.</w:t>
            </w: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t>6 mai 2021</w:t>
            </w:r>
          </w:p>
          <w:p w:rsidR="0035075E" w:rsidRPr="00E74E29" w:rsidRDefault="0035075E" w:rsidP="0035075E">
            <w:pPr>
              <w:jc w:val="both"/>
              <w:rPr>
                <w:sz w:val="20"/>
                <w:lang w:val="fr-CA"/>
              </w:rPr>
            </w:pPr>
            <w:r w:rsidRPr="00E74E29">
              <w:rPr>
                <w:sz w:val="20"/>
                <w:lang w:val="fr-CA"/>
              </w:rPr>
              <w:t>Cour d’appel de l’Ontario</w:t>
            </w:r>
          </w:p>
          <w:p w:rsidR="0035075E" w:rsidRPr="00E74E29" w:rsidRDefault="0035075E" w:rsidP="0035075E">
            <w:pPr>
              <w:jc w:val="both"/>
              <w:rPr>
                <w:sz w:val="20"/>
                <w:lang w:val="fr-CA"/>
              </w:rPr>
            </w:pPr>
            <w:r w:rsidRPr="00E74E29">
              <w:rPr>
                <w:sz w:val="20"/>
                <w:lang w:val="fr-CA"/>
              </w:rPr>
              <w:t>(Juges Huscroft, Nordheimer et Harvison Young)</w:t>
            </w:r>
          </w:p>
          <w:p w:rsidR="0035075E" w:rsidRPr="00E74E29" w:rsidRDefault="00463557" w:rsidP="0035075E">
            <w:pPr>
              <w:jc w:val="both"/>
              <w:rPr>
                <w:sz w:val="20"/>
              </w:rPr>
            </w:pPr>
            <w:hyperlink r:id="rId54" w:history="1">
              <w:r w:rsidR="0035075E" w:rsidRPr="00E74E29">
                <w:rPr>
                  <w:rStyle w:val="Hyperlink"/>
                  <w:sz w:val="20"/>
                </w:rPr>
                <w:t>2021 ONCA 293</w:t>
              </w:r>
            </w:hyperlink>
          </w:p>
          <w:p w:rsidR="0035075E" w:rsidRPr="00E74E29" w:rsidRDefault="0035075E" w:rsidP="0035075E">
            <w:pPr>
              <w:jc w:val="both"/>
              <w:rPr>
                <w:sz w:val="20"/>
              </w:rPr>
            </w:pPr>
            <w:r w:rsidRPr="00E74E29">
              <w:rPr>
                <w:sz w:val="20"/>
              </w:rPr>
              <w:t>N° de dossier : C68450</w:t>
            </w:r>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lang w:val="fr-CA"/>
              </w:rPr>
            </w:pPr>
            <w:r w:rsidRPr="00E74E29">
              <w:rPr>
                <w:sz w:val="20"/>
                <w:lang w:val="fr-CA"/>
              </w:rPr>
              <w:t>Rejet de l’appel contre M. Kats. Arrêt accueillant l’appel seulement dans la mesure où l'attribution de dommages</w:t>
            </w:r>
            <w:r w:rsidRPr="00E74E29">
              <w:rPr>
                <w:sz w:val="20"/>
                <w:lang w:val="fr-CA"/>
              </w:rPr>
              <w:noBreakHyphen/>
              <w:t>intérêts punitifs payables à Mme Higgins est annulée.</w:t>
            </w:r>
          </w:p>
          <w:p w:rsidR="0035075E" w:rsidRPr="00E74E29" w:rsidRDefault="0035075E" w:rsidP="0035075E">
            <w:pPr>
              <w:jc w:val="both"/>
              <w:rPr>
                <w:sz w:val="20"/>
                <w:lang w:val="fr-CA"/>
              </w:rPr>
            </w:pPr>
          </w:p>
        </w:tc>
      </w:tr>
      <w:tr w:rsidR="0035075E" w:rsidRPr="00463557" w:rsidTr="00F322C3">
        <w:tc>
          <w:tcPr>
            <w:tcW w:w="2427" w:type="pct"/>
            <w:gridSpan w:val="2"/>
          </w:tcPr>
          <w:p w:rsidR="0035075E" w:rsidRPr="00E74E29" w:rsidRDefault="0035075E" w:rsidP="0035075E">
            <w:pPr>
              <w:jc w:val="both"/>
              <w:rPr>
                <w:sz w:val="20"/>
              </w:rPr>
            </w:pPr>
            <w:r w:rsidRPr="00E74E29">
              <w:rPr>
                <w:sz w:val="20"/>
              </w:rPr>
              <w:t>5 août 2021</w:t>
            </w:r>
          </w:p>
          <w:p w:rsidR="0035075E" w:rsidRPr="00E74E29" w:rsidRDefault="0035075E" w:rsidP="0035075E">
            <w:pPr>
              <w:jc w:val="both"/>
              <w:rPr>
                <w:sz w:val="20"/>
              </w:rPr>
            </w:pPr>
            <w:r w:rsidRPr="00E74E29">
              <w:rPr>
                <w:sz w:val="20"/>
              </w:rPr>
              <w:t>Cour suprême du Canada</w:t>
            </w:r>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lang w:val="fr-CA"/>
              </w:rPr>
            </w:pPr>
            <w:r w:rsidRPr="00E74E29">
              <w:rPr>
                <w:sz w:val="20"/>
                <w:lang w:val="fr-CA"/>
              </w:rPr>
              <w:t>Dépôt de la demande d'autorisation d'appel.</w:t>
            </w:r>
          </w:p>
          <w:p w:rsidR="0035075E" w:rsidRPr="00E74E29" w:rsidRDefault="0035075E" w:rsidP="0035075E">
            <w:pPr>
              <w:jc w:val="both"/>
              <w:rPr>
                <w:sz w:val="20"/>
                <w:lang w:val="fr-CA"/>
              </w:rPr>
            </w:pP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t>16 février 2022</w:t>
            </w:r>
          </w:p>
          <w:p w:rsidR="0035075E" w:rsidRPr="00E74E29" w:rsidRDefault="0035075E" w:rsidP="0035075E">
            <w:pPr>
              <w:jc w:val="both"/>
              <w:rPr>
                <w:sz w:val="20"/>
                <w:lang w:val="fr-CA"/>
              </w:rPr>
            </w:pPr>
            <w:r w:rsidRPr="00E74E29">
              <w:rPr>
                <w:sz w:val="20"/>
                <w:lang w:val="fr-CA"/>
              </w:rPr>
              <w:t>Cour suprême du Canada</w:t>
            </w:r>
          </w:p>
        </w:tc>
        <w:tc>
          <w:tcPr>
            <w:tcW w:w="243" w:type="pct"/>
          </w:tcPr>
          <w:p w:rsidR="0035075E" w:rsidRPr="00E74E29" w:rsidRDefault="0035075E" w:rsidP="0035075E">
            <w:pPr>
              <w:jc w:val="both"/>
              <w:rPr>
                <w:sz w:val="20"/>
                <w:lang w:val="fr-CA"/>
              </w:rPr>
            </w:pPr>
          </w:p>
        </w:tc>
        <w:tc>
          <w:tcPr>
            <w:tcW w:w="2330" w:type="pct"/>
          </w:tcPr>
          <w:p w:rsidR="0035075E" w:rsidRPr="00E74E29" w:rsidRDefault="0035075E" w:rsidP="0035075E">
            <w:pPr>
              <w:jc w:val="both"/>
              <w:rPr>
                <w:sz w:val="20"/>
                <w:lang w:val="fr-CA"/>
              </w:rPr>
            </w:pPr>
            <w:r w:rsidRPr="00E74E29">
              <w:rPr>
                <w:sz w:val="20"/>
                <w:lang w:val="fr-CA"/>
              </w:rPr>
              <w:t xml:space="preserve">Requête de Mme Higgins en prorogation du délai de signification et de dépôt de la réponse. </w:t>
            </w:r>
          </w:p>
        </w:tc>
      </w:tr>
    </w:tbl>
    <w:p w:rsidR="0035075E" w:rsidRPr="00E74E29" w:rsidRDefault="0035075E" w:rsidP="0035075E">
      <w:pPr>
        <w:jc w:val="both"/>
        <w:rPr>
          <w:sz w:val="20"/>
          <w:lang w:val="fr-CA"/>
        </w:rPr>
      </w:pPr>
    </w:p>
    <w:p w:rsidR="00F322C3" w:rsidRPr="00E74E29" w:rsidRDefault="00463557" w:rsidP="0035075E">
      <w:pPr>
        <w:jc w:val="both"/>
        <w:rPr>
          <w:sz w:val="20"/>
          <w:lang w:val="fr-CA"/>
        </w:rPr>
      </w:pPr>
      <w:r>
        <w:rPr>
          <w:sz w:val="20"/>
        </w:rPr>
        <w:pict>
          <v:rect id="_x0000_i1046" style="width:2in;height:1pt" o:hrpct="0" o:hralign="center" o:hrstd="t" o:hrnoshade="t" o:hr="t" fillcolor="black [3213]" stroked="f"/>
        </w:pict>
      </w:r>
    </w:p>
    <w:p w:rsidR="0001473D" w:rsidRPr="00E74E29" w:rsidRDefault="0001473D" w:rsidP="0035075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075E" w:rsidRPr="00E74E29" w:rsidTr="00F322C3">
        <w:tc>
          <w:tcPr>
            <w:tcW w:w="543" w:type="pct"/>
          </w:tcPr>
          <w:p w:rsidR="0035075E" w:rsidRPr="00E74E29" w:rsidRDefault="0035075E" w:rsidP="0035075E">
            <w:pPr>
              <w:jc w:val="both"/>
              <w:rPr>
                <w:sz w:val="20"/>
              </w:rPr>
            </w:pPr>
            <w:r w:rsidRPr="00E74E29">
              <w:rPr>
                <w:rStyle w:val="SCCFileNumberChar"/>
                <w:sz w:val="20"/>
                <w:szCs w:val="20"/>
              </w:rPr>
              <w:t>39908</w:t>
            </w:r>
          </w:p>
        </w:tc>
        <w:tc>
          <w:tcPr>
            <w:tcW w:w="4457" w:type="pct"/>
            <w:gridSpan w:val="3"/>
          </w:tcPr>
          <w:p w:rsidR="0035075E" w:rsidRPr="00E74E29" w:rsidRDefault="0035075E" w:rsidP="0035075E">
            <w:pPr>
              <w:pStyle w:val="SCCLsocParty"/>
              <w:jc w:val="both"/>
              <w:rPr>
                <w:b/>
                <w:sz w:val="20"/>
                <w:szCs w:val="20"/>
                <w:lang w:val="en-US"/>
              </w:rPr>
            </w:pPr>
            <w:r w:rsidRPr="00E74E29">
              <w:rPr>
                <w:b/>
                <w:sz w:val="20"/>
                <w:szCs w:val="20"/>
                <w:lang w:val="en-US"/>
              </w:rPr>
              <w:t>The Estate of William Albin Herold, deceased v. Attorney General of Canada, Curve Lake First Nation, Hiawatha First Nation, Mississaugas of Scugog Island First Nation</w:t>
            </w:r>
          </w:p>
          <w:p w:rsidR="0035075E" w:rsidRPr="00E74E29" w:rsidRDefault="0035075E" w:rsidP="0035075E">
            <w:pPr>
              <w:jc w:val="both"/>
              <w:rPr>
                <w:sz w:val="20"/>
              </w:rPr>
            </w:pPr>
            <w:r w:rsidRPr="00E74E29">
              <w:rPr>
                <w:sz w:val="20"/>
              </w:rPr>
              <w:t>(Ont.) (Civil) (By Leave)</w:t>
            </w:r>
          </w:p>
        </w:tc>
      </w:tr>
      <w:tr w:rsidR="0035075E" w:rsidRPr="00E74E29" w:rsidTr="00F322C3">
        <w:tc>
          <w:tcPr>
            <w:tcW w:w="5000" w:type="pct"/>
            <w:gridSpan w:val="4"/>
          </w:tcPr>
          <w:p w:rsidR="0035075E" w:rsidRPr="00E74E29" w:rsidRDefault="0035075E" w:rsidP="0035075E">
            <w:pPr>
              <w:jc w:val="both"/>
              <w:rPr>
                <w:sz w:val="20"/>
              </w:rPr>
            </w:pPr>
            <w:r w:rsidRPr="00E74E29">
              <w:rPr>
                <w:sz w:val="20"/>
              </w:rPr>
              <w:t>Property — Real property — Title — Crown Patent — Interpretation — Aboriginal law — Treaties — Land claims — Honour of Crown — Law of water boundaries of riparian parcels — Whether the Ontario Court of Appeal Decision departs from binding precedent of this Court regarding the unconditional surrender of land — Whether the Decision would subject all dealings in Ontario lands involving treaties with comparable proceeds of sale clauses to the principle of the Honour of the Crown, thus destabilizing title and triggering legal disputes — Whether the Decision purports to establish a new framework for establishing the objective intentions of parties to a Crown Grant or Patent — Whether the Court of Appeal erred by applying the law of natural accretion and erosion, rather than the law of inundation of land by flooding caused by artificial regulation, thereby confusing the law of water boundaries of riparian parcels — Whether the Court of Appeal failed to give deference to the application judge and performed its own assessment of the evidence without the comprehensive evidentiary record available to the application judge and without first finding palpable and overriding error.</w:t>
            </w:r>
          </w:p>
        </w:tc>
      </w:tr>
      <w:tr w:rsidR="0035075E" w:rsidRPr="00E74E29" w:rsidTr="00F322C3">
        <w:tc>
          <w:tcPr>
            <w:tcW w:w="5000" w:type="pct"/>
            <w:gridSpan w:val="4"/>
          </w:tcPr>
          <w:p w:rsidR="0035075E" w:rsidRPr="00E74E29" w:rsidRDefault="0035075E" w:rsidP="0035075E">
            <w:pPr>
              <w:jc w:val="both"/>
              <w:rPr>
                <w:sz w:val="20"/>
              </w:rPr>
            </w:pPr>
          </w:p>
        </w:tc>
      </w:tr>
      <w:tr w:rsidR="0035075E" w:rsidRPr="00E74E29" w:rsidTr="00F322C3">
        <w:tc>
          <w:tcPr>
            <w:tcW w:w="5000" w:type="pct"/>
            <w:gridSpan w:val="4"/>
          </w:tcPr>
          <w:p w:rsidR="0035075E" w:rsidRPr="00E74E29" w:rsidRDefault="0035075E" w:rsidP="0035075E">
            <w:pPr>
              <w:jc w:val="both"/>
              <w:rPr>
                <w:sz w:val="20"/>
              </w:rPr>
            </w:pPr>
            <w:r w:rsidRPr="00E74E29">
              <w:rPr>
                <w:sz w:val="20"/>
              </w:rPr>
              <w:t>The applicant, the Estate of William Albin Herold (“Herold Estate”), is the owner of Lot 35, Concession 11, in the Township of Smith, County of Peterborough (“Lot 35”). It applied to the Ontario Superior Court of Justice to confirm its ownership of three islands (“Islands”) located in the waterway near Lot 35 and in close proximity to each other.</w:t>
            </w:r>
          </w:p>
          <w:p w:rsidR="0035075E" w:rsidRPr="00E74E29" w:rsidRDefault="0035075E" w:rsidP="0035075E">
            <w:pPr>
              <w:jc w:val="both"/>
              <w:rPr>
                <w:sz w:val="20"/>
              </w:rPr>
            </w:pPr>
          </w:p>
          <w:p w:rsidR="0035075E" w:rsidRPr="00E74E29" w:rsidRDefault="0035075E" w:rsidP="0035075E">
            <w:pPr>
              <w:jc w:val="both"/>
              <w:rPr>
                <w:sz w:val="20"/>
              </w:rPr>
            </w:pPr>
            <w:r w:rsidRPr="00E74E29">
              <w:rPr>
                <w:sz w:val="20"/>
              </w:rPr>
              <w:t>Before the Ontario Superior Court of Justice, the application judge held that Herold Estate owned the Islands by virtue of Crown Letters Patent dated 1868 to Herold Estate’s predecessor in title which conveyed the Islands as part of the conveyance of Lot 35.</w:t>
            </w:r>
          </w:p>
          <w:p w:rsidR="0035075E" w:rsidRPr="00E74E29" w:rsidRDefault="0035075E" w:rsidP="0035075E">
            <w:pPr>
              <w:jc w:val="both"/>
              <w:rPr>
                <w:sz w:val="20"/>
              </w:rPr>
            </w:pPr>
          </w:p>
          <w:p w:rsidR="0035075E" w:rsidRPr="00E74E29" w:rsidRDefault="0035075E" w:rsidP="0035075E">
            <w:pPr>
              <w:jc w:val="both"/>
              <w:rPr>
                <w:sz w:val="20"/>
              </w:rPr>
            </w:pPr>
            <w:r w:rsidRPr="00E74E29">
              <w:rPr>
                <w:sz w:val="20"/>
              </w:rPr>
              <w:t>The Court of Appeal unanimously allowed the appeals of the respondent Attorney General of Canada (“AGC”) and the respondents Curve Lake First Nation, Hiawatha First Nation and Mississaugas of Scugog Island First Nation. In its view, the application judge’s determination that the Letters Patent conveyed the Islands as part of the conveyance of Lot 35 was not owed deference because he made extricable errors of law. First, the application judge failed to follow the fundamental principle of interpretation to determine the meaning of the Letters Patent in accordance with the intentions of the parties, objectively ascertained. Second, he erred in treating a legal principle about the effect of sudden changes in water levels on boundaries between different owners as applicable and determinative. Third, he failed to properly consider the Crown’s obligations to the First Nations in determining what the Crown intended to convey by the Letters Patent.</w:t>
            </w:r>
          </w:p>
          <w:p w:rsidR="0035075E" w:rsidRPr="00E74E29" w:rsidRDefault="0035075E" w:rsidP="0035075E">
            <w:pPr>
              <w:jc w:val="both"/>
              <w:rPr>
                <w:sz w:val="20"/>
              </w:rPr>
            </w:pPr>
          </w:p>
        </w:tc>
      </w:tr>
      <w:tr w:rsidR="0035075E" w:rsidRPr="00E74E29" w:rsidTr="00F322C3">
        <w:tc>
          <w:tcPr>
            <w:tcW w:w="2427" w:type="pct"/>
            <w:gridSpan w:val="2"/>
          </w:tcPr>
          <w:p w:rsidR="0035075E" w:rsidRPr="00E74E29" w:rsidRDefault="0035075E" w:rsidP="0035075E">
            <w:pPr>
              <w:jc w:val="both"/>
              <w:rPr>
                <w:sz w:val="20"/>
              </w:rPr>
            </w:pPr>
            <w:r w:rsidRPr="00E74E29">
              <w:rPr>
                <w:sz w:val="20"/>
              </w:rPr>
              <w:t>February 28, 2020</w:t>
            </w:r>
          </w:p>
          <w:p w:rsidR="0035075E" w:rsidRPr="00E74E29" w:rsidRDefault="0035075E" w:rsidP="0035075E">
            <w:pPr>
              <w:jc w:val="both"/>
              <w:rPr>
                <w:sz w:val="20"/>
              </w:rPr>
            </w:pPr>
            <w:r w:rsidRPr="00E74E29">
              <w:rPr>
                <w:sz w:val="20"/>
              </w:rPr>
              <w:t>Ontario Superior Court of Justice</w:t>
            </w:r>
          </w:p>
          <w:p w:rsidR="0035075E" w:rsidRPr="00E74E29" w:rsidRDefault="0035075E" w:rsidP="0035075E">
            <w:pPr>
              <w:jc w:val="both"/>
              <w:rPr>
                <w:sz w:val="20"/>
              </w:rPr>
            </w:pPr>
            <w:r w:rsidRPr="00E74E29">
              <w:rPr>
                <w:sz w:val="20"/>
              </w:rPr>
              <w:t>(Smith J.)</w:t>
            </w:r>
          </w:p>
          <w:p w:rsidR="0035075E" w:rsidRPr="00E74E29" w:rsidRDefault="0035075E" w:rsidP="0035075E">
            <w:pPr>
              <w:jc w:val="both"/>
              <w:rPr>
                <w:sz w:val="20"/>
              </w:rPr>
            </w:pPr>
            <w:r w:rsidRPr="00E74E29">
              <w:rPr>
                <w:sz w:val="20"/>
              </w:rPr>
              <w:t>2020 ONSC 1202</w:t>
            </w:r>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rPr>
            </w:pPr>
            <w:r w:rsidRPr="00E74E29">
              <w:rPr>
                <w:sz w:val="20"/>
              </w:rPr>
              <w:t>Order that title to Islands be vested in Herold, Estate; and other ancillary orders</w:t>
            </w:r>
          </w:p>
          <w:p w:rsidR="0035075E" w:rsidRPr="00E74E29" w:rsidRDefault="0035075E" w:rsidP="0035075E">
            <w:pPr>
              <w:jc w:val="both"/>
              <w:rPr>
                <w:sz w:val="20"/>
              </w:rPr>
            </w:pPr>
          </w:p>
        </w:tc>
      </w:tr>
      <w:tr w:rsidR="0035075E" w:rsidRPr="00E74E29" w:rsidTr="00F322C3">
        <w:tc>
          <w:tcPr>
            <w:tcW w:w="2427" w:type="pct"/>
            <w:gridSpan w:val="2"/>
          </w:tcPr>
          <w:p w:rsidR="0035075E" w:rsidRPr="00E74E29" w:rsidRDefault="0035075E" w:rsidP="0035075E">
            <w:pPr>
              <w:jc w:val="both"/>
              <w:rPr>
                <w:sz w:val="20"/>
              </w:rPr>
            </w:pPr>
            <w:r w:rsidRPr="00E74E29">
              <w:rPr>
                <w:sz w:val="20"/>
              </w:rPr>
              <w:t>August 24, 2021</w:t>
            </w:r>
          </w:p>
          <w:p w:rsidR="0035075E" w:rsidRPr="00E74E29" w:rsidRDefault="0035075E" w:rsidP="0035075E">
            <w:pPr>
              <w:jc w:val="both"/>
              <w:rPr>
                <w:sz w:val="20"/>
              </w:rPr>
            </w:pPr>
            <w:r w:rsidRPr="00E74E29">
              <w:rPr>
                <w:sz w:val="20"/>
              </w:rPr>
              <w:t>Court of Appeal for Ontario</w:t>
            </w:r>
          </w:p>
          <w:p w:rsidR="0035075E" w:rsidRPr="00E74E29" w:rsidRDefault="0035075E" w:rsidP="0035075E">
            <w:pPr>
              <w:jc w:val="both"/>
              <w:rPr>
                <w:sz w:val="20"/>
              </w:rPr>
            </w:pPr>
            <w:r w:rsidRPr="00E74E29">
              <w:rPr>
                <w:sz w:val="20"/>
              </w:rPr>
              <w:t>(Fairburn A.C.J.O. and Miller and Zarnett JJ.A.)</w:t>
            </w:r>
          </w:p>
          <w:p w:rsidR="0035075E" w:rsidRPr="00E74E29" w:rsidRDefault="00463557" w:rsidP="0035075E">
            <w:pPr>
              <w:jc w:val="both"/>
              <w:rPr>
                <w:sz w:val="20"/>
              </w:rPr>
            </w:pPr>
            <w:hyperlink r:id="rId55" w:history="1">
              <w:r w:rsidR="0035075E" w:rsidRPr="00E74E29">
                <w:rPr>
                  <w:rStyle w:val="Hyperlink"/>
                  <w:sz w:val="20"/>
                </w:rPr>
                <w:t>2021 ONCA 579</w:t>
              </w:r>
            </w:hyperlink>
            <w:r w:rsidR="0035075E" w:rsidRPr="00E74E29">
              <w:rPr>
                <w:sz w:val="20"/>
              </w:rPr>
              <w:t xml:space="preserve"> </w:t>
            </w:r>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rPr>
            </w:pPr>
            <w:r w:rsidRPr="00E74E29">
              <w:rPr>
                <w:sz w:val="20"/>
              </w:rPr>
              <w:t>Appeal allowed; orders of application judge set aside, substituted order made dismissing Herold Estate’s application</w:t>
            </w:r>
          </w:p>
          <w:p w:rsidR="0035075E" w:rsidRPr="00E74E29" w:rsidRDefault="0035075E" w:rsidP="0035075E">
            <w:pPr>
              <w:jc w:val="both"/>
              <w:rPr>
                <w:sz w:val="20"/>
              </w:rPr>
            </w:pPr>
          </w:p>
        </w:tc>
      </w:tr>
      <w:tr w:rsidR="0035075E" w:rsidRPr="00E74E29" w:rsidTr="00F322C3">
        <w:tc>
          <w:tcPr>
            <w:tcW w:w="2427" w:type="pct"/>
            <w:gridSpan w:val="2"/>
          </w:tcPr>
          <w:p w:rsidR="0035075E" w:rsidRPr="00E74E29" w:rsidRDefault="0035075E" w:rsidP="0035075E">
            <w:pPr>
              <w:jc w:val="both"/>
              <w:rPr>
                <w:sz w:val="20"/>
              </w:rPr>
            </w:pPr>
            <w:r w:rsidRPr="00E74E29">
              <w:rPr>
                <w:sz w:val="20"/>
              </w:rPr>
              <w:t>October 25, 2021</w:t>
            </w:r>
          </w:p>
          <w:p w:rsidR="0035075E" w:rsidRPr="00E74E29" w:rsidRDefault="0035075E" w:rsidP="0035075E">
            <w:pPr>
              <w:jc w:val="both"/>
              <w:rPr>
                <w:sz w:val="20"/>
              </w:rPr>
            </w:pPr>
            <w:r w:rsidRPr="00E74E29">
              <w:rPr>
                <w:sz w:val="20"/>
              </w:rPr>
              <w:t>Supreme Court of Canada</w:t>
            </w: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rPr>
            </w:pPr>
            <w:r w:rsidRPr="00E74E29">
              <w:rPr>
                <w:sz w:val="20"/>
              </w:rPr>
              <w:t>Application for leave to appeal filed</w:t>
            </w:r>
          </w:p>
          <w:p w:rsidR="0035075E" w:rsidRPr="00E74E29" w:rsidRDefault="0035075E" w:rsidP="0035075E">
            <w:pPr>
              <w:jc w:val="both"/>
              <w:rPr>
                <w:sz w:val="20"/>
              </w:rPr>
            </w:pPr>
          </w:p>
        </w:tc>
      </w:tr>
    </w:tbl>
    <w:p w:rsidR="0035075E" w:rsidRPr="00E74E29" w:rsidRDefault="0035075E" w:rsidP="0035075E">
      <w:pPr>
        <w:jc w:val="both"/>
        <w:rPr>
          <w:sz w:val="20"/>
        </w:rPr>
      </w:pPr>
    </w:p>
    <w:p w:rsidR="00F322C3" w:rsidRPr="00E74E29" w:rsidRDefault="00463557" w:rsidP="0035075E">
      <w:pPr>
        <w:jc w:val="both"/>
        <w:rPr>
          <w:sz w:val="20"/>
        </w:rPr>
      </w:pPr>
      <w:r>
        <w:rPr>
          <w:sz w:val="20"/>
        </w:rPr>
        <w:pict>
          <v:rect id="_x0000_i1047" style="width:2in;height:1pt" o:hrpct="0" o:hralign="center" o:hrstd="t" o:hrnoshade="t" o:hr="t" fillcolor="black [3213]" stroked="f"/>
        </w:pict>
      </w:r>
    </w:p>
    <w:p w:rsidR="00F322C3" w:rsidRPr="00E74E29" w:rsidRDefault="00F322C3" w:rsidP="0035075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075E" w:rsidRPr="00E74E29" w:rsidTr="00F322C3">
        <w:tc>
          <w:tcPr>
            <w:tcW w:w="543" w:type="pct"/>
          </w:tcPr>
          <w:p w:rsidR="0035075E" w:rsidRPr="00E74E29" w:rsidRDefault="0035075E" w:rsidP="0035075E">
            <w:pPr>
              <w:jc w:val="both"/>
              <w:rPr>
                <w:sz w:val="20"/>
              </w:rPr>
            </w:pPr>
            <w:r w:rsidRPr="00E74E29">
              <w:rPr>
                <w:rStyle w:val="SCCFileNumberChar"/>
                <w:sz w:val="20"/>
                <w:szCs w:val="20"/>
              </w:rPr>
              <w:t>39908</w:t>
            </w:r>
          </w:p>
        </w:tc>
        <w:tc>
          <w:tcPr>
            <w:tcW w:w="4457" w:type="pct"/>
            <w:gridSpan w:val="3"/>
          </w:tcPr>
          <w:p w:rsidR="0035075E" w:rsidRPr="00E74E29" w:rsidRDefault="0035075E" w:rsidP="0035075E">
            <w:pPr>
              <w:pStyle w:val="SCCLsocParty"/>
              <w:jc w:val="both"/>
              <w:rPr>
                <w:b/>
                <w:sz w:val="20"/>
                <w:szCs w:val="20"/>
                <w:lang w:val="en-US"/>
              </w:rPr>
            </w:pPr>
            <w:r w:rsidRPr="00E74E29">
              <w:rPr>
                <w:b/>
                <w:sz w:val="20"/>
                <w:szCs w:val="20"/>
                <w:lang w:val="en-US"/>
              </w:rPr>
              <w:t>La succession de William Albin Herold, décédé, c. Procureur général du Canada, Curve Lake First Nation, Hiawatha First Nation, Mississaugas of Scugog Island First Nation</w:t>
            </w:r>
          </w:p>
          <w:p w:rsidR="0035075E" w:rsidRPr="00E74E29" w:rsidRDefault="0035075E" w:rsidP="0035075E">
            <w:pPr>
              <w:jc w:val="both"/>
              <w:rPr>
                <w:sz w:val="20"/>
              </w:rPr>
            </w:pPr>
            <w:r w:rsidRPr="00E74E29">
              <w:rPr>
                <w:sz w:val="20"/>
              </w:rPr>
              <w:t>(Ont.) (Civile) (Autorisation)</w:t>
            </w:r>
          </w:p>
        </w:tc>
      </w:tr>
      <w:tr w:rsidR="0035075E" w:rsidRPr="00463557" w:rsidTr="00F322C3">
        <w:tc>
          <w:tcPr>
            <w:tcW w:w="5000" w:type="pct"/>
            <w:gridSpan w:val="4"/>
          </w:tcPr>
          <w:p w:rsidR="0035075E" w:rsidRPr="00E74E29" w:rsidRDefault="0035075E" w:rsidP="0035075E">
            <w:pPr>
              <w:jc w:val="both"/>
              <w:rPr>
                <w:sz w:val="20"/>
                <w:lang w:val="fr-CA"/>
              </w:rPr>
            </w:pPr>
            <w:r w:rsidRPr="00E74E29">
              <w:rPr>
                <w:sz w:val="20"/>
                <w:lang w:val="fr-CA"/>
              </w:rPr>
              <w:t>Biens — Biens réels — Titre — Patente de la Couronne — Interprétation — Droit des Autochtones —Traités — Revendications territoriales — Honneur de la Couronne — Droit relatif aux limites hydriques des parcelles riveraines — L’arrêt de la Cour d’appel de l’Ontario s’écarte</w:t>
            </w:r>
            <w:r w:rsidRPr="00E74E29">
              <w:rPr>
                <w:sz w:val="20"/>
                <w:lang w:val="fr-CA"/>
              </w:rPr>
              <w:noBreakHyphen/>
              <w:t>t</w:t>
            </w:r>
            <w:r w:rsidRPr="00E74E29">
              <w:rPr>
                <w:sz w:val="20"/>
                <w:lang w:val="fr-CA"/>
              </w:rPr>
              <w:noBreakHyphen/>
              <w:t>il d’un précédent contraignant de notre Cour concernant la cession inconditionnelle d’une terre? — L’arrêt aurait</w:t>
            </w:r>
            <w:r w:rsidRPr="00E74E29">
              <w:rPr>
                <w:sz w:val="20"/>
                <w:lang w:val="fr-CA"/>
              </w:rPr>
              <w:noBreakHyphen/>
              <w:t>il pour effet de soumettre au principe de l’honneur de la Couronne toutes les opérations portant sur des terres en Ontario impliquant des traités comportant des clauses relatives au produit de la vente, déstabilisant ainsi le titre et déclenchant des litiges? — L’arrêt vise</w:t>
            </w:r>
            <w:r w:rsidRPr="00E74E29">
              <w:rPr>
                <w:sz w:val="20"/>
                <w:lang w:val="fr-CA"/>
              </w:rPr>
              <w:noBreakHyphen/>
              <w:t>t</w:t>
            </w:r>
            <w:r w:rsidRPr="00E74E29">
              <w:rPr>
                <w:sz w:val="20"/>
                <w:lang w:val="fr-CA"/>
              </w:rPr>
              <w:noBreakHyphen/>
              <w:t>il à établir un nouveau cadre pour déterminer les intentions objectives des parties à une concession ou à une patente de la Couronne? — La Cour d’appel a</w:t>
            </w:r>
            <w:r w:rsidRPr="00E74E29">
              <w:rPr>
                <w:sz w:val="20"/>
                <w:lang w:val="fr-CA"/>
              </w:rPr>
              <w:noBreakHyphen/>
              <w:t>t</w:t>
            </w:r>
            <w:r w:rsidRPr="00E74E29">
              <w:rPr>
                <w:sz w:val="20"/>
                <w:lang w:val="fr-CA"/>
              </w:rPr>
              <w:noBreakHyphen/>
              <w:t>elle commis une erreur en appliquant le droit relatif à l’accroissement et à l’érosion naturels, plutôt que le droit relatif à l’inondation des terres par régulation artificielle, créant ainsi de la confusion dans le droit relatif aux limites hydriques des parcelles riveraines? — La Cour d’appel a</w:t>
            </w:r>
            <w:r w:rsidRPr="00E74E29">
              <w:rPr>
                <w:sz w:val="20"/>
                <w:lang w:val="fr-CA"/>
              </w:rPr>
              <w:noBreakHyphen/>
              <w:t>t</w:t>
            </w:r>
            <w:r w:rsidRPr="00E74E29">
              <w:rPr>
                <w:sz w:val="20"/>
                <w:lang w:val="fr-CA"/>
              </w:rPr>
              <w:noBreakHyphen/>
              <w:t>elle manqué de déférence à l’égard du juge de première instance et a</w:t>
            </w:r>
            <w:r w:rsidRPr="00E74E29">
              <w:rPr>
                <w:sz w:val="20"/>
                <w:lang w:val="fr-CA"/>
              </w:rPr>
              <w:noBreakHyphen/>
              <w:t>t</w:t>
            </w:r>
            <w:r w:rsidRPr="00E74E29">
              <w:rPr>
                <w:sz w:val="20"/>
                <w:lang w:val="fr-CA"/>
              </w:rPr>
              <w:noBreakHyphen/>
              <w:t>elle procédé à sa propre appréciation de la preuve sans la preuve exhaustive dont disposait le juge de première instance et sans avoir d’abord conclu à une erreur manifeste et dominante?</w:t>
            </w:r>
          </w:p>
        </w:tc>
      </w:tr>
      <w:tr w:rsidR="0035075E" w:rsidRPr="00463557" w:rsidTr="00F322C3">
        <w:tc>
          <w:tcPr>
            <w:tcW w:w="5000" w:type="pct"/>
            <w:gridSpan w:val="4"/>
          </w:tcPr>
          <w:p w:rsidR="0035075E" w:rsidRPr="00E74E29" w:rsidRDefault="0035075E" w:rsidP="0035075E">
            <w:pPr>
              <w:jc w:val="both"/>
              <w:rPr>
                <w:sz w:val="20"/>
                <w:lang w:val="fr-CA"/>
              </w:rPr>
            </w:pPr>
          </w:p>
        </w:tc>
      </w:tr>
      <w:tr w:rsidR="0035075E" w:rsidRPr="00463557" w:rsidTr="00F322C3">
        <w:tc>
          <w:tcPr>
            <w:tcW w:w="5000" w:type="pct"/>
            <w:gridSpan w:val="4"/>
          </w:tcPr>
          <w:p w:rsidR="0035075E" w:rsidRPr="00E74E29" w:rsidRDefault="0035075E" w:rsidP="0035075E">
            <w:pPr>
              <w:jc w:val="both"/>
              <w:rPr>
                <w:sz w:val="20"/>
                <w:lang w:val="fr-CA"/>
              </w:rPr>
            </w:pPr>
            <w:r w:rsidRPr="00E74E29">
              <w:rPr>
                <w:sz w:val="20"/>
                <w:lang w:val="fr-CA"/>
              </w:rPr>
              <w:t>La demanderesse, la succession de William Albin Herold (la « succession Herold »), est propriétaire du lot 35, concession 11, dans le canton de Smith, comté de Peterborough (le « lot 35 »). Elle a demandé à la Cour supérieure de justice de l’Ontario de confirmer sa propriété de trois îles (les « îles ») situées dans la voie navigable près du lot 35 et à proximité les unes des autres.</w:t>
            </w:r>
          </w:p>
          <w:p w:rsidR="0035075E" w:rsidRPr="00E74E29" w:rsidRDefault="0035075E" w:rsidP="0035075E">
            <w:pPr>
              <w:jc w:val="both"/>
              <w:rPr>
                <w:sz w:val="20"/>
                <w:lang w:val="fr-CA"/>
              </w:rPr>
            </w:pPr>
          </w:p>
          <w:p w:rsidR="0035075E" w:rsidRPr="00E74E29" w:rsidRDefault="0035075E" w:rsidP="0035075E">
            <w:pPr>
              <w:jc w:val="both"/>
              <w:rPr>
                <w:sz w:val="20"/>
                <w:lang w:val="fr-CA"/>
              </w:rPr>
            </w:pPr>
            <w:r w:rsidRPr="00E74E29">
              <w:rPr>
                <w:sz w:val="20"/>
                <w:lang w:val="fr-CA"/>
              </w:rPr>
              <w:t>Devant la Cour supérieure de justice de l’Ontario, le juge de première instance a statué que la succession Herold était propriétaire des îles en vertu de lettres patentes de la Couronne datées de 1868 accordées au prédécesseur de la succession Herold, qui a cédé les îles dans le cadre de la cession du lot 35.</w:t>
            </w:r>
          </w:p>
          <w:p w:rsidR="0035075E" w:rsidRPr="00E74E29" w:rsidRDefault="0035075E" w:rsidP="0035075E">
            <w:pPr>
              <w:jc w:val="both"/>
              <w:rPr>
                <w:sz w:val="20"/>
                <w:lang w:val="fr-CA"/>
              </w:rPr>
            </w:pPr>
          </w:p>
          <w:p w:rsidR="0035075E" w:rsidRPr="00E74E29" w:rsidRDefault="0035075E" w:rsidP="0035075E">
            <w:pPr>
              <w:jc w:val="both"/>
              <w:rPr>
                <w:sz w:val="20"/>
                <w:lang w:val="fr-CA"/>
              </w:rPr>
            </w:pPr>
            <w:r w:rsidRPr="00E74E29">
              <w:rPr>
                <w:sz w:val="20"/>
                <w:lang w:val="fr-CA"/>
              </w:rPr>
              <w:t>La Cour d’appel a accueilli à l’unanimité les appels des intimés, le procureur général du Canada (« PGC »), la Première Nation de Curve Lake, la Première Nation de Hiawatha et la Première Nation des Mississauga de Scugog Island. À son avis, il n’y a pas lieu de faire preuve de retenue à l’égard de la décision du juge de première instance selon laquelle les lettres patentes cédaient les îles dans le cadre de la cession du lot 35, vu que ce dernier a commis des erreurs de droit isolables. Premièrement, le juge de première instance n’a pas respecté le principe fondamental d’interprétation pour déterminer le sens des lettres patentes conformément aux intentions des parties, objectivement constatées. Deuxièmement, il a commis une erreur en considérant comme applicable et déterminant un principe juridique concernant l'effet des changements soudains des niveaux d'eau sur les limites entre différents propriétaires. Troisièmement, il n’a pas tenu compte des obligations de la Couronne envers les Premières Nations pour déterminer ce que la Couronne avait l'intention de transmettre par les lettres patentes.</w:t>
            </w:r>
          </w:p>
          <w:p w:rsidR="0035075E" w:rsidRPr="00E74E29" w:rsidRDefault="0035075E" w:rsidP="0035075E">
            <w:pPr>
              <w:jc w:val="both"/>
              <w:rPr>
                <w:sz w:val="20"/>
                <w:lang w:val="fr-CA"/>
              </w:rPr>
            </w:pP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t>28 février 2020</w:t>
            </w:r>
          </w:p>
          <w:p w:rsidR="0035075E" w:rsidRPr="00E74E29" w:rsidRDefault="0035075E" w:rsidP="0035075E">
            <w:pPr>
              <w:jc w:val="both"/>
              <w:rPr>
                <w:sz w:val="20"/>
                <w:lang w:val="fr-CA"/>
              </w:rPr>
            </w:pPr>
            <w:r w:rsidRPr="00E74E29">
              <w:rPr>
                <w:sz w:val="20"/>
                <w:lang w:val="fr-CA"/>
              </w:rPr>
              <w:t>Cour supérieure de justice de l'Ontario</w:t>
            </w:r>
          </w:p>
          <w:p w:rsidR="0035075E" w:rsidRPr="00E74E29" w:rsidRDefault="0035075E" w:rsidP="0035075E">
            <w:pPr>
              <w:jc w:val="both"/>
              <w:rPr>
                <w:sz w:val="20"/>
              </w:rPr>
            </w:pPr>
            <w:r w:rsidRPr="00E74E29">
              <w:rPr>
                <w:sz w:val="20"/>
              </w:rPr>
              <w:t>(Juge Smith)</w:t>
            </w:r>
          </w:p>
          <w:p w:rsidR="0035075E" w:rsidRPr="00E74E29" w:rsidRDefault="0035075E" w:rsidP="0035075E">
            <w:pPr>
              <w:jc w:val="both"/>
              <w:rPr>
                <w:sz w:val="20"/>
              </w:rPr>
            </w:pPr>
            <w:r w:rsidRPr="00E74E29">
              <w:rPr>
                <w:sz w:val="20"/>
              </w:rPr>
              <w:t>2020 ONSC 1202</w:t>
            </w:r>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lang w:val="fr-CA"/>
              </w:rPr>
            </w:pPr>
            <w:r w:rsidRPr="00E74E29">
              <w:rPr>
                <w:sz w:val="20"/>
                <w:lang w:val="fr-CA"/>
              </w:rPr>
              <w:t>Ordonnance portant que le titre de propriété des îles est dévolu à la succession Herold et autres ordonnances accessoires</w:t>
            </w:r>
          </w:p>
          <w:p w:rsidR="0035075E" w:rsidRPr="00E74E29" w:rsidRDefault="0035075E" w:rsidP="0035075E">
            <w:pPr>
              <w:jc w:val="both"/>
              <w:rPr>
                <w:sz w:val="20"/>
                <w:lang w:val="fr-CA"/>
              </w:rPr>
            </w:pP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t>24 août 2021</w:t>
            </w:r>
          </w:p>
          <w:p w:rsidR="0035075E" w:rsidRPr="00E74E29" w:rsidRDefault="0035075E" w:rsidP="0035075E">
            <w:pPr>
              <w:jc w:val="both"/>
              <w:rPr>
                <w:sz w:val="20"/>
                <w:lang w:val="fr-CA"/>
              </w:rPr>
            </w:pPr>
            <w:r w:rsidRPr="00E74E29">
              <w:rPr>
                <w:sz w:val="20"/>
                <w:lang w:val="fr-CA"/>
              </w:rPr>
              <w:t>Cour d’appel de l’Ontario</w:t>
            </w:r>
          </w:p>
          <w:p w:rsidR="0035075E" w:rsidRPr="00E74E29" w:rsidRDefault="0035075E" w:rsidP="0035075E">
            <w:pPr>
              <w:jc w:val="both"/>
              <w:rPr>
                <w:sz w:val="20"/>
                <w:lang w:val="fr-CA"/>
              </w:rPr>
            </w:pPr>
            <w:r w:rsidRPr="00E74E29">
              <w:rPr>
                <w:sz w:val="20"/>
                <w:lang w:val="fr-CA"/>
              </w:rPr>
              <w:t>(Juge en chef adjointe Fairburn, juges Miller et Zarnett)</w:t>
            </w:r>
          </w:p>
          <w:p w:rsidR="0035075E" w:rsidRPr="00E74E29" w:rsidRDefault="00463557" w:rsidP="0035075E">
            <w:pPr>
              <w:jc w:val="both"/>
              <w:rPr>
                <w:sz w:val="20"/>
              </w:rPr>
            </w:pPr>
            <w:hyperlink r:id="rId56" w:history="1">
              <w:r w:rsidR="0035075E" w:rsidRPr="00E74E29">
                <w:rPr>
                  <w:rStyle w:val="Hyperlink"/>
                  <w:sz w:val="20"/>
                </w:rPr>
                <w:t>2021 ONCA 579</w:t>
              </w:r>
            </w:hyperlink>
            <w:r w:rsidR="0035075E" w:rsidRPr="00E74E29">
              <w:rPr>
                <w:sz w:val="20"/>
              </w:rPr>
              <w:t xml:space="preserve"> </w:t>
            </w:r>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lang w:val="fr-CA"/>
              </w:rPr>
            </w:pPr>
            <w:r w:rsidRPr="00E74E29">
              <w:rPr>
                <w:sz w:val="20"/>
                <w:lang w:val="fr-CA"/>
              </w:rPr>
              <w:t>Arrêt accueillant l’appel, annulant les ordonnances du juge de première instance, y substituant une ordonnance rejetant la demande de la succession Herold</w:t>
            </w:r>
          </w:p>
          <w:p w:rsidR="0035075E" w:rsidRPr="00E74E29" w:rsidRDefault="0035075E" w:rsidP="0035075E">
            <w:pPr>
              <w:jc w:val="both"/>
              <w:rPr>
                <w:sz w:val="20"/>
                <w:lang w:val="fr-CA"/>
              </w:rPr>
            </w:pP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lastRenderedPageBreak/>
              <w:t>25 octobre 2021</w:t>
            </w:r>
          </w:p>
          <w:p w:rsidR="0035075E" w:rsidRPr="00E74E29" w:rsidRDefault="0035075E" w:rsidP="0035075E">
            <w:pPr>
              <w:jc w:val="both"/>
              <w:rPr>
                <w:sz w:val="20"/>
                <w:lang w:val="fr-CA"/>
              </w:rPr>
            </w:pPr>
            <w:r w:rsidRPr="00E74E29">
              <w:rPr>
                <w:sz w:val="20"/>
                <w:lang w:val="fr-CA"/>
              </w:rPr>
              <w:t>Cour suprême du Canada</w:t>
            </w:r>
          </w:p>
        </w:tc>
        <w:tc>
          <w:tcPr>
            <w:tcW w:w="243" w:type="pct"/>
          </w:tcPr>
          <w:p w:rsidR="0035075E" w:rsidRPr="00E74E29" w:rsidRDefault="0035075E" w:rsidP="0035075E">
            <w:pPr>
              <w:jc w:val="both"/>
              <w:rPr>
                <w:sz w:val="20"/>
                <w:lang w:val="fr-CA"/>
              </w:rPr>
            </w:pPr>
          </w:p>
        </w:tc>
        <w:tc>
          <w:tcPr>
            <w:tcW w:w="2330" w:type="pct"/>
          </w:tcPr>
          <w:p w:rsidR="0035075E" w:rsidRPr="00E74E29" w:rsidRDefault="0035075E" w:rsidP="0035075E">
            <w:pPr>
              <w:jc w:val="both"/>
              <w:rPr>
                <w:sz w:val="20"/>
                <w:lang w:val="fr-CA"/>
              </w:rPr>
            </w:pPr>
            <w:r w:rsidRPr="00E74E29">
              <w:rPr>
                <w:sz w:val="20"/>
                <w:lang w:val="fr-CA"/>
              </w:rPr>
              <w:t>Dépôt de la demande d'autorisation d'appel</w:t>
            </w:r>
          </w:p>
          <w:p w:rsidR="0035075E" w:rsidRPr="00E74E29" w:rsidRDefault="0035075E" w:rsidP="0035075E">
            <w:pPr>
              <w:jc w:val="both"/>
              <w:rPr>
                <w:sz w:val="20"/>
                <w:lang w:val="fr-CA"/>
              </w:rPr>
            </w:pPr>
          </w:p>
        </w:tc>
      </w:tr>
    </w:tbl>
    <w:p w:rsidR="0035075E" w:rsidRPr="00E74E29" w:rsidRDefault="0035075E" w:rsidP="0035075E">
      <w:pPr>
        <w:jc w:val="both"/>
        <w:rPr>
          <w:sz w:val="20"/>
          <w:lang w:val="fr-CA"/>
        </w:rPr>
      </w:pPr>
    </w:p>
    <w:p w:rsidR="00F322C3" w:rsidRPr="00E74E29" w:rsidRDefault="00463557" w:rsidP="0035075E">
      <w:pPr>
        <w:jc w:val="both"/>
        <w:rPr>
          <w:sz w:val="20"/>
          <w:lang w:val="fr-CA"/>
        </w:rPr>
      </w:pPr>
      <w:r>
        <w:rPr>
          <w:sz w:val="20"/>
        </w:rPr>
        <w:pict>
          <v:rect id="_x0000_i1048" style="width:2in;height:1pt" o:hrpct="0" o:hralign="center" o:hrstd="t" o:hrnoshade="t" o:hr="t" fillcolor="black [3213]" stroked="f"/>
        </w:pict>
      </w:r>
    </w:p>
    <w:p w:rsidR="0001473D" w:rsidRPr="00E74E29" w:rsidRDefault="0001473D" w:rsidP="0035075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075E" w:rsidRPr="00E74E29" w:rsidTr="00F322C3">
        <w:tc>
          <w:tcPr>
            <w:tcW w:w="543" w:type="pct"/>
          </w:tcPr>
          <w:p w:rsidR="0035075E" w:rsidRPr="00E74E29" w:rsidRDefault="0035075E" w:rsidP="0035075E">
            <w:pPr>
              <w:jc w:val="both"/>
              <w:rPr>
                <w:sz w:val="20"/>
              </w:rPr>
            </w:pPr>
            <w:r w:rsidRPr="00E74E29">
              <w:rPr>
                <w:rStyle w:val="SCCFileNumberChar"/>
                <w:sz w:val="20"/>
                <w:szCs w:val="20"/>
              </w:rPr>
              <w:t>39927</w:t>
            </w:r>
          </w:p>
        </w:tc>
        <w:tc>
          <w:tcPr>
            <w:tcW w:w="4457" w:type="pct"/>
            <w:gridSpan w:val="3"/>
          </w:tcPr>
          <w:p w:rsidR="0035075E" w:rsidRPr="00E74E29" w:rsidRDefault="0035075E" w:rsidP="0035075E">
            <w:pPr>
              <w:pStyle w:val="SCCLsocParty"/>
              <w:jc w:val="both"/>
              <w:rPr>
                <w:b/>
                <w:sz w:val="20"/>
                <w:szCs w:val="20"/>
                <w:lang w:val="en-US"/>
              </w:rPr>
            </w:pPr>
            <w:r w:rsidRPr="00E74E29">
              <w:rPr>
                <w:b/>
                <w:sz w:val="20"/>
                <w:szCs w:val="20"/>
                <w:lang w:val="en-US"/>
              </w:rPr>
              <w:t>Elaine Elizabeth Warlow v. Ali Sadeghi, Dr. Ali Sadeghi Inc.</w:t>
            </w:r>
          </w:p>
          <w:p w:rsidR="0035075E" w:rsidRPr="00E74E29" w:rsidRDefault="0035075E" w:rsidP="0035075E">
            <w:pPr>
              <w:jc w:val="both"/>
              <w:rPr>
                <w:sz w:val="20"/>
              </w:rPr>
            </w:pPr>
            <w:r w:rsidRPr="00E74E29">
              <w:rPr>
                <w:sz w:val="20"/>
              </w:rPr>
              <w:t>(B.C.) (Civil) (By Leave)</w:t>
            </w:r>
          </w:p>
        </w:tc>
      </w:tr>
      <w:tr w:rsidR="0035075E" w:rsidRPr="00E74E29" w:rsidTr="00F322C3">
        <w:tc>
          <w:tcPr>
            <w:tcW w:w="5000" w:type="pct"/>
            <w:gridSpan w:val="4"/>
          </w:tcPr>
          <w:p w:rsidR="0035075E" w:rsidRPr="00E74E29" w:rsidRDefault="0035075E" w:rsidP="0035075E">
            <w:pPr>
              <w:jc w:val="both"/>
              <w:rPr>
                <w:sz w:val="20"/>
              </w:rPr>
            </w:pPr>
            <w:r w:rsidRPr="00E74E29">
              <w:rPr>
                <w:sz w:val="20"/>
              </w:rPr>
              <w:t>Torts — Negligence — Breach of duty of informed consent — Civil procedure — Costs —Applicant suffering permanent, debilitating nerve pain following wisdom tooth extraction —Whether a plaintiff in a medical negligence action who establishes a breach of the duty of informed consent, should also have to prove that a theoretical reasonable person in their circumstances would not have proceeded with the procedure — Whether the onus of proof should then turn to the defendant to establish that the plaintiff would not have proceeded with the procedure — Whether the defendant should bear the onus of proving that a reasonable person in the plaintiff's circumstances would have proceeded with the procedure — Where a plaintiff in a medical negligence action establishes a breach of the duty of providing informed consent, should this exonerate the plaintiff from having to pay the defendant's costs?</w:t>
            </w:r>
          </w:p>
        </w:tc>
      </w:tr>
      <w:tr w:rsidR="0035075E" w:rsidRPr="00E74E29" w:rsidTr="00F322C3">
        <w:tc>
          <w:tcPr>
            <w:tcW w:w="5000" w:type="pct"/>
            <w:gridSpan w:val="4"/>
          </w:tcPr>
          <w:p w:rsidR="0035075E" w:rsidRPr="00E74E29" w:rsidRDefault="0035075E" w:rsidP="0035075E">
            <w:pPr>
              <w:jc w:val="both"/>
              <w:rPr>
                <w:sz w:val="20"/>
              </w:rPr>
            </w:pPr>
          </w:p>
        </w:tc>
      </w:tr>
      <w:tr w:rsidR="0035075E" w:rsidRPr="00E74E29" w:rsidTr="00F322C3">
        <w:trPr>
          <w:trHeight w:val="688"/>
        </w:trPr>
        <w:tc>
          <w:tcPr>
            <w:tcW w:w="5000" w:type="pct"/>
            <w:gridSpan w:val="4"/>
          </w:tcPr>
          <w:p w:rsidR="0035075E" w:rsidRPr="00E74E29" w:rsidRDefault="0035075E" w:rsidP="00F322C3">
            <w:pPr>
              <w:pStyle w:val="scjnormal"/>
              <w:spacing w:before="0" w:beforeAutospacing="0" w:after="0" w:afterAutospacing="0"/>
              <w:jc w:val="both"/>
              <w:rPr>
                <w:iCs/>
                <w:sz w:val="20"/>
                <w:szCs w:val="20"/>
                <w:lang w:val="en"/>
              </w:rPr>
            </w:pPr>
            <w:r w:rsidRPr="00E74E29">
              <w:rPr>
                <w:iCs/>
                <w:sz w:val="20"/>
                <w:szCs w:val="20"/>
                <w:lang w:val="en"/>
              </w:rPr>
              <w:t>The applicant suffered permanent nerve damage from a wisdom tooth extraction. She sued the surgeon who operated on her for having failed to adequately inform her of the risk of potentially permanent nerve pain. Her claim was dismissed. This decision was upheld on appeal.</w:t>
            </w:r>
          </w:p>
          <w:p w:rsidR="00F322C3" w:rsidRPr="00E74E29" w:rsidRDefault="00F322C3" w:rsidP="00F322C3">
            <w:pPr>
              <w:pStyle w:val="scjnormal"/>
              <w:spacing w:before="0" w:beforeAutospacing="0" w:after="0" w:afterAutospacing="0"/>
              <w:jc w:val="both"/>
              <w:rPr>
                <w:sz w:val="20"/>
                <w:szCs w:val="20"/>
              </w:rPr>
            </w:pPr>
          </w:p>
        </w:tc>
      </w:tr>
      <w:tr w:rsidR="0035075E" w:rsidRPr="00E74E29" w:rsidTr="00F322C3">
        <w:tc>
          <w:tcPr>
            <w:tcW w:w="2427" w:type="pct"/>
            <w:gridSpan w:val="2"/>
          </w:tcPr>
          <w:p w:rsidR="0035075E" w:rsidRPr="00E74E29" w:rsidRDefault="0035075E" w:rsidP="0035075E">
            <w:pPr>
              <w:jc w:val="both"/>
              <w:rPr>
                <w:sz w:val="20"/>
              </w:rPr>
            </w:pPr>
            <w:r w:rsidRPr="00E74E29">
              <w:rPr>
                <w:sz w:val="20"/>
              </w:rPr>
              <w:t>April 1, 2019</w:t>
            </w:r>
          </w:p>
          <w:p w:rsidR="0035075E" w:rsidRPr="00E74E29" w:rsidRDefault="0035075E" w:rsidP="0035075E">
            <w:pPr>
              <w:jc w:val="both"/>
              <w:rPr>
                <w:sz w:val="20"/>
              </w:rPr>
            </w:pPr>
            <w:r w:rsidRPr="00E74E29">
              <w:rPr>
                <w:sz w:val="20"/>
              </w:rPr>
              <w:t>Supreme Court of British Columbia</w:t>
            </w:r>
          </w:p>
          <w:p w:rsidR="0035075E" w:rsidRPr="00E74E29" w:rsidRDefault="0035075E" w:rsidP="0035075E">
            <w:pPr>
              <w:jc w:val="both"/>
              <w:rPr>
                <w:sz w:val="20"/>
              </w:rPr>
            </w:pPr>
            <w:r w:rsidRPr="00E74E29">
              <w:rPr>
                <w:sz w:val="20"/>
              </w:rPr>
              <w:t>(Iyer J.)</w:t>
            </w:r>
          </w:p>
          <w:p w:rsidR="0035075E" w:rsidRPr="00E74E29" w:rsidRDefault="00463557" w:rsidP="0035075E">
            <w:pPr>
              <w:jc w:val="both"/>
              <w:rPr>
                <w:sz w:val="20"/>
              </w:rPr>
            </w:pPr>
            <w:hyperlink r:id="rId57" w:history="1">
              <w:r w:rsidR="0035075E" w:rsidRPr="00E74E29">
                <w:rPr>
                  <w:rStyle w:val="Hyperlink"/>
                  <w:sz w:val="20"/>
                </w:rPr>
                <w:t>2019 BCSC 463</w:t>
              </w:r>
            </w:hyperlink>
            <w:r w:rsidR="0035075E" w:rsidRPr="00E74E29">
              <w:rPr>
                <w:sz w:val="20"/>
              </w:rPr>
              <w:t xml:space="preserve"> </w:t>
            </w:r>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rPr>
            </w:pPr>
            <w:r w:rsidRPr="00E74E29">
              <w:rPr>
                <w:sz w:val="20"/>
              </w:rPr>
              <w:t>Applicant’s action in negligence dismissed</w:t>
            </w:r>
          </w:p>
          <w:p w:rsidR="0035075E" w:rsidRPr="00E74E29" w:rsidRDefault="0035075E" w:rsidP="0035075E">
            <w:pPr>
              <w:jc w:val="both"/>
              <w:rPr>
                <w:sz w:val="20"/>
              </w:rPr>
            </w:pPr>
          </w:p>
          <w:p w:rsidR="0035075E" w:rsidRPr="00E74E29" w:rsidRDefault="0035075E" w:rsidP="0035075E">
            <w:pPr>
              <w:jc w:val="both"/>
              <w:rPr>
                <w:sz w:val="20"/>
              </w:rPr>
            </w:pPr>
          </w:p>
        </w:tc>
      </w:tr>
      <w:tr w:rsidR="0035075E" w:rsidRPr="00E74E29" w:rsidTr="00F322C3">
        <w:tc>
          <w:tcPr>
            <w:tcW w:w="2427" w:type="pct"/>
            <w:gridSpan w:val="2"/>
          </w:tcPr>
          <w:p w:rsidR="0035075E" w:rsidRPr="00E74E29" w:rsidRDefault="0035075E" w:rsidP="0035075E">
            <w:pPr>
              <w:jc w:val="both"/>
              <w:rPr>
                <w:sz w:val="20"/>
              </w:rPr>
            </w:pPr>
            <w:r w:rsidRPr="00E74E29">
              <w:rPr>
                <w:sz w:val="20"/>
              </w:rPr>
              <w:t>February 3, 2021</w:t>
            </w:r>
          </w:p>
          <w:p w:rsidR="0035075E" w:rsidRPr="00E74E29" w:rsidRDefault="0035075E" w:rsidP="0035075E">
            <w:pPr>
              <w:jc w:val="both"/>
              <w:rPr>
                <w:sz w:val="20"/>
              </w:rPr>
            </w:pPr>
            <w:r w:rsidRPr="00E74E29">
              <w:rPr>
                <w:sz w:val="20"/>
              </w:rPr>
              <w:t>Court of Appeal for British Columbia (Vancouver)</w:t>
            </w:r>
          </w:p>
          <w:p w:rsidR="0035075E" w:rsidRPr="00E74E29" w:rsidRDefault="0035075E" w:rsidP="0035075E">
            <w:pPr>
              <w:jc w:val="both"/>
              <w:rPr>
                <w:sz w:val="20"/>
              </w:rPr>
            </w:pPr>
            <w:r w:rsidRPr="00E74E29">
              <w:rPr>
                <w:sz w:val="20"/>
              </w:rPr>
              <w:t>(Harris, Goepel and Abrioux JJ.A.)</w:t>
            </w:r>
          </w:p>
          <w:p w:rsidR="0035075E" w:rsidRPr="00E74E29" w:rsidRDefault="00463557" w:rsidP="0035075E">
            <w:pPr>
              <w:jc w:val="both"/>
              <w:rPr>
                <w:sz w:val="20"/>
              </w:rPr>
            </w:pPr>
            <w:hyperlink r:id="rId58" w:history="1">
              <w:r w:rsidR="0035075E" w:rsidRPr="00E74E29">
                <w:rPr>
                  <w:rStyle w:val="Hyperlink"/>
                  <w:sz w:val="20"/>
                </w:rPr>
                <w:t>2021 BCCA 46</w:t>
              </w:r>
            </w:hyperlink>
            <w:r w:rsidR="0035075E" w:rsidRPr="00E74E29">
              <w:rPr>
                <w:sz w:val="20"/>
              </w:rPr>
              <w:t xml:space="preserve"> </w:t>
            </w:r>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rPr>
            </w:pPr>
            <w:r w:rsidRPr="00E74E29">
              <w:rPr>
                <w:sz w:val="20"/>
              </w:rPr>
              <w:t>Applicant’s appeal dismissed</w:t>
            </w:r>
          </w:p>
          <w:p w:rsidR="0035075E" w:rsidRPr="00E74E29" w:rsidRDefault="0035075E" w:rsidP="0035075E">
            <w:pPr>
              <w:jc w:val="both"/>
              <w:rPr>
                <w:sz w:val="20"/>
              </w:rPr>
            </w:pPr>
          </w:p>
        </w:tc>
      </w:tr>
      <w:tr w:rsidR="0035075E" w:rsidRPr="00E74E29" w:rsidTr="00F322C3">
        <w:tc>
          <w:tcPr>
            <w:tcW w:w="2427" w:type="pct"/>
            <w:gridSpan w:val="2"/>
          </w:tcPr>
          <w:p w:rsidR="0035075E" w:rsidRPr="00E74E29" w:rsidRDefault="0035075E" w:rsidP="0035075E">
            <w:pPr>
              <w:jc w:val="both"/>
              <w:rPr>
                <w:sz w:val="20"/>
              </w:rPr>
            </w:pPr>
            <w:r w:rsidRPr="00E74E29">
              <w:rPr>
                <w:sz w:val="20"/>
              </w:rPr>
              <w:t>November 2, 2021</w:t>
            </w:r>
          </w:p>
          <w:p w:rsidR="0035075E" w:rsidRPr="00E74E29" w:rsidRDefault="0035075E" w:rsidP="0035075E">
            <w:pPr>
              <w:jc w:val="both"/>
              <w:rPr>
                <w:sz w:val="20"/>
              </w:rPr>
            </w:pPr>
            <w:r w:rsidRPr="00E74E29">
              <w:rPr>
                <w:sz w:val="20"/>
              </w:rPr>
              <w:t>Supreme Court of Canada</w:t>
            </w:r>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F322C3">
            <w:pPr>
              <w:jc w:val="both"/>
              <w:rPr>
                <w:sz w:val="20"/>
              </w:rPr>
            </w:pPr>
            <w:r w:rsidRPr="00E74E29">
              <w:rPr>
                <w:sz w:val="20"/>
              </w:rPr>
              <w:t>Motion for extension of time in which to serve and file application for leave to appeal and application for leave to appeal filed</w:t>
            </w:r>
          </w:p>
        </w:tc>
      </w:tr>
    </w:tbl>
    <w:p w:rsidR="0035075E" w:rsidRPr="00E74E29" w:rsidRDefault="0035075E" w:rsidP="0035075E">
      <w:pPr>
        <w:jc w:val="both"/>
        <w:rPr>
          <w:sz w:val="20"/>
        </w:rPr>
      </w:pPr>
    </w:p>
    <w:p w:rsidR="00F322C3" w:rsidRPr="00E74E29" w:rsidRDefault="00463557" w:rsidP="0035075E">
      <w:pPr>
        <w:jc w:val="both"/>
        <w:rPr>
          <w:sz w:val="20"/>
        </w:rPr>
      </w:pPr>
      <w:r>
        <w:rPr>
          <w:sz w:val="20"/>
        </w:rPr>
        <w:pict>
          <v:rect id="_x0000_i1049" style="width:2in;height:1pt" o:hrpct="0" o:hralign="center" o:hrstd="t" o:hrnoshade="t" o:hr="t" fillcolor="black [3213]" stroked="f"/>
        </w:pict>
      </w:r>
    </w:p>
    <w:p w:rsidR="00F322C3" w:rsidRPr="00E74E29" w:rsidRDefault="00F322C3" w:rsidP="0035075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075E" w:rsidRPr="00463557" w:rsidTr="00F322C3">
        <w:tc>
          <w:tcPr>
            <w:tcW w:w="543" w:type="pct"/>
          </w:tcPr>
          <w:p w:rsidR="0035075E" w:rsidRPr="00E74E29" w:rsidRDefault="0035075E" w:rsidP="0035075E">
            <w:pPr>
              <w:jc w:val="both"/>
              <w:rPr>
                <w:sz w:val="20"/>
                <w:lang w:val="fr-CA"/>
              </w:rPr>
            </w:pPr>
            <w:r w:rsidRPr="00E74E29">
              <w:rPr>
                <w:rStyle w:val="SCCFileNumberChar"/>
                <w:sz w:val="20"/>
                <w:szCs w:val="20"/>
                <w:lang w:val="fr-CA"/>
              </w:rPr>
              <w:t>39927</w:t>
            </w:r>
          </w:p>
        </w:tc>
        <w:tc>
          <w:tcPr>
            <w:tcW w:w="4457" w:type="pct"/>
            <w:gridSpan w:val="3"/>
          </w:tcPr>
          <w:p w:rsidR="0035075E" w:rsidRPr="00E74E29" w:rsidRDefault="0035075E" w:rsidP="0035075E">
            <w:pPr>
              <w:pStyle w:val="SCCLsocParty"/>
              <w:jc w:val="both"/>
              <w:rPr>
                <w:b/>
                <w:sz w:val="20"/>
                <w:szCs w:val="20"/>
                <w:lang w:val="en-US"/>
              </w:rPr>
            </w:pPr>
            <w:r w:rsidRPr="00E74E29">
              <w:rPr>
                <w:b/>
                <w:sz w:val="20"/>
                <w:szCs w:val="20"/>
                <w:lang w:val="en-US"/>
              </w:rPr>
              <w:t>Elaine Elizabeth Warlow c. Ali Sadeghi, Dr. Ali Sadeghi Inc.</w:t>
            </w:r>
          </w:p>
          <w:p w:rsidR="0035075E" w:rsidRPr="00E74E29" w:rsidRDefault="0035075E" w:rsidP="0035075E">
            <w:pPr>
              <w:jc w:val="both"/>
              <w:rPr>
                <w:sz w:val="20"/>
                <w:lang w:val="fr-CA"/>
              </w:rPr>
            </w:pPr>
            <w:r w:rsidRPr="00E74E29">
              <w:rPr>
                <w:sz w:val="20"/>
                <w:lang w:val="fr-CA"/>
              </w:rPr>
              <w:t>(C.</w:t>
            </w:r>
            <w:r w:rsidRPr="00E74E29">
              <w:rPr>
                <w:sz w:val="20"/>
                <w:lang w:val="fr-CA"/>
              </w:rPr>
              <w:noBreakHyphen/>
              <w:t>B.) (Civile) (Sur autorisation)</w:t>
            </w:r>
          </w:p>
        </w:tc>
      </w:tr>
      <w:tr w:rsidR="0035075E" w:rsidRPr="00463557" w:rsidTr="00F322C3">
        <w:tc>
          <w:tcPr>
            <w:tcW w:w="5000" w:type="pct"/>
            <w:gridSpan w:val="4"/>
          </w:tcPr>
          <w:p w:rsidR="0035075E" w:rsidRPr="00E74E29" w:rsidRDefault="0035075E" w:rsidP="0035075E">
            <w:pPr>
              <w:jc w:val="both"/>
              <w:rPr>
                <w:sz w:val="20"/>
                <w:lang w:val="fr-CA"/>
              </w:rPr>
            </w:pPr>
            <w:r w:rsidRPr="00E74E29">
              <w:rPr>
                <w:sz w:val="20"/>
                <w:lang w:val="fr-CA"/>
              </w:rPr>
              <w:t>Responsabilité délictuelle — Négligence — Manquement à l’obligation d’obtenir le consentement éclairé — Procédure civile — Dépens — La demanderesse souffre de douleur névralgique débilitante permanente suite à l’extraction de ses troisièmes molaires — Un demandeur dans une action en négligence médicale qui établit qu’il y a eu manquement à l’obligation d’obtenir le consentement éclairé, doit</w:t>
            </w:r>
            <w:r w:rsidRPr="00E74E29">
              <w:rPr>
                <w:sz w:val="20"/>
                <w:lang w:val="fr-CA"/>
              </w:rPr>
              <w:noBreakHyphen/>
              <w:t>il également prouver que la personne raisonnable théorique placée dans la même situation que lui ne serait pas allée de l’avant avec la procédure ? — Le fardeau de la preuve devrait</w:t>
            </w:r>
            <w:r w:rsidRPr="00E74E29">
              <w:rPr>
                <w:sz w:val="20"/>
                <w:lang w:val="fr-CA"/>
              </w:rPr>
              <w:noBreakHyphen/>
              <w:t>il ensuite passer au défendeur afin d’établir que le demandeur ne serait pas allé de l’avant avec la procédure ? — Devrait</w:t>
            </w:r>
            <w:r w:rsidRPr="00E74E29">
              <w:rPr>
                <w:sz w:val="20"/>
                <w:lang w:val="fr-CA"/>
              </w:rPr>
              <w:noBreakHyphen/>
              <w:t>il incomber au défendeur de prouver que la personne raisonnable placée dans la même situation que le demandeur serait allée de l’avant avec la procédure ? — Lorsqu’un demandeur dans une action en négligence médicale établit qu’il y a eu manquement à l’obligation d’obtenir le consentement éclairé, ce dernier devrait</w:t>
            </w:r>
            <w:r w:rsidRPr="00E74E29">
              <w:rPr>
                <w:sz w:val="20"/>
                <w:lang w:val="fr-CA"/>
              </w:rPr>
              <w:noBreakHyphen/>
              <w:t>il de ce fait être exempté d’avoir à verser les dépens du défendeur ?</w:t>
            </w:r>
          </w:p>
        </w:tc>
      </w:tr>
      <w:tr w:rsidR="0035075E" w:rsidRPr="00463557" w:rsidTr="00F322C3">
        <w:tc>
          <w:tcPr>
            <w:tcW w:w="5000" w:type="pct"/>
            <w:gridSpan w:val="4"/>
          </w:tcPr>
          <w:p w:rsidR="0035075E" w:rsidRPr="00E74E29" w:rsidRDefault="0035075E" w:rsidP="0035075E">
            <w:pPr>
              <w:jc w:val="both"/>
              <w:rPr>
                <w:sz w:val="20"/>
                <w:lang w:val="fr-CA"/>
              </w:rPr>
            </w:pPr>
          </w:p>
        </w:tc>
      </w:tr>
      <w:tr w:rsidR="0035075E" w:rsidRPr="00463557" w:rsidTr="00F322C3">
        <w:tc>
          <w:tcPr>
            <w:tcW w:w="5000" w:type="pct"/>
            <w:gridSpan w:val="4"/>
          </w:tcPr>
          <w:p w:rsidR="0035075E" w:rsidRPr="00E74E29" w:rsidRDefault="0035075E" w:rsidP="00F322C3">
            <w:pPr>
              <w:pStyle w:val="scjnormal"/>
              <w:spacing w:before="0" w:beforeAutospacing="0" w:after="0" w:afterAutospacing="0"/>
              <w:jc w:val="both"/>
              <w:rPr>
                <w:iCs/>
                <w:sz w:val="20"/>
                <w:szCs w:val="20"/>
                <w:lang w:val="fr-CA"/>
              </w:rPr>
            </w:pPr>
            <w:r w:rsidRPr="00E74E29">
              <w:rPr>
                <w:sz w:val="20"/>
                <w:szCs w:val="20"/>
                <w:lang w:val="fr-CA"/>
              </w:rPr>
              <w:t>L’extraction des troisièmes molaires de la demanderesse lui a causé de la douleur névralgique permanente. Elle a poursuivi le chirurgien qui l’a opérée pour avoir omis de l’informer adéquatement des risques de douleur névralgique pot</w:t>
            </w:r>
            <w:r w:rsidRPr="00E74E29">
              <w:rPr>
                <w:iCs/>
                <w:sz w:val="20"/>
                <w:szCs w:val="20"/>
                <w:lang w:val="fr-CA"/>
              </w:rPr>
              <w:t>entiellement permanente. Sa demande a été rejetée. Cette décision a été confirmée en appel.</w:t>
            </w:r>
          </w:p>
          <w:p w:rsidR="00F322C3" w:rsidRPr="00E74E29" w:rsidRDefault="00F322C3" w:rsidP="00F322C3">
            <w:pPr>
              <w:pStyle w:val="scjnormal"/>
              <w:spacing w:before="0" w:beforeAutospacing="0" w:after="0" w:afterAutospacing="0"/>
              <w:jc w:val="both"/>
              <w:rPr>
                <w:sz w:val="20"/>
                <w:szCs w:val="20"/>
                <w:lang w:val="fr-CA"/>
              </w:rPr>
            </w:pP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lastRenderedPageBreak/>
              <w:t>1</w:t>
            </w:r>
            <w:r w:rsidRPr="00E74E29">
              <w:rPr>
                <w:sz w:val="20"/>
                <w:vertAlign w:val="superscript"/>
                <w:lang w:val="fr-CA"/>
              </w:rPr>
              <w:t>er</w:t>
            </w:r>
            <w:r w:rsidRPr="00E74E29">
              <w:rPr>
                <w:sz w:val="20"/>
                <w:lang w:val="fr-CA"/>
              </w:rPr>
              <w:t xml:space="preserve"> avril 2019</w:t>
            </w:r>
          </w:p>
          <w:p w:rsidR="0035075E" w:rsidRPr="00E74E29" w:rsidRDefault="0035075E" w:rsidP="0035075E">
            <w:pPr>
              <w:jc w:val="both"/>
              <w:rPr>
                <w:sz w:val="20"/>
                <w:lang w:val="fr-CA"/>
              </w:rPr>
            </w:pPr>
            <w:r w:rsidRPr="00E74E29">
              <w:rPr>
                <w:sz w:val="20"/>
                <w:lang w:val="fr-CA"/>
              </w:rPr>
              <w:t>Cour suprême de la Colombie</w:t>
            </w:r>
            <w:r w:rsidRPr="00E74E29">
              <w:rPr>
                <w:sz w:val="20"/>
                <w:lang w:val="fr-CA"/>
              </w:rPr>
              <w:noBreakHyphen/>
              <w:t>Britannique</w:t>
            </w:r>
          </w:p>
          <w:p w:rsidR="0035075E" w:rsidRPr="00E74E29" w:rsidRDefault="0035075E" w:rsidP="0035075E">
            <w:pPr>
              <w:jc w:val="both"/>
              <w:rPr>
                <w:sz w:val="20"/>
                <w:lang w:val="fr-CA"/>
              </w:rPr>
            </w:pPr>
            <w:r w:rsidRPr="00E74E29">
              <w:rPr>
                <w:sz w:val="20"/>
                <w:lang w:val="fr-CA"/>
              </w:rPr>
              <w:t>(juge Iyer)</w:t>
            </w:r>
          </w:p>
          <w:p w:rsidR="0035075E" w:rsidRPr="00E74E29" w:rsidRDefault="00463557" w:rsidP="0035075E">
            <w:pPr>
              <w:jc w:val="both"/>
              <w:rPr>
                <w:sz w:val="20"/>
                <w:lang w:val="fr-CA"/>
              </w:rPr>
            </w:pPr>
            <w:hyperlink r:id="rId59" w:history="1">
              <w:r w:rsidR="0035075E" w:rsidRPr="00E74E29">
                <w:rPr>
                  <w:rStyle w:val="Hyperlink"/>
                  <w:sz w:val="20"/>
                  <w:lang w:val="fr-CA"/>
                </w:rPr>
                <w:t>2019 BCSC 463</w:t>
              </w:r>
            </w:hyperlink>
            <w:r w:rsidR="0035075E" w:rsidRPr="00E74E29">
              <w:rPr>
                <w:sz w:val="20"/>
                <w:lang w:val="fr-CA"/>
              </w:rPr>
              <w:t xml:space="preserve"> </w:t>
            </w:r>
          </w:p>
          <w:p w:rsidR="0035075E" w:rsidRPr="00E74E29" w:rsidRDefault="0035075E" w:rsidP="0035075E">
            <w:pPr>
              <w:jc w:val="both"/>
              <w:rPr>
                <w:sz w:val="20"/>
                <w:lang w:val="fr-CA"/>
              </w:rPr>
            </w:pPr>
          </w:p>
        </w:tc>
        <w:tc>
          <w:tcPr>
            <w:tcW w:w="243" w:type="pct"/>
          </w:tcPr>
          <w:p w:rsidR="0035075E" w:rsidRPr="00E74E29" w:rsidRDefault="0035075E" w:rsidP="0035075E">
            <w:pPr>
              <w:jc w:val="both"/>
              <w:rPr>
                <w:sz w:val="20"/>
                <w:lang w:val="fr-CA"/>
              </w:rPr>
            </w:pPr>
          </w:p>
        </w:tc>
        <w:tc>
          <w:tcPr>
            <w:tcW w:w="2330" w:type="pct"/>
          </w:tcPr>
          <w:p w:rsidR="0035075E" w:rsidRPr="00E74E29" w:rsidRDefault="0035075E" w:rsidP="0035075E">
            <w:pPr>
              <w:jc w:val="both"/>
              <w:rPr>
                <w:sz w:val="20"/>
                <w:lang w:val="fr-CA"/>
              </w:rPr>
            </w:pPr>
            <w:r w:rsidRPr="00E74E29">
              <w:rPr>
                <w:sz w:val="20"/>
                <w:lang w:val="fr-CA"/>
              </w:rPr>
              <w:t>L’action en négligence intentée par la demanderesse est rejetée.</w:t>
            </w:r>
          </w:p>
          <w:p w:rsidR="0035075E" w:rsidRPr="00E74E29" w:rsidRDefault="0035075E" w:rsidP="0035075E">
            <w:pPr>
              <w:jc w:val="both"/>
              <w:rPr>
                <w:sz w:val="20"/>
                <w:lang w:val="fr-CA"/>
              </w:rPr>
            </w:pPr>
          </w:p>
          <w:p w:rsidR="0035075E" w:rsidRPr="00E74E29" w:rsidRDefault="0035075E" w:rsidP="0035075E">
            <w:pPr>
              <w:jc w:val="both"/>
              <w:rPr>
                <w:sz w:val="20"/>
                <w:lang w:val="fr-CA"/>
              </w:rPr>
            </w:pP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t>3 février 2021</w:t>
            </w:r>
          </w:p>
          <w:p w:rsidR="0035075E" w:rsidRPr="00E74E29" w:rsidRDefault="0035075E" w:rsidP="0035075E">
            <w:pPr>
              <w:jc w:val="both"/>
              <w:rPr>
                <w:sz w:val="20"/>
                <w:lang w:val="fr-CA"/>
              </w:rPr>
            </w:pPr>
            <w:r w:rsidRPr="00E74E29">
              <w:rPr>
                <w:sz w:val="20"/>
                <w:lang w:val="fr-CA"/>
              </w:rPr>
              <w:t>Cour d’appel de la Colombie</w:t>
            </w:r>
            <w:r w:rsidRPr="00E74E29">
              <w:rPr>
                <w:sz w:val="20"/>
                <w:lang w:val="fr-CA"/>
              </w:rPr>
              <w:noBreakHyphen/>
              <w:t>Britannique (Vancouver)</w:t>
            </w:r>
          </w:p>
          <w:p w:rsidR="0035075E" w:rsidRPr="00E74E29" w:rsidRDefault="0035075E" w:rsidP="0035075E">
            <w:pPr>
              <w:jc w:val="both"/>
              <w:rPr>
                <w:sz w:val="20"/>
                <w:lang w:val="fr-CA"/>
              </w:rPr>
            </w:pPr>
            <w:r w:rsidRPr="00E74E29">
              <w:rPr>
                <w:sz w:val="20"/>
                <w:lang w:val="fr-CA"/>
              </w:rPr>
              <w:t>(juges Harris, Goepel et Abrioux)</w:t>
            </w:r>
          </w:p>
          <w:p w:rsidR="0035075E" w:rsidRPr="00E74E29" w:rsidRDefault="00463557" w:rsidP="0035075E">
            <w:pPr>
              <w:jc w:val="both"/>
              <w:rPr>
                <w:sz w:val="20"/>
                <w:lang w:val="fr-CA"/>
              </w:rPr>
            </w:pPr>
            <w:hyperlink r:id="rId60" w:history="1">
              <w:r w:rsidR="0035075E" w:rsidRPr="00E74E29">
                <w:rPr>
                  <w:rStyle w:val="Hyperlink"/>
                  <w:sz w:val="20"/>
                  <w:lang w:val="fr-CA"/>
                </w:rPr>
                <w:t>2021 BCCA 46</w:t>
              </w:r>
            </w:hyperlink>
            <w:r w:rsidR="0035075E" w:rsidRPr="00E74E29">
              <w:rPr>
                <w:sz w:val="20"/>
                <w:lang w:val="fr-CA"/>
              </w:rPr>
              <w:t xml:space="preserve"> </w:t>
            </w:r>
          </w:p>
          <w:p w:rsidR="0035075E" w:rsidRPr="00E74E29" w:rsidRDefault="0035075E" w:rsidP="0035075E">
            <w:pPr>
              <w:jc w:val="both"/>
              <w:rPr>
                <w:sz w:val="20"/>
                <w:lang w:val="fr-CA"/>
              </w:rPr>
            </w:pPr>
          </w:p>
        </w:tc>
        <w:tc>
          <w:tcPr>
            <w:tcW w:w="243" w:type="pct"/>
          </w:tcPr>
          <w:p w:rsidR="0035075E" w:rsidRPr="00E74E29" w:rsidRDefault="0035075E" w:rsidP="0035075E">
            <w:pPr>
              <w:jc w:val="both"/>
              <w:rPr>
                <w:sz w:val="20"/>
                <w:lang w:val="fr-CA"/>
              </w:rPr>
            </w:pPr>
          </w:p>
        </w:tc>
        <w:tc>
          <w:tcPr>
            <w:tcW w:w="2330" w:type="pct"/>
          </w:tcPr>
          <w:p w:rsidR="0035075E" w:rsidRPr="00E74E29" w:rsidRDefault="0035075E" w:rsidP="0035075E">
            <w:pPr>
              <w:jc w:val="both"/>
              <w:rPr>
                <w:sz w:val="20"/>
                <w:lang w:val="fr-CA"/>
              </w:rPr>
            </w:pPr>
            <w:r w:rsidRPr="00E74E29">
              <w:rPr>
                <w:sz w:val="20"/>
                <w:lang w:val="fr-CA"/>
              </w:rPr>
              <w:t>L’appel de la demanderesse est rejeté.</w:t>
            </w:r>
          </w:p>
          <w:p w:rsidR="0035075E" w:rsidRPr="00E74E29" w:rsidRDefault="0035075E" w:rsidP="0035075E">
            <w:pPr>
              <w:jc w:val="both"/>
              <w:rPr>
                <w:sz w:val="20"/>
                <w:lang w:val="fr-CA"/>
              </w:rPr>
            </w:pP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t>2 novembre 2021</w:t>
            </w:r>
          </w:p>
          <w:p w:rsidR="0035075E" w:rsidRPr="00E74E29" w:rsidRDefault="0035075E" w:rsidP="0035075E">
            <w:pPr>
              <w:jc w:val="both"/>
              <w:rPr>
                <w:sz w:val="20"/>
                <w:lang w:val="fr-CA"/>
              </w:rPr>
            </w:pPr>
            <w:r w:rsidRPr="00E74E29">
              <w:rPr>
                <w:sz w:val="20"/>
                <w:lang w:val="fr-CA"/>
              </w:rPr>
              <w:t>Cour suprême du Canada</w:t>
            </w:r>
          </w:p>
          <w:p w:rsidR="0035075E" w:rsidRPr="00E74E29" w:rsidRDefault="0035075E" w:rsidP="0035075E">
            <w:pPr>
              <w:jc w:val="both"/>
              <w:rPr>
                <w:sz w:val="20"/>
                <w:lang w:val="fr-CA"/>
              </w:rPr>
            </w:pPr>
          </w:p>
        </w:tc>
        <w:tc>
          <w:tcPr>
            <w:tcW w:w="243" w:type="pct"/>
          </w:tcPr>
          <w:p w:rsidR="0035075E" w:rsidRPr="00E74E29" w:rsidRDefault="0035075E" w:rsidP="0035075E">
            <w:pPr>
              <w:jc w:val="both"/>
              <w:rPr>
                <w:sz w:val="20"/>
                <w:lang w:val="fr-CA"/>
              </w:rPr>
            </w:pPr>
          </w:p>
        </w:tc>
        <w:tc>
          <w:tcPr>
            <w:tcW w:w="2330" w:type="pct"/>
          </w:tcPr>
          <w:p w:rsidR="0035075E" w:rsidRPr="00E74E29" w:rsidRDefault="0035075E" w:rsidP="00F322C3">
            <w:pPr>
              <w:jc w:val="both"/>
              <w:rPr>
                <w:sz w:val="20"/>
                <w:lang w:val="fr-CA"/>
              </w:rPr>
            </w:pPr>
            <w:r w:rsidRPr="00E74E29">
              <w:rPr>
                <w:sz w:val="20"/>
                <w:lang w:val="fr-CA"/>
              </w:rPr>
              <w:t>La requête en prorogation du délai de signification et de dépôt de la demande d’autorisation d’appel et la demande d’autorisation d’appel sont présentées.</w:t>
            </w:r>
          </w:p>
        </w:tc>
      </w:tr>
    </w:tbl>
    <w:p w:rsidR="0035075E" w:rsidRPr="00E74E29" w:rsidRDefault="0035075E" w:rsidP="0035075E">
      <w:pPr>
        <w:jc w:val="both"/>
        <w:rPr>
          <w:sz w:val="20"/>
          <w:lang w:val="fr-CA"/>
        </w:rPr>
      </w:pPr>
    </w:p>
    <w:p w:rsidR="0001473D" w:rsidRPr="00E74E29" w:rsidRDefault="00463557" w:rsidP="0035075E">
      <w:pPr>
        <w:widowControl w:val="0"/>
        <w:jc w:val="both"/>
        <w:rPr>
          <w:sz w:val="20"/>
          <w:lang w:val="fr-CA"/>
        </w:rPr>
      </w:pPr>
      <w:r>
        <w:rPr>
          <w:sz w:val="20"/>
        </w:rPr>
        <w:pict>
          <v:rect id="_x0000_i1050" style="width:2in;height:1pt" o:hrpct="0" o:hralign="center" o:hrstd="t" o:hrnoshade="t" o:hr="t" fillcolor="black [3213]" stroked="f"/>
        </w:pict>
      </w:r>
    </w:p>
    <w:p w:rsidR="00F322C3" w:rsidRPr="00E74E29" w:rsidRDefault="00F322C3" w:rsidP="0035075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075E" w:rsidRPr="00E74E29" w:rsidTr="00F322C3">
        <w:tc>
          <w:tcPr>
            <w:tcW w:w="543" w:type="pct"/>
          </w:tcPr>
          <w:p w:rsidR="0035075E" w:rsidRPr="00E74E29" w:rsidRDefault="0035075E" w:rsidP="0035075E">
            <w:pPr>
              <w:jc w:val="both"/>
              <w:rPr>
                <w:sz w:val="20"/>
              </w:rPr>
            </w:pPr>
            <w:r w:rsidRPr="00E74E29">
              <w:rPr>
                <w:rStyle w:val="SCCFileNumberChar"/>
                <w:sz w:val="20"/>
                <w:szCs w:val="20"/>
              </w:rPr>
              <w:t>39953</w:t>
            </w:r>
          </w:p>
        </w:tc>
        <w:tc>
          <w:tcPr>
            <w:tcW w:w="4457" w:type="pct"/>
            <w:gridSpan w:val="3"/>
          </w:tcPr>
          <w:p w:rsidR="0035075E" w:rsidRPr="00E74E29" w:rsidRDefault="0035075E" w:rsidP="0035075E">
            <w:pPr>
              <w:pStyle w:val="SCCLsocParty"/>
              <w:jc w:val="both"/>
              <w:rPr>
                <w:b/>
                <w:sz w:val="20"/>
                <w:szCs w:val="20"/>
                <w:lang w:val="en-US"/>
              </w:rPr>
            </w:pPr>
            <w:r w:rsidRPr="00E74E29">
              <w:rPr>
                <w:b/>
                <w:sz w:val="20"/>
                <w:szCs w:val="20"/>
                <w:lang w:val="en-US"/>
              </w:rPr>
              <w:t>Carrie Couch and Jason Couch v. BDO Canada LLP</w:t>
            </w:r>
          </w:p>
          <w:p w:rsidR="0035075E" w:rsidRPr="00E74E29" w:rsidRDefault="0035075E" w:rsidP="0035075E">
            <w:pPr>
              <w:jc w:val="both"/>
              <w:rPr>
                <w:sz w:val="20"/>
              </w:rPr>
            </w:pPr>
            <w:r w:rsidRPr="00E74E29">
              <w:rPr>
                <w:sz w:val="20"/>
              </w:rPr>
              <w:t>(Ont.) (Civil) (By Leave)</w:t>
            </w:r>
          </w:p>
        </w:tc>
      </w:tr>
      <w:tr w:rsidR="0035075E" w:rsidRPr="00E74E29" w:rsidTr="00F322C3">
        <w:tc>
          <w:tcPr>
            <w:tcW w:w="5000" w:type="pct"/>
            <w:gridSpan w:val="4"/>
          </w:tcPr>
          <w:p w:rsidR="0035075E" w:rsidRPr="00E74E29" w:rsidRDefault="0035075E" w:rsidP="0035075E">
            <w:pPr>
              <w:jc w:val="both"/>
              <w:rPr>
                <w:sz w:val="20"/>
              </w:rPr>
            </w:pPr>
            <w:r w:rsidRPr="00E74E29">
              <w:rPr>
                <w:sz w:val="20"/>
              </w:rPr>
              <w:t>Civil procedure — Class actions — Negligence — Duty of care — Applicant investors lost savings when wealth management company placed in receivership for misappropriating assets — Auditor providing clean audit opinions to the Ontario Securities Commission and to unitholders — Applicant investors suing auditor for common law negligence in providing auditing services — Motion seeking certification of their action as a class proceeding dismissed in lower courts — Whether auditor owes applicant investors duty of care in respect of statutory audits.</w:t>
            </w:r>
          </w:p>
        </w:tc>
      </w:tr>
      <w:tr w:rsidR="0035075E" w:rsidRPr="00E74E29" w:rsidTr="00F322C3">
        <w:tc>
          <w:tcPr>
            <w:tcW w:w="5000" w:type="pct"/>
            <w:gridSpan w:val="4"/>
          </w:tcPr>
          <w:p w:rsidR="0035075E" w:rsidRPr="00E74E29" w:rsidRDefault="0035075E" w:rsidP="0035075E">
            <w:pPr>
              <w:jc w:val="both"/>
              <w:rPr>
                <w:sz w:val="20"/>
              </w:rPr>
            </w:pPr>
          </w:p>
        </w:tc>
      </w:tr>
      <w:tr w:rsidR="0035075E" w:rsidRPr="00E74E29" w:rsidTr="00F322C3">
        <w:tc>
          <w:tcPr>
            <w:tcW w:w="5000" w:type="pct"/>
            <w:gridSpan w:val="4"/>
          </w:tcPr>
          <w:p w:rsidR="0035075E" w:rsidRPr="00E74E29" w:rsidRDefault="0035075E" w:rsidP="0035075E">
            <w:pPr>
              <w:jc w:val="both"/>
              <w:rPr>
                <w:sz w:val="20"/>
              </w:rPr>
            </w:pPr>
            <w:r w:rsidRPr="00E74E29">
              <w:rPr>
                <w:sz w:val="20"/>
              </w:rPr>
              <w:t>The applicants were individual investors in the mutual funds of Crystal Wealth Management Systems Ltd. They lost their life savings when the Ontario Securities Commission put the company in receivership for misappropriating assets. The respondent, BDO Canada LLP, which was the auditor of Crystal Wealth from 2007 to 2017, provided clean audit opinions to the OSC and to the unitholders about Crystal Wealth’s mutual funds. The crux of the applicants’ claim against BDO for negligent performance of a service is that, in addition to any duty BDO owed to its audit client, Crystal Wealth, and its funds, BDO also owed duties to investors in Crystal Wealth’s Funds. As a result, the applicants seek to make BDO liable for damages arising from investments made by investors who invested in the funds at any point from 2007 onward, and continued to hold those investments as of April 7, 2017, when the OSC’s cease trade order was first issued. The narrow issue in dispute was whether the pleading discloses sufficient “proximity” between BDO and the class members to give rise in law to a duty of care owed by BDO.</w:t>
            </w:r>
          </w:p>
          <w:p w:rsidR="0035075E" w:rsidRPr="00E74E29" w:rsidRDefault="0035075E" w:rsidP="0035075E">
            <w:pPr>
              <w:jc w:val="both"/>
              <w:rPr>
                <w:sz w:val="20"/>
              </w:rPr>
            </w:pPr>
          </w:p>
          <w:p w:rsidR="0035075E" w:rsidRPr="00E74E29" w:rsidRDefault="0035075E" w:rsidP="0035075E">
            <w:pPr>
              <w:jc w:val="both"/>
              <w:rPr>
                <w:sz w:val="20"/>
              </w:rPr>
            </w:pPr>
            <w:r w:rsidRPr="00E74E29">
              <w:rPr>
                <w:sz w:val="20"/>
              </w:rPr>
              <w:t>The motion judge refused certification finding that while BDO had potential contractual liability to Crystal Wealth for negligent auditing, it did not have a proximate duty of care to the individual investors. Thus, in the case at bar, the cause of action criterion for certification was not satisfied, and with its failure all the other certification criteria failed.</w:t>
            </w:r>
          </w:p>
          <w:p w:rsidR="0035075E" w:rsidRPr="00E74E29" w:rsidRDefault="0035075E" w:rsidP="0035075E">
            <w:pPr>
              <w:jc w:val="both"/>
              <w:rPr>
                <w:sz w:val="20"/>
              </w:rPr>
            </w:pPr>
          </w:p>
          <w:p w:rsidR="0035075E" w:rsidRPr="00E74E29" w:rsidRDefault="0035075E" w:rsidP="0035075E">
            <w:pPr>
              <w:jc w:val="both"/>
              <w:rPr>
                <w:sz w:val="20"/>
              </w:rPr>
            </w:pPr>
            <w:r w:rsidRPr="00E74E29">
              <w:rPr>
                <w:sz w:val="20"/>
              </w:rPr>
              <w:t>The Divisional Court agreed and also dismissed the appeal. The Court of Appeal dismissed the motion for leave to appeal.</w:t>
            </w:r>
          </w:p>
          <w:p w:rsidR="0035075E" w:rsidRPr="00E74E29" w:rsidRDefault="0035075E" w:rsidP="0035075E">
            <w:pPr>
              <w:jc w:val="both"/>
              <w:rPr>
                <w:sz w:val="20"/>
              </w:rPr>
            </w:pPr>
          </w:p>
        </w:tc>
      </w:tr>
      <w:tr w:rsidR="0035075E" w:rsidRPr="00E74E29" w:rsidTr="00F322C3">
        <w:tc>
          <w:tcPr>
            <w:tcW w:w="2427" w:type="pct"/>
            <w:gridSpan w:val="2"/>
          </w:tcPr>
          <w:p w:rsidR="0035075E" w:rsidRPr="00E74E29" w:rsidRDefault="0035075E" w:rsidP="0035075E">
            <w:pPr>
              <w:jc w:val="both"/>
              <w:rPr>
                <w:sz w:val="20"/>
              </w:rPr>
            </w:pPr>
            <w:r w:rsidRPr="00E74E29">
              <w:rPr>
                <w:sz w:val="20"/>
              </w:rPr>
              <w:t>January 8, 2020</w:t>
            </w:r>
          </w:p>
          <w:p w:rsidR="0035075E" w:rsidRPr="00E74E29" w:rsidRDefault="0035075E" w:rsidP="0035075E">
            <w:pPr>
              <w:jc w:val="both"/>
              <w:rPr>
                <w:sz w:val="20"/>
              </w:rPr>
            </w:pPr>
            <w:r w:rsidRPr="00E74E29">
              <w:rPr>
                <w:sz w:val="20"/>
              </w:rPr>
              <w:t>Ontario Superior Court</w:t>
            </w:r>
          </w:p>
          <w:p w:rsidR="0035075E" w:rsidRPr="00E74E29" w:rsidRDefault="0035075E" w:rsidP="0035075E">
            <w:pPr>
              <w:jc w:val="both"/>
              <w:rPr>
                <w:sz w:val="20"/>
              </w:rPr>
            </w:pPr>
            <w:r w:rsidRPr="00E74E29">
              <w:rPr>
                <w:sz w:val="20"/>
              </w:rPr>
              <w:t>(Perell J.)</w:t>
            </w:r>
          </w:p>
          <w:p w:rsidR="0035075E" w:rsidRPr="00E74E29" w:rsidRDefault="00463557" w:rsidP="0035075E">
            <w:pPr>
              <w:jc w:val="both"/>
              <w:rPr>
                <w:sz w:val="20"/>
              </w:rPr>
            </w:pPr>
            <w:hyperlink r:id="rId61" w:history="1">
              <w:r w:rsidR="0035075E" w:rsidRPr="00E74E29">
                <w:rPr>
                  <w:rStyle w:val="Hyperlink"/>
                  <w:sz w:val="20"/>
                </w:rPr>
                <w:t>2020 ONSC 144</w:t>
              </w:r>
            </w:hyperlink>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rPr>
            </w:pPr>
            <w:r w:rsidRPr="00E74E29">
              <w:rPr>
                <w:sz w:val="20"/>
              </w:rPr>
              <w:t xml:space="preserve">Motion for certification of action under </w:t>
            </w:r>
            <w:r w:rsidRPr="00E74E29">
              <w:rPr>
                <w:i/>
                <w:sz w:val="20"/>
              </w:rPr>
              <w:t>Class Proceedings Act</w:t>
            </w:r>
            <w:r w:rsidRPr="00E74E29">
              <w:rPr>
                <w:sz w:val="20"/>
              </w:rPr>
              <w:t>, 1992, S.O. 1992, c. 6, dismissed.</w:t>
            </w:r>
          </w:p>
        </w:tc>
      </w:tr>
      <w:tr w:rsidR="0035075E" w:rsidRPr="00E74E29" w:rsidTr="00F322C3">
        <w:tc>
          <w:tcPr>
            <w:tcW w:w="2427" w:type="pct"/>
            <w:gridSpan w:val="2"/>
          </w:tcPr>
          <w:p w:rsidR="0035075E" w:rsidRPr="00E74E29" w:rsidRDefault="0035075E" w:rsidP="0035075E">
            <w:pPr>
              <w:jc w:val="both"/>
              <w:rPr>
                <w:sz w:val="20"/>
              </w:rPr>
            </w:pPr>
            <w:r w:rsidRPr="00E74E29">
              <w:rPr>
                <w:sz w:val="20"/>
              </w:rPr>
              <w:t>April 20, 2021</w:t>
            </w:r>
          </w:p>
          <w:p w:rsidR="0035075E" w:rsidRPr="00E74E29" w:rsidRDefault="0035075E" w:rsidP="0035075E">
            <w:pPr>
              <w:jc w:val="both"/>
              <w:rPr>
                <w:sz w:val="20"/>
              </w:rPr>
            </w:pPr>
            <w:r w:rsidRPr="00E74E29">
              <w:rPr>
                <w:sz w:val="20"/>
              </w:rPr>
              <w:t>Divisional Court of Ontario</w:t>
            </w:r>
          </w:p>
          <w:p w:rsidR="0035075E" w:rsidRPr="00E74E29" w:rsidRDefault="0035075E" w:rsidP="0035075E">
            <w:pPr>
              <w:jc w:val="both"/>
              <w:rPr>
                <w:sz w:val="20"/>
              </w:rPr>
            </w:pPr>
            <w:r w:rsidRPr="00E74E29">
              <w:rPr>
                <w:sz w:val="20"/>
              </w:rPr>
              <w:t>(Penny, S.T. Bale and Favreau JJ.)</w:t>
            </w:r>
          </w:p>
          <w:p w:rsidR="0035075E" w:rsidRPr="00E74E29" w:rsidRDefault="00463557" w:rsidP="0035075E">
            <w:pPr>
              <w:jc w:val="both"/>
              <w:rPr>
                <w:sz w:val="20"/>
              </w:rPr>
            </w:pPr>
            <w:hyperlink r:id="rId62" w:history="1">
              <w:r w:rsidR="0035075E" w:rsidRPr="00E74E29">
                <w:rPr>
                  <w:rStyle w:val="Hyperlink"/>
                  <w:sz w:val="20"/>
                </w:rPr>
                <w:t>2021 ONSC 2454</w:t>
              </w:r>
            </w:hyperlink>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rPr>
            </w:pPr>
            <w:r w:rsidRPr="00E74E29">
              <w:rPr>
                <w:sz w:val="20"/>
              </w:rPr>
              <w:t>Appeal dismissed.</w:t>
            </w:r>
          </w:p>
          <w:p w:rsidR="0035075E" w:rsidRPr="00E74E29" w:rsidRDefault="0035075E" w:rsidP="0035075E">
            <w:pPr>
              <w:jc w:val="both"/>
              <w:rPr>
                <w:sz w:val="20"/>
              </w:rPr>
            </w:pPr>
          </w:p>
        </w:tc>
      </w:tr>
      <w:tr w:rsidR="0035075E" w:rsidRPr="00E74E29" w:rsidTr="00F322C3">
        <w:tc>
          <w:tcPr>
            <w:tcW w:w="2427" w:type="pct"/>
            <w:gridSpan w:val="2"/>
          </w:tcPr>
          <w:p w:rsidR="0035075E" w:rsidRPr="00E74E29" w:rsidRDefault="0035075E" w:rsidP="0035075E">
            <w:pPr>
              <w:jc w:val="both"/>
              <w:rPr>
                <w:sz w:val="20"/>
              </w:rPr>
            </w:pPr>
            <w:r w:rsidRPr="00E74E29">
              <w:rPr>
                <w:sz w:val="20"/>
              </w:rPr>
              <w:t>October 4, 2021</w:t>
            </w:r>
          </w:p>
          <w:p w:rsidR="0035075E" w:rsidRPr="00E74E29" w:rsidRDefault="0035075E" w:rsidP="0035075E">
            <w:pPr>
              <w:jc w:val="both"/>
              <w:rPr>
                <w:sz w:val="20"/>
              </w:rPr>
            </w:pPr>
            <w:r w:rsidRPr="00E74E29">
              <w:rPr>
                <w:sz w:val="20"/>
              </w:rPr>
              <w:t>Court of Appeal for Ontario</w:t>
            </w:r>
          </w:p>
          <w:p w:rsidR="0035075E" w:rsidRPr="00E74E29" w:rsidRDefault="0035075E" w:rsidP="0035075E">
            <w:pPr>
              <w:jc w:val="both"/>
              <w:rPr>
                <w:sz w:val="20"/>
              </w:rPr>
            </w:pPr>
            <w:r w:rsidRPr="00E74E29">
              <w:rPr>
                <w:sz w:val="20"/>
              </w:rPr>
              <w:lastRenderedPageBreak/>
              <w:t>(Lauwers, Harvison Young and Sossin JJ.A.)</w:t>
            </w:r>
          </w:p>
          <w:p w:rsidR="0035075E" w:rsidRPr="00E74E29" w:rsidRDefault="0035075E" w:rsidP="0035075E">
            <w:pPr>
              <w:jc w:val="both"/>
              <w:rPr>
                <w:sz w:val="20"/>
              </w:rPr>
            </w:pPr>
            <w:r w:rsidRPr="00E74E29">
              <w:rPr>
                <w:sz w:val="20"/>
              </w:rPr>
              <w:t>File No.: M52498</w:t>
            </w: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rPr>
            </w:pPr>
            <w:r w:rsidRPr="00E74E29">
              <w:rPr>
                <w:sz w:val="20"/>
              </w:rPr>
              <w:t>Application for leave to appeal dismissed.</w:t>
            </w:r>
          </w:p>
          <w:p w:rsidR="0035075E" w:rsidRPr="00E74E29" w:rsidRDefault="0035075E" w:rsidP="0035075E">
            <w:pPr>
              <w:jc w:val="both"/>
              <w:rPr>
                <w:sz w:val="20"/>
              </w:rPr>
            </w:pPr>
          </w:p>
        </w:tc>
      </w:tr>
    </w:tbl>
    <w:p w:rsidR="0035075E" w:rsidRPr="00E74E29" w:rsidRDefault="0035075E" w:rsidP="0035075E">
      <w:pPr>
        <w:jc w:val="both"/>
        <w:rPr>
          <w:sz w:val="20"/>
        </w:rPr>
      </w:pPr>
    </w:p>
    <w:p w:rsidR="00E74E29" w:rsidRPr="00E74E29" w:rsidRDefault="00463557" w:rsidP="0035075E">
      <w:pPr>
        <w:jc w:val="both"/>
        <w:rPr>
          <w:sz w:val="20"/>
        </w:rPr>
      </w:pPr>
      <w:r>
        <w:rPr>
          <w:sz w:val="20"/>
        </w:rPr>
        <w:pict>
          <v:rect id="_x0000_i1051" style="width:2in;height:1pt" o:hrpct="0" o:hralign="center" o:hrstd="t" o:hrnoshade="t" o:hr="t" fillcolor="black [3213]" stroked="f"/>
        </w:pict>
      </w:r>
    </w:p>
    <w:p w:rsidR="00E74E29" w:rsidRPr="00E74E29" w:rsidRDefault="00E74E29" w:rsidP="0035075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075E" w:rsidRPr="00463557" w:rsidTr="00F322C3">
        <w:tc>
          <w:tcPr>
            <w:tcW w:w="543" w:type="pct"/>
          </w:tcPr>
          <w:p w:rsidR="0035075E" w:rsidRPr="00E74E29" w:rsidRDefault="0035075E" w:rsidP="0035075E">
            <w:pPr>
              <w:jc w:val="both"/>
              <w:rPr>
                <w:sz w:val="20"/>
                <w:lang w:val="fr-CA"/>
              </w:rPr>
            </w:pPr>
            <w:r w:rsidRPr="00E74E29">
              <w:rPr>
                <w:rStyle w:val="SCCFileNumberChar"/>
                <w:sz w:val="20"/>
                <w:szCs w:val="20"/>
                <w:lang w:val="fr-CA"/>
              </w:rPr>
              <w:t>39953</w:t>
            </w:r>
          </w:p>
        </w:tc>
        <w:tc>
          <w:tcPr>
            <w:tcW w:w="4457" w:type="pct"/>
            <w:gridSpan w:val="3"/>
          </w:tcPr>
          <w:p w:rsidR="0035075E" w:rsidRPr="00E74E29" w:rsidRDefault="0035075E" w:rsidP="0035075E">
            <w:pPr>
              <w:pStyle w:val="SCCLsocParty"/>
              <w:jc w:val="both"/>
              <w:rPr>
                <w:b/>
                <w:sz w:val="20"/>
                <w:szCs w:val="20"/>
              </w:rPr>
            </w:pPr>
            <w:r w:rsidRPr="00E74E29">
              <w:rPr>
                <w:b/>
                <w:sz w:val="20"/>
                <w:szCs w:val="20"/>
              </w:rPr>
              <w:t>Carrie Couch et Jason Couch c. BDO Canada s.r.l./</w:t>
            </w:r>
            <w:r w:rsidRPr="00E74E29">
              <w:rPr>
                <w:b/>
                <w:smallCaps/>
                <w:sz w:val="20"/>
                <w:szCs w:val="20"/>
              </w:rPr>
              <w:t>s.e.n.c.r.l.</w:t>
            </w:r>
          </w:p>
          <w:p w:rsidR="0035075E" w:rsidRPr="00E74E29" w:rsidRDefault="0035075E" w:rsidP="0035075E">
            <w:pPr>
              <w:jc w:val="both"/>
              <w:rPr>
                <w:sz w:val="20"/>
                <w:lang w:val="fr-CA"/>
              </w:rPr>
            </w:pPr>
            <w:r w:rsidRPr="00E74E29">
              <w:rPr>
                <w:sz w:val="20"/>
                <w:lang w:val="fr-CA"/>
              </w:rPr>
              <w:t>(Ont.) (Civile) (Sur autorisation)</w:t>
            </w:r>
          </w:p>
        </w:tc>
      </w:tr>
      <w:tr w:rsidR="0035075E" w:rsidRPr="00463557" w:rsidTr="00F322C3">
        <w:tc>
          <w:tcPr>
            <w:tcW w:w="5000" w:type="pct"/>
            <w:gridSpan w:val="4"/>
          </w:tcPr>
          <w:p w:rsidR="0035075E" w:rsidRPr="00E74E29" w:rsidRDefault="0035075E" w:rsidP="0035075E">
            <w:pPr>
              <w:jc w:val="both"/>
              <w:rPr>
                <w:sz w:val="20"/>
                <w:lang w:val="fr-CA"/>
              </w:rPr>
            </w:pPr>
            <w:r w:rsidRPr="00E74E29">
              <w:rPr>
                <w:sz w:val="20"/>
                <w:lang w:val="fr-CA"/>
              </w:rPr>
              <w:t>Procédure civile — Recours collectifs — Négligence — Obligation de diligence — Les investisseurs demandeurs ont perdu leurs économies lorsqu’une société de gestion de patrimoine a été mise sous séquestre pour le détournement d’éléments d’actif — La société vérificatrice a fourni des opinions sans réserve à la Commission des valeurs mobilières de l’Ontario et aux porteurs de parts — Les investisseurs demandeurs ont poursuivi la société vérificatrice en négligence fondée sur la common law dans la prestation des services de vérification — La motion en certification de leur action en tant que recours collectif a été rejetée par les tribunaux inférieurs — La société vérificatrice a</w:t>
            </w:r>
            <w:r w:rsidRPr="00E74E29">
              <w:rPr>
                <w:sz w:val="20"/>
                <w:lang w:val="fr-CA"/>
              </w:rPr>
              <w:noBreakHyphen/>
              <w:t>t</w:t>
            </w:r>
            <w:r w:rsidRPr="00E74E29">
              <w:rPr>
                <w:sz w:val="20"/>
                <w:lang w:val="fr-CA"/>
              </w:rPr>
              <w:noBreakHyphen/>
              <w:t>elle une obligation de diligence envers les investisseurs demandeurs à l’égard des vérifications exigées par la loi ?</w:t>
            </w:r>
          </w:p>
        </w:tc>
      </w:tr>
      <w:tr w:rsidR="0035075E" w:rsidRPr="00463557" w:rsidTr="00F322C3">
        <w:tc>
          <w:tcPr>
            <w:tcW w:w="5000" w:type="pct"/>
            <w:gridSpan w:val="4"/>
          </w:tcPr>
          <w:p w:rsidR="0035075E" w:rsidRPr="00E74E29" w:rsidRDefault="0035075E" w:rsidP="0035075E">
            <w:pPr>
              <w:jc w:val="both"/>
              <w:rPr>
                <w:sz w:val="20"/>
                <w:lang w:val="fr-CA"/>
              </w:rPr>
            </w:pPr>
          </w:p>
        </w:tc>
      </w:tr>
      <w:tr w:rsidR="0035075E" w:rsidRPr="00463557" w:rsidTr="00F322C3">
        <w:tc>
          <w:tcPr>
            <w:tcW w:w="5000" w:type="pct"/>
            <w:gridSpan w:val="4"/>
          </w:tcPr>
          <w:p w:rsidR="0035075E" w:rsidRPr="00E74E29" w:rsidRDefault="0035075E" w:rsidP="0035075E">
            <w:pPr>
              <w:jc w:val="both"/>
              <w:rPr>
                <w:sz w:val="20"/>
                <w:lang w:val="fr-CA"/>
              </w:rPr>
            </w:pPr>
            <w:r w:rsidRPr="00E74E29">
              <w:rPr>
                <w:sz w:val="20"/>
                <w:lang w:val="fr-CA"/>
              </w:rPr>
              <w:t>Les demandeurs étaient des investisseurs à titre individuel dans des fonds communs de placement de la société Crystal Wealth Management Systems Ltd. Ils ont perdu toutes leurs économies lorsque la Commission des valeurs mobilières de l’Ontario (CVMO) a mis la société sous séquestre pour le détournement d’éléments d’actif. L’intimée, BDO Canada s.r.l./</w:t>
            </w:r>
            <w:r w:rsidRPr="00E74E29">
              <w:rPr>
                <w:smallCaps/>
                <w:sz w:val="20"/>
                <w:lang w:val="fr-CA"/>
              </w:rPr>
              <w:t>s.e.n.c.r.l.</w:t>
            </w:r>
            <w:r w:rsidRPr="00E74E29">
              <w:rPr>
                <w:sz w:val="20"/>
                <w:lang w:val="fr-CA"/>
              </w:rPr>
              <w:t>, qui a agi à titre de vérificatrice de Crystal Wealth de 2007 à 2017, a fourni des opinions sans réserve à la CVMO et aux porteurs de parts concernant les fonds communs de placement de Crystal Wealth. Le nœud de la réclamation des demandeurs contre BDO pour négligence dans l’exécution d’un service se résume ainsi : en plus de toute obligation qui incombe à BDO envers sa cliente faisant l’objet d’une vérification, Crystal Wealth, et les fonds détenus par celle</w:t>
            </w:r>
            <w:r w:rsidRPr="00E74E29">
              <w:rPr>
                <w:sz w:val="20"/>
                <w:lang w:val="fr-CA"/>
              </w:rPr>
              <w:noBreakHyphen/>
              <w:t>ci, BDO a aussi des obligations envers les investisseurs dans les fonds de Crystal Wealth. En conséquence, les demandeurs cherchent à rendre BDO responsable des dommages</w:t>
            </w:r>
            <w:r w:rsidRPr="00E74E29">
              <w:rPr>
                <w:sz w:val="20"/>
                <w:lang w:val="fr-CA"/>
              </w:rPr>
              <w:noBreakHyphen/>
              <w:t>intérêts découlant des placements effectués par les investisseurs qui ont investi dans les fonds à tout moment à compter de 2007, et qui détenaient toujours ces placements le 7 avril 2017, date à laquelle la mesure d’interdiction d’opérations sur valeurs a initialement été prise par la CVMO. La question précise en litige est de savoir si l’acte de procédure révèle l’existence d’un lien de « proximité » suffisamment étroit entre BDO et les membres du groupe pour donner lieu, en droit, à une obligation de diligence de la part de BDO.</w:t>
            </w:r>
          </w:p>
          <w:p w:rsidR="0035075E" w:rsidRPr="00E74E29" w:rsidRDefault="0035075E" w:rsidP="0035075E">
            <w:pPr>
              <w:jc w:val="both"/>
              <w:rPr>
                <w:sz w:val="20"/>
                <w:lang w:val="fr-CA"/>
              </w:rPr>
            </w:pPr>
          </w:p>
          <w:p w:rsidR="0035075E" w:rsidRPr="00E74E29" w:rsidRDefault="0035075E" w:rsidP="0035075E">
            <w:pPr>
              <w:jc w:val="both"/>
              <w:rPr>
                <w:sz w:val="20"/>
                <w:lang w:val="fr-CA"/>
              </w:rPr>
            </w:pPr>
            <w:r w:rsidRPr="00E74E29">
              <w:rPr>
                <w:sz w:val="20"/>
                <w:lang w:val="fr-CA"/>
              </w:rPr>
              <w:t>Le juge saisi de la motion a refusé de certifier le recours collectif concluant que, même si BDO pouvait potentiellement être contractuellement responsable envers Crystal Wealth pour vérification négligente, le lien de proximité entre BDO et les investisseurs à titre individuel n’était pas suffisamment étroit pour donner lieu à une obligation de diligence de la part de BDO envers ces derniers. Ainsi, en l’espèce, il n’a pas été satisfait au critère de la cause d’action pour la certification de l’action, ce qui a entraîné l’échec de tous les autres critères de certification.</w:t>
            </w:r>
          </w:p>
          <w:p w:rsidR="0035075E" w:rsidRPr="00E74E29" w:rsidRDefault="0035075E" w:rsidP="0035075E">
            <w:pPr>
              <w:jc w:val="both"/>
              <w:rPr>
                <w:sz w:val="20"/>
                <w:lang w:val="fr-CA"/>
              </w:rPr>
            </w:pPr>
          </w:p>
          <w:p w:rsidR="0035075E" w:rsidRPr="00E74E29" w:rsidRDefault="0035075E" w:rsidP="0035075E">
            <w:pPr>
              <w:jc w:val="both"/>
              <w:rPr>
                <w:sz w:val="20"/>
                <w:lang w:val="fr-CA"/>
              </w:rPr>
            </w:pPr>
            <w:r w:rsidRPr="00E74E29">
              <w:rPr>
                <w:sz w:val="20"/>
                <w:lang w:val="fr-CA"/>
              </w:rPr>
              <w:t>La Cour divisionnaire était du même avis et a en outre rejeté l’appel. La Cour d’appel a rejeté la motion en autorisation d’appel.</w:t>
            </w:r>
          </w:p>
          <w:p w:rsidR="0035075E" w:rsidRPr="00E74E29" w:rsidRDefault="0035075E" w:rsidP="0035075E">
            <w:pPr>
              <w:jc w:val="both"/>
              <w:rPr>
                <w:sz w:val="20"/>
                <w:lang w:val="fr-CA"/>
              </w:rPr>
            </w:pP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t>8 janvier 2020</w:t>
            </w:r>
          </w:p>
          <w:p w:rsidR="0035075E" w:rsidRPr="00E74E29" w:rsidRDefault="0035075E" w:rsidP="0035075E">
            <w:pPr>
              <w:jc w:val="both"/>
              <w:rPr>
                <w:sz w:val="20"/>
                <w:lang w:val="fr-CA"/>
              </w:rPr>
            </w:pPr>
            <w:r w:rsidRPr="00E74E29">
              <w:rPr>
                <w:sz w:val="20"/>
                <w:lang w:val="fr-CA"/>
              </w:rPr>
              <w:t>Cour supérieure de l’Ontario</w:t>
            </w:r>
          </w:p>
          <w:p w:rsidR="0035075E" w:rsidRPr="00E74E29" w:rsidRDefault="0035075E" w:rsidP="0035075E">
            <w:pPr>
              <w:jc w:val="both"/>
              <w:rPr>
                <w:sz w:val="20"/>
                <w:lang w:val="fr-CA"/>
              </w:rPr>
            </w:pPr>
            <w:r w:rsidRPr="00E74E29">
              <w:rPr>
                <w:sz w:val="20"/>
                <w:lang w:val="fr-CA"/>
              </w:rPr>
              <w:t>(juge Perell)</w:t>
            </w:r>
          </w:p>
          <w:p w:rsidR="0035075E" w:rsidRPr="00E74E29" w:rsidRDefault="00463557" w:rsidP="0035075E">
            <w:pPr>
              <w:jc w:val="both"/>
              <w:rPr>
                <w:sz w:val="20"/>
                <w:lang w:val="fr-CA"/>
              </w:rPr>
            </w:pPr>
            <w:hyperlink r:id="rId63" w:history="1">
              <w:r w:rsidR="0035075E" w:rsidRPr="00E74E29">
                <w:rPr>
                  <w:rStyle w:val="Hyperlink"/>
                  <w:sz w:val="20"/>
                  <w:lang w:val="fr-CA"/>
                </w:rPr>
                <w:t>2020 ONSC 144</w:t>
              </w:r>
            </w:hyperlink>
          </w:p>
          <w:p w:rsidR="0035075E" w:rsidRPr="00E74E29" w:rsidRDefault="0035075E" w:rsidP="0035075E">
            <w:pPr>
              <w:jc w:val="both"/>
              <w:rPr>
                <w:sz w:val="20"/>
                <w:lang w:val="fr-CA"/>
              </w:rPr>
            </w:pPr>
          </w:p>
        </w:tc>
        <w:tc>
          <w:tcPr>
            <w:tcW w:w="243" w:type="pct"/>
          </w:tcPr>
          <w:p w:rsidR="0035075E" w:rsidRPr="00E74E29" w:rsidRDefault="0035075E" w:rsidP="0035075E">
            <w:pPr>
              <w:jc w:val="both"/>
              <w:rPr>
                <w:sz w:val="20"/>
                <w:lang w:val="fr-CA"/>
              </w:rPr>
            </w:pPr>
          </w:p>
        </w:tc>
        <w:tc>
          <w:tcPr>
            <w:tcW w:w="2330" w:type="pct"/>
          </w:tcPr>
          <w:p w:rsidR="0035075E" w:rsidRPr="00E74E29" w:rsidRDefault="0035075E" w:rsidP="0035075E">
            <w:pPr>
              <w:jc w:val="both"/>
              <w:rPr>
                <w:sz w:val="20"/>
                <w:lang w:val="fr-CA"/>
              </w:rPr>
            </w:pPr>
            <w:r w:rsidRPr="00E74E29">
              <w:rPr>
                <w:sz w:val="20"/>
                <w:lang w:val="fr-CA"/>
              </w:rPr>
              <w:t xml:space="preserve">La motion en certification de l’action en vertu de la </w:t>
            </w:r>
            <w:r w:rsidRPr="00E74E29">
              <w:rPr>
                <w:i/>
                <w:sz w:val="20"/>
                <w:lang w:val="fr-CA"/>
              </w:rPr>
              <w:t>Loi de 1992 sur les recours collectifs</w:t>
            </w:r>
            <w:r w:rsidRPr="00E74E29">
              <w:rPr>
                <w:sz w:val="20"/>
                <w:lang w:val="fr-CA"/>
              </w:rPr>
              <w:t>, L.O. 1992, chap. 6, est rejetée.</w:t>
            </w:r>
          </w:p>
        </w:tc>
      </w:tr>
      <w:tr w:rsidR="0035075E" w:rsidRPr="00E74E29" w:rsidTr="00F322C3">
        <w:tc>
          <w:tcPr>
            <w:tcW w:w="2427" w:type="pct"/>
            <w:gridSpan w:val="2"/>
          </w:tcPr>
          <w:p w:rsidR="0035075E" w:rsidRPr="00E74E29" w:rsidRDefault="0035075E" w:rsidP="0035075E">
            <w:pPr>
              <w:jc w:val="both"/>
              <w:rPr>
                <w:sz w:val="20"/>
                <w:lang w:val="fr-CA"/>
              </w:rPr>
            </w:pPr>
            <w:r w:rsidRPr="00E74E29">
              <w:rPr>
                <w:sz w:val="20"/>
                <w:lang w:val="fr-CA"/>
              </w:rPr>
              <w:t>20 avril 2021</w:t>
            </w:r>
          </w:p>
          <w:p w:rsidR="0035075E" w:rsidRPr="00E74E29" w:rsidRDefault="0035075E" w:rsidP="0035075E">
            <w:pPr>
              <w:jc w:val="both"/>
              <w:rPr>
                <w:sz w:val="20"/>
                <w:lang w:val="fr-CA"/>
              </w:rPr>
            </w:pPr>
            <w:r w:rsidRPr="00E74E29">
              <w:rPr>
                <w:sz w:val="20"/>
                <w:lang w:val="fr-CA"/>
              </w:rPr>
              <w:t>Cour divisionnaire de l’Ontario</w:t>
            </w:r>
          </w:p>
          <w:p w:rsidR="0035075E" w:rsidRPr="00E74E29" w:rsidRDefault="0035075E" w:rsidP="0035075E">
            <w:pPr>
              <w:jc w:val="both"/>
              <w:rPr>
                <w:sz w:val="20"/>
                <w:lang w:val="fr-CA"/>
              </w:rPr>
            </w:pPr>
            <w:r w:rsidRPr="00E74E29">
              <w:rPr>
                <w:sz w:val="20"/>
                <w:lang w:val="fr-CA"/>
              </w:rPr>
              <w:t>(juges Penny, S.T. Bale et Favreau)</w:t>
            </w:r>
          </w:p>
          <w:p w:rsidR="0035075E" w:rsidRPr="00E74E29" w:rsidRDefault="00463557" w:rsidP="0035075E">
            <w:pPr>
              <w:jc w:val="both"/>
              <w:rPr>
                <w:sz w:val="20"/>
                <w:lang w:val="fr-CA"/>
              </w:rPr>
            </w:pPr>
            <w:hyperlink r:id="rId64" w:history="1">
              <w:r w:rsidR="0035075E" w:rsidRPr="00E74E29">
                <w:rPr>
                  <w:rStyle w:val="Hyperlink"/>
                  <w:sz w:val="20"/>
                  <w:lang w:val="fr-CA"/>
                </w:rPr>
                <w:t>2021 ONSC 2454</w:t>
              </w:r>
            </w:hyperlink>
          </w:p>
          <w:p w:rsidR="0035075E" w:rsidRPr="00E74E29" w:rsidRDefault="0035075E" w:rsidP="0035075E">
            <w:pPr>
              <w:jc w:val="both"/>
              <w:rPr>
                <w:sz w:val="20"/>
                <w:lang w:val="fr-CA"/>
              </w:rPr>
            </w:pPr>
          </w:p>
        </w:tc>
        <w:tc>
          <w:tcPr>
            <w:tcW w:w="243" w:type="pct"/>
          </w:tcPr>
          <w:p w:rsidR="0035075E" w:rsidRPr="00E74E29" w:rsidRDefault="0035075E" w:rsidP="0035075E">
            <w:pPr>
              <w:jc w:val="both"/>
              <w:rPr>
                <w:sz w:val="20"/>
                <w:lang w:val="fr-CA"/>
              </w:rPr>
            </w:pPr>
          </w:p>
        </w:tc>
        <w:tc>
          <w:tcPr>
            <w:tcW w:w="2330" w:type="pct"/>
          </w:tcPr>
          <w:p w:rsidR="0035075E" w:rsidRPr="00E74E29" w:rsidRDefault="0035075E" w:rsidP="0035075E">
            <w:pPr>
              <w:jc w:val="both"/>
              <w:rPr>
                <w:sz w:val="20"/>
                <w:lang w:val="fr-CA"/>
              </w:rPr>
            </w:pPr>
            <w:r w:rsidRPr="00E74E29">
              <w:rPr>
                <w:sz w:val="20"/>
                <w:lang w:val="fr-CA"/>
              </w:rPr>
              <w:t>L’appel est rejeté.</w:t>
            </w:r>
          </w:p>
          <w:p w:rsidR="0035075E" w:rsidRPr="00E74E29" w:rsidRDefault="0035075E" w:rsidP="0035075E">
            <w:pPr>
              <w:jc w:val="both"/>
              <w:rPr>
                <w:sz w:val="20"/>
                <w:lang w:val="fr-CA"/>
              </w:rPr>
            </w:pP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t>4 octobre 2021</w:t>
            </w:r>
          </w:p>
          <w:p w:rsidR="0035075E" w:rsidRPr="00E74E29" w:rsidRDefault="0035075E" w:rsidP="0035075E">
            <w:pPr>
              <w:jc w:val="both"/>
              <w:rPr>
                <w:sz w:val="20"/>
                <w:lang w:val="fr-CA"/>
              </w:rPr>
            </w:pPr>
            <w:r w:rsidRPr="00E74E29">
              <w:rPr>
                <w:sz w:val="20"/>
                <w:lang w:val="fr-CA"/>
              </w:rPr>
              <w:t>Cour d’appel de l’Ontario</w:t>
            </w:r>
          </w:p>
          <w:p w:rsidR="0035075E" w:rsidRPr="00E74E29" w:rsidRDefault="0035075E" w:rsidP="0035075E">
            <w:pPr>
              <w:jc w:val="both"/>
              <w:rPr>
                <w:sz w:val="20"/>
                <w:lang w:val="fr-CA"/>
              </w:rPr>
            </w:pPr>
            <w:r w:rsidRPr="00E74E29">
              <w:rPr>
                <w:sz w:val="20"/>
                <w:lang w:val="fr-CA"/>
              </w:rPr>
              <w:t>(juges Lauwers, Harvison Young et Sossin)</w:t>
            </w:r>
          </w:p>
          <w:p w:rsidR="0035075E" w:rsidRPr="00E74E29" w:rsidRDefault="0035075E" w:rsidP="0035075E">
            <w:pPr>
              <w:jc w:val="both"/>
              <w:rPr>
                <w:sz w:val="20"/>
                <w:lang w:val="fr-CA"/>
              </w:rPr>
            </w:pPr>
            <w:r w:rsidRPr="00E74E29">
              <w:rPr>
                <w:sz w:val="20"/>
                <w:lang w:val="fr-CA"/>
              </w:rPr>
              <w:t>N</w:t>
            </w:r>
            <w:r w:rsidRPr="00E74E29">
              <w:rPr>
                <w:sz w:val="20"/>
                <w:vertAlign w:val="superscript"/>
                <w:lang w:val="fr-CA"/>
              </w:rPr>
              <w:t>o</w:t>
            </w:r>
            <w:r w:rsidRPr="00E74E29">
              <w:rPr>
                <w:sz w:val="20"/>
                <w:lang w:val="fr-CA"/>
              </w:rPr>
              <w:t xml:space="preserve"> de dossier : M52498</w:t>
            </w:r>
          </w:p>
        </w:tc>
        <w:tc>
          <w:tcPr>
            <w:tcW w:w="243" w:type="pct"/>
          </w:tcPr>
          <w:p w:rsidR="0035075E" w:rsidRPr="00E74E29" w:rsidRDefault="0035075E" w:rsidP="0035075E">
            <w:pPr>
              <w:jc w:val="both"/>
              <w:rPr>
                <w:sz w:val="20"/>
                <w:lang w:val="fr-CA"/>
              </w:rPr>
            </w:pPr>
          </w:p>
        </w:tc>
        <w:tc>
          <w:tcPr>
            <w:tcW w:w="2330" w:type="pct"/>
          </w:tcPr>
          <w:p w:rsidR="0035075E" w:rsidRPr="00E74E29" w:rsidRDefault="0035075E" w:rsidP="0035075E">
            <w:pPr>
              <w:jc w:val="both"/>
              <w:rPr>
                <w:sz w:val="20"/>
                <w:lang w:val="fr-CA"/>
              </w:rPr>
            </w:pPr>
            <w:r w:rsidRPr="00E74E29">
              <w:rPr>
                <w:sz w:val="20"/>
                <w:lang w:val="fr-CA"/>
              </w:rPr>
              <w:t>La demande d’autorisation d’appel est rejetée.</w:t>
            </w:r>
          </w:p>
          <w:p w:rsidR="0035075E" w:rsidRPr="00E74E29" w:rsidRDefault="0035075E" w:rsidP="0035075E">
            <w:pPr>
              <w:jc w:val="both"/>
              <w:rPr>
                <w:sz w:val="20"/>
                <w:lang w:val="fr-CA"/>
              </w:rPr>
            </w:pPr>
          </w:p>
        </w:tc>
      </w:tr>
    </w:tbl>
    <w:p w:rsidR="0035075E" w:rsidRPr="00E74E29" w:rsidRDefault="0035075E" w:rsidP="0035075E">
      <w:pPr>
        <w:jc w:val="both"/>
        <w:rPr>
          <w:sz w:val="20"/>
          <w:lang w:val="fr-CA"/>
        </w:rPr>
      </w:pPr>
    </w:p>
    <w:p w:rsidR="00E74E29" w:rsidRPr="00E74E29" w:rsidRDefault="00463557" w:rsidP="0035075E">
      <w:pPr>
        <w:jc w:val="both"/>
        <w:rPr>
          <w:sz w:val="20"/>
          <w:lang w:val="fr-CA"/>
        </w:rPr>
      </w:pPr>
      <w:r>
        <w:rPr>
          <w:sz w:val="20"/>
        </w:rPr>
        <w:pict>
          <v:rect id="_x0000_i1052" style="width:2in;height:1pt" o:hrpct="0" o:hralign="center" o:hrstd="t" o:hrnoshade="t" o:hr="t" fillcolor="black [3213]" stroked="f"/>
        </w:pict>
      </w:r>
    </w:p>
    <w:p w:rsidR="0001473D" w:rsidRPr="00E74E29" w:rsidRDefault="0001473D" w:rsidP="0035075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075E" w:rsidRPr="00E74E29" w:rsidTr="00F322C3">
        <w:tc>
          <w:tcPr>
            <w:tcW w:w="543" w:type="pct"/>
          </w:tcPr>
          <w:p w:rsidR="0035075E" w:rsidRPr="00E74E29" w:rsidRDefault="0035075E" w:rsidP="0035075E">
            <w:pPr>
              <w:jc w:val="both"/>
              <w:rPr>
                <w:sz w:val="20"/>
              </w:rPr>
            </w:pPr>
            <w:r w:rsidRPr="00E74E29">
              <w:rPr>
                <w:rStyle w:val="SCCFileNumberChar"/>
                <w:sz w:val="20"/>
                <w:szCs w:val="20"/>
              </w:rPr>
              <w:lastRenderedPageBreak/>
              <w:t>39963</w:t>
            </w:r>
          </w:p>
        </w:tc>
        <w:tc>
          <w:tcPr>
            <w:tcW w:w="4457" w:type="pct"/>
            <w:gridSpan w:val="3"/>
          </w:tcPr>
          <w:p w:rsidR="0035075E" w:rsidRPr="00E74E29" w:rsidRDefault="0035075E" w:rsidP="0035075E">
            <w:pPr>
              <w:pStyle w:val="SCCLsocParty"/>
              <w:jc w:val="both"/>
              <w:rPr>
                <w:b/>
                <w:sz w:val="20"/>
                <w:szCs w:val="20"/>
                <w:lang w:val="en-US"/>
              </w:rPr>
            </w:pPr>
            <w:r w:rsidRPr="00E74E29">
              <w:rPr>
                <w:b/>
                <w:sz w:val="20"/>
                <w:szCs w:val="20"/>
                <w:lang w:val="en-US"/>
              </w:rPr>
              <w:t>Jean-Pierre N. Asfar, Equity Cheque Card Corporation Limited v. Sun Life Assurance Company of Canada, Sun Life Financial Inc., Sun Life Financial Canada</w:t>
            </w:r>
          </w:p>
          <w:p w:rsidR="0035075E" w:rsidRPr="00E74E29" w:rsidRDefault="0035075E" w:rsidP="0035075E">
            <w:pPr>
              <w:jc w:val="both"/>
              <w:rPr>
                <w:sz w:val="20"/>
              </w:rPr>
            </w:pPr>
            <w:r w:rsidRPr="00E74E29">
              <w:rPr>
                <w:sz w:val="20"/>
              </w:rPr>
              <w:t>(Ont.) (Civil) (By Leave)</w:t>
            </w:r>
          </w:p>
        </w:tc>
      </w:tr>
      <w:tr w:rsidR="0035075E" w:rsidRPr="00E74E29" w:rsidTr="00F322C3">
        <w:tc>
          <w:tcPr>
            <w:tcW w:w="5000" w:type="pct"/>
            <w:gridSpan w:val="4"/>
          </w:tcPr>
          <w:p w:rsidR="0035075E" w:rsidRPr="00E74E29" w:rsidRDefault="0035075E" w:rsidP="0035075E">
            <w:pPr>
              <w:jc w:val="both"/>
              <w:rPr>
                <w:sz w:val="20"/>
              </w:rPr>
            </w:pPr>
            <w:r w:rsidRPr="00E74E29">
              <w:rPr>
                <w:sz w:val="20"/>
              </w:rPr>
              <w:t>Limitation of actions — Constructive trusts — Whether equitable remedy of a constructive trust is statute barred in all but family law context — Whether</w:t>
            </w:r>
            <w:r w:rsidRPr="00E74E29">
              <w:rPr>
                <w:spacing w:val="4"/>
                <w:sz w:val="20"/>
              </w:rPr>
              <w:t xml:space="preserve"> Court of Appeal erred in not deconstructing the factual matrix of claims in light of a gap in law </w:t>
            </w:r>
            <w:r w:rsidRPr="00E74E29">
              <w:rPr>
                <w:sz w:val="20"/>
              </w:rPr>
              <w:t xml:space="preserve">— </w:t>
            </w:r>
            <w:r w:rsidRPr="00E74E29">
              <w:rPr>
                <w:spacing w:val="4"/>
                <w:sz w:val="20"/>
              </w:rPr>
              <w:t>Whether</w:t>
            </w:r>
            <w:r w:rsidRPr="00E74E29">
              <w:rPr>
                <w:sz w:val="20"/>
              </w:rPr>
              <w:t xml:space="preserve"> damage, injury or loss can be determined absent legal analysis on existence of legal principle — Discoverability of novel question of law for which there is no guiding legal principle especially when damage or loss is predicated on damages or losses not yet deemed accrued — Whether public interest arises given that financial system is predicated on monies put forward by clients as trustors to financial institutions as trustees?</w:t>
            </w:r>
          </w:p>
        </w:tc>
      </w:tr>
      <w:tr w:rsidR="0035075E" w:rsidRPr="00E74E29" w:rsidTr="00F322C3">
        <w:tc>
          <w:tcPr>
            <w:tcW w:w="5000" w:type="pct"/>
            <w:gridSpan w:val="4"/>
          </w:tcPr>
          <w:p w:rsidR="0035075E" w:rsidRPr="00E74E29" w:rsidRDefault="0035075E" w:rsidP="0035075E">
            <w:pPr>
              <w:jc w:val="both"/>
              <w:rPr>
                <w:sz w:val="20"/>
              </w:rPr>
            </w:pPr>
          </w:p>
        </w:tc>
      </w:tr>
      <w:tr w:rsidR="0035075E" w:rsidRPr="00E74E29" w:rsidTr="00F322C3">
        <w:tc>
          <w:tcPr>
            <w:tcW w:w="5000" w:type="pct"/>
            <w:gridSpan w:val="4"/>
          </w:tcPr>
          <w:p w:rsidR="0035075E" w:rsidRPr="00E74E29" w:rsidRDefault="0035075E" w:rsidP="0035075E">
            <w:pPr>
              <w:pStyle w:val="SCCLsocParty"/>
              <w:jc w:val="both"/>
              <w:rPr>
                <w:b/>
                <w:sz w:val="20"/>
                <w:szCs w:val="20"/>
              </w:rPr>
            </w:pPr>
            <w:r w:rsidRPr="00E74E29">
              <w:rPr>
                <w:sz w:val="20"/>
                <w:szCs w:val="20"/>
                <w:lang w:val="en-US"/>
              </w:rPr>
              <w:t xml:space="preserve">Equity Cheque Card Corporation Ltd. and its principal, Mr. Asfar, commenced an action against Sun Life Assurance Company of Canada, Sun Life Financial Inc. and Sun Life Financial Canada. A motions judge granted summary judgment dismissing the claim as barred by the </w:t>
            </w:r>
            <w:r w:rsidRPr="00E74E29">
              <w:rPr>
                <w:i/>
                <w:sz w:val="20"/>
                <w:szCs w:val="20"/>
                <w:lang w:val="en-US"/>
              </w:rPr>
              <w:t>Limitations Act, 2002</w:t>
            </w:r>
            <w:r w:rsidRPr="00E74E29">
              <w:rPr>
                <w:sz w:val="20"/>
                <w:szCs w:val="20"/>
                <w:lang w:val="en-US"/>
              </w:rPr>
              <w:t xml:space="preserve">, S.O. 2002, c. 24. </w:t>
            </w:r>
            <w:r w:rsidRPr="00E74E29">
              <w:rPr>
                <w:sz w:val="20"/>
                <w:szCs w:val="20"/>
              </w:rPr>
              <w:t>The Court of Appeal dismissed an appeal.</w:t>
            </w:r>
          </w:p>
          <w:p w:rsidR="0035075E" w:rsidRPr="00E74E29" w:rsidRDefault="0035075E" w:rsidP="0035075E">
            <w:pPr>
              <w:jc w:val="both"/>
              <w:rPr>
                <w:sz w:val="20"/>
              </w:rPr>
            </w:pPr>
          </w:p>
        </w:tc>
      </w:tr>
      <w:tr w:rsidR="0035075E" w:rsidRPr="00E74E29" w:rsidTr="00F322C3">
        <w:tc>
          <w:tcPr>
            <w:tcW w:w="2427" w:type="pct"/>
            <w:gridSpan w:val="2"/>
          </w:tcPr>
          <w:p w:rsidR="0035075E" w:rsidRPr="00E74E29" w:rsidRDefault="0035075E" w:rsidP="0035075E">
            <w:pPr>
              <w:jc w:val="both"/>
              <w:rPr>
                <w:sz w:val="20"/>
              </w:rPr>
            </w:pPr>
            <w:r w:rsidRPr="00E74E29">
              <w:rPr>
                <w:sz w:val="20"/>
              </w:rPr>
              <w:t>May 23, 2019</w:t>
            </w:r>
          </w:p>
          <w:p w:rsidR="0035075E" w:rsidRPr="00E74E29" w:rsidRDefault="0035075E" w:rsidP="0035075E">
            <w:pPr>
              <w:jc w:val="both"/>
              <w:rPr>
                <w:sz w:val="20"/>
              </w:rPr>
            </w:pPr>
            <w:r w:rsidRPr="00E74E29">
              <w:rPr>
                <w:sz w:val="20"/>
              </w:rPr>
              <w:t>Ontario Superior Court of Justice</w:t>
            </w:r>
          </w:p>
          <w:p w:rsidR="0035075E" w:rsidRPr="00E74E29" w:rsidRDefault="0035075E" w:rsidP="0035075E">
            <w:pPr>
              <w:jc w:val="both"/>
              <w:rPr>
                <w:sz w:val="20"/>
              </w:rPr>
            </w:pPr>
            <w:r w:rsidRPr="00E74E29">
              <w:rPr>
                <w:sz w:val="20"/>
              </w:rPr>
              <w:t xml:space="preserve">(Nakatsuru J.) </w:t>
            </w:r>
          </w:p>
          <w:p w:rsidR="0035075E" w:rsidRPr="00E74E29" w:rsidRDefault="00463557" w:rsidP="0035075E">
            <w:pPr>
              <w:jc w:val="both"/>
              <w:rPr>
                <w:sz w:val="20"/>
              </w:rPr>
            </w:pPr>
            <w:hyperlink r:id="rId65" w:history="1">
              <w:r w:rsidR="0035075E" w:rsidRPr="00E74E29">
                <w:rPr>
                  <w:rStyle w:val="Hyperlink"/>
                  <w:sz w:val="20"/>
                </w:rPr>
                <w:t>2019 ONSC 3098</w:t>
              </w:r>
            </w:hyperlink>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rPr>
            </w:pPr>
            <w:r w:rsidRPr="00E74E29">
              <w:rPr>
                <w:sz w:val="20"/>
              </w:rPr>
              <w:t>Summary judgment dismissing claim granted</w:t>
            </w:r>
          </w:p>
          <w:p w:rsidR="0035075E" w:rsidRPr="00E74E29" w:rsidRDefault="0035075E" w:rsidP="0035075E">
            <w:pPr>
              <w:jc w:val="both"/>
              <w:rPr>
                <w:sz w:val="20"/>
              </w:rPr>
            </w:pPr>
          </w:p>
        </w:tc>
      </w:tr>
      <w:tr w:rsidR="0035075E" w:rsidRPr="00E74E29" w:rsidTr="00F322C3">
        <w:tc>
          <w:tcPr>
            <w:tcW w:w="2427" w:type="pct"/>
            <w:gridSpan w:val="2"/>
          </w:tcPr>
          <w:p w:rsidR="0035075E" w:rsidRPr="00E74E29" w:rsidRDefault="0035075E" w:rsidP="0035075E">
            <w:pPr>
              <w:jc w:val="both"/>
              <w:rPr>
                <w:sz w:val="20"/>
              </w:rPr>
            </w:pPr>
            <w:r w:rsidRPr="00E74E29">
              <w:rPr>
                <w:sz w:val="20"/>
              </w:rPr>
              <w:t>January 20, 2020</w:t>
            </w:r>
          </w:p>
          <w:p w:rsidR="0035075E" w:rsidRPr="00E74E29" w:rsidRDefault="0035075E" w:rsidP="0035075E">
            <w:pPr>
              <w:jc w:val="both"/>
              <w:rPr>
                <w:sz w:val="20"/>
              </w:rPr>
            </w:pPr>
            <w:r w:rsidRPr="00E74E29">
              <w:rPr>
                <w:sz w:val="20"/>
              </w:rPr>
              <w:t>Court of Appeal for Ontario</w:t>
            </w:r>
          </w:p>
          <w:p w:rsidR="0035075E" w:rsidRPr="00E74E29" w:rsidRDefault="0035075E" w:rsidP="0035075E">
            <w:pPr>
              <w:jc w:val="both"/>
              <w:rPr>
                <w:sz w:val="20"/>
              </w:rPr>
            </w:pPr>
            <w:r w:rsidRPr="00E74E29">
              <w:rPr>
                <w:sz w:val="20"/>
              </w:rPr>
              <w:t>(Strathy, MacPherson, Jamal JJ.A.)</w:t>
            </w:r>
          </w:p>
          <w:p w:rsidR="0035075E" w:rsidRPr="00E74E29" w:rsidRDefault="00463557" w:rsidP="0035075E">
            <w:pPr>
              <w:jc w:val="both"/>
              <w:rPr>
                <w:sz w:val="20"/>
              </w:rPr>
            </w:pPr>
            <w:hyperlink r:id="rId66" w:history="1">
              <w:r w:rsidR="0035075E" w:rsidRPr="00E74E29">
                <w:rPr>
                  <w:rStyle w:val="Hyperlink"/>
                  <w:sz w:val="20"/>
                </w:rPr>
                <w:t>2020 ONCA 31</w:t>
              </w:r>
            </w:hyperlink>
            <w:r w:rsidR="0035075E" w:rsidRPr="00E74E29">
              <w:rPr>
                <w:sz w:val="20"/>
              </w:rPr>
              <w:t>; C67095</w:t>
            </w:r>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rPr>
            </w:pPr>
            <w:r w:rsidRPr="00E74E29">
              <w:rPr>
                <w:sz w:val="20"/>
              </w:rPr>
              <w:t>Appeal dismissed</w:t>
            </w:r>
          </w:p>
          <w:p w:rsidR="0035075E" w:rsidRPr="00E74E29" w:rsidRDefault="0035075E" w:rsidP="0035075E">
            <w:pPr>
              <w:jc w:val="both"/>
              <w:rPr>
                <w:sz w:val="20"/>
              </w:rPr>
            </w:pPr>
          </w:p>
        </w:tc>
      </w:tr>
      <w:tr w:rsidR="0035075E" w:rsidRPr="00E74E29" w:rsidTr="00F322C3">
        <w:tc>
          <w:tcPr>
            <w:tcW w:w="2427" w:type="pct"/>
            <w:gridSpan w:val="2"/>
          </w:tcPr>
          <w:p w:rsidR="0035075E" w:rsidRPr="00E74E29" w:rsidRDefault="0035075E" w:rsidP="0035075E">
            <w:pPr>
              <w:jc w:val="both"/>
              <w:rPr>
                <w:sz w:val="20"/>
              </w:rPr>
            </w:pPr>
            <w:r w:rsidRPr="00E74E29">
              <w:rPr>
                <w:sz w:val="20"/>
              </w:rPr>
              <w:t>August 13, 2021</w:t>
            </w:r>
          </w:p>
          <w:p w:rsidR="0035075E" w:rsidRPr="00E74E29" w:rsidRDefault="0035075E" w:rsidP="0035075E">
            <w:pPr>
              <w:jc w:val="both"/>
              <w:rPr>
                <w:sz w:val="20"/>
              </w:rPr>
            </w:pPr>
            <w:r w:rsidRPr="00E74E29">
              <w:rPr>
                <w:sz w:val="20"/>
              </w:rPr>
              <w:t>Supreme Court of Canada</w:t>
            </w:r>
          </w:p>
          <w:p w:rsidR="0035075E" w:rsidRPr="00E74E29" w:rsidRDefault="0035075E" w:rsidP="0035075E">
            <w:pPr>
              <w:jc w:val="both"/>
              <w:rPr>
                <w:sz w:val="20"/>
              </w:rPr>
            </w:pP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rPr>
            </w:pPr>
            <w:r w:rsidRPr="00E74E29">
              <w:rPr>
                <w:sz w:val="20"/>
              </w:rPr>
              <w:t>Application for leave to appeal filed</w:t>
            </w:r>
          </w:p>
          <w:p w:rsidR="0035075E" w:rsidRPr="00E74E29" w:rsidRDefault="0035075E" w:rsidP="0035075E">
            <w:pPr>
              <w:jc w:val="both"/>
              <w:rPr>
                <w:sz w:val="20"/>
              </w:rPr>
            </w:pPr>
          </w:p>
        </w:tc>
      </w:tr>
      <w:tr w:rsidR="0035075E" w:rsidRPr="00E74E29" w:rsidTr="00F322C3">
        <w:tc>
          <w:tcPr>
            <w:tcW w:w="2427" w:type="pct"/>
            <w:gridSpan w:val="2"/>
          </w:tcPr>
          <w:p w:rsidR="0035075E" w:rsidRPr="00E74E29" w:rsidRDefault="0035075E" w:rsidP="0035075E">
            <w:pPr>
              <w:jc w:val="both"/>
              <w:rPr>
                <w:sz w:val="20"/>
              </w:rPr>
            </w:pPr>
            <w:r w:rsidRPr="00E74E29">
              <w:rPr>
                <w:sz w:val="20"/>
              </w:rPr>
              <w:t>December 16, 2021</w:t>
            </w:r>
          </w:p>
          <w:p w:rsidR="0035075E" w:rsidRPr="00E74E29" w:rsidRDefault="0035075E" w:rsidP="0035075E">
            <w:pPr>
              <w:jc w:val="both"/>
              <w:rPr>
                <w:sz w:val="20"/>
              </w:rPr>
            </w:pPr>
            <w:r w:rsidRPr="00E74E29">
              <w:rPr>
                <w:sz w:val="20"/>
              </w:rPr>
              <w:t>Supreme Court of Canada</w:t>
            </w:r>
          </w:p>
        </w:tc>
        <w:tc>
          <w:tcPr>
            <w:tcW w:w="243" w:type="pct"/>
          </w:tcPr>
          <w:p w:rsidR="0035075E" w:rsidRPr="00E74E29" w:rsidRDefault="0035075E" w:rsidP="0035075E">
            <w:pPr>
              <w:jc w:val="both"/>
              <w:rPr>
                <w:sz w:val="20"/>
              </w:rPr>
            </w:pPr>
          </w:p>
        </w:tc>
        <w:tc>
          <w:tcPr>
            <w:tcW w:w="2330" w:type="pct"/>
          </w:tcPr>
          <w:p w:rsidR="0035075E" w:rsidRPr="00E74E29" w:rsidRDefault="0035075E" w:rsidP="0035075E">
            <w:pPr>
              <w:jc w:val="both"/>
              <w:rPr>
                <w:sz w:val="20"/>
              </w:rPr>
            </w:pPr>
            <w:r w:rsidRPr="00E74E29">
              <w:rPr>
                <w:sz w:val="20"/>
              </w:rPr>
              <w:t>Motion for extension of time to serve and file application for leave to appeal filed</w:t>
            </w:r>
          </w:p>
        </w:tc>
      </w:tr>
    </w:tbl>
    <w:p w:rsidR="0035075E" w:rsidRPr="00E74E29" w:rsidRDefault="0035075E" w:rsidP="0035075E">
      <w:pPr>
        <w:jc w:val="both"/>
        <w:rPr>
          <w:sz w:val="20"/>
        </w:rPr>
      </w:pPr>
    </w:p>
    <w:p w:rsidR="00E74E29" w:rsidRPr="00E74E29" w:rsidRDefault="00463557" w:rsidP="0035075E">
      <w:pPr>
        <w:jc w:val="both"/>
        <w:rPr>
          <w:sz w:val="20"/>
        </w:rPr>
      </w:pPr>
      <w:r>
        <w:rPr>
          <w:sz w:val="20"/>
        </w:rPr>
        <w:pict>
          <v:rect id="_x0000_i1053" style="width:2in;height:1pt" o:hrpct="0" o:hralign="center" o:hrstd="t" o:hrnoshade="t" o:hr="t" fillcolor="black [3213]" stroked="f"/>
        </w:pict>
      </w:r>
    </w:p>
    <w:p w:rsidR="00E74E29" w:rsidRPr="00E74E29" w:rsidRDefault="00E74E29" w:rsidP="0035075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075E" w:rsidRPr="00E74E29" w:rsidTr="00F322C3">
        <w:tc>
          <w:tcPr>
            <w:tcW w:w="543" w:type="pct"/>
          </w:tcPr>
          <w:p w:rsidR="0035075E" w:rsidRPr="00E74E29" w:rsidRDefault="0035075E" w:rsidP="0035075E">
            <w:pPr>
              <w:jc w:val="both"/>
              <w:rPr>
                <w:sz w:val="20"/>
                <w:lang w:val="fr-CA"/>
              </w:rPr>
            </w:pPr>
            <w:r w:rsidRPr="00E74E29">
              <w:rPr>
                <w:rStyle w:val="SCCFileNumberChar"/>
                <w:sz w:val="20"/>
                <w:szCs w:val="20"/>
                <w:lang w:val="fr-CA"/>
              </w:rPr>
              <w:t>39963</w:t>
            </w:r>
          </w:p>
        </w:tc>
        <w:tc>
          <w:tcPr>
            <w:tcW w:w="4457" w:type="pct"/>
            <w:gridSpan w:val="3"/>
          </w:tcPr>
          <w:p w:rsidR="0035075E" w:rsidRPr="00E74E29" w:rsidRDefault="0035075E" w:rsidP="0035075E">
            <w:pPr>
              <w:pStyle w:val="SCCLsocParty"/>
              <w:jc w:val="both"/>
              <w:rPr>
                <w:b/>
                <w:sz w:val="20"/>
                <w:szCs w:val="20"/>
              </w:rPr>
            </w:pPr>
            <w:r w:rsidRPr="00E74E29">
              <w:rPr>
                <w:b/>
                <w:sz w:val="20"/>
                <w:szCs w:val="20"/>
              </w:rPr>
              <w:t>Jean-Pierre N. Asfar, Equity Cheque Card Corporation Limited c. Sun Life du Canada, compagnie d’assurance-vie, Financière Sun Life inc., Financière Sun Life du Canada</w:t>
            </w:r>
          </w:p>
          <w:p w:rsidR="0035075E" w:rsidRPr="00E74E29" w:rsidRDefault="0035075E" w:rsidP="0035075E">
            <w:pPr>
              <w:jc w:val="both"/>
              <w:rPr>
                <w:sz w:val="20"/>
                <w:lang w:val="fr-CA"/>
              </w:rPr>
            </w:pPr>
            <w:r w:rsidRPr="00E74E29">
              <w:rPr>
                <w:sz w:val="20"/>
                <w:lang w:val="fr-CA"/>
              </w:rPr>
              <w:t>(Ont.) (Civile) (Sur autorisation)</w:t>
            </w:r>
          </w:p>
        </w:tc>
      </w:tr>
      <w:tr w:rsidR="0035075E" w:rsidRPr="00463557" w:rsidTr="00F322C3">
        <w:tc>
          <w:tcPr>
            <w:tcW w:w="5000" w:type="pct"/>
            <w:gridSpan w:val="4"/>
          </w:tcPr>
          <w:p w:rsidR="0035075E" w:rsidRPr="00E74E29" w:rsidRDefault="0035075E" w:rsidP="0035075E">
            <w:pPr>
              <w:jc w:val="both"/>
              <w:rPr>
                <w:sz w:val="20"/>
                <w:lang w:val="fr-CA"/>
              </w:rPr>
            </w:pPr>
            <w:r w:rsidRPr="00E74E29">
              <w:rPr>
                <w:sz w:val="20"/>
                <w:lang w:val="fr-CA"/>
              </w:rPr>
              <w:t>Prescription — Fiducies par interprétation — La fiducie par interprétation, une réparation en equity, est</w:t>
            </w:r>
            <w:r w:rsidRPr="00E74E29">
              <w:rPr>
                <w:sz w:val="20"/>
                <w:lang w:val="fr-CA"/>
              </w:rPr>
              <w:noBreakHyphen/>
              <w:t>elle prescrite dans tout contexte, sauf celui du droit de la famille ? — La Cour d’appel a</w:t>
            </w:r>
            <w:r w:rsidRPr="00E74E29">
              <w:rPr>
                <w:sz w:val="20"/>
                <w:lang w:val="fr-CA"/>
              </w:rPr>
              <w:noBreakHyphen/>
              <w:t>t</w:t>
            </w:r>
            <w:r w:rsidRPr="00E74E29">
              <w:rPr>
                <w:sz w:val="20"/>
                <w:lang w:val="fr-CA"/>
              </w:rPr>
              <w:noBreakHyphen/>
              <w:t>elle commis une erreur en omettant de dé</w:t>
            </w:r>
            <w:r w:rsidRPr="00E74E29">
              <w:rPr>
                <w:spacing w:val="4"/>
                <w:sz w:val="20"/>
                <w:lang w:val="fr-CA"/>
              </w:rPr>
              <w:t xml:space="preserve">construire le fondement factuel des réclamations à la lumière d’une lacune dans le droit ? </w:t>
            </w:r>
            <w:r w:rsidRPr="00E74E29">
              <w:rPr>
                <w:sz w:val="20"/>
                <w:lang w:val="fr-CA"/>
              </w:rPr>
              <w:t>— Les dommages, préjudices ou pertes peuvent</w:t>
            </w:r>
            <w:r w:rsidRPr="00E74E29">
              <w:rPr>
                <w:sz w:val="20"/>
                <w:lang w:val="fr-CA"/>
              </w:rPr>
              <w:noBreakHyphen/>
              <w:t>ils être établis en l’absence d’une analyse juridique quant à l’existence d’un principe juridique ? — Possibilité de découvrir une nouvelle question de droit pour laquelle il n’existe pas de principe juridique directeur, surtout lorsque les dommages ou les pertes sont basés sur des dommages ou pertes réputés ne pas encore avoir été réalisés — L’intérêt public est</w:t>
            </w:r>
            <w:r w:rsidRPr="00E74E29">
              <w:rPr>
                <w:sz w:val="20"/>
                <w:lang w:val="fr-CA"/>
              </w:rPr>
              <w:noBreakHyphen/>
              <w:t>il soulevé étant donné que le régime financier repose sur des sommes d’argent mises de l’avant par des clients à titre de fiduciants à des établissements financiers agissant en tant que fiduciaires ?</w:t>
            </w:r>
          </w:p>
        </w:tc>
      </w:tr>
      <w:tr w:rsidR="0035075E" w:rsidRPr="00463557" w:rsidTr="00F322C3">
        <w:tc>
          <w:tcPr>
            <w:tcW w:w="5000" w:type="pct"/>
            <w:gridSpan w:val="4"/>
          </w:tcPr>
          <w:p w:rsidR="0035075E" w:rsidRPr="00E74E29" w:rsidRDefault="0035075E" w:rsidP="0035075E">
            <w:pPr>
              <w:jc w:val="both"/>
              <w:rPr>
                <w:sz w:val="20"/>
                <w:lang w:val="fr-CA"/>
              </w:rPr>
            </w:pPr>
          </w:p>
        </w:tc>
      </w:tr>
      <w:tr w:rsidR="0035075E" w:rsidRPr="00E74E29" w:rsidTr="00F322C3">
        <w:tc>
          <w:tcPr>
            <w:tcW w:w="5000" w:type="pct"/>
            <w:gridSpan w:val="4"/>
          </w:tcPr>
          <w:p w:rsidR="0035075E" w:rsidRPr="00E74E29" w:rsidRDefault="0035075E" w:rsidP="0035075E">
            <w:pPr>
              <w:pStyle w:val="SCCLsocParty"/>
              <w:jc w:val="both"/>
              <w:rPr>
                <w:b/>
                <w:sz w:val="20"/>
                <w:szCs w:val="20"/>
              </w:rPr>
            </w:pPr>
            <w:r w:rsidRPr="00E74E29">
              <w:rPr>
                <w:sz w:val="20"/>
                <w:szCs w:val="20"/>
              </w:rPr>
              <w:t>Equity Cheque Card Corporation Ltd. et son directeur, M. Asfar, ont intenté une action contre Sun Life du Canada, compagnie d’assurance</w:t>
            </w:r>
            <w:r w:rsidRPr="00E74E29">
              <w:rPr>
                <w:sz w:val="20"/>
                <w:szCs w:val="20"/>
              </w:rPr>
              <w:noBreakHyphen/>
              <w:t xml:space="preserve">vie, Financière Sun Life inc. et Financière Sun Life du Canada. Le juge saisi de la motion a accordé un jugement sommaire rejetant la réclamation parce qu’elle était prescrite aux termes de la </w:t>
            </w:r>
            <w:r w:rsidRPr="00E74E29">
              <w:rPr>
                <w:i/>
                <w:sz w:val="20"/>
                <w:szCs w:val="20"/>
              </w:rPr>
              <w:t>Loi de 2002 sur la prescription des actions</w:t>
            </w:r>
            <w:r w:rsidRPr="00E74E29">
              <w:rPr>
                <w:sz w:val="20"/>
                <w:szCs w:val="20"/>
              </w:rPr>
              <w:t>, L.O. 2002, chap. 24. La Cour d’appel a rejeté l’appel.</w:t>
            </w:r>
          </w:p>
          <w:p w:rsidR="0035075E" w:rsidRPr="00E74E29" w:rsidRDefault="0035075E" w:rsidP="0035075E">
            <w:pPr>
              <w:jc w:val="both"/>
              <w:rPr>
                <w:sz w:val="20"/>
                <w:lang w:val="fr-CA"/>
              </w:rPr>
            </w:pP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t>23 mai 2019</w:t>
            </w:r>
          </w:p>
          <w:p w:rsidR="0035075E" w:rsidRPr="00E74E29" w:rsidRDefault="0035075E" w:rsidP="0035075E">
            <w:pPr>
              <w:jc w:val="both"/>
              <w:rPr>
                <w:sz w:val="20"/>
                <w:lang w:val="fr-CA"/>
              </w:rPr>
            </w:pPr>
            <w:r w:rsidRPr="00E74E29">
              <w:rPr>
                <w:sz w:val="20"/>
                <w:lang w:val="fr-CA"/>
              </w:rPr>
              <w:t xml:space="preserve">Cour supérieure de justice de l’Ontario </w:t>
            </w:r>
          </w:p>
          <w:p w:rsidR="0035075E" w:rsidRPr="00E74E29" w:rsidRDefault="0035075E" w:rsidP="0035075E">
            <w:pPr>
              <w:jc w:val="both"/>
              <w:rPr>
                <w:sz w:val="20"/>
                <w:lang w:val="fr-CA"/>
              </w:rPr>
            </w:pPr>
            <w:r w:rsidRPr="00E74E29">
              <w:rPr>
                <w:sz w:val="20"/>
                <w:lang w:val="fr-CA"/>
              </w:rPr>
              <w:lastRenderedPageBreak/>
              <w:t xml:space="preserve">(juge Nakatsuru) </w:t>
            </w:r>
          </w:p>
          <w:p w:rsidR="0035075E" w:rsidRPr="00E74E29" w:rsidRDefault="00463557" w:rsidP="0035075E">
            <w:pPr>
              <w:jc w:val="both"/>
              <w:rPr>
                <w:sz w:val="20"/>
                <w:lang w:val="fr-CA"/>
              </w:rPr>
            </w:pPr>
            <w:hyperlink r:id="rId67" w:history="1">
              <w:r w:rsidR="0035075E" w:rsidRPr="00E74E29">
                <w:rPr>
                  <w:rStyle w:val="Hyperlink"/>
                  <w:sz w:val="20"/>
                  <w:lang w:val="fr-CA"/>
                </w:rPr>
                <w:t>2019 ONSC 3098</w:t>
              </w:r>
            </w:hyperlink>
          </w:p>
          <w:p w:rsidR="0035075E" w:rsidRPr="00E74E29" w:rsidRDefault="0035075E" w:rsidP="0035075E">
            <w:pPr>
              <w:jc w:val="both"/>
              <w:rPr>
                <w:sz w:val="20"/>
                <w:lang w:val="fr-CA"/>
              </w:rPr>
            </w:pPr>
          </w:p>
        </w:tc>
        <w:tc>
          <w:tcPr>
            <w:tcW w:w="243" w:type="pct"/>
          </w:tcPr>
          <w:p w:rsidR="0035075E" w:rsidRPr="00E74E29" w:rsidRDefault="0035075E" w:rsidP="0035075E">
            <w:pPr>
              <w:jc w:val="both"/>
              <w:rPr>
                <w:sz w:val="20"/>
                <w:lang w:val="fr-CA"/>
              </w:rPr>
            </w:pPr>
          </w:p>
        </w:tc>
        <w:tc>
          <w:tcPr>
            <w:tcW w:w="2330" w:type="pct"/>
          </w:tcPr>
          <w:p w:rsidR="0035075E" w:rsidRPr="00E74E29" w:rsidRDefault="0035075E" w:rsidP="0035075E">
            <w:pPr>
              <w:jc w:val="both"/>
              <w:rPr>
                <w:sz w:val="20"/>
                <w:lang w:val="fr-CA"/>
              </w:rPr>
            </w:pPr>
            <w:r w:rsidRPr="00E74E29">
              <w:rPr>
                <w:sz w:val="20"/>
                <w:lang w:val="fr-CA"/>
              </w:rPr>
              <w:t>Un jugement sommaire rejetant l’action est accordé.</w:t>
            </w:r>
          </w:p>
          <w:p w:rsidR="0035075E" w:rsidRPr="00E74E29" w:rsidRDefault="0035075E" w:rsidP="0035075E">
            <w:pPr>
              <w:jc w:val="both"/>
              <w:rPr>
                <w:sz w:val="20"/>
                <w:lang w:val="fr-CA"/>
              </w:rPr>
            </w:pPr>
          </w:p>
        </w:tc>
      </w:tr>
      <w:tr w:rsidR="0035075E" w:rsidRPr="00E74E29" w:rsidTr="00F322C3">
        <w:tc>
          <w:tcPr>
            <w:tcW w:w="2427" w:type="pct"/>
            <w:gridSpan w:val="2"/>
          </w:tcPr>
          <w:p w:rsidR="0035075E" w:rsidRPr="00E74E29" w:rsidRDefault="0035075E" w:rsidP="0035075E">
            <w:pPr>
              <w:jc w:val="both"/>
              <w:rPr>
                <w:sz w:val="20"/>
                <w:lang w:val="fr-CA"/>
              </w:rPr>
            </w:pPr>
            <w:r w:rsidRPr="00E74E29">
              <w:rPr>
                <w:sz w:val="20"/>
                <w:lang w:val="fr-CA"/>
              </w:rPr>
              <w:t>20 janvier 2020</w:t>
            </w:r>
          </w:p>
          <w:p w:rsidR="0035075E" w:rsidRPr="00E74E29" w:rsidRDefault="0035075E" w:rsidP="0035075E">
            <w:pPr>
              <w:jc w:val="both"/>
              <w:rPr>
                <w:sz w:val="20"/>
                <w:lang w:val="fr-CA"/>
              </w:rPr>
            </w:pPr>
            <w:r w:rsidRPr="00E74E29">
              <w:rPr>
                <w:sz w:val="20"/>
                <w:lang w:val="fr-CA"/>
              </w:rPr>
              <w:t>Cour d’appel de l’Ontario</w:t>
            </w:r>
          </w:p>
          <w:p w:rsidR="0035075E" w:rsidRPr="00E74E29" w:rsidRDefault="0035075E" w:rsidP="0035075E">
            <w:pPr>
              <w:jc w:val="both"/>
              <w:rPr>
                <w:sz w:val="20"/>
                <w:lang w:val="fr-CA"/>
              </w:rPr>
            </w:pPr>
            <w:r w:rsidRPr="00E74E29">
              <w:rPr>
                <w:sz w:val="20"/>
                <w:lang w:val="fr-CA"/>
              </w:rPr>
              <w:t>(juges Strathy, MacPherson, Jamal)</w:t>
            </w:r>
          </w:p>
          <w:p w:rsidR="0035075E" w:rsidRPr="00E74E29" w:rsidRDefault="00463557" w:rsidP="0035075E">
            <w:pPr>
              <w:jc w:val="both"/>
              <w:rPr>
                <w:sz w:val="20"/>
                <w:lang w:val="fr-CA"/>
              </w:rPr>
            </w:pPr>
            <w:hyperlink r:id="rId68" w:history="1">
              <w:r w:rsidR="0035075E" w:rsidRPr="00E74E29">
                <w:rPr>
                  <w:rStyle w:val="Hyperlink"/>
                  <w:sz w:val="20"/>
                  <w:lang w:val="fr-CA"/>
                </w:rPr>
                <w:t>2020 ONCA 31</w:t>
              </w:r>
            </w:hyperlink>
            <w:r w:rsidR="0035075E" w:rsidRPr="00E74E29">
              <w:rPr>
                <w:sz w:val="20"/>
                <w:lang w:val="fr-CA"/>
              </w:rPr>
              <w:t>; C67095</w:t>
            </w:r>
          </w:p>
          <w:p w:rsidR="0035075E" w:rsidRPr="00E74E29" w:rsidRDefault="0035075E" w:rsidP="0035075E">
            <w:pPr>
              <w:jc w:val="both"/>
              <w:rPr>
                <w:sz w:val="20"/>
                <w:lang w:val="fr-CA"/>
              </w:rPr>
            </w:pPr>
          </w:p>
        </w:tc>
        <w:tc>
          <w:tcPr>
            <w:tcW w:w="243" w:type="pct"/>
          </w:tcPr>
          <w:p w:rsidR="0035075E" w:rsidRPr="00E74E29" w:rsidRDefault="0035075E" w:rsidP="0035075E">
            <w:pPr>
              <w:jc w:val="both"/>
              <w:rPr>
                <w:sz w:val="20"/>
                <w:lang w:val="fr-CA"/>
              </w:rPr>
            </w:pPr>
          </w:p>
        </w:tc>
        <w:tc>
          <w:tcPr>
            <w:tcW w:w="2330" w:type="pct"/>
          </w:tcPr>
          <w:p w:rsidR="0035075E" w:rsidRPr="00E74E29" w:rsidRDefault="0035075E" w:rsidP="0035075E">
            <w:pPr>
              <w:jc w:val="both"/>
              <w:rPr>
                <w:sz w:val="20"/>
                <w:lang w:val="fr-CA"/>
              </w:rPr>
            </w:pPr>
            <w:r w:rsidRPr="00E74E29">
              <w:rPr>
                <w:sz w:val="20"/>
                <w:lang w:val="fr-CA"/>
              </w:rPr>
              <w:t>L’appel est rejeté.</w:t>
            </w:r>
          </w:p>
          <w:p w:rsidR="0035075E" w:rsidRPr="00E74E29" w:rsidRDefault="0035075E" w:rsidP="0035075E">
            <w:pPr>
              <w:jc w:val="both"/>
              <w:rPr>
                <w:sz w:val="20"/>
                <w:lang w:val="fr-CA"/>
              </w:rPr>
            </w:pP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t>13 août 2021</w:t>
            </w:r>
          </w:p>
          <w:p w:rsidR="0035075E" w:rsidRPr="00E74E29" w:rsidRDefault="0035075E" w:rsidP="0035075E">
            <w:pPr>
              <w:jc w:val="both"/>
              <w:rPr>
                <w:sz w:val="20"/>
                <w:lang w:val="fr-CA"/>
              </w:rPr>
            </w:pPr>
            <w:r w:rsidRPr="00E74E29">
              <w:rPr>
                <w:sz w:val="20"/>
                <w:lang w:val="fr-CA"/>
              </w:rPr>
              <w:t>Cour suprême du Canada</w:t>
            </w:r>
          </w:p>
          <w:p w:rsidR="0035075E" w:rsidRPr="00E74E29" w:rsidRDefault="0035075E" w:rsidP="0035075E">
            <w:pPr>
              <w:jc w:val="both"/>
              <w:rPr>
                <w:sz w:val="20"/>
                <w:lang w:val="fr-CA"/>
              </w:rPr>
            </w:pPr>
          </w:p>
        </w:tc>
        <w:tc>
          <w:tcPr>
            <w:tcW w:w="243" w:type="pct"/>
          </w:tcPr>
          <w:p w:rsidR="0035075E" w:rsidRPr="00E74E29" w:rsidRDefault="0035075E" w:rsidP="0035075E">
            <w:pPr>
              <w:jc w:val="both"/>
              <w:rPr>
                <w:sz w:val="20"/>
                <w:lang w:val="fr-CA"/>
              </w:rPr>
            </w:pPr>
          </w:p>
        </w:tc>
        <w:tc>
          <w:tcPr>
            <w:tcW w:w="2330" w:type="pct"/>
          </w:tcPr>
          <w:p w:rsidR="0035075E" w:rsidRPr="00E74E29" w:rsidRDefault="0035075E" w:rsidP="0035075E">
            <w:pPr>
              <w:jc w:val="both"/>
              <w:rPr>
                <w:sz w:val="20"/>
                <w:lang w:val="fr-CA"/>
              </w:rPr>
            </w:pPr>
            <w:r w:rsidRPr="00E74E29">
              <w:rPr>
                <w:sz w:val="20"/>
                <w:lang w:val="fr-CA"/>
              </w:rPr>
              <w:t>La demande d’autorisation d’appel est présentée.</w:t>
            </w:r>
          </w:p>
          <w:p w:rsidR="0035075E" w:rsidRPr="00E74E29" w:rsidRDefault="0035075E" w:rsidP="0035075E">
            <w:pPr>
              <w:jc w:val="both"/>
              <w:rPr>
                <w:sz w:val="20"/>
                <w:lang w:val="fr-CA"/>
              </w:rPr>
            </w:pPr>
          </w:p>
        </w:tc>
      </w:tr>
      <w:tr w:rsidR="0035075E" w:rsidRPr="00463557" w:rsidTr="00F322C3">
        <w:tc>
          <w:tcPr>
            <w:tcW w:w="2427" w:type="pct"/>
            <w:gridSpan w:val="2"/>
          </w:tcPr>
          <w:p w:rsidR="0035075E" w:rsidRPr="00E74E29" w:rsidRDefault="0035075E" w:rsidP="0035075E">
            <w:pPr>
              <w:jc w:val="both"/>
              <w:rPr>
                <w:sz w:val="20"/>
                <w:lang w:val="fr-CA"/>
              </w:rPr>
            </w:pPr>
            <w:r w:rsidRPr="00E74E29">
              <w:rPr>
                <w:sz w:val="20"/>
                <w:lang w:val="fr-CA"/>
              </w:rPr>
              <w:t>16 décembre 2021</w:t>
            </w:r>
          </w:p>
          <w:p w:rsidR="0035075E" w:rsidRPr="00E74E29" w:rsidRDefault="0035075E" w:rsidP="0035075E">
            <w:pPr>
              <w:jc w:val="both"/>
              <w:rPr>
                <w:sz w:val="20"/>
                <w:lang w:val="fr-CA"/>
              </w:rPr>
            </w:pPr>
            <w:r w:rsidRPr="00E74E29">
              <w:rPr>
                <w:sz w:val="20"/>
                <w:lang w:val="fr-CA"/>
              </w:rPr>
              <w:t>Cour suprême du Canada</w:t>
            </w:r>
          </w:p>
        </w:tc>
        <w:tc>
          <w:tcPr>
            <w:tcW w:w="243" w:type="pct"/>
          </w:tcPr>
          <w:p w:rsidR="0035075E" w:rsidRPr="00E74E29" w:rsidRDefault="0035075E" w:rsidP="0035075E">
            <w:pPr>
              <w:jc w:val="both"/>
              <w:rPr>
                <w:sz w:val="20"/>
                <w:lang w:val="fr-CA"/>
              </w:rPr>
            </w:pPr>
          </w:p>
        </w:tc>
        <w:tc>
          <w:tcPr>
            <w:tcW w:w="2330" w:type="pct"/>
          </w:tcPr>
          <w:p w:rsidR="0035075E" w:rsidRPr="00E74E29" w:rsidRDefault="0035075E" w:rsidP="00E74E29">
            <w:pPr>
              <w:jc w:val="both"/>
              <w:rPr>
                <w:sz w:val="20"/>
                <w:lang w:val="fr-CA"/>
              </w:rPr>
            </w:pPr>
            <w:r w:rsidRPr="00E74E29">
              <w:rPr>
                <w:sz w:val="20"/>
                <w:lang w:val="fr-CA"/>
              </w:rPr>
              <w:t>La requête en prorogation du délai de signification et de dépôt de la demande d’auto</w:t>
            </w:r>
            <w:r w:rsidR="00E74E29" w:rsidRPr="00E74E29">
              <w:rPr>
                <w:sz w:val="20"/>
                <w:lang w:val="fr-CA"/>
              </w:rPr>
              <w:t>risation d’appel est présentée.</w:t>
            </w:r>
          </w:p>
        </w:tc>
      </w:tr>
    </w:tbl>
    <w:p w:rsidR="00BA25C8" w:rsidRPr="00E74E29" w:rsidRDefault="00BA25C8" w:rsidP="00350651">
      <w:pPr>
        <w:widowControl w:val="0"/>
        <w:jc w:val="both"/>
        <w:rPr>
          <w:sz w:val="20"/>
          <w:lang w:val="fr-CA"/>
        </w:rPr>
      </w:pPr>
    </w:p>
    <w:p w:rsidR="0028541A" w:rsidRPr="00E74E29" w:rsidRDefault="00463557" w:rsidP="00350651">
      <w:pPr>
        <w:widowControl w:val="0"/>
        <w:jc w:val="both"/>
        <w:rPr>
          <w:sz w:val="20"/>
        </w:rPr>
      </w:pPr>
      <w:r>
        <w:rPr>
          <w:sz w:val="20"/>
        </w:rPr>
        <w:pict>
          <v:rect id="_x0000_i1054" style="width:2in;height:1pt" o:hrpct="0" o:hralign="center" o:hrstd="t" o:hrnoshade="t" o:hr="t" fillcolor="black [3213]" stroked="f"/>
        </w:pict>
      </w:r>
    </w:p>
    <w:p w:rsidR="00FD3FA0" w:rsidRPr="00E74E29" w:rsidRDefault="00FD3FA0" w:rsidP="00350651">
      <w:pPr>
        <w:ind w:left="142" w:hanging="142"/>
        <w:jc w:val="both"/>
        <w:rPr>
          <w:sz w:val="20"/>
        </w:rPr>
      </w:pPr>
    </w:p>
    <w:p w:rsidR="008F2F11" w:rsidRPr="00E74E29" w:rsidRDefault="008F2F11" w:rsidP="00350651">
      <w:pPr>
        <w:ind w:left="142" w:hanging="142"/>
        <w:jc w:val="both"/>
        <w:rPr>
          <w:sz w:val="20"/>
        </w:rPr>
      </w:pPr>
    </w:p>
    <w:p w:rsidR="008F2F11" w:rsidRPr="00E74E29" w:rsidRDefault="008F2F11" w:rsidP="00350651">
      <w:pPr>
        <w:ind w:left="142" w:hanging="142"/>
        <w:jc w:val="both"/>
        <w:rPr>
          <w:sz w:val="20"/>
        </w:rPr>
      </w:pPr>
    </w:p>
    <w:p w:rsidR="00D3344A" w:rsidRPr="00E74E29" w:rsidRDefault="00D3344A" w:rsidP="00D3344A">
      <w:pPr>
        <w:widowControl w:val="0"/>
        <w:outlineLvl w:val="0"/>
        <w:rPr>
          <w:sz w:val="20"/>
        </w:rPr>
      </w:pPr>
      <w:r w:rsidRPr="00E74E29">
        <w:rPr>
          <w:sz w:val="20"/>
        </w:rPr>
        <w:t>Supreme Court of Canada / Cour suprême du Canad</w:t>
      </w:r>
      <w:r w:rsidR="00EE289F" w:rsidRPr="00E74E29">
        <w:rPr>
          <w:sz w:val="20"/>
        </w:rPr>
        <w:t>a</w:t>
      </w:r>
      <w:r w:rsidRPr="00E74E29">
        <w:rPr>
          <w:sz w:val="20"/>
        </w:rPr>
        <w:t xml:space="preserve"> :</w:t>
      </w:r>
    </w:p>
    <w:p w:rsidR="00D3344A" w:rsidRPr="00E74E29" w:rsidRDefault="00463557" w:rsidP="00D3344A">
      <w:pPr>
        <w:widowControl w:val="0"/>
        <w:outlineLvl w:val="0"/>
        <w:rPr>
          <w:sz w:val="20"/>
          <w:u w:val="single"/>
        </w:rPr>
      </w:pPr>
      <w:hyperlink r:id="rId69" w:history="1">
        <w:r w:rsidR="009B7391" w:rsidRPr="00E74E29">
          <w:rPr>
            <w:rStyle w:val="Hyperlink"/>
            <w:sz w:val="20"/>
          </w:rPr>
          <w:t>comments-commentaires@scc-csc.ca</w:t>
        </w:r>
      </w:hyperlink>
    </w:p>
    <w:p w:rsidR="00D3344A" w:rsidRPr="00E74E29" w:rsidRDefault="0065588C" w:rsidP="00D3344A">
      <w:pPr>
        <w:widowControl w:val="0"/>
        <w:outlineLvl w:val="0"/>
        <w:rPr>
          <w:sz w:val="20"/>
        </w:rPr>
      </w:pPr>
      <w:r w:rsidRPr="00E74E29">
        <w:rPr>
          <w:sz w:val="20"/>
        </w:rPr>
        <w:t>613-</w:t>
      </w:r>
      <w:r w:rsidR="00D3344A" w:rsidRPr="00E74E29">
        <w:rPr>
          <w:sz w:val="20"/>
        </w:rPr>
        <w:t>995-4330</w:t>
      </w:r>
    </w:p>
    <w:p w:rsidR="00497B5E" w:rsidRPr="00E74E29" w:rsidRDefault="00497B5E" w:rsidP="00497B5E">
      <w:pPr>
        <w:widowControl w:val="0"/>
        <w:rPr>
          <w:sz w:val="20"/>
        </w:rPr>
      </w:pPr>
    </w:p>
    <w:p w:rsidR="00F6251B" w:rsidRPr="007607A2" w:rsidRDefault="003F43E6" w:rsidP="00F6251B">
      <w:pPr>
        <w:pStyle w:val="Footer"/>
        <w:jc w:val="center"/>
        <w:rPr>
          <w:sz w:val="20"/>
        </w:rPr>
      </w:pPr>
      <w:r w:rsidRPr="00E74E29">
        <w:rPr>
          <w:sz w:val="20"/>
        </w:rPr>
        <w:t>- 30 -</w:t>
      </w:r>
    </w:p>
    <w:sectPr w:rsidR="00F6251B" w:rsidRPr="007607A2" w:rsidSect="00E62F93">
      <w:headerReference w:type="even" r:id="rId70"/>
      <w:headerReference w:type="default" r:id="rId71"/>
      <w:footerReference w:type="even" r:id="rId72"/>
      <w:footerReference w:type="default" r:id="rId73"/>
      <w:headerReference w:type="first" r:id="rId74"/>
      <w:footerReference w:type="first" r:id="rId75"/>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2C3" w:rsidRDefault="00F322C3" w:rsidP="0034178A">
      <w:r>
        <w:separator/>
      </w:r>
    </w:p>
  </w:endnote>
  <w:endnote w:type="continuationSeparator" w:id="0">
    <w:p w:rsidR="00F322C3" w:rsidRDefault="00F322C3"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2C3" w:rsidRDefault="00F32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2C3" w:rsidRPr="009F77F0" w:rsidRDefault="00F322C3"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2C3" w:rsidRDefault="00F32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2C3" w:rsidRDefault="00F322C3" w:rsidP="0034178A">
      <w:r>
        <w:separator/>
      </w:r>
    </w:p>
  </w:footnote>
  <w:footnote w:type="continuationSeparator" w:id="0">
    <w:p w:rsidR="00F322C3" w:rsidRDefault="00F322C3"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2C3" w:rsidRDefault="00F32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2C3" w:rsidRDefault="00F322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2C3" w:rsidRDefault="00F32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1F3"/>
    <w:multiLevelType w:val="hybridMultilevel"/>
    <w:tmpl w:val="4E2AF526"/>
    <w:lvl w:ilvl="0" w:tplc="6A942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02300"/>
    <w:multiLevelType w:val="hybridMultilevel"/>
    <w:tmpl w:val="4BC08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54D9"/>
    <w:multiLevelType w:val="hybridMultilevel"/>
    <w:tmpl w:val="BB460794"/>
    <w:lvl w:ilvl="0" w:tplc="266A270A">
      <w:start w:val="1"/>
      <w:numFmt w:val="decimal"/>
      <w:lvlText w:val="%1."/>
      <w:lvlJc w:val="left"/>
      <w:pPr>
        <w:ind w:left="720" w:hanging="360"/>
      </w:pPr>
      <w:rPr>
        <w:b w:val="0"/>
        <w:i w:val="0"/>
        <w:sz w:val="20"/>
        <w:szCs w:val="2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20CB1"/>
    <w:multiLevelType w:val="hybridMultilevel"/>
    <w:tmpl w:val="54FCB592"/>
    <w:lvl w:ilvl="0" w:tplc="434E95DC">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F030B35"/>
    <w:multiLevelType w:val="hybridMultilevel"/>
    <w:tmpl w:val="2114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05B28"/>
    <w:multiLevelType w:val="hybridMultilevel"/>
    <w:tmpl w:val="33EC3438"/>
    <w:lvl w:ilvl="0" w:tplc="A4DC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573D0"/>
    <w:multiLevelType w:val="hybridMultilevel"/>
    <w:tmpl w:val="55B8D7EC"/>
    <w:lvl w:ilvl="0" w:tplc="3B56B5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0121C"/>
    <w:multiLevelType w:val="hybridMultilevel"/>
    <w:tmpl w:val="BE4C0C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D6B6E"/>
    <w:multiLevelType w:val="hybridMultilevel"/>
    <w:tmpl w:val="379E3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1637B"/>
    <w:multiLevelType w:val="hybridMultilevel"/>
    <w:tmpl w:val="5966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37B83"/>
    <w:multiLevelType w:val="hybridMultilevel"/>
    <w:tmpl w:val="CEB20C92"/>
    <w:lvl w:ilvl="0" w:tplc="CF1ABD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BA82F7F"/>
    <w:multiLevelType w:val="hybridMultilevel"/>
    <w:tmpl w:val="1F22AB28"/>
    <w:lvl w:ilvl="0" w:tplc="EADED970">
      <w:start w:val="4"/>
      <w:numFmt w:val="decimal"/>
      <w:lvlText w:val="%1."/>
      <w:lvlJc w:val="left"/>
      <w:pPr>
        <w:tabs>
          <w:tab w:val="num" w:pos="378"/>
        </w:tabs>
        <w:ind w:left="16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13" w15:restartNumberingAfterBreak="0">
    <w:nsid w:val="1C436523"/>
    <w:multiLevelType w:val="hybridMultilevel"/>
    <w:tmpl w:val="A9607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5C796B"/>
    <w:multiLevelType w:val="hybridMultilevel"/>
    <w:tmpl w:val="0574A07E"/>
    <w:lvl w:ilvl="0" w:tplc="68389EC6">
      <w:start w:val="3"/>
      <w:numFmt w:val="decimal"/>
      <w:lvlText w:val="%1."/>
      <w:lvlJc w:val="left"/>
      <w:pPr>
        <w:ind w:left="720" w:hanging="360"/>
      </w:pPr>
      <w:rPr>
        <w:rFonts w:eastAsiaTheme="minorEastAsia"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A6D"/>
    <w:multiLevelType w:val="hybridMultilevel"/>
    <w:tmpl w:val="78BC6382"/>
    <w:lvl w:ilvl="0" w:tplc="0F36FA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77D4E"/>
    <w:multiLevelType w:val="hybridMultilevel"/>
    <w:tmpl w:val="1896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1B30CC"/>
    <w:multiLevelType w:val="hybridMultilevel"/>
    <w:tmpl w:val="1FAEA3DA"/>
    <w:lvl w:ilvl="0" w:tplc="653ABB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C7A8E"/>
    <w:multiLevelType w:val="hybridMultilevel"/>
    <w:tmpl w:val="CC0C653E"/>
    <w:lvl w:ilvl="0" w:tplc="61A45E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5579B"/>
    <w:multiLevelType w:val="hybridMultilevel"/>
    <w:tmpl w:val="1F22AB28"/>
    <w:lvl w:ilvl="0" w:tplc="EADED970">
      <w:start w:val="4"/>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20" w15:restartNumberingAfterBreak="0">
    <w:nsid w:val="38DC07DA"/>
    <w:multiLevelType w:val="hybridMultilevel"/>
    <w:tmpl w:val="505682C2"/>
    <w:lvl w:ilvl="0" w:tplc="E1DEA7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6F41DB"/>
    <w:multiLevelType w:val="hybridMultilevel"/>
    <w:tmpl w:val="5FDC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66703"/>
    <w:multiLevelType w:val="hybridMultilevel"/>
    <w:tmpl w:val="9AC4D632"/>
    <w:lvl w:ilvl="0" w:tplc="FEFA6D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F286B"/>
    <w:multiLevelType w:val="hybridMultilevel"/>
    <w:tmpl w:val="CCBA9058"/>
    <w:lvl w:ilvl="0" w:tplc="2BFA96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F11FD"/>
    <w:multiLevelType w:val="hybridMultilevel"/>
    <w:tmpl w:val="933C0FE4"/>
    <w:lvl w:ilvl="0" w:tplc="E3DABFD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AEF6E26"/>
    <w:multiLevelType w:val="hybridMultilevel"/>
    <w:tmpl w:val="D2BA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0861DA"/>
    <w:multiLevelType w:val="hybridMultilevel"/>
    <w:tmpl w:val="DC9E5068"/>
    <w:lvl w:ilvl="0" w:tplc="80ACCC9A">
      <w:start w:val="5"/>
      <w:numFmt w:val="decimal"/>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96430"/>
    <w:multiLevelType w:val="hybridMultilevel"/>
    <w:tmpl w:val="BE68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7A7987"/>
    <w:multiLevelType w:val="hybridMultilevel"/>
    <w:tmpl w:val="0666D9CC"/>
    <w:lvl w:ilvl="0" w:tplc="286C285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C72DEC"/>
    <w:multiLevelType w:val="hybridMultilevel"/>
    <w:tmpl w:val="D0F85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5F7D35"/>
    <w:multiLevelType w:val="hybridMultilevel"/>
    <w:tmpl w:val="368AB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3C4068"/>
    <w:multiLevelType w:val="hybridMultilevel"/>
    <w:tmpl w:val="E9CE0CF0"/>
    <w:lvl w:ilvl="0" w:tplc="93327E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B96A31"/>
    <w:multiLevelType w:val="hybridMultilevel"/>
    <w:tmpl w:val="8EA00CA0"/>
    <w:lvl w:ilvl="0" w:tplc="9D0AFB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0760F4"/>
    <w:multiLevelType w:val="hybridMultilevel"/>
    <w:tmpl w:val="918A04C8"/>
    <w:lvl w:ilvl="0" w:tplc="FE0A6F2E">
      <w:start w:val="4"/>
      <w:numFmt w:val="decimal"/>
      <w:lvlText w:val="%1."/>
      <w:lvlJc w:val="left"/>
      <w:pPr>
        <w:ind w:left="720" w:hanging="360"/>
      </w:pPr>
      <w:rPr>
        <w:rFonts w:hint="default"/>
        <w:b w:val="0"/>
        <w:i w:val="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544293"/>
    <w:multiLevelType w:val="hybridMultilevel"/>
    <w:tmpl w:val="8758D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3926A0"/>
    <w:multiLevelType w:val="hybridMultilevel"/>
    <w:tmpl w:val="B9AA479C"/>
    <w:lvl w:ilvl="0" w:tplc="81868C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BA32C7"/>
    <w:multiLevelType w:val="hybridMultilevel"/>
    <w:tmpl w:val="79EA8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EF1066"/>
    <w:multiLevelType w:val="hybridMultilevel"/>
    <w:tmpl w:val="A000B1FE"/>
    <w:lvl w:ilvl="0" w:tplc="EF285F2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D7072"/>
    <w:multiLevelType w:val="hybridMultilevel"/>
    <w:tmpl w:val="0EAE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60A0A"/>
    <w:multiLevelType w:val="hybridMultilevel"/>
    <w:tmpl w:val="EBE66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E77709"/>
    <w:multiLevelType w:val="hybridMultilevel"/>
    <w:tmpl w:val="F1B44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447A21"/>
    <w:multiLevelType w:val="hybridMultilevel"/>
    <w:tmpl w:val="4E660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391EE3"/>
    <w:multiLevelType w:val="hybridMultilevel"/>
    <w:tmpl w:val="9AAEA436"/>
    <w:lvl w:ilvl="0" w:tplc="22405E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5"/>
  </w:num>
  <w:num w:numId="3">
    <w:abstractNumId w:val="6"/>
  </w:num>
  <w:num w:numId="4">
    <w:abstractNumId w:val="19"/>
  </w:num>
  <w:num w:numId="5">
    <w:abstractNumId w:val="35"/>
  </w:num>
  <w:num w:numId="6">
    <w:abstractNumId w:val="17"/>
  </w:num>
  <w:num w:numId="7">
    <w:abstractNumId w:val="15"/>
  </w:num>
  <w:num w:numId="8">
    <w:abstractNumId w:val="12"/>
  </w:num>
  <w:num w:numId="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6"/>
  </w:num>
  <w:num w:numId="12">
    <w:abstractNumId w:val="0"/>
  </w:num>
  <w:num w:numId="13">
    <w:abstractNumId w:val="37"/>
  </w:num>
  <w:num w:numId="14">
    <w:abstractNumId w:val="33"/>
  </w:num>
  <w:num w:numId="15">
    <w:abstractNumId w:val="24"/>
  </w:num>
  <w:num w:numId="16">
    <w:abstractNumId w:val="40"/>
  </w:num>
  <w:num w:numId="17">
    <w:abstractNumId w:val="18"/>
  </w:num>
  <w:num w:numId="18">
    <w:abstractNumId w:val="28"/>
  </w:num>
  <w:num w:numId="19">
    <w:abstractNumId w:val="45"/>
  </w:num>
  <w:num w:numId="20">
    <w:abstractNumId w:val="20"/>
  </w:num>
  <w:num w:numId="21">
    <w:abstractNumId w:val="5"/>
  </w:num>
  <w:num w:numId="22">
    <w:abstractNumId w:val="4"/>
  </w:num>
  <w:num w:numId="23">
    <w:abstractNumId w:val="30"/>
  </w:num>
  <w:num w:numId="24">
    <w:abstractNumId w:val="29"/>
  </w:num>
  <w:num w:numId="25">
    <w:abstractNumId w:val="46"/>
  </w:num>
  <w:num w:numId="26">
    <w:abstractNumId w:val="14"/>
  </w:num>
  <w:num w:numId="27">
    <w:abstractNumId w:val="16"/>
  </w:num>
  <w:num w:numId="28">
    <w:abstractNumId w:val="34"/>
  </w:num>
  <w:num w:numId="29">
    <w:abstractNumId w:val="32"/>
  </w:num>
  <w:num w:numId="30">
    <w:abstractNumId w:val="8"/>
  </w:num>
  <w:num w:numId="31">
    <w:abstractNumId w:val="39"/>
  </w:num>
  <w:num w:numId="32">
    <w:abstractNumId w:val="23"/>
  </w:num>
  <w:num w:numId="33">
    <w:abstractNumId w:val="7"/>
  </w:num>
  <w:num w:numId="34">
    <w:abstractNumId w:val="2"/>
  </w:num>
  <w:num w:numId="35">
    <w:abstractNumId w:val="10"/>
  </w:num>
  <w:num w:numId="36">
    <w:abstractNumId w:val="11"/>
  </w:num>
  <w:num w:numId="37">
    <w:abstractNumId w:val="36"/>
  </w:num>
  <w:num w:numId="38">
    <w:abstractNumId w:val="38"/>
  </w:num>
  <w:num w:numId="39">
    <w:abstractNumId w:val="9"/>
  </w:num>
  <w:num w:numId="40">
    <w:abstractNumId w:val="13"/>
  </w:num>
  <w:num w:numId="41">
    <w:abstractNumId w:val="22"/>
  </w:num>
  <w:num w:numId="42">
    <w:abstractNumId w:val="42"/>
  </w:num>
  <w:num w:numId="43">
    <w:abstractNumId w:val="43"/>
  </w:num>
  <w:num w:numId="44">
    <w:abstractNumId w:val="44"/>
  </w:num>
  <w:num w:numId="45">
    <w:abstractNumId w:val="21"/>
  </w:num>
  <w:num w:numId="46">
    <w:abstractNumId w:val="1"/>
  </w:num>
  <w:num w:numId="47">
    <w:abstractNumId w:val="2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defaultTabStop w:val="720"/>
  <w:drawingGridHorizontalSpacing w:val="120"/>
  <w:displayHorizontalDrawingGridEvery w:val="2"/>
  <w:characterSpacingControl w:val="doNotCompress"/>
  <w:hdrShapeDefaults>
    <o:shapedefaults v:ext="edit" spidmax="1617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6C"/>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75E"/>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5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18C5"/>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77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25C8"/>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27CF"/>
    <w:rsid w:val="00D52CB8"/>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AB7"/>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4E29"/>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2C3"/>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scjnormal">
    <w:name w:val="scjnormal"/>
    <w:basedOn w:val="Normal"/>
    <w:rsid w:val="0035075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fra.aspx?cas=39758" TargetMode="External"/><Relationship Id="rId18" Type="http://schemas.openxmlformats.org/officeDocument/2006/relationships/hyperlink" Target="https://www.scc-csc.ca/case-dossier/info/sum-som-eng.aspx?cas=39927" TargetMode="External"/><Relationship Id="rId26" Type="http://schemas.openxmlformats.org/officeDocument/2006/relationships/hyperlink" Target="https://www.canlii.org/en/on/onca/doc/2021/2021onca396/2021onca396.html" TargetMode="External"/><Relationship Id="rId39" Type="http://schemas.openxmlformats.org/officeDocument/2006/relationships/hyperlink" Target="https://canlii.ca/t/jhwqz" TargetMode="External"/><Relationship Id="rId21" Type="http://schemas.openxmlformats.org/officeDocument/2006/relationships/hyperlink" Target="https://canlii.ca/t/jk0bv" TargetMode="External"/><Relationship Id="rId34" Type="http://schemas.openxmlformats.org/officeDocument/2006/relationships/hyperlink" Target="https://www.canlii.org/fr/qc/qcca/doc/2021/2021qcca1620/2021qcca1620.html?autocompleteStr=2021%20qcca%201620&amp;autocompletePos=1" TargetMode="External"/><Relationship Id="rId42" Type="http://schemas.openxmlformats.org/officeDocument/2006/relationships/hyperlink" Target="https://www.canlii.org/fr/nt/ntsc/doc/2019/2019nwtsc25/2019nwtsc25.html?autocompleteStr=Commission%20scolaire%20francophone%20%20des%20Territoires%20du%20Nord-Ouest&amp;autocompletePos=12" TargetMode="External"/><Relationship Id="rId47" Type="http://schemas.openxmlformats.org/officeDocument/2006/relationships/hyperlink" Target="https://www.canlii.org/en/bc/bcsc/doc/2020/2020bcsc1050/2020bcsc1050.html" TargetMode="External"/><Relationship Id="rId50" Type="http://schemas.openxmlformats.org/officeDocument/2006/relationships/hyperlink" Target="https://www.canlii.org/en/on/onsc/doc/2020/2020onsc5664/2020onsc5664.html?autocompleteStr=2020%20onsc%205664&amp;autocompletePos=1" TargetMode="External"/><Relationship Id="rId55" Type="http://schemas.openxmlformats.org/officeDocument/2006/relationships/hyperlink" Target="https://canlii.ca/t/jhp4x" TargetMode="External"/><Relationship Id="rId63" Type="http://schemas.openxmlformats.org/officeDocument/2006/relationships/hyperlink" Target="https://www.canlii.org/en/on/onsc/doc/2020/2020onsc144/2020onsc144.html?autocompleteStr=2020%20ONSC%20144&amp;autocompletePos=1" TargetMode="External"/><Relationship Id="rId68" Type="http://schemas.openxmlformats.org/officeDocument/2006/relationships/hyperlink" Target="https://www.canlii.org/en/on/onca/doc/2020/2020onca31/2020onca31.html?resultIndex=1"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cc-csc.ca/case-dossier/info/sum-som-eng.aspx?cas=40010" TargetMode="External"/><Relationship Id="rId29" Type="http://schemas.openxmlformats.org/officeDocument/2006/relationships/hyperlink" Target="https://www.canlii.org/fr/qc/qccs/doc/2021/2021qccs1788/2021qccs1788.html" TargetMode="External"/><Relationship Id="rId11" Type="http://schemas.openxmlformats.org/officeDocument/2006/relationships/hyperlink" Target="https://www.scc-csc.ca/case-dossier/info/sum-som-fra.aspx?cas=39961" TargetMode="External"/><Relationship Id="rId24" Type="http://schemas.openxmlformats.org/officeDocument/2006/relationships/hyperlink" Target="https://www.canlii.org/en/on/onca/doc/2021/2021onca396/2021onca396.html" TargetMode="External"/><Relationship Id="rId32" Type="http://schemas.openxmlformats.org/officeDocument/2006/relationships/hyperlink" Target="https://www.canlii.org/en/qc/qcca/doc/2021/2021qcca1381/2021qcca1381.html?resultIndex=2" TargetMode="External"/><Relationship Id="rId37" Type="http://schemas.openxmlformats.org/officeDocument/2006/relationships/hyperlink" Target="https://www.canlii.org/fr/qc/qcca/doc/2021/2021qcca1188/2021qcca1188.html?autocompleteStr=200-10-003620-197&amp;autocompletePos=1" TargetMode="External"/><Relationship Id="rId40" Type="http://schemas.openxmlformats.org/officeDocument/2006/relationships/hyperlink" Target="https://canlii.ca/t/j9kr6" TargetMode="External"/><Relationship Id="rId45" Type="http://schemas.openxmlformats.org/officeDocument/2006/relationships/hyperlink" Target="https://www.canlii.org/en/bc/bcsc/doc/2020/2020bcsc1050/2020bcsc1050.html" TargetMode="External"/><Relationship Id="rId53" Type="http://schemas.openxmlformats.org/officeDocument/2006/relationships/hyperlink" Target="https://www.canlii.org/en/on/onsc/doc/2020/2020onsc5664/2020onsc5664.html?autocompleteStr=2020%205664&amp;autocompletePos=1" TargetMode="External"/><Relationship Id="rId58" Type="http://schemas.openxmlformats.org/officeDocument/2006/relationships/hyperlink" Target="https://c-doc.domain.scc-csc.gc.ca/L25/01/05/%3chttps:/canlii.ca/t/jcxqq" TargetMode="External"/><Relationship Id="rId66" Type="http://schemas.openxmlformats.org/officeDocument/2006/relationships/hyperlink" Target="https://www.canlii.org/en/on/onca/doc/2020/2020onca31/2020onca31.html?resultIndex=1" TargetMode="External"/><Relationship Id="rId7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cc-csc.ca/case-dossier/info/sum-som-eng.aspx?cas=39956" TargetMode="External"/><Relationship Id="rId23" Type="http://schemas.openxmlformats.org/officeDocument/2006/relationships/hyperlink" Target="https://www.canlii.org/en/on/onca/doc/2021/2021onca31/2021onca31.html" TargetMode="External"/><Relationship Id="rId28" Type="http://schemas.openxmlformats.org/officeDocument/2006/relationships/hyperlink" Target="https://www.canlii.org/en/ns/nsca/doc/2021/2021nsca70/2021nsca70.html?resultIndex=1" TargetMode="External"/><Relationship Id="rId36" Type="http://schemas.openxmlformats.org/officeDocument/2006/relationships/hyperlink" Target="https://www.canlii.org/fr/qc/qcca/doc/2021/2021qcca1620/2021qcca1620.html?autocompleteStr=2021%20qcca%201620&amp;autocompletePos=1" TargetMode="External"/><Relationship Id="rId49" Type="http://schemas.openxmlformats.org/officeDocument/2006/relationships/hyperlink" Target="https://www.canlii.org/en/on/onsc/doc/2020/2020onsc870/2020onsc870.html?autocompleteStr=2020%20ONSC%20870&amp;autocompletePos=1" TargetMode="External"/><Relationship Id="rId57" Type="http://schemas.openxmlformats.org/officeDocument/2006/relationships/hyperlink" Target="https://canlii.ca/t/hzhft" TargetMode="External"/><Relationship Id="rId61" Type="http://schemas.openxmlformats.org/officeDocument/2006/relationships/hyperlink" Target="https://www.canlii.org/en/on/onsc/doc/2020/2020onsc144/2020onsc144.html?autocompleteStr=2020%20ONSC%20144&amp;autocompletePos=1" TargetMode="External"/><Relationship Id="rId10" Type="http://schemas.openxmlformats.org/officeDocument/2006/relationships/hyperlink" Target="https://www.scc-csc.ca/case-dossier/info/sum-som-eng.aspx?cas=39951" TargetMode="External"/><Relationship Id="rId19" Type="http://schemas.openxmlformats.org/officeDocument/2006/relationships/hyperlink" Target="https://www.scc-csc.ca/case-dossier/info/sum-som-eng.aspx?cas=39953" TargetMode="External"/><Relationship Id="rId31" Type="http://schemas.openxmlformats.org/officeDocument/2006/relationships/hyperlink" Target="https://www.canlii.org/fr/qc/qccs/doc/2021/2021qccs1788/2021qccs1788.html" TargetMode="External"/><Relationship Id="rId44" Type="http://schemas.openxmlformats.org/officeDocument/2006/relationships/hyperlink" Target="https://www.canlii.org/fr/nt/ntca/doc/2021/2021tnoca8/2021tnoca8.html" TargetMode="External"/><Relationship Id="rId52" Type="http://schemas.openxmlformats.org/officeDocument/2006/relationships/hyperlink" Target="https://www.canlii.org/en/on/onsc/doc/2020/2020onsc870/2020onsc870.html?autocompleteStr=2020%20ONSC%20870&amp;autocompletePos=1" TargetMode="External"/><Relationship Id="rId60" Type="http://schemas.openxmlformats.org/officeDocument/2006/relationships/hyperlink" Target="https://c-doc.domain.scc-csc.gc.ca/L25/01/05/%3chttps:/canlii.ca/t/jcxqq" TargetMode="External"/><Relationship Id="rId65" Type="http://schemas.openxmlformats.org/officeDocument/2006/relationships/hyperlink" Target="https://www.canlii.org/en/on/onsc/doc/2019/2019onsc3098/2019onsc3098.html?resultIndex=1"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eng.aspx?cas=39765" TargetMode="External"/><Relationship Id="rId14" Type="http://schemas.openxmlformats.org/officeDocument/2006/relationships/hyperlink" Target="https://www.scc-csc.ca/case-dossier/info/sum-som-fra.aspx?cas=39915" TargetMode="External"/><Relationship Id="rId22" Type="http://schemas.openxmlformats.org/officeDocument/2006/relationships/hyperlink" Target="https://canlii.ca/t/jk0bv" TargetMode="External"/><Relationship Id="rId27" Type="http://schemas.openxmlformats.org/officeDocument/2006/relationships/hyperlink" Target="https://www.canlii.org/en/ns/nsca/doc/2021/2021nsca70/2021nsca70.html?resultIndex=1" TargetMode="External"/><Relationship Id="rId30" Type="http://schemas.openxmlformats.org/officeDocument/2006/relationships/hyperlink" Target="https://www.canlii.org/en/qc/qcca/doc/2021/2021qcca1381/2021qcca1381.html?resultIndex=2" TargetMode="External"/><Relationship Id="rId35" Type="http://schemas.openxmlformats.org/officeDocument/2006/relationships/hyperlink" Target="https://www.canlii.org/fr/qc/qccs/doc/2020/2020qccs3613/2020qccs3613.html?autocompleteStr=2020%20qccs%203613&amp;autocompletePos=1" TargetMode="External"/><Relationship Id="rId43" Type="http://schemas.openxmlformats.org/officeDocument/2006/relationships/hyperlink" Target="https://www.canlii.org/fr/nt/ntsc/doc/2020/2020tnocs28/2020tnocs28.html" TargetMode="External"/><Relationship Id="rId48" Type="http://schemas.openxmlformats.org/officeDocument/2006/relationships/hyperlink" Target="https://www.canlii.org/en/bc/bcca/doc/2021/2021bcca407/2021bcca407.html?autocompleteStr=2021%20BCCA%20407&amp;autocompletePos=1" TargetMode="External"/><Relationship Id="rId56" Type="http://schemas.openxmlformats.org/officeDocument/2006/relationships/hyperlink" Target="https://canlii.ca/t/jhp4x" TargetMode="External"/><Relationship Id="rId64" Type="http://schemas.openxmlformats.org/officeDocument/2006/relationships/hyperlink" Target="https://www.canlii.org/en/on/onscdc/doc/2021/2021onsc2454/2021onsc2454.html?autocompleteStr=2021%20onsc%202454&amp;autocompletePos=1" TargetMode="External"/><Relationship Id="rId69" Type="http://schemas.openxmlformats.org/officeDocument/2006/relationships/hyperlink" Target="mailto:comments-commentaires@scc-csc.ca" TargetMode="External"/><Relationship Id="rId77" Type="http://schemas.openxmlformats.org/officeDocument/2006/relationships/theme" Target="theme/theme1.xml"/><Relationship Id="rId8" Type="http://schemas.openxmlformats.org/officeDocument/2006/relationships/hyperlink" Target="https://www.scc-csc.ca/case-dossier/info/sum-som-eng.aspx?cas=39983" TargetMode="External"/><Relationship Id="rId51" Type="http://schemas.openxmlformats.org/officeDocument/2006/relationships/hyperlink" Target="https://www.canlii.org/en/on/onca/doc/2021/2021onca293/2021onca293.html?autocompleteStr=2021%20ONCA%20293&amp;autocompletePos=1"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scc-csc.ca/case-dossier/info/sum-som-fra.aspx?cas=39988" TargetMode="External"/><Relationship Id="rId17" Type="http://schemas.openxmlformats.org/officeDocument/2006/relationships/hyperlink" Target="https://www.scc-csc.ca/case-dossier/info/sum-som-eng.aspx?cas=39908" TargetMode="External"/><Relationship Id="rId25" Type="http://schemas.openxmlformats.org/officeDocument/2006/relationships/hyperlink" Target="https://www.canlii.org/en/on/onca/doc/2021/2021onca31/2021onca31.html" TargetMode="External"/><Relationship Id="rId33" Type="http://schemas.openxmlformats.org/officeDocument/2006/relationships/hyperlink" Target="https://www.canlii.org/fr/qc/qccs/doc/2020/2020qccs3613/2020qccs3613.html?autocompleteStr=2020%20qccs%203613&amp;autocompletePos=1" TargetMode="External"/><Relationship Id="rId38" Type="http://schemas.openxmlformats.org/officeDocument/2006/relationships/hyperlink" Target="https://www.canlii.org/fr/qc/qcca/doc/2021/2021qcca1188/2021qcca1188.html?autocompleteStr=200-10-003620-197&amp;autocompletePos=1" TargetMode="External"/><Relationship Id="rId46" Type="http://schemas.openxmlformats.org/officeDocument/2006/relationships/hyperlink" Target="https://www.canlii.org/en/bc/bcca/doc/2021/2021bcca407/2021bcca407.html?autocompleteStr=2021%20BCCA%20407&amp;autocompletePos=1" TargetMode="External"/><Relationship Id="rId59" Type="http://schemas.openxmlformats.org/officeDocument/2006/relationships/hyperlink" Target="https://canlii.ca/t/hzhft" TargetMode="External"/><Relationship Id="rId67" Type="http://schemas.openxmlformats.org/officeDocument/2006/relationships/hyperlink" Target="https://www.canlii.org/en/on/onsc/doc/2019/2019onsc3098/2019onsc3098.html?resultIndex=1" TargetMode="External"/><Relationship Id="rId20" Type="http://schemas.openxmlformats.org/officeDocument/2006/relationships/hyperlink" Target="https://www.scc-csc.ca/case-dossier/info/sum-som-eng.aspx?cas=39963" TargetMode="External"/><Relationship Id="rId41" Type="http://schemas.openxmlformats.org/officeDocument/2006/relationships/hyperlink" Target="https://canlii.ca/t/jhw00" TargetMode="External"/><Relationship Id="rId54" Type="http://schemas.openxmlformats.org/officeDocument/2006/relationships/hyperlink" Target="https://www.canlii.org/en/on/onca/doc/2021/2021onca293/2021onca293.html?autocompleteStr=2021%20ONCA%20293&amp;autocompletePos=1" TargetMode="External"/><Relationship Id="rId62" Type="http://schemas.openxmlformats.org/officeDocument/2006/relationships/hyperlink" Target="https://www.canlii.org/en/on/onscdc/doc/2021/2021onsc2454/2021onsc2454.html?autocompleteStr=2021%20onsc%202454&amp;autocompletePos=1"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3EDC3-7B26-4D07-B034-52CB5CE7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12503</Words>
  <Characters>71270</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83606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2022-04-11T14:16:00Z</dcterms:modified>
</cp:coreProperties>
</file>