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D02EB6" w:rsidRDefault="000E391F" w:rsidP="000E391F">
      <w:pPr>
        <w:pStyle w:val="Header"/>
        <w:jc w:val="center"/>
        <w:rPr>
          <w:b/>
          <w:sz w:val="32"/>
          <w:szCs w:val="32"/>
        </w:rPr>
      </w:pPr>
      <w:r w:rsidRPr="00D02EB6">
        <w:rPr>
          <w:b/>
          <w:sz w:val="32"/>
          <w:szCs w:val="32"/>
        </w:rPr>
        <w:t>Supreme Court of Canada / Cour suprême du Canada</w:t>
      </w:r>
    </w:p>
    <w:p w:rsidR="000E391F" w:rsidRPr="00D02EB6" w:rsidRDefault="000E391F" w:rsidP="000E391F">
      <w:pPr>
        <w:widowControl w:val="0"/>
        <w:rPr>
          <w:sz w:val="20"/>
        </w:rPr>
      </w:pPr>
    </w:p>
    <w:p w:rsidR="000E391F" w:rsidRPr="00D02EB6" w:rsidRDefault="000E391F" w:rsidP="000E391F">
      <w:pPr>
        <w:widowControl w:val="0"/>
        <w:rPr>
          <w:i/>
          <w:sz w:val="20"/>
        </w:rPr>
      </w:pPr>
    </w:p>
    <w:p w:rsidR="006F2579" w:rsidRPr="00D02EB6" w:rsidRDefault="006F2579" w:rsidP="006F2579">
      <w:pPr>
        <w:widowControl w:val="0"/>
        <w:rPr>
          <w:i/>
          <w:sz w:val="20"/>
        </w:rPr>
      </w:pPr>
      <w:r w:rsidRPr="00D02EB6">
        <w:rPr>
          <w:i/>
          <w:sz w:val="20"/>
        </w:rPr>
        <w:t>(</w:t>
      </w:r>
      <w:r w:rsidR="003240B6" w:rsidRPr="00D02EB6">
        <w:rPr>
          <w:i/>
          <w:sz w:val="20"/>
        </w:rPr>
        <w:t>L</w:t>
      </w:r>
      <w:r w:rsidRPr="00D02EB6">
        <w:rPr>
          <w:i/>
          <w:sz w:val="20"/>
        </w:rPr>
        <w:t>e français suit)</w:t>
      </w:r>
    </w:p>
    <w:p w:rsidR="006F2579" w:rsidRPr="00D02EB6" w:rsidRDefault="006F2579" w:rsidP="006F2579">
      <w:pPr>
        <w:widowControl w:val="0"/>
        <w:rPr>
          <w:sz w:val="20"/>
        </w:rPr>
      </w:pPr>
    </w:p>
    <w:p w:rsidR="006F2579" w:rsidRPr="00D02EB6" w:rsidRDefault="00B07908" w:rsidP="006F2579">
      <w:pPr>
        <w:widowControl w:val="0"/>
        <w:jc w:val="center"/>
        <w:rPr>
          <w:b/>
          <w:szCs w:val="24"/>
        </w:rPr>
      </w:pPr>
      <w:r w:rsidRPr="00D02EB6">
        <w:rPr>
          <w:szCs w:val="24"/>
        </w:rPr>
        <w:fldChar w:fldCharType="begin"/>
      </w:r>
      <w:r w:rsidR="006F2579" w:rsidRPr="00D02EB6">
        <w:rPr>
          <w:szCs w:val="24"/>
        </w:rPr>
        <w:instrText xml:space="preserve"> SEQ CHAPTER \h \r 1</w:instrText>
      </w:r>
      <w:r w:rsidRPr="00D02EB6">
        <w:rPr>
          <w:szCs w:val="24"/>
        </w:rPr>
        <w:fldChar w:fldCharType="end"/>
      </w:r>
      <w:r w:rsidR="006F2579" w:rsidRPr="00D02EB6">
        <w:rPr>
          <w:b/>
          <w:szCs w:val="24"/>
        </w:rPr>
        <w:t>JUDGMENT</w:t>
      </w:r>
      <w:r w:rsidR="004F5491" w:rsidRPr="00D02EB6">
        <w:rPr>
          <w:b/>
          <w:szCs w:val="24"/>
        </w:rPr>
        <w:t>S</w:t>
      </w:r>
      <w:r w:rsidR="006F2579" w:rsidRPr="00D02EB6">
        <w:rPr>
          <w:b/>
          <w:szCs w:val="24"/>
        </w:rPr>
        <w:t xml:space="preserve"> TO B</w:t>
      </w:r>
      <w:r w:rsidR="00001846" w:rsidRPr="00D02EB6">
        <w:rPr>
          <w:b/>
          <w:szCs w:val="24"/>
        </w:rPr>
        <w:t>E RENDERED IN LE</w:t>
      </w:r>
      <w:r w:rsidR="00A0288A" w:rsidRPr="00D02EB6">
        <w:rPr>
          <w:b/>
          <w:szCs w:val="24"/>
        </w:rPr>
        <w:t>A</w:t>
      </w:r>
      <w:r w:rsidR="00001846" w:rsidRPr="00D02EB6">
        <w:rPr>
          <w:b/>
          <w:szCs w:val="24"/>
        </w:rPr>
        <w:t>VE APPLICATION</w:t>
      </w:r>
      <w:r w:rsidR="004F5491" w:rsidRPr="00D02EB6">
        <w:rPr>
          <w:b/>
          <w:szCs w:val="24"/>
        </w:rPr>
        <w:t>S</w:t>
      </w:r>
    </w:p>
    <w:p w:rsidR="006F2579" w:rsidRPr="00D02EB6" w:rsidRDefault="006F2579" w:rsidP="006F2579">
      <w:pPr>
        <w:widowControl w:val="0"/>
        <w:rPr>
          <w:szCs w:val="24"/>
        </w:rPr>
      </w:pPr>
    </w:p>
    <w:p w:rsidR="006F2579" w:rsidRPr="00D02EB6" w:rsidRDefault="00474965" w:rsidP="006F2579">
      <w:pPr>
        <w:widowControl w:val="0"/>
        <w:rPr>
          <w:szCs w:val="24"/>
        </w:rPr>
      </w:pPr>
      <w:r w:rsidRPr="00D02EB6">
        <w:rPr>
          <w:b/>
          <w:szCs w:val="24"/>
        </w:rPr>
        <w:t>June</w:t>
      </w:r>
      <w:r w:rsidR="00A15B66" w:rsidRPr="00D02EB6">
        <w:rPr>
          <w:b/>
          <w:szCs w:val="24"/>
        </w:rPr>
        <w:t xml:space="preserve"> </w:t>
      </w:r>
      <w:r w:rsidRPr="00D02EB6">
        <w:rPr>
          <w:b/>
          <w:szCs w:val="24"/>
        </w:rPr>
        <w:t>2</w:t>
      </w:r>
      <w:r w:rsidR="00092955" w:rsidRPr="00D02EB6">
        <w:rPr>
          <w:b/>
          <w:szCs w:val="24"/>
        </w:rPr>
        <w:t>0</w:t>
      </w:r>
      <w:r w:rsidR="004441C7" w:rsidRPr="00D02EB6">
        <w:rPr>
          <w:b/>
          <w:szCs w:val="24"/>
        </w:rPr>
        <w:t>,</w:t>
      </w:r>
      <w:r w:rsidR="006F2579" w:rsidRPr="00D02EB6">
        <w:rPr>
          <w:b/>
          <w:szCs w:val="24"/>
        </w:rPr>
        <w:t xml:space="preserve"> </w:t>
      </w:r>
      <w:r w:rsidR="0054689F" w:rsidRPr="00D02EB6">
        <w:rPr>
          <w:b/>
          <w:szCs w:val="24"/>
        </w:rPr>
        <w:t>20</w:t>
      </w:r>
      <w:r w:rsidR="00526754" w:rsidRPr="00D02EB6">
        <w:rPr>
          <w:b/>
          <w:szCs w:val="24"/>
        </w:rPr>
        <w:t>2</w:t>
      </w:r>
      <w:r w:rsidR="00644008" w:rsidRPr="00D02EB6">
        <w:rPr>
          <w:b/>
          <w:szCs w:val="24"/>
        </w:rPr>
        <w:t>2</w:t>
      </w:r>
    </w:p>
    <w:p w:rsidR="006F2579" w:rsidRPr="00D02EB6" w:rsidRDefault="00674F39" w:rsidP="006F2579">
      <w:pPr>
        <w:widowControl w:val="0"/>
        <w:rPr>
          <w:b/>
          <w:szCs w:val="24"/>
        </w:rPr>
      </w:pPr>
      <w:r w:rsidRPr="00D02EB6">
        <w:rPr>
          <w:b/>
          <w:szCs w:val="24"/>
        </w:rPr>
        <w:t>For immediate release</w:t>
      </w:r>
    </w:p>
    <w:p w:rsidR="006F2579" w:rsidRPr="00D02EB6" w:rsidRDefault="006F2579" w:rsidP="006F2579">
      <w:pPr>
        <w:widowControl w:val="0"/>
        <w:rPr>
          <w:szCs w:val="24"/>
        </w:rPr>
      </w:pPr>
    </w:p>
    <w:p w:rsidR="006F2579" w:rsidRPr="00D02EB6" w:rsidRDefault="006F2579" w:rsidP="006F2579">
      <w:pPr>
        <w:widowControl w:val="0"/>
        <w:rPr>
          <w:szCs w:val="24"/>
          <w:lang w:val="fr-CA"/>
        </w:rPr>
      </w:pPr>
      <w:r w:rsidRPr="00D02EB6">
        <w:rPr>
          <w:b/>
          <w:szCs w:val="24"/>
        </w:rPr>
        <w:t>OTTAWA</w:t>
      </w:r>
      <w:r w:rsidRPr="00D02EB6">
        <w:rPr>
          <w:szCs w:val="24"/>
        </w:rPr>
        <w:t xml:space="preserve"> – The Supreme Court of Canad</w:t>
      </w:r>
      <w:r w:rsidR="006246E4" w:rsidRPr="00D02EB6">
        <w:rPr>
          <w:szCs w:val="24"/>
        </w:rPr>
        <w:t>a</w:t>
      </w:r>
      <w:r w:rsidRPr="00D02EB6">
        <w:rPr>
          <w:szCs w:val="24"/>
        </w:rPr>
        <w:t xml:space="preserve"> announced today that judgment in the following </w:t>
      </w:r>
      <w:r w:rsidR="00DB6199" w:rsidRPr="00D02EB6">
        <w:rPr>
          <w:szCs w:val="24"/>
        </w:rPr>
        <w:t>leave application</w:t>
      </w:r>
      <w:r w:rsidR="004F5491" w:rsidRPr="00D02EB6">
        <w:rPr>
          <w:szCs w:val="24"/>
        </w:rPr>
        <w:t>s</w:t>
      </w:r>
      <w:r w:rsidR="00DB6199" w:rsidRPr="00D02EB6">
        <w:rPr>
          <w:szCs w:val="24"/>
        </w:rPr>
        <w:t xml:space="preserve"> </w:t>
      </w:r>
      <w:r w:rsidRPr="00D02EB6">
        <w:rPr>
          <w:szCs w:val="24"/>
        </w:rPr>
        <w:t>will be delivere</w:t>
      </w:r>
      <w:r w:rsidR="00CE2C5F" w:rsidRPr="00D02EB6">
        <w:rPr>
          <w:szCs w:val="24"/>
        </w:rPr>
        <w:t>d</w:t>
      </w:r>
      <w:r w:rsidRPr="00D02EB6">
        <w:rPr>
          <w:szCs w:val="24"/>
        </w:rPr>
        <w:t xml:space="preserve"> at 9:45 a.m. </w:t>
      </w:r>
      <w:r w:rsidR="00E05816" w:rsidRPr="00D02EB6">
        <w:rPr>
          <w:szCs w:val="24"/>
        </w:rPr>
        <w:t>E</w:t>
      </w:r>
      <w:r w:rsidR="00882B6B" w:rsidRPr="00D02EB6">
        <w:rPr>
          <w:szCs w:val="24"/>
        </w:rPr>
        <w:t>D</w:t>
      </w:r>
      <w:r w:rsidR="00E05816" w:rsidRPr="00D02EB6">
        <w:rPr>
          <w:szCs w:val="24"/>
        </w:rPr>
        <w:t>T</w:t>
      </w:r>
      <w:r w:rsidRPr="00D02EB6">
        <w:rPr>
          <w:szCs w:val="24"/>
        </w:rPr>
        <w:t xml:space="preserve"> on </w:t>
      </w:r>
      <w:r w:rsidR="00322A9C" w:rsidRPr="00D02EB6">
        <w:rPr>
          <w:szCs w:val="24"/>
        </w:rPr>
        <w:t>Thurs</w:t>
      </w:r>
      <w:r w:rsidR="00680A85" w:rsidRPr="00D02EB6">
        <w:rPr>
          <w:szCs w:val="24"/>
        </w:rPr>
        <w:t>day</w:t>
      </w:r>
      <w:r w:rsidRPr="00D02EB6">
        <w:rPr>
          <w:szCs w:val="24"/>
        </w:rPr>
        <w:t xml:space="preserve">, </w:t>
      </w:r>
      <w:r w:rsidR="00092955" w:rsidRPr="00D02EB6">
        <w:rPr>
          <w:szCs w:val="24"/>
        </w:rPr>
        <w:t>June</w:t>
      </w:r>
      <w:r w:rsidR="00455912" w:rsidRPr="00D02EB6">
        <w:rPr>
          <w:szCs w:val="24"/>
        </w:rPr>
        <w:t xml:space="preserve"> </w:t>
      </w:r>
      <w:r w:rsidR="004E2CF0" w:rsidRPr="00D02EB6">
        <w:rPr>
          <w:szCs w:val="24"/>
        </w:rPr>
        <w:t>2</w:t>
      </w:r>
      <w:r w:rsidR="00474965" w:rsidRPr="00D02EB6">
        <w:rPr>
          <w:szCs w:val="24"/>
        </w:rPr>
        <w:t>3</w:t>
      </w:r>
      <w:r w:rsidR="007E112F" w:rsidRPr="00D02EB6">
        <w:rPr>
          <w:szCs w:val="24"/>
        </w:rPr>
        <w:t>,</w:t>
      </w:r>
      <w:r w:rsidR="002F38D7" w:rsidRPr="00D02EB6">
        <w:rPr>
          <w:szCs w:val="24"/>
        </w:rPr>
        <w:t xml:space="preserve"> </w:t>
      </w:r>
      <w:r w:rsidR="006648D1" w:rsidRPr="00D02EB6">
        <w:rPr>
          <w:szCs w:val="24"/>
        </w:rPr>
        <w:t>20</w:t>
      </w:r>
      <w:r w:rsidR="00526754" w:rsidRPr="00D02EB6">
        <w:rPr>
          <w:szCs w:val="24"/>
        </w:rPr>
        <w:t>2</w:t>
      </w:r>
      <w:r w:rsidR="00644008" w:rsidRPr="00D02EB6">
        <w:rPr>
          <w:szCs w:val="24"/>
        </w:rPr>
        <w:t>2</w:t>
      </w:r>
      <w:r w:rsidRPr="00D02EB6">
        <w:rPr>
          <w:szCs w:val="24"/>
        </w:rPr>
        <w:t xml:space="preserve">. </w:t>
      </w:r>
      <w:r w:rsidRPr="00D02EB6">
        <w:rPr>
          <w:szCs w:val="24"/>
          <w:lang w:val="fr-CA"/>
        </w:rPr>
        <w:t>This list is subject to chang</w:t>
      </w:r>
      <w:r w:rsidR="00192F7F" w:rsidRPr="00D02EB6">
        <w:rPr>
          <w:szCs w:val="24"/>
          <w:lang w:val="fr-CA"/>
        </w:rPr>
        <w:t>e</w:t>
      </w:r>
      <w:r w:rsidRPr="00D02EB6">
        <w:rPr>
          <w:szCs w:val="24"/>
          <w:lang w:val="fr-CA"/>
        </w:rPr>
        <w:t>.</w:t>
      </w:r>
    </w:p>
    <w:p w:rsidR="00FF5AA4" w:rsidRPr="00D02EB6" w:rsidRDefault="00FF5AA4" w:rsidP="006F2579">
      <w:pPr>
        <w:widowControl w:val="0"/>
        <w:rPr>
          <w:szCs w:val="24"/>
          <w:lang w:val="fr-CA"/>
        </w:rPr>
      </w:pPr>
    </w:p>
    <w:p w:rsidR="00B43418" w:rsidRPr="00D02EB6" w:rsidRDefault="00B43418" w:rsidP="006F2579">
      <w:pPr>
        <w:widowControl w:val="0"/>
        <w:rPr>
          <w:szCs w:val="24"/>
          <w:lang w:val="fr-CA"/>
        </w:rPr>
      </w:pPr>
    </w:p>
    <w:p w:rsidR="006F2579" w:rsidRPr="00D02EB6" w:rsidRDefault="006F2579" w:rsidP="006F2579">
      <w:pPr>
        <w:widowControl w:val="0"/>
        <w:jc w:val="center"/>
        <w:rPr>
          <w:szCs w:val="24"/>
          <w:lang w:val="fr-CA"/>
        </w:rPr>
      </w:pPr>
      <w:r w:rsidRPr="00D02EB6">
        <w:rPr>
          <w:b/>
          <w:szCs w:val="24"/>
          <w:lang w:val="fr-CA"/>
        </w:rPr>
        <w:t>PROCHAIN</w:t>
      </w:r>
      <w:r w:rsidR="004F5491" w:rsidRPr="00D02EB6">
        <w:rPr>
          <w:b/>
          <w:szCs w:val="24"/>
          <w:lang w:val="fr-CA"/>
        </w:rPr>
        <w:t>S</w:t>
      </w:r>
      <w:r w:rsidRPr="00D02EB6">
        <w:rPr>
          <w:b/>
          <w:szCs w:val="24"/>
          <w:lang w:val="fr-CA"/>
        </w:rPr>
        <w:t xml:space="preserve"> JUGEMENT</w:t>
      </w:r>
      <w:r w:rsidR="004F5491" w:rsidRPr="00D02EB6">
        <w:rPr>
          <w:b/>
          <w:szCs w:val="24"/>
          <w:lang w:val="fr-CA"/>
        </w:rPr>
        <w:t>S</w:t>
      </w:r>
      <w:r w:rsidR="00001846" w:rsidRPr="00D02EB6">
        <w:rPr>
          <w:b/>
          <w:szCs w:val="24"/>
          <w:lang w:val="fr-CA"/>
        </w:rPr>
        <w:t xml:space="preserve"> SUR DEMANDE</w:t>
      </w:r>
      <w:r w:rsidR="004F5491" w:rsidRPr="00D02EB6">
        <w:rPr>
          <w:b/>
          <w:szCs w:val="24"/>
          <w:lang w:val="fr-CA"/>
        </w:rPr>
        <w:t>S</w:t>
      </w:r>
      <w:r w:rsidRPr="00D02EB6">
        <w:rPr>
          <w:b/>
          <w:szCs w:val="24"/>
          <w:lang w:val="fr-CA"/>
        </w:rPr>
        <w:t xml:space="preserve"> D’AUTORISATION</w:t>
      </w:r>
    </w:p>
    <w:p w:rsidR="006F2579" w:rsidRPr="00D02EB6" w:rsidRDefault="006F2579" w:rsidP="006F2579">
      <w:pPr>
        <w:widowControl w:val="0"/>
        <w:rPr>
          <w:szCs w:val="24"/>
          <w:lang w:val="fr-CA"/>
        </w:rPr>
      </w:pPr>
    </w:p>
    <w:p w:rsidR="006F2579" w:rsidRPr="00D02EB6" w:rsidRDefault="006F2579" w:rsidP="006F2579">
      <w:pPr>
        <w:widowControl w:val="0"/>
        <w:rPr>
          <w:szCs w:val="24"/>
          <w:lang w:val="fr-CA"/>
        </w:rPr>
      </w:pPr>
      <w:r w:rsidRPr="00D02EB6">
        <w:rPr>
          <w:b/>
          <w:szCs w:val="24"/>
          <w:lang w:val="fr-CA"/>
        </w:rPr>
        <w:t>Le</w:t>
      </w:r>
      <w:r w:rsidR="00957A76" w:rsidRPr="00D02EB6">
        <w:rPr>
          <w:b/>
          <w:szCs w:val="24"/>
          <w:lang w:val="fr-CA"/>
        </w:rPr>
        <w:t xml:space="preserve"> </w:t>
      </w:r>
      <w:r w:rsidR="00474965" w:rsidRPr="00D02EB6">
        <w:rPr>
          <w:b/>
          <w:szCs w:val="24"/>
          <w:lang w:val="fr-CA"/>
        </w:rPr>
        <w:t>2</w:t>
      </w:r>
      <w:r w:rsidR="00092955" w:rsidRPr="00D02EB6">
        <w:rPr>
          <w:b/>
          <w:szCs w:val="24"/>
          <w:lang w:val="fr-CA"/>
        </w:rPr>
        <w:t>0</w:t>
      </w:r>
      <w:r w:rsidR="00075EC0" w:rsidRPr="00D02EB6">
        <w:rPr>
          <w:b/>
          <w:szCs w:val="24"/>
          <w:lang w:val="fr-CA"/>
        </w:rPr>
        <w:t xml:space="preserve"> </w:t>
      </w:r>
      <w:r w:rsidR="00474965" w:rsidRPr="00D02EB6">
        <w:rPr>
          <w:b/>
          <w:szCs w:val="24"/>
          <w:lang w:val="fr-CA"/>
        </w:rPr>
        <w:t>juin</w:t>
      </w:r>
      <w:r w:rsidR="00A151D1" w:rsidRPr="00D02EB6">
        <w:rPr>
          <w:b/>
          <w:szCs w:val="24"/>
          <w:lang w:val="fr-CA"/>
        </w:rPr>
        <w:t xml:space="preserve"> 20</w:t>
      </w:r>
      <w:r w:rsidR="00526754" w:rsidRPr="00D02EB6">
        <w:rPr>
          <w:b/>
          <w:szCs w:val="24"/>
          <w:lang w:val="fr-CA"/>
        </w:rPr>
        <w:t>2</w:t>
      </w:r>
      <w:r w:rsidR="00644008" w:rsidRPr="00D02EB6">
        <w:rPr>
          <w:b/>
          <w:szCs w:val="24"/>
          <w:lang w:val="fr-CA"/>
        </w:rPr>
        <w:t>2</w:t>
      </w:r>
    </w:p>
    <w:p w:rsidR="006F2579" w:rsidRPr="00D02EB6" w:rsidRDefault="006F2579" w:rsidP="006F2579">
      <w:pPr>
        <w:widowControl w:val="0"/>
        <w:rPr>
          <w:b/>
          <w:szCs w:val="24"/>
          <w:lang w:val="fr-CA"/>
        </w:rPr>
      </w:pPr>
      <w:r w:rsidRPr="00D02EB6">
        <w:rPr>
          <w:b/>
          <w:szCs w:val="24"/>
          <w:lang w:val="fr-CA"/>
        </w:rPr>
        <w:t>Pour diffusion immédiate</w:t>
      </w:r>
    </w:p>
    <w:p w:rsidR="006F2579" w:rsidRPr="00D02EB6" w:rsidRDefault="006F2579" w:rsidP="006F2579">
      <w:pPr>
        <w:widowControl w:val="0"/>
        <w:rPr>
          <w:szCs w:val="24"/>
          <w:lang w:val="fr-CA"/>
        </w:rPr>
      </w:pPr>
    </w:p>
    <w:p w:rsidR="006F2579" w:rsidRPr="00D02EB6" w:rsidRDefault="006F2579" w:rsidP="006F2579">
      <w:pPr>
        <w:widowControl w:val="0"/>
        <w:rPr>
          <w:szCs w:val="24"/>
          <w:lang w:val="fr-CA"/>
        </w:rPr>
      </w:pPr>
      <w:r w:rsidRPr="00D02EB6">
        <w:rPr>
          <w:b/>
          <w:szCs w:val="24"/>
          <w:lang w:val="fr-CA"/>
        </w:rPr>
        <w:t>OTTAWA</w:t>
      </w:r>
      <w:r w:rsidRPr="00D02EB6">
        <w:rPr>
          <w:szCs w:val="24"/>
          <w:lang w:val="fr-CA"/>
        </w:rPr>
        <w:t xml:space="preserve"> – La Cour suprême du Canada annonce que jugement ser</w:t>
      </w:r>
      <w:r w:rsidR="004259F9" w:rsidRPr="00D02EB6">
        <w:rPr>
          <w:szCs w:val="24"/>
          <w:lang w:val="fr-CA"/>
        </w:rPr>
        <w:t>a</w:t>
      </w:r>
      <w:r w:rsidRPr="00D02EB6">
        <w:rPr>
          <w:szCs w:val="24"/>
          <w:lang w:val="fr-CA"/>
        </w:rPr>
        <w:t xml:space="preserve"> rendu dans l</w:t>
      </w:r>
      <w:r w:rsidR="004F5491" w:rsidRPr="00D02EB6">
        <w:rPr>
          <w:szCs w:val="24"/>
          <w:lang w:val="fr-CA"/>
        </w:rPr>
        <w:t>es</w:t>
      </w:r>
      <w:r w:rsidRPr="00D02EB6">
        <w:rPr>
          <w:szCs w:val="24"/>
          <w:lang w:val="fr-CA"/>
        </w:rPr>
        <w:t xml:space="preserve"> demande</w:t>
      </w:r>
      <w:r w:rsidR="004F5491" w:rsidRPr="00D02EB6">
        <w:rPr>
          <w:szCs w:val="24"/>
          <w:lang w:val="fr-CA"/>
        </w:rPr>
        <w:t>s</w:t>
      </w:r>
      <w:r w:rsidRPr="00D02EB6">
        <w:rPr>
          <w:szCs w:val="24"/>
          <w:lang w:val="fr-CA"/>
        </w:rPr>
        <w:t xml:space="preserve"> d</w:t>
      </w:r>
      <w:r w:rsidR="00001846" w:rsidRPr="00D02EB6">
        <w:rPr>
          <w:szCs w:val="24"/>
          <w:lang w:val="fr-CA"/>
        </w:rPr>
        <w:t>’autorisation suivante</w:t>
      </w:r>
      <w:r w:rsidR="004F5491" w:rsidRPr="00D02EB6">
        <w:rPr>
          <w:szCs w:val="24"/>
          <w:lang w:val="fr-CA"/>
        </w:rPr>
        <w:t>s</w:t>
      </w:r>
      <w:r w:rsidRPr="00D02EB6">
        <w:rPr>
          <w:szCs w:val="24"/>
          <w:lang w:val="fr-CA"/>
        </w:rPr>
        <w:t xml:space="preserve"> le </w:t>
      </w:r>
      <w:r w:rsidR="00322A9C" w:rsidRPr="00D02EB6">
        <w:rPr>
          <w:szCs w:val="24"/>
          <w:lang w:val="fr-CA"/>
        </w:rPr>
        <w:t>jeu</w:t>
      </w:r>
      <w:r w:rsidR="00680A85" w:rsidRPr="00D02EB6">
        <w:rPr>
          <w:szCs w:val="24"/>
          <w:lang w:val="fr-CA"/>
        </w:rPr>
        <w:t>di</w:t>
      </w:r>
      <w:r w:rsidRPr="00D02EB6">
        <w:rPr>
          <w:szCs w:val="24"/>
          <w:lang w:val="fr-CA"/>
        </w:rPr>
        <w:t xml:space="preserve"> </w:t>
      </w:r>
      <w:r w:rsidR="004E2CF0" w:rsidRPr="00D02EB6">
        <w:rPr>
          <w:szCs w:val="24"/>
          <w:lang w:val="fr-CA"/>
        </w:rPr>
        <w:t>2</w:t>
      </w:r>
      <w:r w:rsidR="00474965" w:rsidRPr="00D02EB6">
        <w:rPr>
          <w:szCs w:val="24"/>
          <w:lang w:val="fr-CA"/>
        </w:rPr>
        <w:t>3</w:t>
      </w:r>
      <w:r w:rsidR="009E0BD3" w:rsidRPr="00D02EB6">
        <w:rPr>
          <w:szCs w:val="24"/>
          <w:lang w:val="fr-CA"/>
        </w:rPr>
        <w:t xml:space="preserve"> </w:t>
      </w:r>
      <w:r w:rsidR="00092955" w:rsidRPr="00D02EB6">
        <w:rPr>
          <w:szCs w:val="24"/>
          <w:lang w:val="fr-CA"/>
        </w:rPr>
        <w:t>juin</w:t>
      </w:r>
      <w:r w:rsidR="00694391" w:rsidRPr="00D02EB6">
        <w:rPr>
          <w:szCs w:val="24"/>
          <w:lang w:val="fr-CA"/>
        </w:rPr>
        <w:t xml:space="preserve"> 2</w:t>
      </w:r>
      <w:r w:rsidR="006648D1" w:rsidRPr="00D02EB6">
        <w:rPr>
          <w:szCs w:val="24"/>
          <w:lang w:val="fr-CA"/>
        </w:rPr>
        <w:t>0</w:t>
      </w:r>
      <w:r w:rsidR="00526754" w:rsidRPr="00D02EB6">
        <w:rPr>
          <w:szCs w:val="24"/>
          <w:lang w:val="fr-CA"/>
        </w:rPr>
        <w:t>2</w:t>
      </w:r>
      <w:r w:rsidR="00644008" w:rsidRPr="00D02EB6">
        <w:rPr>
          <w:szCs w:val="24"/>
          <w:lang w:val="fr-CA"/>
        </w:rPr>
        <w:t>2</w:t>
      </w:r>
      <w:r w:rsidRPr="00D02EB6">
        <w:rPr>
          <w:szCs w:val="24"/>
          <w:lang w:val="fr-CA"/>
        </w:rPr>
        <w:t xml:space="preserve">, à 9 h 45 </w:t>
      </w:r>
      <w:r w:rsidR="000627A2" w:rsidRPr="00D02EB6">
        <w:rPr>
          <w:szCs w:val="24"/>
          <w:lang w:val="fr-CA"/>
        </w:rPr>
        <w:t>H</w:t>
      </w:r>
      <w:r w:rsidR="00882B6B" w:rsidRPr="00D02EB6">
        <w:rPr>
          <w:szCs w:val="24"/>
          <w:lang w:val="fr-CA"/>
        </w:rPr>
        <w:t>A</w:t>
      </w:r>
      <w:r w:rsidRPr="00D02EB6">
        <w:rPr>
          <w:szCs w:val="24"/>
          <w:lang w:val="fr-CA"/>
        </w:rPr>
        <w:t>E. Cette liste est sujette à modification</w:t>
      </w:r>
      <w:r w:rsidR="00130ADB" w:rsidRPr="00D02EB6">
        <w:rPr>
          <w:szCs w:val="24"/>
          <w:lang w:val="fr-CA"/>
        </w:rPr>
        <w:t>s</w:t>
      </w:r>
      <w:r w:rsidRPr="00D02EB6">
        <w:rPr>
          <w:szCs w:val="24"/>
          <w:lang w:val="fr-CA"/>
        </w:rPr>
        <w:t>.</w:t>
      </w:r>
    </w:p>
    <w:p w:rsidR="0080556B" w:rsidRPr="00D02EB6" w:rsidRDefault="0080556B" w:rsidP="005F2A78">
      <w:pPr>
        <w:widowControl w:val="0"/>
        <w:tabs>
          <w:tab w:val="left" w:pos="3840"/>
        </w:tabs>
        <w:jc w:val="both"/>
        <w:rPr>
          <w:sz w:val="20"/>
          <w:lang w:val="fr-CA"/>
        </w:rPr>
      </w:pPr>
    </w:p>
    <w:p w:rsidR="00867C61" w:rsidRPr="00D02EB6" w:rsidRDefault="00D02EB6" w:rsidP="009B14F4">
      <w:pPr>
        <w:widowControl w:val="0"/>
        <w:jc w:val="both"/>
        <w:rPr>
          <w:sz w:val="20"/>
        </w:rPr>
      </w:pPr>
      <w:r w:rsidRPr="00D02EB6">
        <w:rPr>
          <w:sz w:val="20"/>
        </w:rPr>
        <w:pict>
          <v:rect id="_x0000_i1025" style="width:2in;height:1pt" o:hrpct="0" o:hralign="center" o:hrstd="t" o:hrnoshade="t" o:hr="t" fillcolor="black [3213]" stroked="f"/>
        </w:pict>
      </w:r>
    </w:p>
    <w:p w:rsidR="004A6E51" w:rsidRPr="00D02EB6" w:rsidRDefault="004A6E51" w:rsidP="0053032E">
      <w:pPr>
        <w:rPr>
          <w:sz w:val="20"/>
          <w:lang w:val="fr-CA"/>
        </w:rPr>
      </w:pPr>
    </w:p>
    <w:p w:rsidR="00474965" w:rsidRPr="00D02EB6" w:rsidRDefault="00474965" w:rsidP="00474965">
      <w:pPr>
        <w:pStyle w:val="ListParagraph"/>
        <w:numPr>
          <w:ilvl w:val="0"/>
          <w:numId w:val="5"/>
        </w:numPr>
        <w:ind w:left="357" w:hanging="357"/>
        <w:jc w:val="both"/>
        <w:rPr>
          <w:sz w:val="20"/>
          <w:u w:val="single"/>
          <w:lang w:val="fr-CA"/>
        </w:rPr>
      </w:pPr>
      <w:r w:rsidRPr="00D02EB6">
        <w:rPr>
          <w:i/>
          <w:sz w:val="20"/>
          <w:lang w:val="fr-CA"/>
        </w:rPr>
        <w:t>3095-2899 Québec inc. c. Directeur des poursuites criminelles et pénales</w:t>
      </w:r>
      <w:r w:rsidRPr="00D02EB6">
        <w:rPr>
          <w:sz w:val="20"/>
          <w:lang w:val="fr-CA"/>
        </w:rPr>
        <w:t xml:space="preserve"> (Qc) (Criminelle) (Autorisation) (</w:t>
      </w:r>
      <w:hyperlink r:id="rId8" w:history="1">
        <w:r w:rsidRPr="00D02EB6">
          <w:rPr>
            <w:rStyle w:val="Hyperlink"/>
            <w:sz w:val="20"/>
            <w:szCs w:val="20"/>
            <w:lang w:val="fr-CA"/>
          </w:rPr>
          <w:t>39867</w:t>
        </w:r>
      </w:hyperlink>
      <w:r w:rsidRPr="00D02EB6">
        <w:rPr>
          <w:sz w:val="20"/>
          <w:lang w:val="fr-CA"/>
        </w:rPr>
        <w:t>)</w:t>
      </w:r>
    </w:p>
    <w:p w:rsidR="00474965" w:rsidRPr="00D02EB6" w:rsidRDefault="00474965" w:rsidP="00474965">
      <w:pPr>
        <w:ind w:left="357" w:hanging="357"/>
        <w:jc w:val="both"/>
        <w:rPr>
          <w:sz w:val="20"/>
          <w:lang w:val="fr-CA"/>
        </w:rPr>
      </w:pPr>
    </w:p>
    <w:p w:rsidR="00474965" w:rsidRPr="00D02EB6" w:rsidRDefault="00474965" w:rsidP="00474965">
      <w:pPr>
        <w:pStyle w:val="ListParagraph"/>
        <w:numPr>
          <w:ilvl w:val="0"/>
          <w:numId w:val="5"/>
        </w:numPr>
        <w:ind w:left="357" w:hanging="357"/>
        <w:rPr>
          <w:sz w:val="20"/>
        </w:rPr>
      </w:pPr>
      <w:r w:rsidRPr="00D02EB6">
        <w:rPr>
          <w:i/>
          <w:sz w:val="20"/>
        </w:rPr>
        <w:t xml:space="preserve">Attorney General of Ontario, et al. v. Mike Restoule, Patsy Corbiere, Duke Peltier, Peter Recollet, Dean Sayers and Roger Daybutch, on their own behalf and on behalf of all Members of the Ojibewa (Anishinaabe) Nation who are beneficiaries of the Robinson Huron Treaty of 1850, et al. </w:t>
      </w:r>
      <w:r w:rsidRPr="00D02EB6">
        <w:rPr>
          <w:sz w:val="20"/>
        </w:rPr>
        <w:t>(Ont.) (Civil) (By Leave) (</w:t>
      </w:r>
      <w:hyperlink r:id="rId9" w:history="1">
        <w:r w:rsidRPr="00D02EB6">
          <w:rPr>
            <w:rStyle w:val="Hyperlink"/>
            <w:sz w:val="20"/>
            <w:szCs w:val="20"/>
          </w:rPr>
          <w:t>40024</w:t>
        </w:r>
      </w:hyperlink>
      <w:r w:rsidRPr="00D02EB6">
        <w:rPr>
          <w:sz w:val="20"/>
        </w:rPr>
        <w:t>)</w:t>
      </w:r>
    </w:p>
    <w:p w:rsidR="00474965" w:rsidRPr="00D02EB6" w:rsidRDefault="00474965" w:rsidP="00474965">
      <w:pPr>
        <w:ind w:left="357" w:hanging="357"/>
        <w:jc w:val="both"/>
        <w:rPr>
          <w:sz w:val="20"/>
        </w:rPr>
      </w:pPr>
    </w:p>
    <w:p w:rsidR="00474965" w:rsidRPr="00D02EB6" w:rsidRDefault="00474965" w:rsidP="00474965">
      <w:pPr>
        <w:pStyle w:val="ListParagraph"/>
        <w:numPr>
          <w:ilvl w:val="0"/>
          <w:numId w:val="5"/>
        </w:numPr>
        <w:ind w:left="357" w:hanging="357"/>
        <w:jc w:val="both"/>
        <w:rPr>
          <w:sz w:val="20"/>
        </w:rPr>
      </w:pPr>
      <w:r w:rsidRPr="00D02EB6">
        <w:rPr>
          <w:i/>
          <w:sz w:val="20"/>
        </w:rPr>
        <w:t>1909988 Ontario Ltd. v. Municipality of North Cowichan</w:t>
      </w:r>
      <w:r w:rsidRPr="00D02EB6">
        <w:rPr>
          <w:sz w:val="20"/>
        </w:rPr>
        <w:t xml:space="preserve"> (B.C.) (Civil) (By Leave) </w:t>
      </w:r>
      <w:r w:rsidRPr="00D02EB6">
        <w:rPr>
          <w:sz w:val="20"/>
          <w:lang w:val="fr-CA"/>
        </w:rPr>
        <w:t>(</w:t>
      </w:r>
      <w:hyperlink r:id="rId10" w:history="1">
        <w:r w:rsidRPr="00D02EB6">
          <w:rPr>
            <w:rStyle w:val="Hyperlink"/>
            <w:sz w:val="20"/>
            <w:szCs w:val="20"/>
            <w:lang w:val="fr-CA"/>
          </w:rPr>
          <w:t>40040</w:t>
        </w:r>
      </w:hyperlink>
      <w:r w:rsidRPr="00D02EB6">
        <w:rPr>
          <w:sz w:val="20"/>
          <w:lang w:val="fr-CA"/>
        </w:rPr>
        <w:t>)</w:t>
      </w:r>
    </w:p>
    <w:p w:rsidR="00474965" w:rsidRPr="00D02EB6" w:rsidRDefault="00474965" w:rsidP="0053032E">
      <w:pPr>
        <w:rPr>
          <w:sz w:val="20"/>
        </w:rPr>
      </w:pPr>
    </w:p>
    <w:p w:rsidR="0057402C" w:rsidRPr="00D02EB6" w:rsidRDefault="00D02EB6" w:rsidP="0053032E">
      <w:pPr>
        <w:widowControl w:val="0"/>
        <w:jc w:val="both"/>
        <w:rPr>
          <w:sz w:val="20"/>
        </w:rPr>
      </w:pPr>
      <w:r w:rsidRPr="00D02EB6">
        <w:rPr>
          <w:sz w:val="20"/>
        </w:rPr>
        <w:pict>
          <v:rect id="_x0000_i1026" style="width:2in;height:1pt" o:hrpct="0" o:hralign="center" o:hrstd="t" o:hrnoshade="t" o:hr="t" fillcolor="black [3213]" stroked="f"/>
        </w:pict>
      </w:r>
    </w:p>
    <w:p w:rsidR="00474965" w:rsidRPr="00D02EB6" w:rsidRDefault="00474965" w:rsidP="00403CA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2EB6" w:rsidRPr="00D02EB6" w:rsidTr="00E95A6A">
        <w:tc>
          <w:tcPr>
            <w:tcW w:w="543" w:type="pct"/>
          </w:tcPr>
          <w:p w:rsidR="00D02EB6" w:rsidRPr="00D02EB6" w:rsidRDefault="00D02EB6" w:rsidP="00D02EB6">
            <w:pPr>
              <w:jc w:val="both"/>
              <w:rPr>
                <w:sz w:val="20"/>
                <w:lang w:val="en-CA"/>
              </w:rPr>
            </w:pPr>
            <w:r w:rsidRPr="00D02EB6">
              <w:rPr>
                <w:rStyle w:val="SCCFileNumberChar"/>
                <w:sz w:val="20"/>
                <w:szCs w:val="20"/>
              </w:rPr>
              <w:t>39867</w:t>
            </w:r>
          </w:p>
        </w:tc>
        <w:tc>
          <w:tcPr>
            <w:tcW w:w="4457" w:type="pct"/>
            <w:gridSpan w:val="3"/>
          </w:tcPr>
          <w:p w:rsidR="00D02EB6" w:rsidRPr="00D02EB6" w:rsidRDefault="00D02EB6" w:rsidP="00D02EB6">
            <w:pPr>
              <w:pStyle w:val="SCCLsocParty"/>
              <w:jc w:val="both"/>
              <w:rPr>
                <w:b/>
                <w:sz w:val="20"/>
                <w:szCs w:val="20"/>
                <w:lang w:val="en-CA"/>
              </w:rPr>
            </w:pPr>
            <w:r w:rsidRPr="00D02EB6">
              <w:rPr>
                <w:b/>
                <w:sz w:val="20"/>
                <w:szCs w:val="20"/>
                <w:lang w:val="en-CA"/>
              </w:rPr>
              <w:t>3095-2899 Québec inc. v. Director of Criminal and Penal Prosecutions</w:t>
            </w:r>
          </w:p>
          <w:p w:rsidR="00D02EB6" w:rsidRPr="00D02EB6" w:rsidRDefault="00D02EB6" w:rsidP="00D02EB6">
            <w:pPr>
              <w:jc w:val="both"/>
              <w:rPr>
                <w:sz w:val="20"/>
                <w:lang w:val="en-CA"/>
              </w:rPr>
            </w:pPr>
            <w:r w:rsidRPr="00D02EB6">
              <w:rPr>
                <w:sz w:val="20"/>
                <w:lang w:val="en-CA"/>
              </w:rPr>
              <w:t>(Que.) (Criminal) (By Leave)</w:t>
            </w:r>
          </w:p>
        </w:tc>
      </w:tr>
      <w:tr w:rsidR="00D02EB6" w:rsidRPr="00D02EB6" w:rsidTr="00E95A6A">
        <w:tc>
          <w:tcPr>
            <w:tcW w:w="5000" w:type="pct"/>
            <w:gridSpan w:val="4"/>
          </w:tcPr>
          <w:p w:rsidR="00D02EB6" w:rsidRPr="00D02EB6" w:rsidRDefault="00D02EB6" w:rsidP="00D02EB6">
            <w:pPr>
              <w:jc w:val="both"/>
              <w:rPr>
                <w:sz w:val="20"/>
                <w:lang w:val="en-CA"/>
              </w:rPr>
            </w:pPr>
            <w:proofErr w:type="gramStart"/>
            <w:r w:rsidRPr="00D02EB6">
              <w:rPr>
                <w:sz w:val="20"/>
                <w:lang w:val="en-CA"/>
              </w:rPr>
              <w:t xml:space="preserve">Provincial offences — Dams — Statement of offence issued to ski centre for performing work on dam without prior ministerial authorization — Conviction — Whether Court of Appeal erred in interpreting expression “structural alteration” to include maintenance of stone face of dam, in applying expression to dozen rocks out of 30,000 to 40,000 that had tumbled downstream, and in disregarding impact of legislative debates, context of </w:t>
            </w:r>
            <w:r w:rsidRPr="00D02EB6">
              <w:rPr>
                <w:i/>
                <w:sz w:val="20"/>
                <w:lang w:val="en-CA"/>
              </w:rPr>
              <w:t>Act</w:t>
            </w:r>
            <w:r w:rsidRPr="00D02EB6">
              <w:rPr>
                <w:sz w:val="20"/>
                <w:lang w:val="en-CA"/>
              </w:rPr>
              <w:t xml:space="preserve">, provisions of </w:t>
            </w:r>
            <w:r w:rsidRPr="00D02EB6">
              <w:rPr>
                <w:i/>
                <w:sz w:val="20"/>
                <w:lang w:val="en-CA"/>
              </w:rPr>
              <w:t>Act</w:t>
            </w:r>
            <w:r w:rsidRPr="00D02EB6">
              <w:rPr>
                <w:sz w:val="20"/>
                <w:lang w:val="en-CA"/>
              </w:rPr>
              <w:t xml:space="preserve"> and </w:t>
            </w:r>
            <w:r w:rsidRPr="00D02EB6">
              <w:rPr>
                <w:i/>
                <w:sz w:val="20"/>
                <w:lang w:val="en-CA"/>
              </w:rPr>
              <w:t>Regulation</w:t>
            </w:r>
            <w:r w:rsidRPr="00D02EB6">
              <w:rPr>
                <w:sz w:val="20"/>
                <w:lang w:val="en-CA"/>
              </w:rPr>
              <w:t xml:space="preserve"> thereunder — Whether Court of Appeal could intervene on issue of assessment of experts’ credibility, under art. 291 of </w:t>
            </w:r>
            <w:r w:rsidRPr="00D02EB6">
              <w:rPr>
                <w:i/>
                <w:sz w:val="20"/>
                <w:lang w:val="en-CA"/>
              </w:rPr>
              <w:t>Code of Penal Procedure</w:t>
            </w:r>
            <w:r w:rsidRPr="00D02EB6">
              <w:rPr>
                <w:sz w:val="20"/>
                <w:lang w:val="en-CA"/>
              </w:rPr>
              <w:t xml:space="preserve">, in order to restore trial judge’s judgment — Whether Court of Appeal erred in finding that in this case there was reasonable apprehension of bias on part of Superior Court judge and that presumption of her integrity was rebutted on basis that, following her oral judgment, she had issued revised transcript of her reasons — </w:t>
            </w:r>
            <w:r w:rsidRPr="00D02EB6">
              <w:rPr>
                <w:i/>
                <w:sz w:val="20"/>
                <w:lang w:val="en-CA"/>
              </w:rPr>
              <w:t>Dam Safety Act</w:t>
            </w:r>
            <w:r w:rsidRPr="00D02EB6">
              <w:rPr>
                <w:sz w:val="20"/>
                <w:lang w:val="en-CA"/>
              </w:rPr>
              <w:t>, CQLR, c. S</w:t>
            </w:r>
            <w:r w:rsidRPr="00D02EB6">
              <w:rPr>
                <w:sz w:val="20"/>
                <w:lang w:val="en-CA"/>
              </w:rPr>
              <w:noBreakHyphen/>
              <w:t xml:space="preserve">3.1.01, s. 5 — </w:t>
            </w:r>
            <w:r w:rsidRPr="00D02EB6">
              <w:rPr>
                <w:i/>
                <w:sz w:val="20"/>
                <w:lang w:val="en-CA"/>
              </w:rPr>
              <w:t>Code of Penal Procedure</w:t>
            </w:r>
            <w:r w:rsidRPr="00D02EB6">
              <w:rPr>
                <w:sz w:val="20"/>
                <w:lang w:val="en-CA"/>
              </w:rPr>
              <w:t>, CQLR, c. C</w:t>
            </w:r>
            <w:r w:rsidRPr="00D02EB6">
              <w:rPr>
                <w:sz w:val="20"/>
                <w:lang w:val="en-CA"/>
              </w:rPr>
              <w:noBreakHyphen/>
              <w:t>25.1, art. </w:t>
            </w:r>
            <w:proofErr w:type="gramEnd"/>
            <w:r w:rsidRPr="00D02EB6">
              <w:rPr>
                <w:sz w:val="20"/>
                <w:lang w:val="en-CA"/>
              </w:rPr>
              <w:t>291.</w:t>
            </w:r>
          </w:p>
        </w:tc>
      </w:tr>
      <w:tr w:rsidR="00D02EB6" w:rsidRPr="00D02EB6" w:rsidTr="00E95A6A">
        <w:tc>
          <w:tcPr>
            <w:tcW w:w="5000" w:type="pct"/>
            <w:gridSpan w:val="4"/>
          </w:tcPr>
          <w:p w:rsidR="00D02EB6" w:rsidRPr="00D02EB6" w:rsidRDefault="00D02EB6" w:rsidP="00D02EB6">
            <w:pPr>
              <w:jc w:val="both"/>
              <w:rPr>
                <w:sz w:val="20"/>
                <w:lang w:val="en-CA"/>
              </w:rPr>
            </w:pPr>
          </w:p>
          <w:p w:rsidR="00D02EB6" w:rsidRPr="00D02EB6" w:rsidRDefault="00D02EB6" w:rsidP="00D02EB6">
            <w:pPr>
              <w:jc w:val="both"/>
              <w:rPr>
                <w:sz w:val="20"/>
                <w:lang w:val="en-CA"/>
              </w:rPr>
            </w:pPr>
            <w:r w:rsidRPr="00D02EB6">
              <w:rPr>
                <w:sz w:val="20"/>
                <w:lang w:val="en-CA"/>
              </w:rPr>
              <w:t xml:space="preserve">The applicant, a ski centre, performed what it characterized as maintenance work on a dam (moving rocks that had tumbled downstream in a lake). The applicant was issued a statement of offence under s. 5 of the </w:t>
            </w:r>
            <w:r w:rsidRPr="00D02EB6">
              <w:rPr>
                <w:i/>
                <w:sz w:val="20"/>
                <w:lang w:val="en-CA"/>
              </w:rPr>
              <w:t>Dam Safety Act</w:t>
            </w:r>
            <w:r w:rsidRPr="00D02EB6">
              <w:rPr>
                <w:sz w:val="20"/>
                <w:lang w:val="en-CA"/>
              </w:rPr>
              <w:t>, CQLR, c. S</w:t>
            </w:r>
            <w:r w:rsidRPr="00D02EB6">
              <w:rPr>
                <w:sz w:val="20"/>
                <w:lang w:val="en-CA"/>
              </w:rPr>
              <w:noBreakHyphen/>
              <w:t>3.1.01 (“DSA”), because it had not applied for or obtained prior authorization for the work from the Minister of Sustainable Development, Environment and Parks.</w:t>
            </w:r>
          </w:p>
          <w:p w:rsidR="00D02EB6" w:rsidRPr="00D02EB6" w:rsidRDefault="00D02EB6" w:rsidP="00D02EB6">
            <w:pPr>
              <w:jc w:val="both"/>
              <w:rPr>
                <w:sz w:val="20"/>
                <w:lang w:val="en-CA"/>
              </w:rPr>
            </w:pPr>
          </w:p>
          <w:p w:rsidR="00D02EB6" w:rsidRPr="00D02EB6" w:rsidRDefault="00D02EB6" w:rsidP="00D02EB6">
            <w:pPr>
              <w:jc w:val="both"/>
              <w:rPr>
                <w:sz w:val="20"/>
                <w:lang w:val="en-CA"/>
              </w:rPr>
            </w:pPr>
            <w:r w:rsidRPr="00D02EB6">
              <w:rPr>
                <w:sz w:val="20"/>
                <w:lang w:val="en-CA"/>
              </w:rPr>
              <w:t xml:space="preserve">A presiding justice of the peace from the Court of Québec characterized the work instead as a structural alteration of the dam within the meaning of s. 5 of the DSA, based on the evidence in the record, and convicted the ski centre of the offence provided for in that section. The Superior Court allowed an application for review of the trial judgment, and the ski centre </w:t>
            </w:r>
            <w:proofErr w:type="gramStart"/>
            <w:r w:rsidRPr="00D02EB6">
              <w:rPr>
                <w:sz w:val="20"/>
                <w:lang w:val="en-CA"/>
              </w:rPr>
              <w:t>was acquitted</w:t>
            </w:r>
            <w:proofErr w:type="gramEnd"/>
            <w:r w:rsidRPr="00D02EB6">
              <w:rPr>
                <w:sz w:val="20"/>
                <w:lang w:val="en-CA"/>
              </w:rPr>
              <w:t xml:space="preserve"> of the offence. The Court of Appeal set aside the Superior Court’s decision, restored the trial judge’s decision and convicted the ski centre.</w:t>
            </w:r>
          </w:p>
        </w:tc>
      </w:tr>
      <w:tr w:rsidR="00D02EB6" w:rsidRPr="00D02EB6" w:rsidTr="00E95A6A">
        <w:tc>
          <w:tcPr>
            <w:tcW w:w="5000" w:type="pct"/>
            <w:gridSpan w:val="4"/>
          </w:tcPr>
          <w:p w:rsidR="00D02EB6" w:rsidRPr="00D02EB6" w:rsidRDefault="00D02EB6" w:rsidP="00D02EB6">
            <w:pPr>
              <w:jc w:val="both"/>
              <w:rPr>
                <w:sz w:val="20"/>
                <w:lang w:val="en-CA"/>
              </w:rPr>
            </w:pPr>
          </w:p>
        </w:tc>
      </w:tr>
      <w:tr w:rsidR="00D02EB6" w:rsidRPr="00D02EB6" w:rsidTr="00E95A6A">
        <w:tc>
          <w:tcPr>
            <w:tcW w:w="2427" w:type="pct"/>
            <w:gridSpan w:val="2"/>
          </w:tcPr>
          <w:p w:rsidR="00D02EB6" w:rsidRPr="00D02EB6" w:rsidRDefault="00D02EB6" w:rsidP="00D02EB6">
            <w:pPr>
              <w:jc w:val="both"/>
              <w:rPr>
                <w:sz w:val="20"/>
                <w:lang w:val="en-CA"/>
              </w:rPr>
            </w:pPr>
            <w:r w:rsidRPr="00D02EB6">
              <w:rPr>
                <w:sz w:val="20"/>
                <w:lang w:val="en-CA"/>
              </w:rPr>
              <w:t>May 8, 2019</w:t>
            </w:r>
          </w:p>
          <w:p w:rsidR="00D02EB6" w:rsidRPr="00D02EB6" w:rsidRDefault="00D02EB6" w:rsidP="00D02EB6">
            <w:pPr>
              <w:jc w:val="both"/>
              <w:rPr>
                <w:sz w:val="20"/>
                <w:lang w:val="en-CA"/>
              </w:rPr>
            </w:pPr>
            <w:r w:rsidRPr="00D02EB6">
              <w:rPr>
                <w:sz w:val="20"/>
                <w:lang w:val="en-CA"/>
              </w:rPr>
              <w:t>Court of Québec</w:t>
            </w:r>
          </w:p>
          <w:p w:rsidR="00D02EB6" w:rsidRPr="00D02EB6" w:rsidRDefault="00D02EB6" w:rsidP="00D02EB6">
            <w:pPr>
              <w:jc w:val="both"/>
              <w:rPr>
                <w:sz w:val="20"/>
                <w:lang w:val="en-CA"/>
              </w:rPr>
            </w:pPr>
            <w:r w:rsidRPr="00D02EB6">
              <w:rPr>
                <w:sz w:val="20"/>
                <w:lang w:val="en-CA"/>
              </w:rPr>
              <w:t>(Presiding Justice of the Peace Larocque)</w:t>
            </w:r>
          </w:p>
          <w:p w:rsidR="00D02EB6" w:rsidRPr="00D02EB6" w:rsidRDefault="00D02EB6" w:rsidP="00D02EB6">
            <w:pPr>
              <w:jc w:val="both"/>
              <w:rPr>
                <w:sz w:val="20"/>
                <w:lang w:val="en-CA"/>
              </w:rPr>
            </w:pPr>
            <w:hyperlink r:id="rId11" w:history="1">
              <w:r w:rsidRPr="00D02EB6">
                <w:rPr>
                  <w:rStyle w:val="Hyperlink"/>
                  <w:sz w:val="20"/>
                  <w:lang w:val="en-CA"/>
                </w:rPr>
                <w:t>2019 QCCQ 3756</w:t>
              </w:r>
            </w:hyperlink>
          </w:p>
          <w:p w:rsidR="00D02EB6" w:rsidRPr="00D02EB6" w:rsidRDefault="00D02EB6" w:rsidP="00D02EB6">
            <w:pPr>
              <w:jc w:val="both"/>
              <w:rPr>
                <w:sz w:val="20"/>
                <w:lang w:val="en-CA"/>
              </w:rPr>
            </w:pPr>
          </w:p>
        </w:tc>
        <w:tc>
          <w:tcPr>
            <w:tcW w:w="243" w:type="pct"/>
          </w:tcPr>
          <w:p w:rsidR="00D02EB6" w:rsidRPr="00D02EB6" w:rsidRDefault="00D02EB6" w:rsidP="00D02EB6">
            <w:pPr>
              <w:jc w:val="both"/>
              <w:rPr>
                <w:sz w:val="20"/>
                <w:lang w:val="en-CA"/>
              </w:rPr>
            </w:pPr>
          </w:p>
        </w:tc>
        <w:tc>
          <w:tcPr>
            <w:tcW w:w="2330" w:type="pct"/>
          </w:tcPr>
          <w:p w:rsidR="00D02EB6" w:rsidRPr="00D02EB6" w:rsidRDefault="00D02EB6" w:rsidP="00D02EB6">
            <w:pPr>
              <w:jc w:val="both"/>
              <w:rPr>
                <w:sz w:val="20"/>
                <w:lang w:val="en-CA"/>
              </w:rPr>
            </w:pPr>
            <w:r w:rsidRPr="00D02EB6">
              <w:rPr>
                <w:sz w:val="20"/>
                <w:lang w:val="en-CA"/>
              </w:rPr>
              <w:t xml:space="preserve">Ski centre convicted of offence under s. 5 of </w:t>
            </w:r>
            <w:r w:rsidRPr="00D02EB6">
              <w:rPr>
                <w:i/>
                <w:sz w:val="20"/>
                <w:lang w:val="en-CA"/>
              </w:rPr>
              <w:t>Dam Safety Act</w:t>
            </w:r>
            <w:r w:rsidRPr="00D02EB6">
              <w:rPr>
                <w:sz w:val="20"/>
                <w:lang w:val="en-CA"/>
              </w:rPr>
              <w:t>, CQLR, c. S</w:t>
            </w:r>
            <w:r w:rsidRPr="00D02EB6">
              <w:rPr>
                <w:sz w:val="20"/>
                <w:lang w:val="en-CA"/>
              </w:rPr>
              <w:noBreakHyphen/>
              <w:t>3.1.01</w:t>
            </w:r>
          </w:p>
          <w:p w:rsidR="00D02EB6" w:rsidRPr="00D02EB6" w:rsidRDefault="00D02EB6" w:rsidP="00D02EB6">
            <w:pPr>
              <w:jc w:val="both"/>
              <w:rPr>
                <w:sz w:val="20"/>
                <w:lang w:val="en-CA"/>
              </w:rPr>
            </w:pPr>
          </w:p>
        </w:tc>
      </w:tr>
      <w:tr w:rsidR="00D02EB6" w:rsidRPr="00D02EB6" w:rsidTr="00E95A6A">
        <w:tc>
          <w:tcPr>
            <w:tcW w:w="2427" w:type="pct"/>
            <w:gridSpan w:val="2"/>
          </w:tcPr>
          <w:p w:rsidR="00D02EB6" w:rsidRPr="00D02EB6" w:rsidRDefault="00D02EB6" w:rsidP="00D02EB6">
            <w:pPr>
              <w:jc w:val="both"/>
              <w:rPr>
                <w:sz w:val="20"/>
                <w:lang w:val="en-CA"/>
              </w:rPr>
            </w:pPr>
            <w:r w:rsidRPr="00D02EB6">
              <w:rPr>
                <w:sz w:val="20"/>
                <w:lang w:val="en-CA"/>
              </w:rPr>
              <w:t>November 27, 2020</w:t>
            </w:r>
          </w:p>
          <w:p w:rsidR="00D02EB6" w:rsidRPr="00D02EB6" w:rsidRDefault="00D02EB6" w:rsidP="00D02EB6">
            <w:pPr>
              <w:jc w:val="both"/>
              <w:rPr>
                <w:sz w:val="20"/>
                <w:lang w:val="en-CA"/>
              </w:rPr>
            </w:pPr>
            <w:r w:rsidRPr="00D02EB6">
              <w:rPr>
                <w:sz w:val="20"/>
                <w:lang w:val="en-CA"/>
              </w:rPr>
              <w:t>(oral judgment, with revised transcript of reasons issued on February 4, 2021)</w:t>
            </w:r>
          </w:p>
          <w:p w:rsidR="00D02EB6" w:rsidRPr="00D02EB6" w:rsidRDefault="00D02EB6" w:rsidP="00D02EB6">
            <w:pPr>
              <w:jc w:val="both"/>
              <w:rPr>
                <w:sz w:val="20"/>
                <w:lang w:val="en-CA"/>
              </w:rPr>
            </w:pPr>
            <w:r w:rsidRPr="00D02EB6">
              <w:rPr>
                <w:sz w:val="20"/>
                <w:lang w:val="en-CA"/>
              </w:rPr>
              <w:t>Quebec Superior Court</w:t>
            </w:r>
          </w:p>
          <w:p w:rsidR="00D02EB6" w:rsidRPr="00D02EB6" w:rsidRDefault="00D02EB6" w:rsidP="00D02EB6">
            <w:pPr>
              <w:jc w:val="both"/>
              <w:rPr>
                <w:sz w:val="20"/>
                <w:lang w:val="en-CA"/>
              </w:rPr>
            </w:pPr>
            <w:r w:rsidRPr="00D02EB6">
              <w:rPr>
                <w:sz w:val="20"/>
                <w:lang w:val="en-CA"/>
              </w:rPr>
              <w:t>(Dallaire J.)</w:t>
            </w:r>
          </w:p>
          <w:p w:rsidR="00D02EB6" w:rsidRPr="00D02EB6" w:rsidRDefault="00D02EB6" w:rsidP="00D02EB6">
            <w:pPr>
              <w:jc w:val="both"/>
              <w:rPr>
                <w:sz w:val="20"/>
                <w:lang w:val="en-CA"/>
              </w:rPr>
            </w:pPr>
            <w:hyperlink r:id="rId12" w:history="1">
              <w:r w:rsidRPr="00D02EB6">
                <w:rPr>
                  <w:rStyle w:val="Hyperlink"/>
                  <w:sz w:val="20"/>
                  <w:lang w:val="en-CA"/>
                </w:rPr>
                <w:t>2020 QCCS 4829</w:t>
              </w:r>
            </w:hyperlink>
          </w:p>
          <w:p w:rsidR="00D02EB6" w:rsidRPr="00D02EB6" w:rsidRDefault="00D02EB6" w:rsidP="00D02EB6">
            <w:pPr>
              <w:jc w:val="both"/>
              <w:rPr>
                <w:sz w:val="20"/>
                <w:lang w:val="en-CA"/>
              </w:rPr>
            </w:pPr>
          </w:p>
        </w:tc>
        <w:tc>
          <w:tcPr>
            <w:tcW w:w="243" w:type="pct"/>
          </w:tcPr>
          <w:p w:rsidR="00D02EB6" w:rsidRPr="00D02EB6" w:rsidRDefault="00D02EB6" w:rsidP="00D02EB6">
            <w:pPr>
              <w:jc w:val="both"/>
              <w:rPr>
                <w:sz w:val="20"/>
                <w:lang w:val="en-CA"/>
              </w:rPr>
            </w:pPr>
          </w:p>
        </w:tc>
        <w:tc>
          <w:tcPr>
            <w:tcW w:w="2330" w:type="pct"/>
          </w:tcPr>
          <w:p w:rsidR="00D02EB6" w:rsidRPr="00D02EB6" w:rsidRDefault="00D02EB6" w:rsidP="00D02EB6">
            <w:pPr>
              <w:jc w:val="both"/>
              <w:rPr>
                <w:sz w:val="20"/>
                <w:lang w:val="en-CA"/>
              </w:rPr>
            </w:pPr>
            <w:r w:rsidRPr="00D02EB6">
              <w:rPr>
                <w:sz w:val="20"/>
                <w:lang w:val="en-CA"/>
              </w:rPr>
              <w:t xml:space="preserve">Ski centre acquitted </w:t>
            </w:r>
          </w:p>
        </w:tc>
      </w:tr>
      <w:tr w:rsidR="00D02EB6" w:rsidRPr="00D02EB6" w:rsidTr="00E95A6A">
        <w:tc>
          <w:tcPr>
            <w:tcW w:w="2427" w:type="pct"/>
            <w:gridSpan w:val="2"/>
          </w:tcPr>
          <w:p w:rsidR="00D02EB6" w:rsidRPr="00D02EB6" w:rsidRDefault="00D02EB6" w:rsidP="00D02EB6">
            <w:pPr>
              <w:jc w:val="both"/>
              <w:rPr>
                <w:sz w:val="20"/>
                <w:lang w:val="en-CA"/>
              </w:rPr>
            </w:pPr>
            <w:r w:rsidRPr="00D02EB6">
              <w:rPr>
                <w:sz w:val="20"/>
                <w:lang w:val="en-CA"/>
              </w:rPr>
              <w:t>August 4, 2021</w:t>
            </w:r>
          </w:p>
          <w:p w:rsidR="00D02EB6" w:rsidRPr="00D02EB6" w:rsidRDefault="00D02EB6" w:rsidP="00D02EB6">
            <w:pPr>
              <w:jc w:val="both"/>
              <w:rPr>
                <w:sz w:val="20"/>
                <w:lang w:val="en-CA"/>
              </w:rPr>
            </w:pPr>
            <w:r w:rsidRPr="00D02EB6">
              <w:rPr>
                <w:sz w:val="20"/>
                <w:lang w:val="en-CA"/>
              </w:rPr>
              <w:t>Quebec Court of Appeal (Montréal)</w:t>
            </w:r>
          </w:p>
          <w:p w:rsidR="00D02EB6" w:rsidRPr="00D02EB6" w:rsidRDefault="00D02EB6" w:rsidP="00D02EB6">
            <w:pPr>
              <w:jc w:val="both"/>
              <w:rPr>
                <w:sz w:val="20"/>
                <w:lang w:val="en-CA"/>
              </w:rPr>
            </w:pPr>
            <w:r w:rsidRPr="00D02EB6">
              <w:rPr>
                <w:sz w:val="20"/>
                <w:lang w:val="en-CA"/>
              </w:rPr>
              <w:t>(Chamberland, Marcotte and Cournoyer JJ.A.)</w:t>
            </w:r>
          </w:p>
          <w:p w:rsidR="00D02EB6" w:rsidRPr="00D02EB6" w:rsidRDefault="00D02EB6" w:rsidP="00D02EB6">
            <w:pPr>
              <w:jc w:val="both"/>
              <w:rPr>
                <w:sz w:val="20"/>
                <w:lang w:val="en-CA"/>
              </w:rPr>
            </w:pPr>
            <w:hyperlink r:id="rId13" w:history="1">
              <w:r w:rsidRPr="00D02EB6">
                <w:rPr>
                  <w:rStyle w:val="Hyperlink"/>
                  <w:sz w:val="20"/>
                  <w:lang w:val="en-CA"/>
                </w:rPr>
                <w:t>2021 QCCA 1222</w:t>
              </w:r>
            </w:hyperlink>
          </w:p>
          <w:p w:rsidR="00D02EB6" w:rsidRPr="00D02EB6" w:rsidRDefault="00D02EB6" w:rsidP="00D02EB6">
            <w:pPr>
              <w:jc w:val="both"/>
              <w:rPr>
                <w:sz w:val="20"/>
                <w:lang w:val="en-CA"/>
              </w:rPr>
            </w:pPr>
          </w:p>
        </w:tc>
        <w:tc>
          <w:tcPr>
            <w:tcW w:w="243" w:type="pct"/>
          </w:tcPr>
          <w:p w:rsidR="00D02EB6" w:rsidRPr="00D02EB6" w:rsidRDefault="00D02EB6" w:rsidP="00D02EB6">
            <w:pPr>
              <w:jc w:val="both"/>
              <w:rPr>
                <w:sz w:val="20"/>
                <w:lang w:val="en-CA"/>
              </w:rPr>
            </w:pPr>
          </w:p>
        </w:tc>
        <w:tc>
          <w:tcPr>
            <w:tcW w:w="2330" w:type="pct"/>
          </w:tcPr>
          <w:p w:rsidR="00D02EB6" w:rsidRPr="00D02EB6" w:rsidRDefault="00D02EB6" w:rsidP="00D02EB6">
            <w:pPr>
              <w:jc w:val="both"/>
              <w:rPr>
                <w:sz w:val="20"/>
                <w:lang w:val="en-CA"/>
              </w:rPr>
            </w:pPr>
            <w:r w:rsidRPr="00D02EB6">
              <w:rPr>
                <w:sz w:val="20"/>
                <w:lang w:val="en-CA"/>
              </w:rPr>
              <w:t xml:space="preserve">Trial judgment restored; ski centre convicted </w:t>
            </w:r>
          </w:p>
        </w:tc>
      </w:tr>
      <w:tr w:rsidR="00D02EB6" w:rsidRPr="00D02EB6" w:rsidTr="00E95A6A">
        <w:tc>
          <w:tcPr>
            <w:tcW w:w="2427" w:type="pct"/>
            <w:gridSpan w:val="2"/>
          </w:tcPr>
          <w:p w:rsidR="00D02EB6" w:rsidRPr="00D02EB6" w:rsidRDefault="00D02EB6" w:rsidP="00D02EB6">
            <w:pPr>
              <w:jc w:val="both"/>
              <w:rPr>
                <w:sz w:val="20"/>
                <w:lang w:val="en-CA"/>
              </w:rPr>
            </w:pPr>
            <w:r w:rsidRPr="00D02EB6">
              <w:rPr>
                <w:sz w:val="20"/>
                <w:lang w:val="en-CA"/>
              </w:rPr>
              <w:t>October 1, 2021</w:t>
            </w:r>
          </w:p>
          <w:p w:rsidR="00D02EB6" w:rsidRPr="00D02EB6" w:rsidRDefault="00D02EB6" w:rsidP="00D02EB6">
            <w:pPr>
              <w:jc w:val="both"/>
              <w:rPr>
                <w:sz w:val="20"/>
                <w:lang w:val="en-CA"/>
              </w:rPr>
            </w:pPr>
            <w:r w:rsidRPr="00D02EB6">
              <w:rPr>
                <w:sz w:val="20"/>
                <w:lang w:val="en-CA"/>
              </w:rPr>
              <w:t>Supreme Court of Canada</w:t>
            </w:r>
          </w:p>
        </w:tc>
        <w:tc>
          <w:tcPr>
            <w:tcW w:w="243" w:type="pct"/>
          </w:tcPr>
          <w:p w:rsidR="00D02EB6" w:rsidRPr="00D02EB6" w:rsidRDefault="00D02EB6" w:rsidP="00D02EB6">
            <w:pPr>
              <w:jc w:val="both"/>
              <w:rPr>
                <w:sz w:val="20"/>
                <w:lang w:val="en-CA"/>
              </w:rPr>
            </w:pPr>
          </w:p>
        </w:tc>
        <w:tc>
          <w:tcPr>
            <w:tcW w:w="2330" w:type="pct"/>
          </w:tcPr>
          <w:p w:rsidR="00D02EB6" w:rsidRPr="00D02EB6" w:rsidRDefault="00D02EB6" w:rsidP="00D02EB6">
            <w:pPr>
              <w:jc w:val="both"/>
              <w:rPr>
                <w:sz w:val="20"/>
                <w:lang w:val="en-CA"/>
              </w:rPr>
            </w:pPr>
            <w:r w:rsidRPr="00D02EB6">
              <w:rPr>
                <w:sz w:val="20"/>
                <w:lang w:val="en-CA"/>
              </w:rPr>
              <w:t>Application for leave to appeal filed by ski centre</w:t>
            </w:r>
          </w:p>
        </w:tc>
      </w:tr>
    </w:tbl>
    <w:p w:rsidR="00D02EB6" w:rsidRPr="00D02EB6" w:rsidRDefault="00D02EB6" w:rsidP="00D02EB6">
      <w:pPr>
        <w:jc w:val="both"/>
        <w:rPr>
          <w:sz w:val="20"/>
          <w:lang w:val="en-CA"/>
        </w:rPr>
      </w:pPr>
    </w:p>
    <w:p w:rsidR="00D02EB6" w:rsidRPr="00D02EB6" w:rsidRDefault="00D02EB6" w:rsidP="00D02EB6">
      <w:pPr>
        <w:jc w:val="both"/>
        <w:rPr>
          <w:sz w:val="20"/>
          <w:lang w:val="en-CA"/>
        </w:rPr>
      </w:pPr>
      <w:r w:rsidRPr="00D02EB6">
        <w:rPr>
          <w:sz w:val="20"/>
        </w:rPr>
        <w:pict>
          <v:rect id="_x0000_i1028" style="width:2in;height:1pt" o:hrpct="0" o:hralign="center" o:hrstd="t" o:hrnoshade="t" o:hr="t" fillcolor="black [3213]" stroked="f"/>
        </w:pict>
      </w:r>
    </w:p>
    <w:p w:rsidR="00D02EB6" w:rsidRPr="00D02EB6" w:rsidRDefault="00D02EB6" w:rsidP="00D02EB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2EB6" w:rsidRPr="00D02EB6" w:rsidTr="00E95A6A">
        <w:tc>
          <w:tcPr>
            <w:tcW w:w="543" w:type="pct"/>
          </w:tcPr>
          <w:p w:rsidR="00D02EB6" w:rsidRPr="00D02EB6" w:rsidRDefault="00D02EB6" w:rsidP="00D02EB6">
            <w:pPr>
              <w:jc w:val="both"/>
              <w:rPr>
                <w:sz w:val="20"/>
              </w:rPr>
            </w:pPr>
            <w:r w:rsidRPr="00D02EB6">
              <w:rPr>
                <w:rStyle w:val="SCCFileNumberChar"/>
                <w:sz w:val="20"/>
                <w:szCs w:val="20"/>
              </w:rPr>
              <w:t>39867</w:t>
            </w:r>
          </w:p>
        </w:tc>
        <w:tc>
          <w:tcPr>
            <w:tcW w:w="4457" w:type="pct"/>
            <w:gridSpan w:val="3"/>
          </w:tcPr>
          <w:p w:rsidR="00D02EB6" w:rsidRPr="00D02EB6" w:rsidRDefault="00D02EB6" w:rsidP="00D02EB6">
            <w:pPr>
              <w:pStyle w:val="SCCLsocParty"/>
              <w:jc w:val="both"/>
              <w:rPr>
                <w:b/>
                <w:sz w:val="20"/>
                <w:szCs w:val="20"/>
              </w:rPr>
            </w:pPr>
            <w:r w:rsidRPr="00D02EB6">
              <w:rPr>
                <w:b/>
                <w:sz w:val="20"/>
                <w:szCs w:val="20"/>
              </w:rPr>
              <w:t>3095-2899 Québec inc. c. Directeur des poursuites criminelles et pénales</w:t>
            </w:r>
          </w:p>
          <w:p w:rsidR="00D02EB6" w:rsidRPr="00D02EB6" w:rsidRDefault="00D02EB6" w:rsidP="00D02EB6">
            <w:pPr>
              <w:jc w:val="both"/>
              <w:rPr>
                <w:sz w:val="20"/>
              </w:rPr>
            </w:pPr>
            <w:r w:rsidRPr="00D02EB6">
              <w:rPr>
                <w:sz w:val="20"/>
              </w:rPr>
              <w:t>(Qc) (Criminelle) (Autorisation)</w:t>
            </w:r>
          </w:p>
        </w:tc>
      </w:tr>
      <w:tr w:rsidR="00D02EB6" w:rsidRPr="00D02EB6" w:rsidTr="00E95A6A">
        <w:tc>
          <w:tcPr>
            <w:tcW w:w="5000" w:type="pct"/>
            <w:gridSpan w:val="4"/>
          </w:tcPr>
          <w:p w:rsidR="00D02EB6" w:rsidRPr="00D02EB6" w:rsidRDefault="00D02EB6" w:rsidP="00D02EB6">
            <w:pPr>
              <w:jc w:val="both"/>
              <w:rPr>
                <w:sz w:val="20"/>
                <w:lang w:val="fr-CA"/>
              </w:rPr>
            </w:pPr>
            <w:r w:rsidRPr="00D02EB6">
              <w:rPr>
                <w:sz w:val="20"/>
                <w:lang w:val="fr-CA"/>
              </w:rPr>
              <w:t>Infractions provinciales — Barrages — Constat d’infraction émis contre station de ski pour avoir effectué des travaux sur un barrage sans autorisation ministérielle préalable — Déclaration de culpabilité — Est</w:t>
            </w:r>
            <w:r w:rsidRPr="00D02EB6">
              <w:rPr>
                <w:sz w:val="20"/>
                <w:lang w:val="fr-CA"/>
              </w:rPr>
              <w:noBreakHyphen/>
              <w:t xml:space="preserve">ce que la Cour d’appel a erré en interprétant l’expression « modification de structure » comme comprenant l’entretien du parement de pierres recouvrant le barrage, en y ramenant une dizaine de roches sur 30 000 à 40 000 qui avaient déboulé en aval, et en évacuant l’impact des débats parlementaires, le contexte de la </w:t>
            </w:r>
            <w:r w:rsidRPr="00D02EB6">
              <w:rPr>
                <w:i/>
                <w:sz w:val="20"/>
                <w:lang w:val="fr-CA"/>
              </w:rPr>
              <w:t xml:space="preserve">Loi </w:t>
            </w:r>
            <w:r w:rsidRPr="00D02EB6">
              <w:rPr>
                <w:sz w:val="20"/>
                <w:lang w:val="fr-CA"/>
              </w:rPr>
              <w:t xml:space="preserve">et ses dispositions et de son </w:t>
            </w:r>
            <w:r w:rsidRPr="00D02EB6">
              <w:rPr>
                <w:i/>
                <w:sz w:val="20"/>
                <w:lang w:val="fr-CA"/>
              </w:rPr>
              <w:t>Règlement</w:t>
            </w:r>
            <w:r w:rsidRPr="00D02EB6">
              <w:rPr>
                <w:sz w:val="20"/>
                <w:lang w:val="fr-CA"/>
              </w:rPr>
              <w:t>? — Est</w:t>
            </w:r>
            <w:r w:rsidRPr="00D02EB6">
              <w:rPr>
                <w:sz w:val="20"/>
                <w:lang w:val="fr-CA"/>
              </w:rPr>
              <w:noBreakHyphen/>
              <w:t xml:space="preserve">ce que la Cour d’appel pouvait intervenir sur la question de l’appréciation de la crédibilité des experts en vertu de l’article 291 du </w:t>
            </w:r>
            <w:r w:rsidRPr="00D02EB6">
              <w:rPr>
                <w:i/>
                <w:sz w:val="20"/>
                <w:lang w:val="fr-CA"/>
              </w:rPr>
              <w:t>Code de procédure pénale</w:t>
            </w:r>
            <w:r w:rsidRPr="00D02EB6">
              <w:rPr>
                <w:sz w:val="20"/>
                <w:lang w:val="fr-CA"/>
              </w:rPr>
              <w:t xml:space="preserve"> pour rétablir le jugement de la juge de première instance? — Est</w:t>
            </w:r>
            <w:r w:rsidRPr="00D02EB6">
              <w:rPr>
                <w:sz w:val="20"/>
                <w:lang w:val="fr-CA"/>
              </w:rPr>
              <w:noBreakHyphen/>
              <w:t xml:space="preserve">ce que la Cour d’appel a erré en concluant qu’il y avait en l’espèce une crainte raisonnable de partialité et un renversement de la présomption d’intégrité de la juge de la Cour supérieure, suivant son jugement oral, lorsqu’elle a rendu une transcription révisée de ces motifs? — </w:t>
            </w:r>
            <w:r w:rsidRPr="00D02EB6">
              <w:rPr>
                <w:i/>
                <w:sz w:val="20"/>
                <w:lang w:val="fr-CA"/>
              </w:rPr>
              <w:t>Loi sur la sécurité des barrages</w:t>
            </w:r>
            <w:r w:rsidRPr="00D02EB6">
              <w:rPr>
                <w:sz w:val="20"/>
                <w:lang w:val="fr-CA"/>
              </w:rPr>
              <w:t>, RLRQ, c. S</w:t>
            </w:r>
            <w:r w:rsidRPr="00D02EB6">
              <w:rPr>
                <w:sz w:val="20"/>
                <w:lang w:val="fr-CA"/>
              </w:rPr>
              <w:noBreakHyphen/>
              <w:t xml:space="preserve">3.1.01, art. 5 — </w:t>
            </w:r>
            <w:r w:rsidRPr="00D02EB6">
              <w:rPr>
                <w:i/>
                <w:sz w:val="20"/>
                <w:lang w:val="fr-CA"/>
              </w:rPr>
              <w:t>Code de procédure pénale</w:t>
            </w:r>
            <w:r w:rsidRPr="00D02EB6">
              <w:rPr>
                <w:sz w:val="20"/>
                <w:lang w:val="fr-CA"/>
              </w:rPr>
              <w:t>, RLRQ, c. C</w:t>
            </w:r>
            <w:r w:rsidRPr="00D02EB6">
              <w:rPr>
                <w:sz w:val="20"/>
                <w:lang w:val="fr-CA"/>
              </w:rPr>
              <w:noBreakHyphen/>
              <w:t>25.1, art. 291.</w:t>
            </w:r>
          </w:p>
        </w:tc>
      </w:tr>
      <w:tr w:rsidR="00D02EB6" w:rsidRPr="00D02EB6" w:rsidTr="00E95A6A">
        <w:tc>
          <w:tcPr>
            <w:tcW w:w="5000" w:type="pct"/>
            <w:gridSpan w:val="4"/>
          </w:tcPr>
          <w:p w:rsidR="00D02EB6" w:rsidRPr="00D02EB6" w:rsidRDefault="00D02EB6" w:rsidP="00D02EB6">
            <w:pPr>
              <w:jc w:val="both"/>
              <w:rPr>
                <w:sz w:val="20"/>
                <w:lang w:val="fr-CA"/>
              </w:rPr>
            </w:pPr>
          </w:p>
          <w:p w:rsidR="00D02EB6" w:rsidRPr="00D02EB6" w:rsidRDefault="00D02EB6" w:rsidP="00D02EB6">
            <w:pPr>
              <w:jc w:val="both"/>
              <w:rPr>
                <w:sz w:val="20"/>
                <w:lang w:val="fr-CA"/>
              </w:rPr>
            </w:pPr>
            <w:r w:rsidRPr="00D02EB6">
              <w:rPr>
                <w:sz w:val="20"/>
                <w:lang w:val="fr-CA"/>
              </w:rPr>
              <w:t>La demanderesse, une station de ski, effectue des travaux sur un barrage qu’elle qualifie de travaux d’« entretien » (</w:t>
            </w:r>
            <w:proofErr w:type="gramStart"/>
            <w:r w:rsidRPr="00D02EB6">
              <w:rPr>
                <w:sz w:val="20"/>
                <w:lang w:val="fr-CA"/>
              </w:rPr>
              <w:t>c.</w:t>
            </w:r>
            <w:r w:rsidRPr="00D02EB6">
              <w:rPr>
                <w:sz w:val="20"/>
                <w:lang w:val="fr-CA"/>
              </w:rPr>
              <w:noBreakHyphen/>
              <w:t>à</w:t>
            </w:r>
            <w:r w:rsidRPr="00D02EB6">
              <w:rPr>
                <w:sz w:val="20"/>
                <w:lang w:val="fr-CA"/>
              </w:rPr>
              <w:noBreakHyphen/>
              <w:t>d.,</w:t>
            </w:r>
            <w:proofErr w:type="gramEnd"/>
            <w:r w:rsidRPr="00D02EB6">
              <w:rPr>
                <w:sz w:val="20"/>
                <w:lang w:val="fr-CA"/>
              </w:rPr>
              <w:t xml:space="preserve"> le déplacement de roches qui avaient déboulé en aval d’un lac). On lui émet un constat d’infraction en vertu de l’art. 5 de la </w:t>
            </w:r>
            <w:r w:rsidRPr="00D02EB6">
              <w:rPr>
                <w:i/>
                <w:sz w:val="20"/>
                <w:lang w:val="fr-CA"/>
              </w:rPr>
              <w:t>Loi sur la sécurité des barrages</w:t>
            </w:r>
            <w:r w:rsidRPr="00D02EB6">
              <w:rPr>
                <w:sz w:val="20"/>
                <w:lang w:val="fr-CA"/>
              </w:rPr>
              <w:t>, RLRQ, c. S</w:t>
            </w:r>
            <w:r w:rsidRPr="00D02EB6">
              <w:rPr>
                <w:sz w:val="20"/>
                <w:lang w:val="fr-CA"/>
              </w:rPr>
              <w:noBreakHyphen/>
              <w:t>3.1.01 (« LSB »), puisque la station de ski n’avait pas demandé ni obtenu une autorisation préalable de la part du ministre du Développement durable, de l’Environnement et des Parcs pour effectuer ces travaux.</w:t>
            </w:r>
          </w:p>
          <w:p w:rsidR="00D02EB6" w:rsidRPr="00D02EB6" w:rsidRDefault="00D02EB6" w:rsidP="00D02EB6">
            <w:pPr>
              <w:jc w:val="both"/>
              <w:rPr>
                <w:sz w:val="20"/>
                <w:lang w:val="fr-CA"/>
              </w:rPr>
            </w:pPr>
          </w:p>
          <w:p w:rsidR="00D02EB6" w:rsidRPr="00D02EB6" w:rsidRDefault="00D02EB6" w:rsidP="00D02EB6">
            <w:pPr>
              <w:jc w:val="both"/>
              <w:rPr>
                <w:sz w:val="20"/>
                <w:lang w:val="fr-CA"/>
              </w:rPr>
            </w:pPr>
            <w:r w:rsidRPr="00D02EB6">
              <w:rPr>
                <w:sz w:val="20"/>
                <w:lang w:val="fr-CA"/>
              </w:rPr>
              <w:t>Une juge de paix magistrat de la Cour du Québec qualifie plutôt les travaux comme étant une « modification » de la « structure » du barrage, basé sur la preuve versée au dossier, selon les termes de l’art. 5 de la LSB, et déclare la station de ski coupable de l’infraction visée par l’art. 5. La Cour supérieure accueille une demande en révision du premier jugement, et la station de ski est acquittée de l’infraction. La Cour d’appel infirme la décision de la Cour supérieure, rétablit la décision de la première juge, et déclare la station de ski coupable.</w:t>
            </w:r>
          </w:p>
        </w:tc>
      </w:tr>
      <w:tr w:rsidR="00D02EB6" w:rsidRPr="00D02EB6" w:rsidTr="00E95A6A">
        <w:tc>
          <w:tcPr>
            <w:tcW w:w="5000" w:type="pct"/>
            <w:gridSpan w:val="4"/>
          </w:tcPr>
          <w:p w:rsidR="00D02EB6" w:rsidRPr="00D02EB6" w:rsidRDefault="00D02EB6" w:rsidP="00D02EB6">
            <w:pPr>
              <w:jc w:val="both"/>
              <w:rPr>
                <w:sz w:val="20"/>
                <w:lang w:val="fr-CA"/>
              </w:rPr>
            </w:pPr>
          </w:p>
        </w:tc>
      </w:tr>
      <w:tr w:rsidR="00D02EB6" w:rsidRPr="00D02EB6" w:rsidTr="00E95A6A">
        <w:tc>
          <w:tcPr>
            <w:tcW w:w="2427" w:type="pct"/>
            <w:gridSpan w:val="2"/>
          </w:tcPr>
          <w:p w:rsidR="00D02EB6" w:rsidRPr="00D02EB6" w:rsidRDefault="00D02EB6" w:rsidP="00D02EB6">
            <w:pPr>
              <w:jc w:val="both"/>
              <w:rPr>
                <w:sz w:val="20"/>
                <w:lang w:val="fr-CA"/>
              </w:rPr>
            </w:pPr>
            <w:r w:rsidRPr="00D02EB6">
              <w:rPr>
                <w:sz w:val="20"/>
                <w:lang w:val="fr-CA"/>
              </w:rPr>
              <w:lastRenderedPageBreak/>
              <w:t>Le 8 mai 2019</w:t>
            </w:r>
          </w:p>
          <w:p w:rsidR="00D02EB6" w:rsidRPr="00D02EB6" w:rsidRDefault="00D02EB6" w:rsidP="00D02EB6">
            <w:pPr>
              <w:jc w:val="both"/>
              <w:rPr>
                <w:sz w:val="20"/>
                <w:lang w:val="fr-CA"/>
              </w:rPr>
            </w:pPr>
            <w:r w:rsidRPr="00D02EB6">
              <w:rPr>
                <w:sz w:val="20"/>
                <w:lang w:val="fr-CA"/>
              </w:rPr>
              <w:t>Cour du Québec</w:t>
            </w:r>
          </w:p>
          <w:p w:rsidR="00D02EB6" w:rsidRPr="00D02EB6" w:rsidRDefault="00D02EB6" w:rsidP="00D02EB6">
            <w:pPr>
              <w:jc w:val="both"/>
              <w:rPr>
                <w:sz w:val="20"/>
                <w:lang w:val="fr-CA"/>
              </w:rPr>
            </w:pPr>
            <w:r w:rsidRPr="00D02EB6">
              <w:rPr>
                <w:sz w:val="20"/>
                <w:lang w:val="fr-CA"/>
              </w:rPr>
              <w:t>(la juge de paix magistrat Larocque)</w:t>
            </w:r>
          </w:p>
          <w:p w:rsidR="00D02EB6" w:rsidRPr="00D02EB6" w:rsidRDefault="00D02EB6" w:rsidP="00D02EB6">
            <w:pPr>
              <w:jc w:val="both"/>
              <w:rPr>
                <w:sz w:val="20"/>
              </w:rPr>
            </w:pPr>
            <w:hyperlink r:id="rId14" w:history="1">
              <w:r w:rsidRPr="00D02EB6">
                <w:rPr>
                  <w:rStyle w:val="Hyperlink"/>
                  <w:sz w:val="20"/>
                </w:rPr>
                <w:t>2019 QCCQ 3756</w:t>
              </w:r>
            </w:hyperlink>
          </w:p>
          <w:p w:rsidR="00D02EB6" w:rsidRPr="00D02EB6" w:rsidRDefault="00D02EB6" w:rsidP="00D02EB6">
            <w:pPr>
              <w:jc w:val="both"/>
              <w:rPr>
                <w:sz w:val="20"/>
              </w:rPr>
            </w:pPr>
          </w:p>
        </w:tc>
        <w:tc>
          <w:tcPr>
            <w:tcW w:w="243" w:type="pct"/>
          </w:tcPr>
          <w:p w:rsidR="00D02EB6" w:rsidRPr="00D02EB6" w:rsidRDefault="00D02EB6" w:rsidP="00D02EB6">
            <w:pPr>
              <w:jc w:val="both"/>
              <w:rPr>
                <w:sz w:val="20"/>
              </w:rPr>
            </w:pPr>
          </w:p>
        </w:tc>
        <w:tc>
          <w:tcPr>
            <w:tcW w:w="2330" w:type="pct"/>
          </w:tcPr>
          <w:p w:rsidR="00D02EB6" w:rsidRPr="00D02EB6" w:rsidRDefault="00D02EB6" w:rsidP="00D02EB6">
            <w:pPr>
              <w:jc w:val="both"/>
              <w:rPr>
                <w:sz w:val="20"/>
                <w:lang w:val="fr-CA"/>
              </w:rPr>
            </w:pPr>
            <w:r w:rsidRPr="00D02EB6">
              <w:rPr>
                <w:sz w:val="20"/>
                <w:lang w:val="fr-CA"/>
              </w:rPr>
              <w:t xml:space="preserve">Station de ski déclarée coupable d’une infraction en vertu de l’art. 5 de la </w:t>
            </w:r>
            <w:r w:rsidRPr="00D02EB6">
              <w:rPr>
                <w:i/>
                <w:sz w:val="20"/>
                <w:lang w:val="fr-CA"/>
              </w:rPr>
              <w:t>Loi sur la sécurité des barrages</w:t>
            </w:r>
            <w:r w:rsidRPr="00D02EB6">
              <w:rPr>
                <w:sz w:val="20"/>
                <w:lang w:val="fr-CA"/>
              </w:rPr>
              <w:t>, RLRQ, c. S</w:t>
            </w:r>
            <w:r w:rsidRPr="00D02EB6">
              <w:rPr>
                <w:sz w:val="20"/>
                <w:lang w:val="fr-CA"/>
              </w:rPr>
              <w:noBreakHyphen/>
              <w:t>3.1.01</w:t>
            </w:r>
          </w:p>
          <w:p w:rsidR="00D02EB6" w:rsidRPr="00D02EB6" w:rsidRDefault="00D02EB6" w:rsidP="00D02EB6">
            <w:pPr>
              <w:jc w:val="both"/>
              <w:rPr>
                <w:sz w:val="20"/>
                <w:lang w:val="fr-CA"/>
              </w:rPr>
            </w:pPr>
          </w:p>
        </w:tc>
      </w:tr>
      <w:tr w:rsidR="00D02EB6" w:rsidRPr="00D02EB6" w:rsidTr="00E95A6A">
        <w:tc>
          <w:tcPr>
            <w:tcW w:w="2427" w:type="pct"/>
            <w:gridSpan w:val="2"/>
          </w:tcPr>
          <w:p w:rsidR="00D02EB6" w:rsidRPr="00D02EB6" w:rsidRDefault="00D02EB6" w:rsidP="00D02EB6">
            <w:pPr>
              <w:jc w:val="both"/>
              <w:rPr>
                <w:sz w:val="20"/>
                <w:lang w:val="fr-CA"/>
              </w:rPr>
            </w:pPr>
            <w:r w:rsidRPr="00D02EB6">
              <w:rPr>
                <w:sz w:val="20"/>
                <w:lang w:val="fr-CA"/>
              </w:rPr>
              <w:t>Le 27 novembre 2020</w:t>
            </w:r>
          </w:p>
          <w:p w:rsidR="00D02EB6" w:rsidRPr="00D02EB6" w:rsidRDefault="00D02EB6" w:rsidP="00D02EB6">
            <w:pPr>
              <w:jc w:val="both"/>
              <w:rPr>
                <w:sz w:val="20"/>
                <w:lang w:val="fr-CA"/>
              </w:rPr>
            </w:pPr>
            <w:r w:rsidRPr="00D02EB6">
              <w:rPr>
                <w:sz w:val="20"/>
                <w:lang w:val="fr-CA"/>
              </w:rPr>
              <w:t>(jugement oral, avec transcription révisée des motifs rendue le 4 février 2021)</w:t>
            </w:r>
          </w:p>
          <w:p w:rsidR="00D02EB6" w:rsidRPr="00D02EB6" w:rsidRDefault="00D02EB6" w:rsidP="00D02EB6">
            <w:pPr>
              <w:jc w:val="both"/>
              <w:rPr>
                <w:sz w:val="20"/>
                <w:lang w:val="fr-CA"/>
              </w:rPr>
            </w:pPr>
            <w:r w:rsidRPr="00D02EB6">
              <w:rPr>
                <w:sz w:val="20"/>
                <w:lang w:val="fr-CA"/>
              </w:rPr>
              <w:t>Cour supérieure du Québec</w:t>
            </w:r>
          </w:p>
          <w:p w:rsidR="00D02EB6" w:rsidRPr="00D02EB6" w:rsidRDefault="00D02EB6" w:rsidP="00D02EB6">
            <w:pPr>
              <w:jc w:val="both"/>
              <w:rPr>
                <w:sz w:val="20"/>
                <w:lang w:val="fr-CA"/>
              </w:rPr>
            </w:pPr>
            <w:r w:rsidRPr="00D02EB6">
              <w:rPr>
                <w:sz w:val="20"/>
                <w:lang w:val="fr-CA"/>
              </w:rPr>
              <w:t>(la juge Dallaire)</w:t>
            </w:r>
          </w:p>
          <w:p w:rsidR="00D02EB6" w:rsidRPr="00D02EB6" w:rsidRDefault="00D02EB6" w:rsidP="00D02EB6">
            <w:pPr>
              <w:jc w:val="both"/>
              <w:rPr>
                <w:sz w:val="20"/>
              </w:rPr>
            </w:pPr>
            <w:hyperlink r:id="rId15" w:history="1">
              <w:r w:rsidRPr="00D02EB6">
                <w:rPr>
                  <w:rStyle w:val="Hyperlink"/>
                  <w:sz w:val="20"/>
                </w:rPr>
                <w:t>2020 QCCS 4829</w:t>
              </w:r>
            </w:hyperlink>
          </w:p>
          <w:p w:rsidR="00D02EB6" w:rsidRPr="00D02EB6" w:rsidRDefault="00D02EB6" w:rsidP="00D02EB6">
            <w:pPr>
              <w:jc w:val="both"/>
              <w:rPr>
                <w:sz w:val="20"/>
              </w:rPr>
            </w:pPr>
          </w:p>
        </w:tc>
        <w:tc>
          <w:tcPr>
            <w:tcW w:w="243" w:type="pct"/>
          </w:tcPr>
          <w:p w:rsidR="00D02EB6" w:rsidRPr="00D02EB6" w:rsidRDefault="00D02EB6" w:rsidP="00D02EB6">
            <w:pPr>
              <w:jc w:val="both"/>
              <w:rPr>
                <w:sz w:val="20"/>
              </w:rPr>
            </w:pPr>
          </w:p>
        </w:tc>
        <w:tc>
          <w:tcPr>
            <w:tcW w:w="2330" w:type="pct"/>
          </w:tcPr>
          <w:p w:rsidR="00D02EB6" w:rsidRPr="00D02EB6" w:rsidRDefault="00D02EB6" w:rsidP="00D02EB6">
            <w:pPr>
              <w:jc w:val="both"/>
              <w:rPr>
                <w:sz w:val="20"/>
              </w:rPr>
            </w:pPr>
            <w:r w:rsidRPr="00D02EB6">
              <w:rPr>
                <w:sz w:val="20"/>
              </w:rPr>
              <w:t xml:space="preserve">Station de ski acquittée </w:t>
            </w:r>
          </w:p>
        </w:tc>
      </w:tr>
      <w:tr w:rsidR="00D02EB6" w:rsidRPr="00D02EB6" w:rsidTr="00E95A6A">
        <w:tc>
          <w:tcPr>
            <w:tcW w:w="2427" w:type="pct"/>
            <w:gridSpan w:val="2"/>
          </w:tcPr>
          <w:p w:rsidR="00D02EB6" w:rsidRPr="00D02EB6" w:rsidRDefault="00D02EB6" w:rsidP="00D02EB6">
            <w:pPr>
              <w:jc w:val="both"/>
              <w:rPr>
                <w:sz w:val="20"/>
                <w:lang w:val="fr-CA"/>
              </w:rPr>
            </w:pPr>
            <w:r w:rsidRPr="00D02EB6">
              <w:rPr>
                <w:sz w:val="20"/>
                <w:lang w:val="fr-CA"/>
              </w:rPr>
              <w:t>Le 4 août 2021</w:t>
            </w:r>
          </w:p>
          <w:p w:rsidR="00D02EB6" w:rsidRPr="00D02EB6" w:rsidRDefault="00D02EB6" w:rsidP="00D02EB6">
            <w:pPr>
              <w:jc w:val="both"/>
              <w:rPr>
                <w:sz w:val="20"/>
                <w:lang w:val="fr-CA"/>
              </w:rPr>
            </w:pPr>
            <w:r w:rsidRPr="00D02EB6">
              <w:rPr>
                <w:sz w:val="20"/>
                <w:lang w:val="fr-CA"/>
              </w:rPr>
              <w:t>Cour d’appel du Québec (Montréal)</w:t>
            </w:r>
          </w:p>
          <w:p w:rsidR="00D02EB6" w:rsidRPr="00D02EB6" w:rsidRDefault="00D02EB6" w:rsidP="00D02EB6">
            <w:pPr>
              <w:jc w:val="both"/>
              <w:rPr>
                <w:sz w:val="20"/>
                <w:lang w:val="fr-CA"/>
              </w:rPr>
            </w:pPr>
            <w:r w:rsidRPr="00D02EB6">
              <w:rPr>
                <w:sz w:val="20"/>
                <w:lang w:val="fr-CA"/>
              </w:rPr>
              <w:t>(les juges Chamberland, Marcotte et Cournoyer)</w:t>
            </w:r>
          </w:p>
          <w:p w:rsidR="00D02EB6" w:rsidRPr="00D02EB6" w:rsidRDefault="00D02EB6" w:rsidP="00D02EB6">
            <w:pPr>
              <w:jc w:val="both"/>
              <w:rPr>
                <w:sz w:val="20"/>
              </w:rPr>
            </w:pPr>
            <w:hyperlink r:id="rId16" w:history="1">
              <w:r w:rsidRPr="00D02EB6">
                <w:rPr>
                  <w:rStyle w:val="Hyperlink"/>
                  <w:sz w:val="20"/>
                </w:rPr>
                <w:t>2021 QCCA 1222</w:t>
              </w:r>
            </w:hyperlink>
          </w:p>
          <w:p w:rsidR="00D02EB6" w:rsidRPr="00D02EB6" w:rsidRDefault="00D02EB6" w:rsidP="00D02EB6">
            <w:pPr>
              <w:jc w:val="both"/>
              <w:rPr>
                <w:sz w:val="20"/>
              </w:rPr>
            </w:pPr>
          </w:p>
        </w:tc>
        <w:tc>
          <w:tcPr>
            <w:tcW w:w="243" w:type="pct"/>
          </w:tcPr>
          <w:p w:rsidR="00D02EB6" w:rsidRPr="00D02EB6" w:rsidRDefault="00D02EB6" w:rsidP="00D02EB6">
            <w:pPr>
              <w:jc w:val="both"/>
              <w:rPr>
                <w:sz w:val="20"/>
              </w:rPr>
            </w:pPr>
          </w:p>
        </w:tc>
        <w:tc>
          <w:tcPr>
            <w:tcW w:w="2330" w:type="pct"/>
          </w:tcPr>
          <w:p w:rsidR="00D02EB6" w:rsidRPr="00D02EB6" w:rsidRDefault="00D02EB6" w:rsidP="00D02EB6">
            <w:pPr>
              <w:jc w:val="both"/>
              <w:rPr>
                <w:sz w:val="20"/>
                <w:lang w:val="fr-CA"/>
              </w:rPr>
            </w:pPr>
            <w:r w:rsidRPr="00D02EB6">
              <w:rPr>
                <w:sz w:val="20"/>
                <w:lang w:val="fr-CA"/>
              </w:rPr>
              <w:t xml:space="preserve">Jugement de première instance rétabli; station de ski déclarée coupable </w:t>
            </w:r>
          </w:p>
        </w:tc>
      </w:tr>
      <w:tr w:rsidR="00D02EB6" w:rsidRPr="00D02EB6" w:rsidTr="00E95A6A">
        <w:tc>
          <w:tcPr>
            <w:tcW w:w="2427" w:type="pct"/>
            <w:gridSpan w:val="2"/>
          </w:tcPr>
          <w:p w:rsidR="00D02EB6" w:rsidRPr="00D02EB6" w:rsidRDefault="00D02EB6" w:rsidP="00D02EB6">
            <w:pPr>
              <w:jc w:val="both"/>
              <w:rPr>
                <w:sz w:val="20"/>
                <w:lang w:val="fr-CA"/>
              </w:rPr>
            </w:pPr>
            <w:r w:rsidRPr="00D02EB6">
              <w:rPr>
                <w:sz w:val="20"/>
                <w:lang w:val="fr-CA"/>
              </w:rPr>
              <w:t>Le 1</w:t>
            </w:r>
            <w:r w:rsidRPr="00D02EB6">
              <w:rPr>
                <w:sz w:val="20"/>
                <w:vertAlign w:val="superscript"/>
                <w:lang w:val="fr-CA"/>
              </w:rPr>
              <w:t>er</w:t>
            </w:r>
            <w:r w:rsidRPr="00D02EB6">
              <w:rPr>
                <w:sz w:val="20"/>
                <w:lang w:val="fr-CA"/>
              </w:rPr>
              <w:t xml:space="preserve"> octobre 2021</w:t>
            </w:r>
          </w:p>
          <w:p w:rsidR="00D02EB6" w:rsidRPr="00D02EB6" w:rsidRDefault="00D02EB6" w:rsidP="00D02EB6">
            <w:pPr>
              <w:jc w:val="both"/>
              <w:rPr>
                <w:sz w:val="20"/>
                <w:lang w:val="fr-CA"/>
              </w:rPr>
            </w:pPr>
            <w:r w:rsidRPr="00D02EB6">
              <w:rPr>
                <w:sz w:val="20"/>
                <w:lang w:val="fr-CA"/>
              </w:rPr>
              <w:t>Cour suprême du Canada</w:t>
            </w:r>
          </w:p>
        </w:tc>
        <w:tc>
          <w:tcPr>
            <w:tcW w:w="243" w:type="pct"/>
          </w:tcPr>
          <w:p w:rsidR="00D02EB6" w:rsidRPr="00D02EB6" w:rsidRDefault="00D02EB6" w:rsidP="00D02EB6">
            <w:pPr>
              <w:jc w:val="both"/>
              <w:rPr>
                <w:sz w:val="20"/>
                <w:lang w:val="fr-CA"/>
              </w:rPr>
            </w:pPr>
          </w:p>
        </w:tc>
        <w:tc>
          <w:tcPr>
            <w:tcW w:w="2330" w:type="pct"/>
          </w:tcPr>
          <w:p w:rsidR="00D02EB6" w:rsidRPr="00D02EB6" w:rsidRDefault="00D02EB6" w:rsidP="00D02EB6">
            <w:pPr>
              <w:jc w:val="both"/>
              <w:rPr>
                <w:sz w:val="20"/>
                <w:lang w:val="fr-CA"/>
              </w:rPr>
            </w:pPr>
            <w:r w:rsidRPr="00D02EB6">
              <w:rPr>
                <w:sz w:val="20"/>
                <w:lang w:val="fr-CA"/>
              </w:rPr>
              <w:t>Demande d’autorisation d’appel déposée par la station de ski</w:t>
            </w:r>
          </w:p>
        </w:tc>
      </w:tr>
    </w:tbl>
    <w:p w:rsidR="00D02EB6" w:rsidRPr="00D02EB6" w:rsidRDefault="00D02EB6" w:rsidP="00D02EB6">
      <w:pPr>
        <w:jc w:val="both"/>
        <w:rPr>
          <w:sz w:val="20"/>
          <w:lang w:val="fr-CA"/>
        </w:rPr>
      </w:pPr>
    </w:p>
    <w:p w:rsidR="00D02EB6" w:rsidRPr="00D02EB6" w:rsidRDefault="00D02EB6" w:rsidP="00D02EB6">
      <w:pPr>
        <w:jc w:val="both"/>
        <w:rPr>
          <w:sz w:val="20"/>
          <w:lang w:val="fr-CA"/>
        </w:rPr>
      </w:pPr>
      <w:r w:rsidRPr="00D02EB6">
        <w:rPr>
          <w:sz w:val="20"/>
        </w:rPr>
        <w:pict>
          <v:rect id="_x0000_i1029" style="width:2in;height:1pt" o:hrpct="0" o:hralign="center" o:hrstd="t" o:hrnoshade="t" o:hr="t" fillcolor="black [3213]" stroked="f"/>
        </w:pict>
      </w:r>
    </w:p>
    <w:p w:rsidR="00474965" w:rsidRPr="00D02EB6" w:rsidRDefault="00474965" w:rsidP="00D02EB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224"/>
        <w:gridCol w:w="360"/>
        <w:gridCol w:w="4679"/>
      </w:tblGrid>
      <w:tr w:rsidR="00D02EB6" w:rsidRPr="00D02EB6" w:rsidTr="00E95A6A">
        <w:tc>
          <w:tcPr>
            <w:tcW w:w="543" w:type="pct"/>
          </w:tcPr>
          <w:p w:rsidR="00D02EB6" w:rsidRPr="00D02EB6" w:rsidRDefault="00D02EB6" w:rsidP="00D02EB6">
            <w:pPr>
              <w:jc w:val="both"/>
              <w:rPr>
                <w:sz w:val="20"/>
              </w:rPr>
            </w:pPr>
            <w:r w:rsidRPr="00D02EB6">
              <w:rPr>
                <w:rStyle w:val="SCCFileNumberChar"/>
                <w:sz w:val="20"/>
                <w:szCs w:val="20"/>
              </w:rPr>
              <w:t>40024</w:t>
            </w:r>
          </w:p>
        </w:tc>
        <w:tc>
          <w:tcPr>
            <w:tcW w:w="4457" w:type="pct"/>
            <w:gridSpan w:val="3"/>
          </w:tcPr>
          <w:p w:rsidR="00D02EB6" w:rsidRPr="00D02EB6" w:rsidRDefault="00D02EB6" w:rsidP="00D02EB6">
            <w:pPr>
              <w:pStyle w:val="SCCLsocParty"/>
              <w:jc w:val="both"/>
              <w:rPr>
                <w:b/>
                <w:sz w:val="20"/>
                <w:szCs w:val="20"/>
                <w:lang w:val="en-US"/>
              </w:rPr>
            </w:pPr>
            <w:r w:rsidRPr="00D02EB6">
              <w:rPr>
                <w:b/>
                <w:sz w:val="20"/>
                <w:szCs w:val="20"/>
                <w:lang w:val="en-US"/>
              </w:rPr>
              <w:t>Attorney General of Ontario, Her Majesty the Queen in Right of Ontario v. Mike Restoule, Patsy Corbiere, Duke Peltier, Peter Recollet, Dean Sayers And Roger Daybutch, on their own behalf and on behalf of all Members of the Ojibewa (Anishinaabe) Nation who are beneficiaries of the Robinson Huron Treaty of 1850, Red Rock First Nation, Whitesand First Nation, Attorney General of Canada</w:t>
            </w:r>
          </w:p>
          <w:p w:rsidR="00D02EB6" w:rsidRPr="00D02EB6" w:rsidRDefault="00D02EB6" w:rsidP="00D02EB6">
            <w:pPr>
              <w:pStyle w:val="SCCLsocSubfileSeparator"/>
              <w:rPr>
                <w:sz w:val="20"/>
                <w:szCs w:val="20"/>
              </w:rPr>
            </w:pPr>
            <w:r w:rsidRPr="00D02EB6">
              <w:rPr>
                <w:sz w:val="20"/>
                <w:szCs w:val="20"/>
              </w:rPr>
              <w:t>- and between -</w:t>
            </w:r>
          </w:p>
          <w:p w:rsidR="00D02EB6" w:rsidRPr="00D02EB6" w:rsidRDefault="00D02EB6" w:rsidP="00D02EB6">
            <w:pPr>
              <w:pStyle w:val="SCCLsocParty"/>
              <w:jc w:val="both"/>
              <w:rPr>
                <w:b/>
                <w:spacing w:val="-4"/>
                <w:sz w:val="20"/>
                <w:szCs w:val="20"/>
                <w:lang w:val="en-US"/>
              </w:rPr>
            </w:pPr>
            <w:r w:rsidRPr="00D02EB6">
              <w:rPr>
                <w:b/>
                <w:spacing w:val="-4"/>
                <w:sz w:val="20"/>
                <w:szCs w:val="20"/>
                <w:lang w:val="en-US"/>
              </w:rPr>
              <w:t>Attorney General of Ontario, Her Majesty the Queen in Right of Ontario v. Chief and Council of Red Rock First Nation, on behalf of the Red Rock First Nation Band of Indians, Chief and Council of the Whitesand First Nation on behalf of the Whitesand First Nation Band of Indians, Attorney General of Canada</w:t>
            </w:r>
          </w:p>
          <w:p w:rsidR="00D02EB6" w:rsidRPr="00D02EB6" w:rsidRDefault="00D02EB6" w:rsidP="00D02EB6">
            <w:pPr>
              <w:pStyle w:val="SCCLsocOtherPartySeparator"/>
              <w:rPr>
                <w:rFonts w:cs="Times New Roman"/>
                <w:sz w:val="20"/>
                <w:szCs w:val="20"/>
                <w:lang w:val="en-US"/>
              </w:rPr>
            </w:pPr>
            <w:r w:rsidRPr="00D02EB6">
              <w:rPr>
                <w:rFonts w:cs="Times New Roman"/>
                <w:sz w:val="20"/>
                <w:szCs w:val="20"/>
                <w:lang w:val="en-US"/>
              </w:rPr>
              <w:t>- and -</w:t>
            </w:r>
          </w:p>
          <w:p w:rsidR="00D02EB6" w:rsidRPr="00D02EB6" w:rsidRDefault="00D02EB6" w:rsidP="00D02EB6">
            <w:pPr>
              <w:pStyle w:val="SCCLsocParty"/>
              <w:jc w:val="both"/>
              <w:rPr>
                <w:b/>
                <w:sz w:val="20"/>
                <w:szCs w:val="20"/>
                <w:lang w:val="en-US"/>
              </w:rPr>
            </w:pPr>
            <w:r w:rsidRPr="00D02EB6">
              <w:rPr>
                <w:b/>
                <w:sz w:val="20"/>
                <w:szCs w:val="20"/>
                <w:lang w:val="en-US"/>
              </w:rPr>
              <w:t>Biigtigong Nishnaabeg First Nation (aka The Begetikong Anishnabe First Nation or The Ojibways of the Pic River First Nation</w:t>
            </w:r>
          </w:p>
          <w:p w:rsidR="00D02EB6" w:rsidRPr="00D02EB6" w:rsidRDefault="00D02EB6" w:rsidP="00D02EB6">
            <w:pPr>
              <w:jc w:val="both"/>
              <w:rPr>
                <w:sz w:val="20"/>
              </w:rPr>
            </w:pPr>
            <w:r w:rsidRPr="00D02EB6">
              <w:rPr>
                <w:sz w:val="20"/>
              </w:rPr>
              <w:t>(Ont.) (Civil) (By Leave)</w:t>
            </w:r>
          </w:p>
        </w:tc>
      </w:tr>
      <w:tr w:rsidR="00D02EB6" w:rsidRPr="00D02EB6" w:rsidTr="00E95A6A">
        <w:tc>
          <w:tcPr>
            <w:tcW w:w="5000" w:type="pct"/>
            <w:gridSpan w:val="4"/>
          </w:tcPr>
          <w:p w:rsidR="00D02EB6" w:rsidRPr="00D02EB6" w:rsidRDefault="00D02EB6" w:rsidP="00D02EB6">
            <w:pPr>
              <w:jc w:val="both"/>
              <w:rPr>
                <w:sz w:val="20"/>
              </w:rPr>
            </w:pPr>
            <w:r w:rsidRPr="00D02EB6">
              <w:rPr>
                <w:sz w:val="20"/>
              </w:rPr>
              <w:t>Aboriginal law — Treaty rights — Interpretation of treaty promises — Robinson-Huron Treaty of 1850 — Robinson-Superior Treaty of 1850 — Duty of diligent implementation — Proper approach to interpretation of treaties — Interpretation of Robinson Huron and Robinson Superior Treaties of 1850 — Whether treaty right to share net Crown resource</w:t>
            </w:r>
            <w:r w:rsidRPr="00D02EB6">
              <w:rPr>
                <w:sz w:val="20"/>
              </w:rPr>
              <w:noBreakHyphen/>
              <w:t>based revenues which reflects the relative wealth and needs of Indigenous and non</w:t>
            </w:r>
            <w:r w:rsidRPr="00D02EB6">
              <w:rPr>
                <w:sz w:val="20"/>
              </w:rPr>
              <w:noBreakHyphen/>
              <w:t>Indigenous communities would make courts central to treaty implementation, risk constitutionalizing substantive, affect future annuities, impact Ontario’s finances and its capacity to address other public needs, and bear on interpretation of post</w:t>
            </w:r>
            <w:r w:rsidRPr="00D02EB6">
              <w:rPr>
                <w:sz w:val="20"/>
              </w:rPr>
              <w:noBreakHyphen/>
              <w:t>Confederation numbered treaties — Whether those outcomes are contrary to text of Treaties — Existence and scope of distinct duty of diligent implementation arising from the Honour of the Crown — Whether breach of duty of diligent implementation gives rise to new constitutional cause of action leading to coercive equitable remedies.</w:t>
            </w:r>
          </w:p>
        </w:tc>
      </w:tr>
      <w:tr w:rsidR="00D02EB6" w:rsidRPr="00D02EB6" w:rsidTr="00E95A6A">
        <w:tc>
          <w:tcPr>
            <w:tcW w:w="5000" w:type="pct"/>
            <w:gridSpan w:val="4"/>
          </w:tcPr>
          <w:p w:rsidR="00D02EB6" w:rsidRPr="00D02EB6" w:rsidRDefault="00D02EB6" w:rsidP="00D02EB6">
            <w:pPr>
              <w:jc w:val="both"/>
              <w:rPr>
                <w:sz w:val="20"/>
              </w:rPr>
            </w:pPr>
          </w:p>
        </w:tc>
      </w:tr>
      <w:tr w:rsidR="00D02EB6" w:rsidRPr="00D02EB6" w:rsidTr="00E95A6A">
        <w:tc>
          <w:tcPr>
            <w:tcW w:w="5000" w:type="pct"/>
            <w:gridSpan w:val="4"/>
          </w:tcPr>
          <w:p w:rsidR="00D02EB6" w:rsidRPr="00D02EB6" w:rsidRDefault="00D02EB6" w:rsidP="00D02EB6">
            <w:pPr>
              <w:jc w:val="both"/>
              <w:rPr>
                <w:sz w:val="20"/>
              </w:rPr>
            </w:pPr>
            <w:r w:rsidRPr="00D02EB6">
              <w:rPr>
                <w:sz w:val="20"/>
              </w:rPr>
              <w:t>In 1850, the respondents, the Anishinaabe of the northern shores of Lakes Huron and Superior, entered into two treaties with the Crown: the Robinson</w:t>
            </w:r>
            <w:r w:rsidRPr="00D02EB6">
              <w:rPr>
                <w:sz w:val="20"/>
              </w:rPr>
              <w:noBreakHyphen/>
              <w:t>Huron Treaty and the Robinson</w:t>
            </w:r>
            <w:r w:rsidRPr="00D02EB6">
              <w:rPr>
                <w:sz w:val="20"/>
              </w:rPr>
              <w:noBreakHyphen/>
              <w:t>Superior Treaty (“Treaties”). The Treaties provided for cessation of a vast territory in northern Ontario, and for payment, in perpetuity, of an annuity to the Anishinaabe. The initial agreed</w:t>
            </w:r>
            <w:r w:rsidRPr="00D02EB6">
              <w:rPr>
                <w:sz w:val="20"/>
              </w:rPr>
              <w:noBreakHyphen/>
              <w:t>upon sum was paid and an Order</w:t>
            </w:r>
            <w:r w:rsidRPr="00D02EB6">
              <w:rPr>
                <w:sz w:val="20"/>
              </w:rPr>
              <w:noBreakHyphen/>
              <w:t>in</w:t>
            </w:r>
            <w:r w:rsidRPr="00D02EB6">
              <w:rPr>
                <w:sz w:val="20"/>
              </w:rPr>
              <w:noBreakHyphen/>
              <w:t xml:space="preserve">Council declared them ratified and confirmed. In 1875, the annuity was increased to $4 (₤1) per person, and, in 1877, the Huron and Superior chiefs petitioned successfully for arrears on the increase since the conditions for increasing the annuity had been met long before the increase. The annuity has not changed since. </w:t>
            </w:r>
          </w:p>
          <w:p w:rsidR="00D02EB6" w:rsidRPr="00D02EB6" w:rsidRDefault="00D02EB6" w:rsidP="00D02EB6">
            <w:pPr>
              <w:jc w:val="both"/>
              <w:rPr>
                <w:sz w:val="20"/>
              </w:rPr>
            </w:pPr>
          </w:p>
          <w:p w:rsidR="00D02EB6" w:rsidRPr="00D02EB6" w:rsidRDefault="00D02EB6" w:rsidP="00D02EB6">
            <w:pPr>
              <w:jc w:val="both"/>
              <w:rPr>
                <w:sz w:val="20"/>
              </w:rPr>
            </w:pPr>
            <w:r w:rsidRPr="00D02EB6">
              <w:rPr>
                <w:sz w:val="20"/>
              </w:rPr>
              <w:t>The Huron respondents initiated an action against Canada and Ontario seeking declaratory and compensatory relief related to the interpretation, implementation and alleged breach of the annuity provisions in the Robinson</w:t>
            </w:r>
            <w:r w:rsidRPr="00D02EB6">
              <w:rPr>
                <w:sz w:val="20"/>
              </w:rPr>
              <w:noBreakHyphen/>
              <w:t xml:space="preserve">Huron </w:t>
            </w:r>
            <w:r w:rsidRPr="00D02EB6">
              <w:rPr>
                <w:sz w:val="20"/>
              </w:rPr>
              <w:lastRenderedPageBreak/>
              <w:t>Treaty; the Superior respondents made the same claims under the Robinson</w:t>
            </w:r>
            <w:r w:rsidRPr="00D02EB6">
              <w:rPr>
                <w:sz w:val="20"/>
              </w:rPr>
              <w:noBreakHyphen/>
              <w:t>Superior Treaty. The actions were tried together, split into three stages. At Stage One, the Treaties were interpreted, at Stage Two, the defences of Crown immunity and limitations were addressed, and, at Stage Three, the remaining issues (</w:t>
            </w:r>
            <w:r w:rsidRPr="00D02EB6">
              <w:rPr>
                <w:i/>
                <w:sz w:val="20"/>
              </w:rPr>
              <w:t>inter alia</w:t>
            </w:r>
            <w:r w:rsidRPr="00D02EB6">
              <w:rPr>
                <w:sz w:val="20"/>
              </w:rPr>
              <w:t>, damages and the allocation of liability) will be addressed. This application relates to Stages One and Two; Stage Three has yet to be heard.</w:t>
            </w:r>
          </w:p>
          <w:p w:rsidR="00D02EB6" w:rsidRPr="00D02EB6" w:rsidRDefault="00D02EB6" w:rsidP="00D02EB6">
            <w:pPr>
              <w:jc w:val="both"/>
              <w:rPr>
                <w:sz w:val="20"/>
              </w:rPr>
            </w:pPr>
          </w:p>
          <w:p w:rsidR="00D02EB6" w:rsidRPr="00D02EB6" w:rsidRDefault="00D02EB6" w:rsidP="00D02EB6">
            <w:pPr>
              <w:jc w:val="both"/>
              <w:rPr>
                <w:sz w:val="20"/>
              </w:rPr>
            </w:pPr>
            <w:r w:rsidRPr="00D02EB6">
              <w:rPr>
                <w:sz w:val="20"/>
              </w:rPr>
              <w:t>At Stage One, the trial judge interpreted the Treaties as requiring the Crown to increase the annuity when the Crown’s net resource</w:t>
            </w:r>
            <w:r w:rsidRPr="00D02EB6">
              <w:rPr>
                <w:sz w:val="20"/>
              </w:rPr>
              <w:noBreakHyphen/>
              <w:t>based revenues from the treaty territories are such that the increase would not cause the Crown to suffer a loss. The annuity was to correspond to “fair share” of those revenues, which stood to be determined in consultation with First Nations parties. The Crown was subject to duties flowing from honour of Crown and fiduciary duty, and a duty of diligent implementation applied to the augmentation promise. At Stage Two, she rejected the Crown’s claims as to limitations and Crown immunity. A five</w:t>
            </w:r>
            <w:r w:rsidRPr="00D02EB6">
              <w:rPr>
                <w:sz w:val="20"/>
              </w:rPr>
              <w:noBreakHyphen/>
              <w:t>member panel of the Court of Appeal allowed the appeal of Stage One order in part (</w:t>
            </w:r>
            <w:r w:rsidRPr="00D02EB6">
              <w:rPr>
                <w:i/>
                <w:sz w:val="20"/>
              </w:rPr>
              <w:t>inter alia</w:t>
            </w:r>
            <w:r w:rsidRPr="00D02EB6">
              <w:rPr>
                <w:sz w:val="20"/>
              </w:rPr>
              <w:t>, the references to a “fair share” and to fiduciary duty were removed from the order, and the costs award to Huron parties was amended). The appeal of the Stage Two decision was dismissed.</w:t>
            </w:r>
          </w:p>
          <w:p w:rsidR="00D02EB6" w:rsidRPr="00D02EB6" w:rsidRDefault="00D02EB6" w:rsidP="00D02EB6">
            <w:pPr>
              <w:jc w:val="both"/>
              <w:rPr>
                <w:sz w:val="20"/>
              </w:rPr>
            </w:pPr>
          </w:p>
        </w:tc>
      </w:tr>
      <w:tr w:rsidR="00D02EB6" w:rsidRPr="00D02EB6" w:rsidTr="00D26713">
        <w:tc>
          <w:tcPr>
            <w:tcW w:w="2282" w:type="pct"/>
            <w:gridSpan w:val="2"/>
          </w:tcPr>
          <w:p w:rsidR="00D02EB6" w:rsidRPr="00D02EB6" w:rsidRDefault="00D02EB6" w:rsidP="00D02EB6">
            <w:pPr>
              <w:jc w:val="both"/>
              <w:rPr>
                <w:sz w:val="20"/>
              </w:rPr>
            </w:pPr>
            <w:r w:rsidRPr="00D02EB6">
              <w:rPr>
                <w:sz w:val="20"/>
              </w:rPr>
              <w:lastRenderedPageBreak/>
              <w:t>June 17, 2019</w:t>
            </w:r>
          </w:p>
          <w:p w:rsidR="00D02EB6" w:rsidRPr="00D02EB6" w:rsidRDefault="00D02EB6" w:rsidP="00D02EB6">
            <w:pPr>
              <w:jc w:val="both"/>
              <w:rPr>
                <w:sz w:val="20"/>
              </w:rPr>
            </w:pPr>
            <w:r w:rsidRPr="00D02EB6">
              <w:rPr>
                <w:sz w:val="20"/>
              </w:rPr>
              <w:t>Ontario Superior Court of Justice</w:t>
            </w:r>
          </w:p>
          <w:p w:rsidR="00D02EB6" w:rsidRPr="00D02EB6" w:rsidRDefault="00D02EB6" w:rsidP="00D02EB6">
            <w:pPr>
              <w:jc w:val="both"/>
              <w:rPr>
                <w:sz w:val="20"/>
              </w:rPr>
            </w:pPr>
            <w:r w:rsidRPr="00D02EB6">
              <w:rPr>
                <w:sz w:val="20"/>
              </w:rPr>
              <w:t>(Hennessy J.)</w:t>
            </w:r>
          </w:p>
          <w:p w:rsidR="00D02EB6" w:rsidRPr="00D02EB6" w:rsidRDefault="00D02EB6" w:rsidP="00D02EB6">
            <w:pPr>
              <w:jc w:val="both"/>
              <w:rPr>
                <w:sz w:val="20"/>
              </w:rPr>
            </w:pPr>
            <w:hyperlink r:id="rId17" w:history="1">
              <w:r w:rsidRPr="00D02EB6">
                <w:rPr>
                  <w:rStyle w:val="Hyperlink"/>
                  <w:sz w:val="20"/>
                </w:rPr>
                <w:t>2018 ONSC 7701</w:t>
              </w:r>
            </w:hyperlink>
            <w:r w:rsidRPr="00D02EB6">
              <w:rPr>
                <w:sz w:val="20"/>
              </w:rPr>
              <w:t xml:space="preserve"> (Stage One)</w:t>
            </w:r>
          </w:p>
        </w:tc>
        <w:tc>
          <w:tcPr>
            <w:tcW w:w="194" w:type="pct"/>
          </w:tcPr>
          <w:p w:rsidR="00D02EB6" w:rsidRPr="00D02EB6" w:rsidRDefault="00D02EB6" w:rsidP="00D02EB6">
            <w:pPr>
              <w:jc w:val="both"/>
              <w:rPr>
                <w:sz w:val="20"/>
              </w:rPr>
            </w:pPr>
          </w:p>
        </w:tc>
        <w:tc>
          <w:tcPr>
            <w:tcW w:w="2524" w:type="pct"/>
          </w:tcPr>
          <w:p w:rsidR="00D02EB6" w:rsidRPr="00D02EB6" w:rsidRDefault="00D02EB6" w:rsidP="00D02EB6">
            <w:pPr>
              <w:jc w:val="both"/>
              <w:rPr>
                <w:sz w:val="20"/>
              </w:rPr>
            </w:pPr>
            <w:r w:rsidRPr="00D02EB6">
              <w:rPr>
                <w:i/>
                <w:sz w:val="20"/>
              </w:rPr>
              <w:t>Inter alia</w:t>
            </w:r>
            <w:r w:rsidRPr="00D02EB6">
              <w:rPr>
                <w:sz w:val="20"/>
              </w:rPr>
              <w:t>, the Treaties require Crown to increase annuity amount when net Crown resource</w:t>
            </w:r>
            <w:r w:rsidRPr="00D02EB6">
              <w:rPr>
                <w:sz w:val="20"/>
              </w:rPr>
              <w:noBreakHyphen/>
              <w:t>based revenues from treaty territory increase sufficiently; annuity to correspond to fair share of net revenue; revenue to be determined in consultation with First Nations parties; Crown subject to duties flowing from honour of Crown and fiduciary duty; augmentation promise must be diligently implemented</w:t>
            </w:r>
          </w:p>
          <w:p w:rsidR="00D02EB6" w:rsidRPr="00D02EB6" w:rsidRDefault="00D02EB6" w:rsidP="00D02EB6">
            <w:pPr>
              <w:jc w:val="both"/>
              <w:rPr>
                <w:sz w:val="20"/>
              </w:rPr>
            </w:pPr>
          </w:p>
        </w:tc>
      </w:tr>
      <w:tr w:rsidR="00D02EB6" w:rsidRPr="00D02EB6" w:rsidTr="00D26713">
        <w:tc>
          <w:tcPr>
            <w:tcW w:w="2282" w:type="pct"/>
            <w:gridSpan w:val="2"/>
          </w:tcPr>
          <w:p w:rsidR="00D02EB6" w:rsidRPr="00D02EB6" w:rsidRDefault="00D02EB6" w:rsidP="00D02EB6">
            <w:pPr>
              <w:jc w:val="both"/>
              <w:rPr>
                <w:sz w:val="20"/>
              </w:rPr>
            </w:pPr>
            <w:r w:rsidRPr="00D02EB6">
              <w:rPr>
                <w:sz w:val="20"/>
              </w:rPr>
              <w:t>June 26, 2020</w:t>
            </w:r>
          </w:p>
          <w:p w:rsidR="00D02EB6" w:rsidRPr="00D02EB6" w:rsidRDefault="00D02EB6" w:rsidP="00D02EB6">
            <w:pPr>
              <w:jc w:val="both"/>
              <w:rPr>
                <w:sz w:val="20"/>
              </w:rPr>
            </w:pPr>
            <w:r w:rsidRPr="00D02EB6">
              <w:rPr>
                <w:sz w:val="20"/>
              </w:rPr>
              <w:t>Ontario Superior Court of Justice</w:t>
            </w:r>
          </w:p>
          <w:p w:rsidR="00D02EB6" w:rsidRPr="00D02EB6" w:rsidRDefault="00D02EB6" w:rsidP="00D02EB6">
            <w:pPr>
              <w:jc w:val="both"/>
              <w:rPr>
                <w:sz w:val="20"/>
              </w:rPr>
            </w:pPr>
            <w:r w:rsidRPr="00D02EB6">
              <w:rPr>
                <w:sz w:val="20"/>
              </w:rPr>
              <w:t>(Hennessy J.)</w:t>
            </w:r>
          </w:p>
          <w:p w:rsidR="00D02EB6" w:rsidRPr="00D02EB6" w:rsidRDefault="00D02EB6" w:rsidP="00D02EB6">
            <w:pPr>
              <w:jc w:val="both"/>
              <w:rPr>
                <w:sz w:val="20"/>
              </w:rPr>
            </w:pPr>
            <w:hyperlink r:id="rId18" w:history="1">
              <w:r w:rsidRPr="00D02EB6">
                <w:rPr>
                  <w:rStyle w:val="Hyperlink"/>
                  <w:sz w:val="20"/>
                </w:rPr>
                <w:t>2020 ONSC 3932</w:t>
              </w:r>
            </w:hyperlink>
            <w:r w:rsidRPr="00D02EB6">
              <w:rPr>
                <w:sz w:val="20"/>
              </w:rPr>
              <w:t xml:space="preserve"> (Stage Two)</w:t>
            </w:r>
          </w:p>
          <w:p w:rsidR="00D02EB6" w:rsidRPr="00D02EB6" w:rsidRDefault="00D02EB6" w:rsidP="00D02EB6">
            <w:pPr>
              <w:jc w:val="both"/>
              <w:rPr>
                <w:sz w:val="20"/>
              </w:rPr>
            </w:pPr>
          </w:p>
        </w:tc>
        <w:tc>
          <w:tcPr>
            <w:tcW w:w="194" w:type="pct"/>
          </w:tcPr>
          <w:p w:rsidR="00D02EB6" w:rsidRPr="00D02EB6" w:rsidRDefault="00D02EB6" w:rsidP="00D02EB6">
            <w:pPr>
              <w:jc w:val="both"/>
              <w:rPr>
                <w:sz w:val="20"/>
              </w:rPr>
            </w:pPr>
          </w:p>
        </w:tc>
        <w:tc>
          <w:tcPr>
            <w:tcW w:w="2524" w:type="pct"/>
          </w:tcPr>
          <w:p w:rsidR="00D02EB6" w:rsidRPr="00D02EB6" w:rsidRDefault="00D02EB6" w:rsidP="00D02EB6">
            <w:pPr>
              <w:tabs>
                <w:tab w:val="left" w:pos="1547"/>
              </w:tabs>
              <w:jc w:val="both"/>
              <w:rPr>
                <w:sz w:val="20"/>
              </w:rPr>
            </w:pPr>
            <w:r w:rsidRPr="00D02EB6">
              <w:rPr>
                <w:sz w:val="20"/>
              </w:rPr>
              <w:t>Respondents’ claims not barred by limitations legislation; Crown not to benefit from Crown immunity; partial summary judgment on questions of limitations and Crown immunity</w:t>
            </w:r>
          </w:p>
          <w:p w:rsidR="00D02EB6" w:rsidRPr="00D02EB6" w:rsidRDefault="00D02EB6" w:rsidP="00D02EB6">
            <w:pPr>
              <w:jc w:val="both"/>
              <w:rPr>
                <w:sz w:val="20"/>
              </w:rPr>
            </w:pPr>
          </w:p>
        </w:tc>
      </w:tr>
      <w:tr w:rsidR="00D02EB6" w:rsidRPr="00D02EB6" w:rsidTr="00D26713">
        <w:tc>
          <w:tcPr>
            <w:tcW w:w="2282" w:type="pct"/>
            <w:gridSpan w:val="2"/>
          </w:tcPr>
          <w:p w:rsidR="00D02EB6" w:rsidRPr="00D02EB6" w:rsidRDefault="00D02EB6" w:rsidP="00D02EB6">
            <w:pPr>
              <w:jc w:val="both"/>
              <w:rPr>
                <w:sz w:val="20"/>
              </w:rPr>
            </w:pPr>
            <w:r w:rsidRPr="00D02EB6">
              <w:rPr>
                <w:sz w:val="20"/>
              </w:rPr>
              <w:t>November 5, 2021</w:t>
            </w:r>
          </w:p>
          <w:p w:rsidR="00D02EB6" w:rsidRPr="00D02EB6" w:rsidRDefault="00D02EB6" w:rsidP="00D02EB6">
            <w:pPr>
              <w:jc w:val="both"/>
              <w:rPr>
                <w:sz w:val="20"/>
              </w:rPr>
            </w:pPr>
            <w:r w:rsidRPr="00D02EB6">
              <w:rPr>
                <w:sz w:val="20"/>
              </w:rPr>
              <w:t>Court of Appeal for Ontario</w:t>
            </w:r>
          </w:p>
          <w:p w:rsidR="00D02EB6" w:rsidRPr="00D02EB6" w:rsidRDefault="00D02EB6" w:rsidP="00D02EB6">
            <w:pPr>
              <w:jc w:val="both"/>
              <w:rPr>
                <w:sz w:val="20"/>
              </w:rPr>
            </w:pPr>
            <w:r w:rsidRPr="00D02EB6">
              <w:rPr>
                <w:sz w:val="20"/>
              </w:rPr>
              <w:t>(Strathy C.J.O., Lauwers, Hourigan, Pardu and</w:t>
            </w:r>
          </w:p>
          <w:p w:rsidR="00D02EB6" w:rsidRPr="00D02EB6" w:rsidRDefault="00D02EB6" w:rsidP="00D02EB6">
            <w:pPr>
              <w:jc w:val="both"/>
              <w:rPr>
                <w:sz w:val="20"/>
              </w:rPr>
            </w:pPr>
            <w:r w:rsidRPr="00D02EB6">
              <w:rPr>
                <w:sz w:val="20"/>
              </w:rPr>
              <w:t>Brown JJ.A.)</w:t>
            </w:r>
          </w:p>
          <w:p w:rsidR="00D02EB6" w:rsidRPr="00D02EB6" w:rsidRDefault="00D02EB6" w:rsidP="00D02EB6">
            <w:pPr>
              <w:jc w:val="both"/>
              <w:rPr>
                <w:sz w:val="20"/>
              </w:rPr>
            </w:pPr>
            <w:hyperlink r:id="rId19" w:history="1">
              <w:r w:rsidRPr="00D02EB6">
                <w:rPr>
                  <w:rStyle w:val="Hyperlink"/>
                  <w:sz w:val="20"/>
                </w:rPr>
                <w:t>2021 ONCA 779</w:t>
              </w:r>
            </w:hyperlink>
          </w:p>
          <w:p w:rsidR="00D02EB6" w:rsidRPr="00D02EB6" w:rsidRDefault="00D02EB6" w:rsidP="00D02EB6">
            <w:pPr>
              <w:jc w:val="both"/>
              <w:rPr>
                <w:sz w:val="20"/>
              </w:rPr>
            </w:pPr>
          </w:p>
        </w:tc>
        <w:tc>
          <w:tcPr>
            <w:tcW w:w="194" w:type="pct"/>
          </w:tcPr>
          <w:p w:rsidR="00D02EB6" w:rsidRPr="00D02EB6" w:rsidRDefault="00D02EB6" w:rsidP="00D02EB6">
            <w:pPr>
              <w:jc w:val="both"/>
              <w:rPr>
                <w:sz w:val="20"/>
              </w:rPr>
            </w:pPr>
          </w:p>
        </w:tc>
        <w:tc>
          <w:tcPr>
            <w:tcW w:w="2524" w:type="pct"/>
          </w:tcPr>
          <w:p w:rsidR="00D02EB6" w:rsidRPr="00D02EB6" w:rsidRDefault="00D02EB6" w:rsidP="00D02EB6">
            <w:pPr>
              <w:jc w:val="both"/>
              <w:rPr>
                <w:sz w:val="20"/>
              </w:rPr>
            </w:pPr>
            <w:r w:rsidRPr="00D02EB6">
              <w:rPr>
                <w:sz w:val="20"/>
              </w:rPr>
              <w:t>Appeal of Stage One order allowed in part (</w:t>
            </w:r>
            <w:r w:rsidRPr="00D02EB6">
              <w:rPr>
                <w:i/>
                <w:sz w:val="20"/>
              </w:rPr>
              <w:t>inter alia</w:t>
            </w:r>
            <w:r w:rsidRPr="00D02EB6">
              <w:rPr>
                <w:sz w:val="20"/>
              </w:rPr>
              <w:t>, “fair share” references and reference to fiduciary duty deleted; costs award to Huron parties amended); appeal of Stage Two decision dismissed</w:t>
            </w:r>
          </w:p>
          <w:p w:rsidR="00D02EB6" w:rsidRPr="00D02EB6" w:rsidRDefault="00D02EB6" w:rsidP="00D02EB6">
            <w:pPr>
              <w:jc w:val="both"/>
              <w:rPr>
                <w:sz w:val="20"/>
              </w:rPr>
            </w:pPr>
          </w:p>
        </w:tc>
      </w:tr>
      <w:tr w:rsidR="00D02EB6" w:rsidRPr="00D02EB6" w:rsidTr="00D26713">
        <w:tc>
          <w:tcPr>
            <w:tcW w:w="2282" w:type="pct"/>
            <w:gridSpan w:val="2"/>
          </w:tcPr>
          <w:p w:rsidR="00D02EB6" w:rsidRPr="00D02EB6" w:rsidRDefault="00D02EB6" w:rsidP="00D02EB6">
            <w:pPr>
              <w:jc w:val="both"/>
              <w:rPr>
                <w:sz w:val="20"/>
              </w:rPr>
            </w:pPr>
            <w:r w:rsidRPr="00D02EB6">
              <w:rPr>
                <w:sz w:val="20"/>
              </w:rPr>
              <w:t>January 4, 2022</w:t>
            </w:r>
          </w:p>
          <w:p w:rsidR="00D02EB6" w:rsidRPr="00D02EB6" w:rsidRDefault="00D02EB6" w:rsidP="00D02EB6">
            <w:pPr>
              <w:jc w:val="both"/>
              <w:rPr>
                <w:sz w:val="20"/>
              </w:rPr>
            </w:pPr>
            <w:r w:rsidRPr="00D02EB6">
              <w:rPr>
                <w:sz w:val="20"/>
              </w:rPr>
              <w:t>Supreme Court of Canada</w:t>
            </w:r>
          </w:p>
          <w:p w:rsidR="00D02EB6" w:rsidRPr="00D02EB6" w:rsidRDefault="00D02EB6" w:rsidP="00D02EB6">
            <w:pPr>
              <w:jc w:val="both"/>
              <w:rPr>
                <w:sz w:val="20"/>
              </w:rPr>
            </w:pPr>
          </w:p>
        </w:tc>
        <w:tc>
          <w:tcPr>
            <w:tcW w:w="194" w:type="pct"/>
          </w:tcPr>
          <w:p w:rsidR="00D02EB6" w:rsidRPr="00D02EB6" w:rsidRDefault="00D02EB6" w:rsidP="00D02EB6">
            <w:pPr>
              <w:jc w:val="both"/>
              <w:rPr>
                <w:sz w:val="20"/>
              </w:rPr>
            </w:pPr>
          </w:p>
        </w:tc>
        <w:tc>
          <w:tcPr>
            <w:tcW w:w="2524" w:type="pct"/>
          </w:tcPr>
          <w:p w:rsidR="00D02EB6" w:rsidRPr="00D02EB6" w:rsidRDefault="00D02EB6" w:rsidP="00D02EB6">
            <w:pPr>
              <w:jc w:val="both"/>
              <w:rPr>
                <w:sz w:val="20"/>
              </w:rPr>
            </w:pPr>
            <w:r w:rsidRPr="00D02EB6">
              <w:rPr>
                <w:sz w:val="20"/>
              </w:rPr>
              <w:t>Application for leave to appeal filed</w:t>
            </w:r>
          </w:p>
          <w:p w:rsidR="00D02EB6" w:rsidRPr="00D02EB6" w:rsidRDefault="00D02EB6" w:rsidP="00D02EB6">
            <w:pPr>
              <w:jc w:val="both"/>
              <w:rPr>
                <w:sz w:val="20"/>
              </w:rPr>
            </w:pPr>
          </w:p>
        </w:tc>
      </w:tr>
      <w:tr w:rsidR="00D02EB6" w:rsidRPr="00D02EB6" w:rsidTr="00D26713">
        <w:tc>
          <w:tcPr>
            <w:tcW w:w="2282" w:type="pct"/>
            <w:gridSpan w:val="2"/>
          </w:tcPr>
          <w:p w:rsidR="00D02EB6" w:rsidRPr="00D02EB6" w:rsidRDefault="00D02EB6" w:rsidP="00D02EB6">
            <w:pPr>
              <w:jc w:val="both"/>
              <w:rPr>
                <w:sz w:val="20"/>
              </w:rPr>
            </w:pPr>
            <w:r w:rsidRPr="00D02EB6">
              <w:rPr>
                <w:sz w:val="20"/>
              </w:rPr>
              <w:t>February 18, 2022</w:t>
            </w:r>
          </w:p>
          <w:p w:rsidR="00D02EB6" w:rsidRPr="00D02EB6" w:rsidRDefault="00D02EB6" w:rsidP="00D02EB6">
            <w:pPr>
              <w:jc w:val="both"/>
              <w:rPr>
                <w:sz w:val="20"/>
              </w:rPr>
            </w:pPr>
            <w:r w:rsidRPr="00D02EB6">
              <w:rPr>
                <w:sz w:val="20"/>
              </w:rPr>
              <w:t>Supreme Court of Canada</w:t>
            </w:r>
          </w:p>
          <w:p w:rsidR="00D02EB6" w:rsidRPr="00D02EB6" w:rsidRDefault="00D02EB6" w:rsidP="00D02EB6">
            <w:pPr>
              <w:jc w:val="both"/>
              <w:rPr>
                <w:sz w:val="20"/>
              </w:rPr>
            </w:pPr>
          </w:p>
        </w:tc>
        <w:tc>
          <w:tcPr>
            <w:tcW w:w="194" w:type="pct"/>
          </w:tcPr>
          <w:p w:rsidR="00D02EB6" w:rsidRPr="00D02EB6" w:rsidRDefault="00D02EB6" w:rsidP="00D02EB6">
            <w:pPr>
              <w:jc w:val="both"/>
              <w:rPr>
                <w:sz w:val="20"/>
              </w:rPr>
            </w:pPr>
          </w:p>
        </w:tc>
        <w:tc>
          <w:tcPr>
            <w:tcW w:w="2524" w:type="pct"/>
          </w:tcPr>
          <w:p w:rsidR="00D02EB6" w:rsidRPr="00D02EB6" w:rsidRDefault="00D02EB6" w:rsidP="00D02EB6">
            <w:pPr>
              <w:jc w:val="both"/>
              <w:rPr>
                <w:sz w:val="20"/>
              </w:rPr>
            </w:pPr>
            <w:r w:rsidRPr="00D02EB6">
              <w:rPr>
                <w:sz w:val="20"/>
              </w:rPr>
              <w:t>Conditional applications for leave to cross appeal filed by Red Rock First Nation and the Whitesand First Nation</w:t>
            </w:r>
          </w:p>
          <w:p w:rsidR="00D02EB6" w:rsidRPr="00D02EB6" w:rsidRDefault="00D02EB6" w:rsidP="00D02EB6">
            <w:pPr>
              <w:jc w:val="both"/>
              <w:rPr>
                <w:sz w:val="20"/>
              </w:rPr>
            </w:pPr>
          </w:p>
        </w:tc>
      </w:tr>
      <w:tr w:rsidR="00D02EB6" w:rsidRPr="00D02EB6" w:rsidTr="00D26713">
        <w:tc>
          <w:tcPr>
            <w:tcW w:w="2282" w:type="pct"/>
            <w:gridSpan w:val="2"/>
          </w:tcPr>
          <w:p w:rsidR="00D02EB6" w:rsidRPr="00D02EB6" w:rsidRDefault="00D02EB6" w:rsidP="00D02EB6">
            <w:pPr>
              <w:jc w:val="both"/>
              <w:rPr>
                <w:sz w:val="20"/>
              </w:rPr>
            </w:pPr>
            <w:r w:rsidRPr="00D02EB6">
              <w:rPr>
                <w:sz w:val="20"/>
              </w:rPr>
              <w:t>February 18, 2022</w:t>
            </w:r>
          </w:p>
          <w:p w:rsidR="00D02EB6" w:rsidRPr="00D02EB6" w:rsidRDefault="00D02EB6" w:rsidP="00D02EB6">
            <w:pPr>
              <w:jc w:val="both"/>
              <w:rPr>
                <w:sz w:val="20"/>
              </w:rPr>
            </w:pPr>
            <w:r w:rsidRPr="00D02EB6">
              <w:rPr>
                <w:sz w:val="20"/>
              </w:rPr>
              <w:t>Supreme Court of Canada</w:t>
            </w:r>
          </w:p>
        </w:tc>
        <w:tc>
          <w:tcPr>
            <w:tcW w:w="194" w:type="pct"/>
          </w:tcPr>
          <w:p w:rsidR="00D02EB6" w:rsidRPr="00D02EB6" w:rsidRDefault="00D02EB6" w:rsidP="00D02EB6">
            <w:pPr>
              <w:jc w:val="both"/>
              <w:rPr>
                <w:sz w:val="20"/>
              </w:rPr>
            </w:pPr>
          </w:p>
        </w:tc>
        <w:tc>
          <w:tcPr>
            <w:tcW w:w="2524" w:type="pct"/>
          </w:tcPr>
          <w:p w:rsidR="00D02EB6" w:rsidRPr="00D02EB6" w:rsidRDefault="00D02EB6" w:rsidP="00D02EB6">
            <w:pPr>
              <w:jc w:val="both"/>
              <w:rPr>
                <w:sz w:val="20"/>
              </w:rPr>
            </w:pPr>
            <w:r w:rsidRPr="00D02EB6">
              <w:rPr>
                <w:sz w:val="20"/>
              </w:rPr>
              <w:t>Application for leave to intervene in application for leave to appeal filed by the Biigtigong Nishnaabeg First Nation</w:t>
            </w:r>
          </w:p>
        </w:tc>
      </w:tr>
    </w:tbl>
    <w:p w:rsidR="00D02EB6" w:rsidRPr="00D02EB6" w:rsidRDefault="00D02EB6" w:rsidP="00D02EB6">
      <w:pPr>
        <w:jc w:val="both"/>
        <w:rPr>
          <w:sz w:val="20"/>
        </w:rPr>
      </w:pPr>
    </w:p>
    <w:p w:rsidR="00D02EB6" w:rsidRPr="00D02EB6" w:rsidRDefault="00D02EB6" w:rsidP="00D02EB6">
      <w:pPr>
        <w:jc w:val="both"/>
        <w:rPr>
          <w:sz w:val="20"/>
        </w:rPr>
      </w:pPr>
      <w:r w:rsidRPr="00D02EB6">
        <w:rPr>
          <w:sz w:val="20"/>
        </w:rPr>
        <w:pict>
          <v:rect id="_x0000_i1030" style="width:2in;height:1pt" o:hrpct="0" o:hralign="center" o:hrstd="t" o:hrnoshade="t" o:hr="t" fillcolor="black [3213]" stroked="f"/>
        </w:pict>
      </w:r>
    </w:p>
    <w:p w:rsidR="00D02EB6" w:rsidRPr="00D02EB6" w:rsidRDefault="00D02EB6" w:rsidP="00D02EB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224"/>
        <w:gridCol w:w="360"/>
        <w:gridCol w:w="4679"/>
      </w:tblGrid>
      <w:tr w:rsidR="00D02EB6" w:rsidRPr="00D02EB6" w:rsidTr="00E95A6A">
        <w:tc>
          <w:tcPr>
            <w:tcW w:w="543" w:type="pct"/>
          </w:tcPr>
          <w:p w:rsidR="00D02EB6" w:rsidRPr="00D02EB6" w:rsidRDefault="00D02EB6" w:rsidP="00D02EB6">
            <w:pPr>
              <w:jc w:val="both"/>
              <w:rPr>
                <w:sz w:val="20"/>
                <w:lang w:val="fr-CA"/>
              </w:rPr>
            </w:pPr>
            <w:r w:rsidRPr="00D02EB6">
              <w:rPr>
                <w:rStyle w:val="SCCFileNumberChar"/>
                <w:sz w:val="20"/>
                <w:szCs w:val="20"/>
                <w:lang w:val="fr-CA"/>
              </w:rPr>
              <w:t>40024</w:t>
            </w:r>
          </w:p>
        </w:tc>
        <w:tc>
          <w:tcPr>
            <w:tcW w:w="4457" w:type="pct"/>
            <w:gridSpan w:val="3"/>
          </w:tcPr>
          <w:p w:rsidR="00D02EB6" w:rsidRPr="00D02EB6" w:rsidRDefault="00D02EB6" w:rsidP="00D02EB6">
            <w:pPr>
              <w:pStyle w:val="SCCLsocParty"/>
              <w:jc w:val="both"/>
              <w:rPr>
                <w:b/>
                <w:sz w:val="20"/>
                <w:szCs w:val="20"/>
              </w:rPr>
            </w:pPr>
            <w:r w:rsidRPr="00D02EB6">
              <w:rPr>
                <w:b/>
                <w:sz w:val="20"/>
                <w:szCs w:val="20"/>
              </w:rPr>
              <w:t>Procureur général de l’Ontario, Sa Majesté la Reine du chef de l’Ontario c. Mike Restoule, Patsy Corbiere, Duke Peltier, Peter Recollet, Dean Sayers et Roger Daybutch, en leur propre nom, et au nom de tous les membres de la Nation ojibwée (anishinabée) qui sont bénéficiaires du Traité Robinson-Huron de 1850, Première nation de Red Rock, Première nation de Whitesand, Procureur général du Canada</w:t>
            </w:r>
          </w:p>
          <w:p w:rsidR="00D02EB6" w:rsidRPr="00D02EB6" w:rsidRDefault="00D02EB6" w:rsidP="00D02EB6">
            <w:pPr>
              <w:pStyle w:val="SCCLsocSubfileSeparator"/>
              <w:rPr>
                <w:sz w:val="20"/>
                <w:szCs w:val="20"/>
                <w:lang w:val="fr-CA"/>
              </w:rPr>
            </w:pPr>
            <w:r w:rsidRPr="00D02EB6">
              <w:rPr>
                <w:sz w:val="20"/>
                <w:szCs w:val="20"/>
                <w:lang w:val="fr-CA"/>
              </w:rPr>
              <w:t>- et entre -</w:t>
            </w:r>
          </w:p>
          <w:p w:rsidR="00D02EB6" w:rsidRPr="00D02EB6" w:rsidRDefault="00D02EB6" w:rsidP="00D02EB6">
            <w:pPr>
              <w:pStyle w:val="SCCLsocParty"/>
              <w:jc w:val="both"/>
              <w:rPr>
                <w:b/>
                <w:spacing w:val="-4"/>
                <w:sz w:val="20"/>
                <w:szCs w:val="20"/>
              </w:rPr>
            </w:pPr>
            <w:r w:rsidRPr="00D02EB6">
              <w:rPr>
                <w:b/>
                <w:spacing w:val="-4"/>
                <w:sz w:val="20"/>
                <w:szCs w:val="20"/>
              </w:rPr>
              <w:t xml:space="preserve">Procureur général de l’Ontario, Sa Majesté la Reine du chef de l’Ontario c. Le chef et le conseil de la </w:t>
            </w:r>
            <w:r w:rsidRPr="00D02EB6">
              <w:rPr>
                <w:b/>
                <w:sz w:val="20"/>
                <w:szCs w:val="20"/>
              </w:rPr>
              <w:t>Première nation de Red Rock</w:t>
            </w:r>
            <w:r w:rsidRPr="00D02EB6">
              <w:rPr>
                <w:b/>
                <w:spacing w:val="-4"/>
                <w:sz w:val="20"/>
                <w:szCs w:val="20"/>
              </w:rPr>
              <w:t xml:space="preserve">, au nom de la Bande indienne de la </w:t>
            </w:r>
            <w:r w:rsidRPr="00D02EB6">
              <w:rPr>
                <w:b/>
                <w:sz w:val="20"/>
                <w:szCs w:val="20"/>
              </w:rPr>
              <w:t>Première nation de Red Rock</w:t>
            </w:r>
            <w:r w:rsidRPr="00D02EB6">
              <w:rPr>
                <w:b/>
                <w:spacing w:val="-4"/>
                <w:sz w:val="20"/>
                <w:szCs w:val="20"/>
              </w:rPr>
              <w:t xml:space="preserve">, le chef et le conseil de la </w:t>
            </w:r>
            <w:r w:rsidRPr="00D02EB6">
              <w:rPr>
                <w:b/>
                <w:sz w:val="20"/>
                <w:szCs w:val="20"/>
              </w:rPr>
              <w:t>Première nation de</w:t>
            </w:r>
            <w:r w:rsidRPr="00D02EB6">
              <w:rPr>
                <w:b/>
                <w:spacing w:val="-4"/>
                <w:sz w:val="20"/>
                <w:szCs w:val="20"/>
              </w:rPr>
              <w:t xml:space="preserve"> Whitesand, au nom de la Bande indienne de la </w:t>
            </w:r>
            <w:r w:rsidRPr="00D02EB6">
              <w:rPr>
                <w:b/>
                <w:sz w:val="20"/>
                <w:szCs w:val="20"/>
              </w:rPr>
              <w:t>Première nation de</w:t>
            </w:r>
            <w:r w:rsidRPr="00D02EB6">
              <w:rPr>
                <w:b/>
                <w:spacing w:val="-4"/>
                <w:sz w:val="20"/>
                <w:szCs w:val="20"/>
              </w:rPr>
              <w:t xml:space="preserve"> Whitesand, Procureur général du Canada</w:t>
            </w:r>
          </w:p>
          <w:p w:rsidR="00D02EB6" w:rsidRPr="00D02EB6" w:rsidRDefault="00D02EB6" w:rsidP="00D02EB6">
            <w:pPr>
              <w:pStyle w:val="SCCLsocOtherPartySeparator"/>
              <w:rPr>
                <w:rFonts w:cs="Times New Roman"/>
                <w:sz w:val="20"/>
                <w:szCs w:val="20"/>
              </w:rPr>
            </w:pPr>
            <w:r w:rsidRPr="00D02EB6">
              <w:rPr>
                <w:rFonts w:cs="Times New Roman"/>
                <w:sz w:val="20"/>
                <w:szCs w:val="20"/>
              </w:rPr>
              <w:t>- et -</w:t>
            </w:r>
          </w:p>
          <w:p w:rsidR="00D02EB6" w:rsidRPr="00D02EB6" w:rsidRDefault="00D02EB6" w:rsidP="00D02EB6">
            <w:pPr>
              <w:pStyle w:val="SCCLsocParty"/>
              <w:jc w:val="both"/>
              <w:rPr>
                <w:b/>
                <w:sz w:val="20"/>
                <w:szCs w:val="20"/>
              </w:rPr>
            </w:pPr>
            <w:r w:rsidRPr="00D02EB6">
              <w:rPr>
                <w:b/>
                <w:sz w:val="20"/>
                <w:szCs w:val="20"/>
              </w:rPr>
              <w:lastRenderedPageBreak/>
              <w:t>Première nation Biigtigong Nishnaabeg (alias la Première nation Begetikong Anishnabe ou les Ojibwés de la Première nation de la rivière Pic)</w:t>
            </w:r>
          </w:p>
          <w:p w:rsidR="00D02EB6" w:rsidRPr="00D02EB6" w:rsidRDefault="00D02EB6" w:rsidP="00D02EB6">
            <w:pPr>
              <w:jc w:val="both"/>
              <w:rPr>
                <w:sz w:val="20"/>
                <w:lang w:val="fr-CA"/>
              </w:rPr>
            </w:pPr>
            <w:r w:rsidRPr="00D02EB6">
              <w:rPr>
                <w:sz w:val="20"/>
                <w:lang w:val="fr-CA"/>
              </w:rPr>
              <w:t>(Ont.) (Civile) (Sur autorisation)</w:t>
            </w:r>
          </w:p>
        </w:tc>
      </w:tr>
      <w:tr w:rsidR="00D02EB6" w:rsidRPr="00D02EB6" w:rsidTr="00E95A6A">
        <w:tc>
          <w:tcPr>
            <w:tcW w:w="5000" w:type="pct"/>
            <w:gridSpan w:val="4"/>
          </w:tcPr>
          <w:p w:rsidR="00D02EB6" w:rsidRPr="00D02EB6" w:rsidRDefault="00D02EB6" w:rsidP="00D02EB6">
            <w:pPr>
              <w:jc w:val="both"/>
              <w:rPr>
                <w:sz w:val="20"/>
                <w:lang w:val="fr-CA"/>
              </w:rPr>
            </w:pPr>
            <w:r w:rsidRPr="00D02EB6">
              <w:rPr>
                <w:sz w:val="20"/>
                <w:lang w:val="fr-CA"/>
              </w:rPr>
              <w:lastRenderedPageBreak/>
              <w:t>Droit des Autochtones — Droits issus de traités — Interprétation de promesses faites par traité — Traité Robinson-Huron de 1850 — Traité Robinson</w:t>
            </w:r>
            <w:r w:rsidRPr="00D02EB6">
              <w:rPr>
                <w:sz w:val="20"/>
                <w:lang w:val="fr-CA"/>
              </w:rPr>
              <w:noBreakHyphen/>
              <w:t>Supérieur de 1850 — Obligation de diligence dans la mise en œuvre — Démarche à adopter pour l’interprétation de traités — Interprétation des traités Robinson-Huron et Robinson-Supérieur de 1850 — Le droit issu de traité relatif au partage des revenus nets de la Couronne tirés des ressources naturelles, qui reflète la richesse relative et les besoins des collectivités autochtones et non autochtones, aura</w:t>
            </w:r>
            <w:r w:rsidRPr="00D02EB6">
              <w:rPr>
                <w:sz w:val="20"/>
                <w:lang w:val="fr-CA"/>
              </w:rPr>
              <w:noBreakHyphen/>
              <w:t>t</w:t>
            </w:r>
            <w:r w:rsidRPr="00D02EB6">
              <w:rPr>
                <w:sz w:val="20"/>
                <w:lang w:val="fr-CA"/>
              </w:rPr>
              <w:noBreakHyphen/>
              <w:t>il pour effet de mettre les tribunaux au cœur de la mise en œuvre des traités, d’entraîner la constitutionnalisation des résultats concrets, et aura</w:t>
            </w:r>
            <w:r w:rsidRPr="00D02EB6">
              <w:rPr>
                <w:sz w:val="20"/>
                <w:lang w:val="fr-CA"/>
              </w:rPr>
              <w:noBreakHyphen/>
              <w:t>t</w:t>
            </w:r>
            <w:r w:rsidRPr="00D02EB6">
              <w:rPr>
                <w:sz w:val="20"/>
                <w:lang w:val="fr-CA"/>
              </w:rPr>
              <w:noBreakHyphen/>
              <w:t>il une incidence sur les rentes futures et un impact sur les finances de l’Ontario et la capacité de cette province de régler d’autres besoins publics, ainsi qu’un effet sur l’interprétation des traités numérotés conclus après la Confédération ? — Ces résultats sont</w:t>
            </w:r>
            <w:r w:rsidRPr="00D02EB6">
              <w:rPr>
                <w:sz w:val="20"/>
                <w:lang w:val="fr-CA"/>
              </w:rPr>
              <w:noBreakHyphen/>
              <w:t>ils contraires au texte des traités ? — Existence et portée de l’obligation distincte de diligence dans la mise en œuvre qui découle du principe de l’honneur de la Couronne — Le manquement à l’obligation de diligence dans la mise en œuvre donne</w:t>
            </w:r>
            <w:r w:rsidRPr="00D02EB6">
              <w:rPr>
                <w:sz w:val="20"/>
                <w:lang w:val="fr-CA"/>
              </w:rPr>
              <w:noBreakHyphen/>
              <w:t>t</w:t>
            </w:r>
            <w:r w:rsidRPr="00D02EB6">
              <w:rPr>
                <w:sz w:val="20"/>
                <w:lang w:val="fr-CA"/>
              </w:rPr>
              <w:noBreakHyphen/>
              <w:t xml:space="preserve">il lieu à une nouvelle cause d’action constitutionnelle entraînant des réparations coercitives en equity ? </w:t>
            </w:r>
          </w:p>
        </w:tc>
      </w:tr>
      <w:tr w:rsidR="00D02EB6" w:rsidRPr="00D02EB6" w:rsidTr="00E95A6A">
        <w:tc>
          <w:tcPr>
            <w:tcW w:w="5000" w:type="pct"/>
            <w:gridSpan w:val="4"/>
          </w:tcPr>
          <w:p w:rsidR="00D02EB6" w:rsidRPr="00D02EB6" w:rsidRDefault="00D02EB6" w:rsidP="00D02EB6">
            <w:pPr>
              <w:jc w:val="both"/>
              <w:rPr>
                <w:sz w:val="20"/>
                <w:lang w:val="fr-CA"/>
              </w:rPr>
            </w:pPr>
          </w:p>
        </w:tc>
      </w:tr>
      <w:tr w:rsidR="00D02EB6" w:rsidRPr="00D02EB6" w:rsidTr="00E95A6A">
        <w:tc>
          <w:tcPr>
            <w:tcW w:w="5000" w:type="pct"/>
            <w:gridSpan w:val="4"/>
          </w:tcPr>
          <w:p w:rsidR="00D02EB6" w:rsidRPr="00D02EB6" w:rsidRDefault="00D02EB6" w:rsidP="00D02EB6">
            <w:pPr>
              <w:jc w:val="both"/>
              <w:rPr>
                <w:sz w:val="20"/>
                <w:lang w:val="fr-CA"/>
              </w:rPr>
            </w:pPr>
            <w:r w:rsidRPr="00D02EB6">
              <w:rPr>
                <w:sz w:val="20"/>
                <w:lang w:val="fr-CA"/>
              </w:rPr>
              <w:t>En 1850, les intimés, les Anishinabés des rives nord du lac Huron et du lac Supérieur, ont conclu deux traités avec la Couronne : le traité Robinson</w:t>
            </w:r>
            <w:r w:rsidRPr="00D02EB6">
              <w:rPr>
                <w:sz w:val="20"/>
                <w:lang w:val="fr-CA"/>
              </w:rPr>
              <w:noBreakHyphen/>
              <w:t>Huron et le traité Robinson</w:t>
            </w:r>
            <w:r w:rsidRPr="00D02EB6">
              <w:rPr>
                <w:sz w:val="20"/>
                <w:lang w:val="fr-CA"/>
              </w:rPr>
              <w:noBreakHyphen/>
              <w:t>Supérieur (« les traités »). Les traités prévoyaient la cession d’un vaste territoire dans le nord de l’Ontario, et le versement, en perpétuité, d’une rente aux Anishinabés. La somme initiale convenue a été versée, et un décret a déclaré leur ratification et leur confirmation. En 1875, la rente a été portée à 4 $ (1 ₤) par personne, et, en 1877, les chefs « Huron » et « Supérieur » ont demandé avec succès de recevoir des arrérages quant à cette augmentation puisque les conditions permettant d’augmenter la rente avaient été remplies bien avant le versement de l’augmentation. Le montant de la rente n’a pas été modifié depuis.</w:t>
            </w:r>
          </w:p>
          <w:p w:rsidR="00D02EB6" w:rsidRPr="00D02EB6" w:rsidRDefault="00D02EB6" w:rsidP="00D02EB6">
            <w:pPr>
              <w:jc w:val="both"/>
              <w:rPr>
                <w:sz w:val="20"/>
                <w:lang w:val="fr-CA"/>
              </w:rPr>
            </w:pPr>
          </w:p>
          <w:p w:rsidR="00D02EB6" w:rsidRPr="00D02EB6" w:rsidRDefault="00D02EB6" w:rsidP="00D02EB6">
            <w:pPr>
              <w:jc w:val="both"/>
              <w:rPr>
                <w:sz w:val="20"/>
                <w:lang w:val="fr-CA"/>
              </w:rPr>
            </w:pPr>
            <w:r w:rsidRPr="00D02EB6">
              <w:rPr>
                <w:sz w:val="20"/>
                <w:lang w:val="fr-CA"/>
              </w:rPr>
              <w:t>Les intimés « Huron » ont intenté une action conte le Canada et l’Ontario, sollicitant un jugement déclaratoire et une indemnisation compensatoire liés à l’interprétation, à la mise en œuvre et à la violation des dispositions portant sur la rente prévues par le Traité Robinson</w:t>
            </w:r>
            <w:r w:rsidRPr="00D02EB6">
              <w:rPr>
                <w:sz w:val="20"/>
                <w:lang w:val="fr-CA"/>
              </w:rPr>
              <w:noBreakHyphen/>
              <w:t>Huron; les intimés « Supérieur » ont présenté les mêmes réclamations en vertu du Traité Robinson</w:t>
            </w:r>
            <w:r w:rsidRPr="00D02EB6">
              <w:rPr>
                <w:sz w:val="20"/>
                <w:lang w:val="fr-CA"/>
              </w:rPr>
              <w:noBreakHyphen/>
              <w:t>Supérieur. Les actions ont été entendues ensemble, en trois étapes. À la première étape, les traités ont été interprétés, à la deuxième, les questions de l’immunité de l’État et de la prescription invoquées comme moyens de défense ont été examinées, et, à la troisième, les questions restantes (notamment, celles des dommages</w:t>
            </w:r>
            <w:r w:rsidRPr="00D02EB6">
              <w:rPr>
                <w:sz w:val="20"/>
                <w:lang w:val="fr-CA"/>
              </w:rPr>
              <w:noBreakHyphen/>
              <w:t>intérêts et de l’imputation de la responsabilité) seront examinées. La présente demande porte sur les deux premières étapes; il n’y a pas encore eu d’audience concernant l’étape trois.</w:t>
            </w:r>
          </w:p>
          <w:p w:rsidR="00D02EB6" w:rsidRPr="00D02EB6" w:rsidRDefault="00D02EB6" w:rsidP="00D02EB6">
            <w:pPr>
              <w:jc w:val="both"/>
              <w:rPr>
                <w:sz w:val="20"/>
                <w:lang w:val="fr-CA"/>
              </w:rPr>
            </w:pPr>
          </w:p>
          <w:p w:rsidR="00D02EB6" w:rsidRPr="00D02EB6" w:rsidRDefault="00D02EB6" w:rsidP="00D02EB6">
            <w:pPr>
              <w:jc w:val="both"/>
              <w:rPr>
                <w:sz w:val="20"/>
                <w:lang w:val="fr-CA"/>
              </w:rPr>
            </w:pPr>
            <w:r w:rsidRPr="00D02EB6">
              <w:rPr>
                <w:sz w:val="20"/>
                <w:lang w:val="fr-CA"/>
              </w:rPr>
              <w:t>À la première étape, la juge du procès a interprété les traités de façon à obliger la Couronne à augmenter le montant de la rente lorsque les revenus nets de la Couronne tirés des ressources naturelles sur les territoires visés par les traités sont tels que cette augmentation n’entraînerait aucune perte pour la Couronne. La rente devait correspondre à la « juste part » de ces revenus, qui serait déterminée en consultation avec les Premières nations parties à l’instance. La Couronne était assujettie à des obligations découlant du principe de l’honneur de la Couronne et à une obligation fiduciaire, ainsi qu’à une obligation de diligence dans la mise en œuvre qui s’applique à la promesse d’augmenter la somme. À la deuxième étape, elle a rejeté les prétentions de la Couronne quant à la prescription et à l’immunité de la Couronne. Une formation de cinq juges de la Cour d’appel a accueilli l’appel de l’ordonnance rendue à la première étape, en partie (notamment, les renvois à la « juste part » et à l’obligation fiduciaire ont été retirés de l’ordonnance, et la somme des dépens accordés aux intimés « Huron » a été modifiée). L’appel interjeté contre la décision rendue à la deuxième étape a été rejeté.</w:t>
            </w:r>
          </w:p>
          <w:p w:rsidR="00D02EB6" w:rsidRPr="00D02EB6" w:rsidRDefault="00D02EB6" w:rsidP="00D02EB6">
            <w:pPr>
              <w:jc w:val="both"/>
              <w:rPr>
                <w:sz w:val="20"/>
                <w:lang w:val="fr-CA"/>
              </w:rPr>
            </w:pPr>
          </w:p>
        </w:tc>
      </w:tr>
      <w:tr w:rsidR="00D02EB6" w:rsidRPr="00D02EB6" w:rsidTr="00D26713">
        <w:tc>
          <w:tcPr>
            <w:tcW w:w="2282" w:type="pct"/>
            <w:gridSpan w:val="2"/>
          </w:tcPr>
          <w:p w:rsidR="00D02EB6" w:rsidRPr="00D02EB6" w:rsidRDefault="00D02EB6" w:rsidP="00D02EB6">
            <w:pPr>
              <w:jc w:val="both"/>
              <w:rPr>
                <w:sz w:val="20"/>
                <w:lang w:val="fr-CA"/>
              </w:rPr>
            </w:pPr>
            <w:r w:rsidRPr="00D02EB6">
              <w:rPr>
                <w:sz w:val="20"/>
                <w:lang w:val="fr-CA"/>
              </w:rPr>
              <w:t>17 juin 2019</w:t>
            </w:r>
          </w:p>
          <w:p w:rsidR="00D02EB6" w:rsidRPr="00D02EB6" w:rsidRDefault="00D02EB6" w:rsidP="00D02EB6">
            <w:pPr>
              <w:jc w:val="both"/>
              <w:rPr>
                <w:sz w:val="20"/>
                <w:lang w:val="fr-CA"/>
              </w:rPr>
            </w:pPr>
            <w:r w:rsidRPr="00D02EB6">
              <w:rPr>
                <w:sz w:val="20"/>
                <w:lang w:val="fr-CA"/>
              </w:rPr>
              <w:t>Cour supérieure de justice de l’Ontario</w:t>
            </w:r>
          </w:p>
          <w:p w:rsidR="00D02EB6" w:rsidRPr="00D02EB6" w:rsidRDefault="00D02EB6" w:rsidP="00D02EB6">
            <w:pPr>
              <w:jc w:val="both"/>
              <w:rPr>
                <w:sz w:val="20"/>
                <w:lang w:val="fr-CA"/>
              </w:rPr>
            </w:pPr>
            <w:r w:rsidRPr="00D02EB6">
              <w:rPr>
                <w:sz w:val="20"/>
                <w:lang w:val="fr-CA"/>
              </w:rPr>
              <w:t>(juge Hennessy)</w:t>
            </w:r>
          </w:p>
          <w:p w:rsidR="00D02EB6" w:rsidRPr="00D02EB6" w:rsidRDefault="00D02EB6" w:rsidP="00D02EB6">
            <w:pPr>
              <w:jc w:val="both"/>
              <w:rPr>
                <w:sz w:val="20"/>
                <w:lang w:val="fr-CA"/>
              </w:rPr>
            </w:pPr>
            <w:hyperlink r:id="rId20" w:history="1">
              <w:r w:rsidRPr="00D02EB6">
                <w:rPr>
                  <w:rStyle w:val="Hyperlink"/>
                  <w:sz w:val="20"/>
                  <w:lang w:val="fr-CA"/>
                </w:rPr>
                <w:t>2018 ONSC 7701</w:t>
              </w:r>
            </w:hyperlink>
            <w:r w:rsidRPr="00D02EB6">
              <w:rPr>
                <w:sz w:val="20"/>
                <w:lang w:val="fr-CA"/>
              </w:rPr>
              <w:t xml:space="preserve"> (Première étape)</w:t>
            </w:r>
          </w:p>
        </w:tc>
        <w:tc>
          <w:tcPr>
            <w:tcW w:w="194" w:type="pct"/>
          </w:tcPr>
          <w:p w:rsidR="00D02EB6" w:rsidRPr="00D02EB6" w:rsidRDefault="00D02EB6" w:rsidP="00D02EB6">
            <w:pPr>
              <w:jc w:val="both"/>
              <w:rPr>
                <w:sz w:val="20"/>
                <w:lang w:val="fr-CA"/>
              </w:rPr>
            </w:pPr>
          </w:p>
        </w:tc>
        <w:tc>
          <w:tcPr>
            <w:tcW w:w="2524" w:type="pct"/>
          </w:tcPr>
          <w:p w:rsidR="00D02EB6" w:rsidRPr="00D02EB6" w:rsidRDefault="00D02EB6" w:rsidP="00D02EB6">
            <w:pPr>
              <w:jc w:val="both"/>
              <w:rPr>
                <w:sz w:val="20"/>
                <w:lang w:val="fr-CA"/>
              </w:rPr>
            </w:pPr>
            <w:r w:rsidRPr="00D02EB6">
              <w:rPr>
                <w:sz w:val="20"/>
                <w:lang w:val="fr-CA"/>
              </w:rPr>
              <w:t>Entre autres, les traités obligent la Couronne à augmenter le montant de la rente lorsque les revenus nets de la Couronne tirés des ressources naturelles sur les territoires visés par les traités augmentent suffisamment; la rente doit correspondre à la juste part des revenus nets; les revenus sont à déterminer en consultation avec les Premières nations parties à l’instance; la Couronne est assujettie aux obligations découlant du principe de l’honneur de la Couronne et de son obligation fiduciaire; la promesse faite à l’égard de l’augmentation doit être diligemment mise en œuvre.</w:t>
            </w:r>
          </w:p>
          <w:p w:rsidR="00D02EB6" w:rsidRPr="00D02EB6" w:rsidRDefault="00D02EB6" w:rsidP="00D02EB6">
            <w:pPr>
              <w:jc w:val="both"/>
              <w:rPr>
                <w:sz w:val="20"/>
                <w:lang w:val="fr-CA"/>
              </w:rPr>
            </w:pPr>
          </w:p>
        </w:tc>
      </w:tr>
      <w:tr w:rsidR="00D02EB6" w:rsidRPr="00D02EB6" w:rsidTr="00D26713">
        <w:tc>
          <w:tcPr>
            <w:tcW w:w="2282" w:type="pct"/>
            <w:gridSpan w:val="2"/>
          </w:tcPr>
          <w:p w:rsidR="00D02EB6" w:rsidRPr="00D02EB6" w:rsidRDefault="00D02EB6" w:rsidP="00D02EB6">
            <w:pPr>
              <w:jc w:val="both"/>
              <w:rPr>
                <w:sz w:val="20"/>
                <w:lang w:val="fr-CA"/>
              </w:rPr>
            </w:pPr>
            <w:r w:rsidRPr="00D02EB6">
              <w:rPr>
                <w:sz w:val="20"/>
                <w:lang w:val="fr-CA"/>
              </w:rPr>
              <w:lastRenderedPageBreak/>
              <w:t>26 juin 2020</w:t>
            </w:r>
          </w:p>
          <w:p w:rsidR="00D02EB6" w:rsidRPr="00D02EB6" w:rsidRDefault="00D02EB6" w:rsidP="00D02EB6">
            <w:pPr>
              <w:jc w:val="both"/>
              <w:rPr>
                <w:sz w:val="20"/>
                <w:lang w:val="fr-CA"/>
              </w:rPr>
            </w:pPr>
            <w:r w:rsidRPr="00D02EB6">
              <w:rPr>
                <w:sz w:val="20"/>
                <w:lang w:val="fr-CA"/>
              </w:rPr>
              <w:t>Cour supérieure de justice de l’Ontario</w:t>
            </w:r>
          </w:p>
          <w:p w:rsidR="00D02EB6" w:rsidRPr="00D02EB6" w:rsidRDefault="00D02EB6" w:rsidP="00D02EB6">
            <w:pPr>
              <w:jc w:val="both"/>
              <w:rPr>
                <w:sz w:val="20"/>
                <w:lang w:val="fr-CA"/>
              </w:rPr>
            </w:pPr>
            <w:r w:rsidRPr="00D02EB6">
              <w:rPr>
                <w:sz w:val="20"/>
                <w:lang w:val="fr-CA"/>
              </w:rPr>
              <w:t>(juge Hennessy)</w:t>
            </w:r>
          </w:p>
          <w:p w:rsidR="00D02EB6" w:rsidRPr="00D02EB6" w:rsidRDefault="00D02EB6" w:rsidP="00D02EB6">
            <w:pPr>
              <w:jc w:val="both"/>
              <w:rPr>
                <w:sz w:val="20"/>
                <w:lang w:val="fr-CA"/>
              </w:rPr>
            </w:pPr>
            <w:hyperlink r:id="rId21" w:history="1">
              <w:r w:rsidRPr="00D02EB6">
                <w:rPr>
                  <w:rStyle w:val="Hyperlink"/>
                  <w:sz w:val="20"/>
                  <w:lang w:val="fr-CA"/>
                </w:rPr>
                <w:t>2020 ONSC 3932</w:t>
              </w:r>
            </w:hyperlink>
            <w:r w:rsidRPr="00D02EB6">
              <w:rPr>
                <w:sz w:val="20"/>
                <w:lang w:val="fr-CA"/>
              </w:rPr>
              <w:t xml:space="preserve"> (Deuxième étape)</w:t>
            </w:r>
          </w:p>
          <w:p w:rsidR="00D02EB6" w:rsidRPr="00D02EB6" w:rsidRDefault="00D02EB6" w:rsidP="00D02EB6">
            <w:pPr>
              <w:jc w:val="both"/>
              <w:rPr>
                <w:sz w:val="20"/>
                <w:lang w:val="fr-CA"/>
              </w:rPr>
            </w:pPr>
          </w:p>
        </w:tc>
        <w:tc>
          <w:tcPr>
            <w:tcW w:w="194" w:type="pct"/>
          </w:tcPr>
          <w:p w:rsidR="00D02EB6" w:rsidRPr="00D02EB6" w:rsidRDefault="00D02EB6" w:rsidP="00D02EB6">
            <w:pPr>
              <w:jc w:val="both"/>
              <w:rPr>
                <w:sz w:val="20"/>
                <w:lang w:val="fr-CA"/>
              </w:rPr>
            </w:pPr>
          </w:p>
        </w:tc>
        <w:tc>
          <w:tcPr>
            <w:tcW w:w="2524" w:type="pct"/>
          </w:tcPr>
          <w:p w:rsidR="00D02EB6" w:rsidRPr="00D02EB6" w:rsidRDefault="00D02EB6" w:rsidP="00D02EB6">
            <w:pPr>
              <w:tabs>
                <w:tab w:val="left" w:pos="1547"/>
              </w:tabs>
              <w:jc w:val="both"/>
              <w:rPr>
                <w:sz w:val="20"/>
                <w:lang w:val="fr-CA"/>
              </w:rPr>
            </w:pPr>
            <w:r w:rsidRPr="00D02EB6">
              <w:rPr>
                <w:sz w:val="20"/>
                <w:lang w:val="fr-CA"/>
              </w:rPr>
              <w:t>La loi sur la prescription ne fait pas obstacle aux demandes des intimés; la Couronne ne bénéficie pas de l’immunité de la Couronne; un jugement sommaire partiel est rendu sur les questions de la prescription et de l’immunité de la Couronne.</w:t>
            </w:r>
          </w:p>
          <w:p w:rsidR="00D02EB6" w:rsidRPr="00D02EB6" w:rsidRDefault="00D02EB6" w:rsidP="00D02EB6">
            <w:pPr>
              <w:jc w:val="both"/>
              <w:rPr>
                <w:sz w:val="20"/>
                <w:lang w:val="fr-CA"/>
              </w:rPr>
            </w:pPr>
          </w:p>
        </w:tc>
      </w:tr>
      <w:tr w:rsidR="00D02EB6" w:rsidRPr="00D02EB6" w:rsidTr="00D26713">
        <w:tc>
          <w:tcPr>
            <w:tcW w:w="2282" w:type="pct"/>
            <w:gridSpan w:val="2"/>
          </w:tcPr>
          <w:p w:rsidR="00D02EB6" w:rsidRPr="00D02EB6" w:rsidRDefault="00D02EB6" w:rsidP="00D02EB6">
            <w:pPr>
              <w:jc w:val="both"/>
              <w:rPr>
                <w:sz w:val="20"/>
                <w:lang w:val="fr-CA"/>
              </w:rPr>
            </w:pPr>
            <w:r w:rsidRPr="00D02EB6">
              <w:rPr>
                <w:sz w:val="20"/>
                <w:lang w:val="fr-CA"/>
              </w:rPr>
              <w:t>5 novembre 2021</w:t>
            </w:r>
          </w:p>
          <w:p w:rsidR="00D02EB6" w:rsidRPr="00D02EB6" w:rsidRDefault="00D02EB6" w:rsidP="00D02EB6">
            <w:pPr>
              <w:jc w:val="both"/>
              <w:rPr>
                <w:sz w:val="20"/>
                <w:lang w:val="fr-CA"/>
              </w:rPr>
            </w:pPr>
            <w:r w:rsidRPr="00D02EB6">
              <w:rPr>
                <w:sz w:val="20"/>
                <w:lang w:val="fr-CA"/>
              </w:rPr>
              <w:t>Cour d’appel de l’Ontario</w:t>
            </w:r>
          </w:p>
          <w:p w:rsidR="00D02EB6" w:rsidRPr="00D02EB6" w:rsidRDefault="00D02EB6" w:rsidP="00D02EB6">
            <w:pPr>
              <w:jc w:val="both"/>
              <w:rPr>
                <w:sz w:val="20"/>
                <w:lang w:val="fr-CA"/>
              </w:rPr>
            </w:pPr>
            <w:r w:rsidRPr="00D02EB6">
              <w:rPr>
                <w:sz w:val="20"/>
                <w:lang w:val="fr-CA"/>
              </w:rPr>
              <w:t>(juge en chef Strathy, juges Lauwers, Hourigan, Pardu et Brown)</w:t>
            </w:r>
          </w:p>
          <w:p w:rsidR="00D02EB6" w:rsidRPr="00D02EB6" w:rsidRDefault="00D02EB6" w:rsidP="00D02EB6">
            <w:pPr>
              <w:jc w:val="both"/>
              <w:rPr>
                <w:sz w:val="20"/>
                <w:lang w:val="fr-CA"/>
              </w:rPr>
            </w:pPr>
            <w:hyperlink r:id="rId22" w:history="1">
              <w:r w:rsidRPr="00D02EB6">
                <w:rPr>
                  <w:rStyle w:val="Hyperlink"/>
                  <w:sz w:val="20"/>
                  <w:lang w:val="fr-CA"/>
                </w:rPr>
                <w:t>2021 ONCA 779</w:t>
              </w:r>
            </w:hyperlink>
          </w:p>
          <w:p w:rsidR="00D02EB6" w:rsidRPr="00D02EB6" w:rsidRDefault="00D02EB6" w:rsidP="00D02EB6">
            <w:pPr>
              <w:jc w:val="both"/>
              <w:rPr>
                <w:sz w:val="20"/>
                <w:lang w:val="fr-CA"/>
              </w:rPr>
            </w:pPr>
          </w:p>
        </w:tc>
        <w:tc>
          <w:tcPr>
            <w:tcW w:w="194" w:type="pct"/>
          </w:tcPr>
          <w:p w:rsidR="00D02EB6" w:rsidRPr="00D02EB6" w:rsidRDefault="00D02EB6" w:rsidP="00D02EB6">
            <w:pPr>
              <w:jc w:val="both"/>
              <w:rPr>
                <w:sz w:val="20"/>
                <w:lang w:val="fr-CA"/>
              </w:rPr>
            </w:pPr>
          </w:p>
        </w:tc>
        <w:tc>
          <w:tcPr>
            <w:tcW w:w="2524" w:type="pct"/>
          </w:tcPr>
          <w:p w:rsidR="00D02EB6" w:rsidRPr="00D02EB6" w:rsidRDefault="00D02EB6" w:rsidP="00D02EB6">
            <w:pPr>
              <w:jc w:val="both"/>
              <w:rPr>
                <w:sz w:val="20"/>
                <w:lang w:val="fr-CA"/>
              </w:rPr>
            </w:pPr>
            <w:r w:rsidRPr="00D02EB6">
              <w:rPr>
                <w:sz w:val="20"/>
                <w:lang w:val="fr-CA"/>
              </w:rPr>
              <w:t>L’appel de l’ordonnance rendue à la première étape est accueilli en partie (notamment, les renvois à la « juste part » et à l’obligation fiduciaire sont rayés; le montant des dépens accordés aux intimés « Huron » est modifié); l’appel de la décision rendue à la deuxième partie est rejeté.</w:t>
            </w:r>
          </w:p>
          <w:p w:rsidR="00D02EB6" w:rsidRPr="00D02EB6" w:rsidRDefault="00D02EB6" w:rsidP="00D02EB6">
            <w:pPr>
              <w:jc w:val="both"/>
              <w:rPr>
                <w:sz w:val="20"/>
                <w:lang w:val="fr-CA"/>
              </w:rPr>
            </w:pPr>
          </w:p>
        </w:tc>
      </w:tr>
      <w:tr w:rsidR="00D02EB6" w:rsidRPr="00D02EB6" w:rsidTr="00D26713">
        <w:tc>
          <w:tcPr>
            <w:tcW w:w="2282" w:type="pct"/>
            <w:gridSpan w:val="2"/>
          </w:tcPr>
          <w:p w:rsidR="00D02EB6" w:rsidRPr="00D02EB6" w:rsidRDefault="00D02EB6" w:rsidP="00D02EB6">
            <w:pPr>
              <w:jc w:val="both"/>
              <w:rPr>
                <w:sz w:val="20"/>
                <w:lang w:val="fr-CA"/>
              </w:rPr>
            </w:pPr>
            <w:r w:rsidRPr="00D02EB6">
              <w:rPr>
                <w:sz w:val="20"/>
                <w:lang w:val="fr-CA"/>
              </w:rPr>
              <w:t>4 janvier 2022</w:t>
            </w:r>
          </w:p>
          <w:p w:rsidR="00D02EB6" w:rsidRPr="00D02EB6" w:rsidRDefault="00D02EB6" w:rsidP="00D02EB6">
            <w:pPr>
              <w:jc w:val="both"/>
              <w:rPr>
                <w:sz w:val="20"/>
                <w:lang w:val="fr-CA"/>
              </w:rPr>
            </w:pPr>
            <w:r w:rsidRPr="00D02EB6">
              <w:rPr>
                <w:sz w:val="20"/>
                <w:lang w:val="fr-CA"/>
              </w:rPr>
              <w:t>Cour suprême du Canada</w:t>
            </w:r>
          </w:p>
          <w:p w:rsidR="00D02EB6" w:rsidRPr="00D02EB6" w:rsidRDefault="00D02EB6" w:rsidP="00D02EB6">
            <w:pPr>
              <w:jc w:val="both"/>
              <w:rPr>
                <w:sz w:val="20"/>
                <w:lang w:val="fr-CA"/>
              </w:rPr>
            </w:pPr>
          </w:p>
        </w:tc>
        <w:tc>
          <w:tcPr>
            <w:tcW w:w="194" w:type="pct"/>
          </w:tcPr>
          <w:p w:rsidR="00D02EB6" w:rsidRPr="00D02EB6" w:rsidRDefault="00D02EB6" w:rsidP="00D02EB6">
            <w:pPr>
              <w:jc w:val="both"/>
              <w:rPr>
                <w:sz w:val="20"/>
                <w:lang w:val="fr-CA"/>
              </w:rPr>
            </w:pPr>
          </w:p>
        </w:tc>
        <w:tc>
          <w:tcPr>
            <w:tcW w:w="2524" w:type="pct"/>
          </w:tcPr>
          <w:p w:rsidR="00D02EB6" w:rsidRPr="00D02EB6" w:rsidRDefault="00D02EB6" w:rsidP="00D02EB6">
            <w:pPr>
              <w:jc w:val="both"/>
              <w:rPr>
                <w:sz w:val="20"/>
                <w:lang w:val="fr-CA"/>
              </w:rPr>
            </w:pPr>
            <w:r w:rsidRPr="00D02EB6">
              <w:rPr>
                <w:sz w:val="20"/>
                <w:lang w:val="fr-CA"/>
              </w:rPr>
              <w:t>La demande d’autorisation d’appel est présentée.</w:t>
            </w:r>
          </w:p>
          <w:p w:rsidR="00D02EB6" w:rsidRPr="00D02EB6" w:rsidRDefault="00D02EB6" w:rsidP="00D02EB6">
            <w:pPr>
              <w:jc w:val="both"/>
              <w:rPr>
                <w:sz w:val="20"/>
                <w:lang w:val="fr-CA"/>
              </w:rPr>
            </w:pPr>
          </w:p>
        </w:tc>
      </w:tr>
      <w:tr w:rsidR="00D02EB6" w:rsidRPr="00D02EB6" w:rsidTr="00D26713">
        <w:tc>
          <w:tcPr>
            <w:tcW w:w="2282" w:type="pct"/>
            <w:gridSpan w:val="2"/>
          </w:tcPr>
          <w:p w:rsidR="00D02EB6" w:rsidRPr="00D02EB6" w:rsidRDefault="00D02EB6" w:rsidP="00D02EB6">
            <w:pPr>
              <w:jc w:val="both"/>
              <w:rPr>
                <w:sz w:val="20"/>
                <w:lang w:val="fr-CA"/>
              </w:rPr>
            </w:pPr>
            <w:r w:rsidRPr="00D02EB6">
              <w:rPr>
                <w:sz w:val="20"/>
                <w:lang w:val="fr-CA"/>
              </w:rPr>
              <w:t>18 février 2022</w:t>
            </w:r>
          </w:p>
          <w:p w:rsidR="00D02EB6" w:rsidRPr="00D02EB6" w:rsidRDefault="00D02EB6" w:rsidP="00D02EB6">
            <w:pPr>
              <w:jc w:val="both"/>
              <w:rPr>
                <w:sz w:val="20"/>
                <w:lang w:val="fr-CA"/>
              </w:rPr>
            </w:pPr>
            <w:r w:rsidRPr="00D02EB6">
              <w:rPr>
                <w:sz w:val="20"/>
                <w:lang w:val="fr-CA"/>
              </w:rPr>
              <w:t>Cour suprême du Canada</w:t>
            </w:r>
          </w:p>
          <w:p w:rsidR="00D02EB6" w:rsidRPr="00D02EB6" w:rsidRDefault="00D02EB6" w:rsidP="00D02EB6">
            <w:pPr>
              <w:jc w:val="both"/>
              <w:rPr>
                <w:sz w:val="20"/>
                <w:lang w:val="fr-CA"/>
              </w:rPr>
            </w:pPr>
          </w:p>
        </w:tc>
        <w:tc>
          <w:tcPr>
            <w:tcW w:w="194" w:type="pct"/>
          </w:tcPr>
          <w:p w:rsidR="00D02EB6" w:rsidRPr="00D02EB6" w:rsidRDefault="00D02EB6" w:rsidP="00D02EB6">
            <w:pPr>
              <w:jc w:val="both"/>
              <w:rPr>
                <w:sz w:val="20"/>
                <w:lang w:val="fr-CA"/>
              </w:rPr>
            </w:pPr>
          </w:p>
        </w:tc>
        <w:tc>
          <w:tcPr>
            <w:tcW w:w="2524" w:type="pct"/>
          </w:tcPr>
          <w:p w:rsidR="00D02EB6" w:rsidRPr="00D02EB6" w:rsidRDefault="00D02EB6" w:rsidP="00D02EB6">
            <w:pPr>
              <w:jc w:val="both"/>
              <w:rPr>
                <w:sz w:val="20"/>
                <w:lang w:val="fr-CA"/>
              </w:rPr>
            </w:pPr>
            <w:r w:rsidRPr="00D02EB6">
              <w:rPr>
                <w:sz w:val="20"/>
                <w:lang w:val="fr-CA"/>
              </w:rPr>
              <w:t>Les demandes conditionnelles d’autorisation d’appel incident sont présentées par la Première nation de Red Rock et la Première nation de Whitesand.</w:t>
            </w:r>
          </w:p>
          <w:p w:rsidR="00D02EB6" w:rsidRPr="00D02EB6" w:rsidRDefault="00D02EB6" w:rsidP="00D02EB6">
            <w:pPr>
              <w:jc w:val="both"/>
              <w:rPr>
                <w:sz w:val="20"/>
                <w:lang w:val="fr-CA"/>
              </w:rPr>
            </w:pPr>
          </w:p>
        </w:tc>
      </w:tr>
      <w:tr w:rsidR="00D02EB6" w:rsidRPr="00D02EB6" w:rsidTr="00D26713">
        <w:tc>
          <w:tcPr>
            <w:tcW w:w="2282" w:type="pct"/>
            <w:gridSpan w:val="2"/>
          </w:tcPr>
          <w:p w:rsidR="00D02EB6" w:rsidRPr="00D02EB6" w:rsidRDefault="00D02EB6" w:rsidP="00D02EB6">
            <w:pPr>
              <w:jc w:val="both"/>
              <w:rPr>
                <w:sz w:val="20"/>
                <w:lang w:val="fr-CA"/>
              </w:rPr>
            </w:pPr>
            <w:r w:rsidRPr="00D02EB6">
              <w:rPr>
                <w:sz w:val="20"/>
                <w:lang w:val="fr-CA"/>
              </w:rPr>
              <w:t>18 février 2022</w:t>
            </w:r>
          </w:p>
          <w:p w:rsidR="00D02EB6" w:rsidRPr="00D02EB6" w:rsidRDefault="00D02EB6" w:rsidP="00D02EB6">
            <w:pPr>
              <w:jc w:val="both"/>
              <w:rPr>
                <w:sz w:val="20"/>
                <w:lang w:val="fr-CA"/>
              </w:rPr>
            </w:pPr>
            <w:r w:rsidRPr="00D02EB6">
              <w:rPr>
                <w:sz w:val="20"/>
                <w:lang w:val="fr-CA"/>
              </w:rPr>
              <w:t>Cour suprême du Canada</w:t>
            </w:r>
          </w:p>
          <w:p w:rsidR="00D02EB6" w:rsidRPr="00D02EB6" w:rsidRDefault="00D02EB6" w:rsidP="00D02EB6">
            <w:pPr>
              <w:jc w:val="both"/>
              <w:rPr>
                <w:sz w:val="20"/>
                <w:lang w:val="fr-CA"/>
              </w:rPr>
            </w:pPr>
          </w:p>
        </w:tc>
        <w:tc>
          <w:tcPr>
            <w:tcW w:w="194" w:type="pct"/>
          </w:tcPr>
          <w:p w:rsidR="00D02EB6" w:rsidRPr="00D02EB6" w:rsidRDefault="00D02EB6" w:rsidP="00D02EB6">
            <w:pPr>
              <w:jc w:val="both"/>
              <w:rPr>
                <w:sz w:val="20"/>
                <w:lang w:val="fr-CA"/>
              </w:rPr>
            </w:pPr>
          </w:p>
        </w:tc>
        <w:tc>
          <w:tcPr>
            <w:tcW w:w="2524" w:type="pct"/>
          </w:tcPr>
          <w:p w:rsidR="00D02EB6" w:rsidRPr="00D02EB6" w:rsidRDefault="00D02EB6" w:rsidP="00D02EB6">
            <w:pPr>
              <w:jc w:val="both"/>
              <w:rPr>
                <w:sz w:val="20"/>
                <w:lang w:val="fr-CA"/>
              </w:rPr>
            </w:pPr>
            <w:r w:rsidRPr="00D02EB6">
              <w:rPr>
                <w:sz w:val="20"/>
                <w:lang w:val="fr-CA"/>
              </w:rPr>
              <w:t>La demande d’autorisation d’intervenir dans le cadre de la demande d’autorisation d’appel est présentée par la Première nation Biigtigong Nishnaabeg.</w:t>
            </w:r>
          </w:p>
        </w:tc>
      </w:tr>
    </w:tbl>
    <w:p w:rsidR="00D02EB6" w:rsidRPr="00D02EB6" w:rsidRDefault="00D02EB6" w:rsidP="00D02EB6">
      <w:pPr>
        <w:jc w:val="both"/>
        <w:rPr>
          <w:sz w:val="20"/>
          <w:lang w:val="fr-CA"/>
        </w:rPr>
      </w:pPr>
    </w:p>
    <w:p w:rsidR="00D02EB6" w:rsidRPr="00D02EB6" w:rsidRDefault="00D02EB6" w:rsidP="00D02EB6">
      <w:pPr>
        <w:jc w:val="both"/>
        <w:rPr>
          <w:sz w:val="20"/>
          <w:lang w:val="fr-CA"/>
        </w:rPr>
      </w:pPr>
      <w:r w:rsidRPr="00D02EB6">
        <w:rPr>
          <w:sz w:val="20"/>
        </w:rPr>
        <w:pict>
          <v:rect id="_x0000_i1031" style="width:2in;height:1pt" o:hrpct="0" o:hralign="center" o:hrstd="t" o:hrnoshade="t" o:hr="t" fillcolor="black [3213]" stroked="f"/>
        </w:pict>
      </w:r>
    </w:p>
    <w:p w:rsidR="00474965" w:rsidRPr="00D02EB6" w:rsidRDefault="00474965" w:rsidP="00D02EB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2EB6" w:rsidRPr="00D02EB6" w:rsidTr="00E95A6A">
        <w:tc>
          <w:tcPr>
            <w:tcW w:w="543" w:type="pct"/>
          </w:tcPr>
          <w:p w:rsidR="00D02EB6" w:rsidRPr="00D02EB6" w:rsidRDefault="00D02EB6" w:rsidP="00D02EB6">
            <w:pPr>
              <w:jc w:val="both"/>
              <w:rPr>
                <w:sz w:val="20"/>
              </w:rPr>
            </w:pPr>
            <w:r w:rsidRPr="00D02EB6">
              <w:rPr>
                <w:rStyle w:val="SCCFileNumberChar"/>
                <w:sz w:val="20"/>
                <w:szCs w:val="20"/>
              </w:rPr>
              <w:t>40040</w:t>
            </w:r>
          </w:p>
        </w:tc>
        <w:tc>
          <w:tcPr>
            <w:tcW w:w="4457" w:type="pct"/>
            <w:gridSpan w:val="3"/>
          </w:tcPr>
          <w:p w:rsidR="00D02EB6" w:rsidRPr="00D02EB6" w:rsidRDefault="00D02EB6" w:rsidP="00D02EB6">
            <w:pPr>
              <w:pStyle w:val="SCCLsocParty"/>
              <w:jc w:val="both"/>
              <w:rPr>
                <w:b/>
                <w:sz w:val="20"/>
                <w:szCs w:val="20"/>
                <w:lang w:val="en-US"/>
              </w:rPr>
            </w:pPr>
            <w:r w:rsidRPr="00D02EB6">
              <w:rPr>
                <w:b/>
                <w:sz w:val="20"/>
                <w:szCs w:val="20"/>
                <w:lang w:val="en-US"/>
              </w:rPr>
              <w:t>1909988 Ontario Ltd. v. Municipality of North Cowichan</w:t>
            </w:r>
          </w:p>
          <w:p w:rsidR="00D02EB6" w:rsidRPr="00D02EB6" w:rsidRDefault="00D02EB6" w:rsidP="00D02EB6">
            <w:pPr>
              <w:jc w:val="both"/>
              <w:rPr>
                <w:sz w:val="20"/>
              </w:rPr>
            </w:pPr>
            <w:r w:rsidRPr="00D02EB6">
              <w:rPr>
                <w:sz w:val="20"/>
              </w:rPr>
              <w:t>(B.C.) (Civil) (By Leave)</w:t>
            </w:r>
          </w:p>
        </w:tc>
      </w:tr>
      <w:tr w:rsidR="00D02EB6" w:rsidRPr="00D02EB6" w:rsidTr="00E95A6A">
        <w:tc>
          <w:tcPr>
            <w:tcW w:w="5000" w:type="pct"/>
            <w:gridSpan w:val="4"/>
          </w:tcPr>
          <w:p w:rsidR="00D02EB6" w:rsidRPr="00D02EB6" w:rsidRDefault="00D02EB6" w:rsidP="00D02EB6">
            <w:pPr>
              <w:jc w:val="both"/>
              <w:rPr>
                <w:sz w:val="20"/>
              </w:rPr>
            </w:pPr>
            <w:r w:rsidRPr="00D02EB6">
              <w:rPr>
                <w:sz w:val="20"/>
              </w:rPr>
              <w:t>Municipal law — By</w:t>
            </w:r>
            <w:r w:rsidRPr="00D02EB6">
              <w:rPr>
                <w:sz w:val="20"/>
              </w:rPr>
              <w:noBreakHyphen/>
              <w:t xml:space="preserve">laws — Zoning — </w:t>
            </w:r>
            <w:r w:rsidRPr="00D02EB6">
              <w:rPr>
                <w:color w:val="000000"/>
                <w:sz w:val="20"/>
              </w:rPr>
              <w:t xml:space="preserve">Application of the administrative law principle set out in </w:t>
            </w:r>
            <w:r w:rsidRPr="00D02EB6">
              <w:rPr>
                <w:i/>
                <w:iCs/>
                <w:color w:val="000000"/>
                <w:sz w:val="20"/>
              </w:rPr>
              <w:t>Canada (Minister of Citizenship and Immigration) v. Vavilov</w:t>
            </w:r>
            <w:r w:rsidRPr="00D02EB6">
              <w:rPr>
                <w:color w:val="000000"/>
                <w:sz w:val="20"/>
              </w:rPr>
              <w:t xml:space="preserve">, 2019 SCC 65: when a decision maker departs from longstanding practices or established internal authority, it bears the justificatory burden of explaining that departure — Whether the Court of Appeal erred in law in its application of the </w:t>
            </w:r>
            <w:r w:rsidRPr="00D02EB6">
              <w:rPr>
                <w:i/>
                <w:color w:val="000000"/>
                <w:sz w:val="20"/>
              </w:rPr>
              <w:t>Vavilov</w:t>
            </w:r>
            <w:r w:rsidRPr="00D02EB6">
              <w:rPr>
                <w:color w:val="000000"/>
                <w:sz w:val="20"/>
              </w:rPr>
              <w:t xml:space="preserve"> decision — </w:t>
            </w:r>
            <w:r w:rsidRPr="00D02EB6">
              <w:rPr>
                <w:sz w:val="20"/>
              </w:rPr>
              <w:t xml:space="preserve">Where a decision maker has no obligation to provide reasons for a decision, how does a court assess the record for whether the justificatory burden has been met, without arbitrarily substituting its own justification </w:t>
            </w:r>
            <w:r w:rsidRPr="00D02EB6">
              <w:rPr>
                <w:color w:val="000000"/>
                <w:sz w:val="20"/>
              </w:rPr>
              <w:t>— Whether there are any issues of public importance raised?</w:t>
            </w:r>
          </w:p>
        </w:tc>
      </w:tr>
      <w:tr w:rsidR="00D02EB6" w:rsidRPr="00D02EB6" w:rsidTr="00E95A6A">
        <w:tc>
          <w:tcPr>
            <w:tcW w:w="5000" w:type="pct"/>
            <w:gridSpan w:val="4"/>
          </w:tcPr>
          <w:p w:rsidR="00D02EB6" w:rsidRPr="00D02EB6" w:rsidRDefault="00D02EB6" w:rsidP="00D02EB6">
            <w:pPr>
              <w:jc w:val="both"/>
              <w:rPr>
                <w:sz w:val="20"/>
              </w:rPr>
            </w:pPr>
          </w:p>
          <w:p w:rsidR="00D02EB6" w:rsidRPr="00D02EB6" w:rsidRDefault="00D02EB6" w:rsidP="00D02EB6">
            <w:pPr>
              <w:jc w:val="both"/>
              <w:rPr>
                <w:sz w:val="20"/>
              </w:rPr>
            </w:pPr>
            <w:r w:rsidRPr="00D02EB6">
              <w:rPr>
                <w:color w:val="000000"/>
                <w:spacing w:val="-3"/>
                <w:sz w:val="20"/>
              </w:rPr>
              <w:t>The applicant sought a development permit</w:t>
            </w:r>
            <w:r w:rsidRPr="00D02EB6">
              <w:rPr>
                <w:color w:val="000000"/>
                <w:sz w:val="20"/>
              </w:rPr>
              <w:t xml:space="preserve"> for a </w:t>
            </w:r>
            <w:r w:rsidRPr="00D02EB6">
              <w:rPr>
                <w:color w:val="000000"/>
                <w:spacing w:val="-3"/>
                <w:sz w:val="20"/>
              </w:rPr>
              <w:t>motorsport circuit use.</w:t>
            </w:r>
            <w:r w:rsidRPr="00D02EB6">
              <w:rPr>
                <w:color w:val="000000"/>
                <w:sz w:val="20"/>
              </w:rPr>
              <w:t xml:space="preserve"> In 2019, Mr. Conway, the Municipality’s Director of Planning and Building, refused to issue a development permit to the applicant on the grounds that the applicant’s proposed use of the land was not permitted under its zoning bylaw.</w:t>
            </w:r>
            <w:r w:rsidRPr="00D02EB6">
              <w:rPr>
                <w:color w:val="000000"/>
                <w:spacing w:val="-3"/>
                <w:sz w:val="20"/>
              </w:rPr>
              <w:t xml:space="preserve"> </w:t>
            </w:r>
            <w:r w:rsidRPr="00D02EB6">
              <w:rPr>
                <w:color w:val="000000"/>
                <w:sz w:val="20"/>
              </w:rPr>
              <w:t>In 2015, Mr. Mack, the Municipality’s then Director of Planning and Development, had issued a development permit to the applicant for what it says was the same proposed land use in relation to an identically zoned portion of adjoining property. The applicant sought reconsideration by municipal council of Mr. Conway’s refusal to issue a development permit. Municipal council confirmed the refusal. Next, the applicant sought judicial review of the reconsideration decision. The reconsideration decision was quashed by the chambers judge, and the matter was remitted back to council for redetermination.</w:t>
            </w:r>
            <w:r w:rsidRPr="00D02EB6">
              <w:rPr>
                <w:sz w:val="20"/>
              </w:rPr>
              <w:t xml:space="preserve"> The Court of Appeal allowed the respondent’s appeal. The </w:t>
            </w:r>
            <w:r w:rsidRPr="00D02EB6">
              <w:rPr>
                <w:color w:val="000000"/>
                <w:sz w:val="20"/>
              </w:rPr>
              <w:t>chambers judge’s order was set aside, and applicant’s underlying petition was dismissed.</w:t>
            </w:r>
          </w:p>
        </w:tc>
      </w:tr>
      <w:tr w:rsidR="00D02EB6" w:rsidRPr="00D02EB6" w:rsidTr="00E95A6A">
        <w:tc>
          <w:tcPr>
            <w:tcW w:w="5000" w:type="pct"/>
            <w:gridSpan w:val="4"/>
          </w:tcPr>
          <w:p w:rsidR="00D02EB6" w:rsidRPr="00D02EB6" w:rsidRDefault="00D02EB6" w:rsidP="00D02EB6">
            <w:pPr>
              <w:pStyle w:val="scjnumber"/>
              <w:spacing w:before="0" w:beforeAutospacing="0" w:after="0" w:afterAutospacing="0"/>
              <w:jc w:val="both"/>
              <w:rPr>
                <w:color w:val="000000"/>
                <w:sz w:val="20"/>
                <w:szCs w:val="20"/>
              </w:rPr>
            </w:pPr>
          </w:p>
        </w:tc>
      </w:tr>
      <w:tr w:rsidR="00D02EB6" w:rsidRPr="00D02EB6" w:rsidTr="00E95A6A">
        <w:tc>
          <w:tcPr>
            <w:tcW w:w="2427" w:type="pct"/>
            <w:gridSpan w:val="2"/>
          </w:tcPr>
          <w:p w:rsidR="00D02EB6" w:rsidRPr="00D02EB6" w:rsidRDefault="00D02EB6" w:rsidP="00D02EB6">
            <w:pPr>
              <w:jc w:val="both"/>
              <w:rPr>
                <w:sz w:val="20"/>
              </w:rPr>
            </w:pPr>
            <w:r w:rsidRPr="00D02EB6">
              <w:rPr>
                <w:sz w:val="20"/>
              </w:rPr>
              <w:t>November 6, 2020</w:t>
            </w:r>
          </w:p>
          <w:p w:rsidR="00D02EB6" w:rsidRPr="00D02EB6" w:rsidRDefault="00D02EB6" w:rsidP="00D02EB6">
            <w:pPr>
              <w:jc w:val="both"/>
              <w:rPr>
                <w:sz w:val="20"/>
              </w:rPr>
            </w:pPr>
            <w:r w:rsidRPr="00D02EB6">
              <w:rPr>
                <w:sz w:val="20"/>
              </w:rPr>
              <w:t>Supreme Court of British Columbia</w:t>
            </w:r>
          </w:p>
          <w:p w:rsidR="00D02EB6" w:rsidRPr="00D02EB6" w:rsidRDefault="00D02EB6" w:rsidP="00D02EB6">
            <w:pPr>
              <w:jc w:val="both"/>
              <w:rPr>
                <w:sz w:val="20"/>
              </w:rPr>
            </w:pPr>
            <w:r w:rsidRPr="00D02EB6">
              <w:rPr>
                <w:sz w:val="20"/>
              </w:rPr>
              <w:t>(Macdonald J.)</w:t>
            </w:r>
          </w:p>
          <w:p w:rsidR="00D02EB6" w:rsidRPr="00D02EB6" w:rsidRDefault="00D02EB6" w:rsidP="00D02EB6">
            <w:pPr>
              <w:jc w:val="both"/>
              <w:rPr>
                <w:sz w:val="20"/>
              </w:rPr>
            </w:pPr>
            <w:hyperlink r:id="rId23" w:history="1">
              <w:r w:rsidRPr="00D02EB6">
                <w:rPr>
                  <w:rStyle w:val="Hyperlink"/>
                  <w:sz w:val="20"/>
                </w:rPr>
                <w:t>2020 BCSC 1666</w:t>
              </w:r>
            </w:hyperlink>
          </w:p>
          <w:p w:rsidR="00D02EB6" w:rsidRPr="00D02EB6" w:rsidRDefault="00D02EB6" w:rsidP="00D02EB6">
            <w:pPr>
              <w:jc w:val="both"/>
              <w:rPr>
                <w:sz w:val="20"/>
              </w:rPr>
            </w:pPr>
          </w:p>
        </w:tc>
        <w:tc>
          <w:tcPr>
            <w:tcW w:w="243" w:type="pct"/>
          </w:tcPr>
          <w:p w:rsidR="00D02EB6" w:rsidRPr="00D02EB6" w:rsidRDefault="00D02EB6" w:rsidP="00D02EB6">
            <w:pPr>
              <w:jc w:val="both"/>
              <w:rPr>
                <w:sz w:val="20"/>
              </w:rPr>
            </w:pPr>
          </w:p>
        </w:tc>
        <w:tc>
          <w:tcPr>
            <w:tcW w:w="2330" w:type="pct"/>
          </w:tcPr>
          <w:p w:rsidR="00D02EB6" w:rsidRPr="00D02EB6" w:rsidRDefault="00D02EB6" w:rsidP="00D02EB6">
            <w:pPr>
              <w:jc w:val="both"/>
              <w:rPr>
                <w:sz w:val="20"/>
              </w:rPr>
            </w:pPr>
            <w:r w:rsidRPr="00D02EB6">
              <w:rPr>
                <w:sz w:val="20"/>
              </w:rPr>
              <w:t xml:space="preserve">Municipal council’s </w:t>
            </w:r>
            <w:r w:rsidRPr="00D02EB6">
              <w:rPr>
                <w:color w:val="000000"/>
                <w:sz w:val="20"/>
              </w:rPr>
              <w:t>reconsideration decision quashed; matter remitted back to council for redetermination</w:t>
            </w:r>
          </w:p>
          <w:p w:rsidR="00D02EB6" w:rsidRPr="00D02EB6" w:rsidRDefault="00D02EB6" w:rsidP="00D02EB6">
            <w:pPr>
              <w:jc w:val="both"/>
              <w:rPr>
                <w:sz w:val="20"/>
              </w:rPr>
            </w:pPr>
          </w:p>
        </w:tc>
      </w:tr>
      <w:tr w:rsidR="00D02EB6" w:rsidRPr="00D02EB6" w:rsidTr="00E95A6A">
        <w:tc>
          <w:tcPr>
            <w:tcW w:w="2427" w:type="pct"/>
            <w:gridSpan w:val="2"/>
          </w:tcPr>
          <w:p w:rsidR="00D02EB6" w:rsidRPr="00D02EB6" w:rsidRDefault="00D02EB6" w:rsidP="00D02EB6">
            <w:pPr>
              <w:jc w:val="both"/>
              <w:rPr>
                <w:sz w:val="20"/>
              </w:rPr>
            </w:pPr>
            <w:r w:rsidRPr="00D02EB6">
              <w:rPr>
                <w:sz w:val="20"/>
              </w:rPr>
              <w:t>November 3, 2021</w:t>
            </w:r>
          </w:p>
          <w:p w:rsidR="00D02EB6" w:rsidRPr="00D02EB6" w:rsidRDefault="00D02EB6" w:rsidP="00D02EB6">
            <w:pPr>
              <w:jc w:val="both"/>
              <w:rPr>
                <w:sz w:val="20"/>
              </w:rPr>
            </w:pPr>
            <w:r w:rsidRPr="00D02EB6">
              <w:rPr>
                <w:sz w:val="20"/>
              </w:rPr>
              <w:t xml:space="preserve">Court of Appeal for British Columbia </w:t>
            </w:r>
          </w:p>
          <w:p w:rsidR="00D02EB6" w:rsidRPr="00D02EB6" w:rsidRDefault="00D02EB6" w:rsidP="00D02EB6">
            <w:pPr>
              <w:jc w:val="both"/>
              <w:rPr>
                <w:sz w:val="20"/>
              </w:rPr>
            </w:pPr>
            <w:r w:rsidRPr="00D02EB6">
              <w:rPr>
                <w:sz w:val="20"/>
              </w:rPr>
              <w:t>(Vancouver)</w:t>
            </w:r>
          </w:p>
          <w:p w:rsidR="00D02EB6" w:rsidRPr="00D02EB6" w:rsidRDefault="00D02EB6" w:rsidP="00D02EB6">
            <w:pPr>
              <w:jc w:val="both"/>
              <w:rPr>
                <w:sz w:val="20"/>
              </w:rPr>
            </w:pPr>
            <w:r w:rsidRPr="00D02EB6">
              <w:rPr>
                <w:sz w:val="20"/>
              </w:rPr>
              <w:t>(Saunders, Fitch, Butler JJ.A.)</w:t>
            </w:r>
          </w:p>
          <w:p w:rsidR="00D02EB6" w:rsidRPr="00D02EB6" w:rsidRDefault="00D02EB6" w:rsidP="00D02EB6">
            <w:pPr>
              <w:jc w:val="both"/>
              <w:rPr>
                <w:sz w:val="20"/>
              </w:rPr>
            </w:pPr>
            <w:hyperlink r:id="rId24" w:history="1">
              <w:r w:rsidRPr="00D02EB6">
                <w:rPr>
                  <w:rStyle w:val="Hyperlink"/>
                  <w:sz w:val="20"/>
                </w:rPr>
                <w:t>2021 BCCA 414</w:t>
              </w:r>
            </w:hyperlink>
            <w:r w:rsidRPr="00D02EB6">
              <w:rPr>
                <w:sz w:val="20"/>
              </w:rPr>
              <w:t>; CA 47154</w:t>
            </w:r>
          </w:p>
          <w:p w:rsidR="00D02EB6" w:rsidRPr="00D02EB6" w:rsidRDefault="00D02EB6" w:rsidP="00D02EB6">
            <w:pPr>
              <w:jc w:val="both"/>
              <w:rPr>
                <w:sz w:val="20"/>
              </w:rPr>
            </w:pPr>
          </w:p>
        </w:tc>
        <w:tc>
          <w:tcPr>
            <w:tcW w:w="243" w:type="pct"/>
          </w:tcPr>
          <w:p w:rsidR="00D02EB6" w:rsidRPr="00D02EB6" w:rsidRDefault="00D02EB6" w:rsidP="00D02EB6">
            <w:pPr>
              <w:jc w:val="both"/>
              <w:rPr>
                <w:sz w:val="20"/>
              </w:rPr>
            </w:pPr>
          </w:p>
        </w:tc>
        <w:tc>
          <w:tcPr>
            <w:tcW w:w="2330" w:type="pct"/>
          </w:tcPr>
          <w:p w:rsidR="00D02EB6" w:rsidRPr="00D02EB6" w:rsidRDefault="00D02EB6" w:rsidP="00D02EB6">
            <w:pPr>
              <w:jc w:val="both"/>
              <w:rPr>
                <w:sz w:val="20"/>
              </w:rPr>
            </w:pPr>
            <w:r w:rsidRPr="00D02EB6">
              <w:rPr>
                <w:sz w:val="20"/>
              </w:rPr>
              <w:t xml:space="preserve">Respondent’s appeal allowed with costs: </w:t>
            </w:r>
            <w:r w:rsidRPr="00D02EB6">
              <w:rPr>
                <w:color w:val="000000"/>
                <w:sz w:val="20"/>
              </w:rPr>
              <w:t>chamber judge’s order set aside and applicant’s underlying petition dismissed</w:t>
            </w:r>
          </w:p>
          <w:p w:rsidR="00D02EB6" w:rsidRPr="00D02EB6" w:rsidRDefault="00D02EB6" w:rsidP="00D02EB6">
            <w:pPr>
              <w:jc w:val="both"/>
              <w:rPr>
                <w:sz w:val="20"/>
              </w:rPr>
            </w:pPr>
          </w:p>
          <w:p w:rsidR="00D02EB6" w:rsidRPr="00D02EB6" w:rsidRDefault="00D02EB6" w:rsidP="00D02EB6">
            <w:pPr>
              <w:jc w:val="both"/>
              <w:rPr>
                <w:sz w:val="20"/>
              </w:rPr>
            </w:pPr>
          </w:p>
        </w:tc>
      </w:tr>
      <w:tr w:rsidR="00D02EB6" w:rsidRPr="00D02EB6" w:rsidTr="00E95A6A">
        <w:tc>
          <w:tcPr>
            <w:tcW w:w="2427" w:type="pct"/>
            <w:gridSpan w:val="2"/>
          </w:tcPr>
          <w:p w:rsidR="00D02EB6" w:rsidRPr="00D02EB6" w:rsidRDefault="00D02EB6" w:rsidP="00D02EB6">
            <w:pPr>
              <w:jc w:val="both"/>
              <w:rPr>
                <w:sz w:val="20"/>
              </w:rPr>
            </w:pPr>
            <w:r w:rsidRPr="00D02EB6">
              <w:rPr>
                <w:sz w:val="20"/>
              </w:rPr>
              <w:lastRenderedPageBreak/>
              <w:t>January 27, 2022</w:t>
            </w:r>
          </w:p>
          <w:p w:rsidR="00D02EB6" w:rsidRPr="00D02EB6" w:rsidRDefault="00D02EB6" w:rsidP="00D02EB6">
            <w:pPr>
              <w:jc w:val="both"/>
              <w:rPr>
                <w:sz w:val="20"/>
              </w:rPr>
            </w:pPr>
            <w:r w:rsidRPr="00D02EB6">
              <w:rPr>
                <w:sz w:val="20"/>
              </w:rPr>
              <w:t>Supreme Court of Canada</w:t>
            </w:r>
          </w:p>
          <w:p w:rsidR="00D02EB6" w:rsidRPr="00D02EB6" w:rsidRDefault="00D02EB6" w:rsidP="00D02EB6">
            <w:pPr>
              <w:jc w:val="both"/>
              <w:rPr>
                <w:sz w:val="20"/>
              </w:rPr>
            </w:pPr>
          </w:p>
        </w:tc>
        <w:tc>
          <w:tcPr>
            <w:tcW w:w="243" w:type="pct"/>
          </w:tcPr>
          <w:p w:rsidR="00D02EB6" w:rsidRPr="00D02EB6" w:rsidRDefault="00D02EB6" w:rsidP="00D02EB6">
            <w:pPr>
              <w:jc w:val="both"/>
              <w:rPr>
                <w:sz w:val="20"/>
              </w:rPr>
            </w:pPr>
          </w:p>
        </w:tc>
        <w:tc>
          <w:tcPr>
            <w:tcW w:w="2330" w:type="pct"/>
          </w:tcPr>
          <w:p w:rsidR="00D02EB6" w:rsidRPr="00D02EB6" w:rsidRDefault="00D02EB6" w:rsidP="00D02EB6">
            <w:pPr>
              <w:jc w:val="both"/>
              <w:rPr>
                <w:sz w:val="20"/>
              </w:rPr>
            </w:pPr>
            <w:r w:rsidRPr="00D02EB6">
              <w:rPr>
                <w:sz w:val="20"/>
              </w:rPr>
              <w:t>Motion for an extension of time to serve and file the application for leave to appeal and application for leave to appeal filed</w:t>
            </w:r>
          </w:p>
        </w:tc>
      </w:tr>
    </w:tbl>
    <w:p w:rsidR="00D02EB6" w:rsidRPr="00D02EB6" w:rsidRDefault="00D02EB6" w:rsidP="00D02EB6">
      <w:pPr>
        <w:jc w:val="both"/>
        <w:rPr>
          <w:sz w:val="20"/>
        </w:rPr>
      </w:pPr>
    </w:p>
    <w:p w:rsidR="00D02EB6" w:rsidRPr="00D02EB6" w:rsidRDefault="00D02EB6" w:rsidP="00D02EB6">
      <w:pPr>
        <w:jc w:val="both"/>
        <w:rPr>
          <w:sz w:val="20"/>
        </w:rPr>
      </w:pPr>
      <w:r w:rsidRPr="00D02EB6">
        <w:rPr>
          <w:sz w:val="20"/>
        </w:rPr>
        <w:pict>
          <v:rect id="_x0000_i1032" style="width:2in;height:1pt" o:hrpct="0" o:hralign="center" o:hrstd="t" o:hrnoshade="t" o:hr="t" fillcolor="black [3213]" stroked="f"/>
        </w:pict>
      </w:r>
    </w:p>
    <w:p w:rsidR="00D02EB6" w:rsidRPr="00D02EB6" w:rsidRDefault="00D02EB6" w:rsidP="00D02EB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2EB6" w:rsidRPr="00D02EB6" w:rsidTr="00E95A6A">
        <w:tc>
          <w:tcPr>
            <w:tcW w:w="543" w:type="pct"/>
          </w:tcPr>
          <w:p w:rsidR="00D02EB6" w:rsidRPr="00D02EB6" w:rsidRDefault="00D02EB6" w:rsidP="00D02EB6">
            <w:pPr>
              <w:jc w:val="both"/>
              <w:rPr>
                <w:sz w:val="20"/>
                <w:lang w:val="fr-CA"/>
              </w:rPr>
            </w:pPr>
            <w:r w:rsidRPr="00D02EB6">
              <w:rPr>
                <w:rStyle w:val="SCCFileNumberChar"/>
                <w:sz w:val="20"/>
                <w:szCs w:val="20"/>
                <w:lang w:val="fr-CA"/>
              </w:rPr>
              <w:t>40040</w:t>
            </w:r>
          </w:p>
        </w:tc>
        <w:tc>
          <w:tcPr>
            <w:tcW w:w="4457" w:type="pct"/>
            <w:gridSpan w:val="3"/>
          </w:tcPr>
          <w:p w:rsidR="00D02EB6" w:rsidRPr="00D02EB6" w:rsidRDefault="00D02EB6" w:rsidP="00D02EB6">
            <w:pPr>
              <w:pStyle w:val="SCCLsocParty"/>
              <w:jc w:val="both"/>
              <w:rPr>
                <w:b/>
                <w:sz w:val="20"/>
                <w:szCs w:val="20"/>
                <w:lang w:val="en-US"/>
              </w:rPr>
            </w:pPr>
            <w:r w:rsidRPr="00D02EB6">
              <w:rPr>
                <w:b/>
                <w:sz w:val="20"/>
                <w:szCs w:val="20"/>
                <w:lang w:val="en-US"/>
              </w:rPr>
              <w:t>1909988 Ontario Ltd. c. Municipality of North Cowichan</w:t>
            </w:r>
          </w:p>
          <w:p w:rsidR="00D02EB6" w:rsidRPr="00D02EB6" w:rsidRDefault="00D02EB6" w:rsidP="00D02EB6">
            <w:pPr>
              <w:jc w:val="both"/>
              <w:rPr>
                <w:sz w:val="20"/>
                <w:lang w:val="fr-CA"/>
              </w:rPr>
            </w:pPr>
            <w:r w:rsidRPr="00D02EB6">
              <w:rPr>
                <w:sz w:val="20"/>
                <w:lang w:val="fr-CA"/>
              </w:rPr>
              <w:t>(C.</w:t>
            </w:r>
            <w:r w:rsidRPr="00D02EB6">
              <w:rPr>
                <w:sz w:val="20"/>
                <w:lang w:val="fr-CA"/>
              </w:rPr>
              <w:noBreakHyphen/>
              <w:t>B.) (civile) (sur autorisation)</w:t>
            </w:r>
          </w:p>
        </w:tc>
      </w:tr>
      <w:tr w:rsidR="00D02EB6" w:rsidRPr="00D02EB6" w:rsidTr="00E95A6A">
        <w:tc>
          <w:tcPr>
            <w:tcW w:w="5000" w:type="pct"/>
            <w:gridSpan w:val="4"/>
          </w:tcPr>
          <w:p w:rsidR="00D02EB6" w:rsidRPr="00D02EB6" w:rsidRDefault="00D02EB6" w:rsidP="00D02EB6">
            <w:pPr>
              <w:jc w:val="both"/>
              <w:rPr>
                <w:sz w:val="20"/>
                <w:lang w:val="fr-CA"/>
              </w:rPr>
            </w:pPr>
            <w:r w:rsidRPr="00D02EB6">
              <w:rPr>
                <w:sz w:val="20"/>
                <w:lang w:val="fr-CA"/>
              </w:rPr>
              <w:t xml:space="preserve">Droit municipal — Règlements — Zonage — </w:t>
            </w:r>
            <w:r w:rsidRPr="00D02EB6">
              <w:rPr>
                <w:color w:val="000000"/>
                <w:sz w:val="20"/>
                <w:lang w:val="fr-CA"/>
              </w:rPr>
              <w:t xml:space="preserve">Application du principe de droit administratif énoncé dans l’arrêt </w:t>
            </w:r>
            <w:r w:rsidRPr="00D02EB6">
              <w:rPr>
                <w:i/>
                <w:iCs/>
                <w:color w:val="000000"/>
                <w:sz w:val="20"/>
                <w:lang w:val="fr-CA"/>
              </w:rPr>
              <w:t>Canada (Ministre de la Citoyenneté et de l’Immigration) c. Vavilov</w:t>
            </w:r>
            <w:r w:rsidRPr="00D02EB6">
              <w:rPr>
                <w:color w:val="000000"/>
                <w:sz w:val="20"/>
                <w:lang w:val="fr-CA"/>
              </w:rPr>
              <w:t>, 2019 CSC 65 : lorsqu’un décideur</w:t>
            </w:r>
            <w:r w:rsidRPr="00D02EB6">
              <w:rPr>
                <w:sz w:val="20"/>
                <w:lang w:val="fr-CA"/>
              </w:rPr>
              <w:t xml:space="preserve"> </w:t>
            </w:r>
            <w:r w:rsidRPr="00D02EB6">
              <w:rPr>
                <w:color w:val="000000"/>
                <w:sz w:val="20"/>
                <w:lang w:val="fr-CA"/>
              </w:rPr>
              <w:t>s’écarte d’une pratique de longue date</w:t>
            </w:r>
            <w:r w:rsidRPr="00D02EB6">
              <w:rPr>
                <w:sz w:val="20"/>
                <w:lang w:val="fr-CA"/>
              </w:rPr>
              <w:t xml:space="preserve"> </w:t>
            </w:r>
            <w:r w:rsidRPr="00D02EB6">
              <w:rPr>
                <w:color w:val="000000"/>
                <w:sz w:val="20"/>
                <w:lang w:val="fr-CA"/>
              </w:rPr>
              <w:t>ou d’une jurisprudence interne constante, c’est sur ses épaules que repose le fardeau d’expliquer ce départ — La Cour d’appel a</w:t>
            </w:r>
            <w:r w:rsidRPr="00D02EB6">
              <w:rPr>
                <w:color w:val="000000"/>
                <w:sz w:val="20"/>
                <w:lang w:val="fr-CA"/>
              </w:rPr>
              <w:noBreakHyphen/>
              <w:t>t</w:t>
            </w:r>
            <w:r w:rsidRPr="00D02EB6">
              <w:rPr>
                <w:color w:val="000000"/>
                <w:sz w:val="20"/>
                <w:lang w:val="fr-CA"/>
              </w:rPr>
              <w:noBreakHyphen/>
              <w:t xml:space="preserve">elle commis une erreur de droit dans son application de la décision dans l’arrêt </w:t>
            </w:r>
            <w:r w:rsidRPr="00D02EB6">
              <w:rPr>
                <w:i/>
                <w:color w:val="000000"/>
                <w:sz w:val="20"/>
                <w:lang w:val="fr-CA"/>
              </w:rPr>
              <w:t>Vavilov </w:t>
            </w:r>
            <w:r w:rsidRPr="00D02EB6">
              <w:rPr>
                <w:color w:val="000000"/>
                <w:sz w:val="20"/>
                <w:lang w:val="fr-CA"/>
              </w:rPr>
              <w:t>? — Lorsqu’un décideur n’est pas tenu de motiver sa décision, comment un tribunal doit</w:t>
            </w:r>
            <w:r w:rsidRPr="00D02EB6">
              <w:rPr>
                <w:color w:val="000000"/>
                <w:sz w:val="20"/>
                <w:lang w:val="fr-CA"/>
              </w:rPr>
              <w:noBreakHyphen/>
              <w:t xml:space="preserve">il s’y prendre pour </w:t>
            </w:r>
            <w:r w:rsidRPr="00D02EB6">
              <w:rPr>
                <w:sz w:val="20"/>
                <w:lang w:val="fr-CA"/>
              </w:rPr>
              <w:t xml:space="preserve">évaluer le dossier afin de déterminer s’il a été satisfait au fardeau de justification, sans pour autant y substituer arbitrairement ses propres justifications ? </w:t>
            </w:r>
            <w:r w:rsidRPr="00D02EB6">
              <w:rPr>
                <w:color w:val="000000"/>
                <w:sz w:val="20"/>
                <w:lang w:val="fr-CA"/>
              </w:rPr>
              <w:t>— L’affaire soulève</w:t>
            </w:r>
            <w:r w:rsidRPr="00D02EB6">
              <w:rPr>
                <w:color w:val="000000"/>
                <w:sz w:val="20"/>
                <w:lang w:val="fr-CA"/>
              </w:rPr>
              <w:noBreakHyphen/>
              <w:t>t</w:t>
            </w:r>
            <w:r w:rsidRPr="00D02EB6">
              <w:rPr>
                <w:color w:val="000000"/>
                <w:sz w:val="20"/>
                <w:lang w:val="fr-CA"/>
              </w:rPr>
              <w:noBreakHyphen/>
              <w:t>elle des questions d’importance pour le public ?</w:t>
            </w:r>
          </w:p>
        </w:tc>
      </w:tr>
      <w:tr w:rsidR="00D02EB6" w:rsidRPr="00D02EB6" w:rsidTr="00E95A6A">
        <w:tc>
          <w:tcPr>
            <w:tcW w:w="5000" w:type="pct"/>
            <w:gridSpan w:val="4"/>
          </w:tcPr>
          <w:p w:rsidR="00D02EB6" w:rsidRPr="00D02EB6" w:rsidRDefault="00D02EB6" w:rsidP="00D02EB6">
            <w:pPr>
              <w:jc w:val="both"/>
              <w:rPr>
                <w:sz w:val="20"/>
                <w:lang w:val="fr-CA"/>
              </w:rPr>
            </w:pPr>
          </w:p>
          <w:p w:rsidR="00D02EB6" w:rsidRPr="00D02EB6" w:rsidRDefault="00D02EB6" w:rsidP="00D02EB6">
            <w:pPr>
              <w:jc w:val="both"/>
              <w:rPr>
                <w:sz w:val="20"/>
                <w:lang w:val="fr-CA"/>
              </w:rPr>
            </w:pPr>
            <w:r w:rsidRPr="00D02EB6">
              <w:rPr>
                <w:color w:val="000000"/>
                <w:spacing w:val="-3"/>
                <w:sz w:val="20"/>
                <w:lang w:val="fr-CA"/>
              </w:rPr>
              <w:t>La demanderesse a demandé un permis d’aménagement visant l’utilisation d’un circuit automobile pour sports motorisés.</w:t>
            </w:r>
            <w:r w:rsidRPr="00D02EB6">
              <w:rPr>
                <w:color w:val="000000"/>
                <w:sz w:val="20"/>
                <w:lang w:val="fr-CA"/>
              </w:rPr>
              <w:t xml:space="preserve"> En 2019, M. Conway, le directeur des services d’urbanisme et de construction de la municipalité, a refusé de délivrer un permis d’aménagement à la demanderesse au motif que l’utilisation du terrain proposée par la demanderesse n’était pas permise en vertu de règlement de zonage y afférent.</w:t>
            </w:r>
            <w:r w:rsidRPr="00D02EB6">
              <w:rPr>
                <w:color w:val="000000"/>
                <w:spacing w:val="-3"/>
                <w:sz w:val="20"/>
                <w:lang w:val="fr-CA"/>
              </w:rPr>
              <w:t xml:space="preserve"> </w:t>
            </w:r>
            <w:r w:rsidRPr="00D02EB6">
              <w:rPr>
                <w:color w:val="000000"/>
                <w:sz w:val="20"/>
                <w:lang w:val="fr-CA"/>
              </w:rPr>
              <w:t>En 2015, M. Mack, qui était alors directeur des services d’urbanisme et de construction de la municipalité, avait délivré un</w:t>
            </w:r>
            <w:r w:rsidRPr="00D02EB6">
              <w:rPr>
                <w:color w:val="000000"/>
                <w:spacing w:val="-3"/>
                <w:sz w:val="20"/>
                <w:lang w:val="fr-CA"/>
              </w:rPr>
              <w:t xml:space="preserve"> </w:t>
            </w:r>
            <w:r w:rsidRPr="00D02EB6">
              <w:rPr>
                <w:color w:val="000000"/>
                <w:sz w:val="20"/>
                <w:lang w:val="fr-CA"/>
              </w:rPr>
              <w:t xml:space="preserve">permis d’aménagement à la demanderesse visant, selon cette dernière, la même utilisation du terrain proposée par rapport à une portion du terrain attenant dont le zonage était identique. La demanderesse a demandé le réexamen par le conseil municipal du refus de M. Conway de délivrer un permis d’aménagement. Le conseil municipal </w:t>
            </w:r>
            <w:bookmarkStart w:id="0" w:name="_GoBack"/>
            <w:bookmarkEnd w:id="0"/>
            <w:r w:rsidRPr="00D02EB6">
              <w:rPr>
                <w:color w:val="000000"/>
                <w:sz w:val="20"/>
                <w:lang w:val="fr-CA"/>
              </w:rPr>
              <w:t>a confirmé ce refus. La demanderesse a ensuite demandé le contrôle judiciaire de la décision de réexamen. Cette dernière décision a été annulée par la juge siégeant en son cabinet, et l’affaire a été renvoyée au conseil pour qu’elle rende une nouvelle décision.</w:t>
            </w:r>
            <w:r w:rsidRPr="00D02EB6">
              <w:rPr>
                <w:sz w:val="20"/>
                <w:lang w:val="fr-CA"/>
              </w:rPr>
              <w:t xml:space="preserve"> La Cour d’appel a accueilli l’appel de l’intimée. L’ordonnance de la </w:t>
            </w:r>
            <w:r w:rsidRPr="00D02EB6">
              <w:rPr>
                <w:color w:val="000000"/>
                <w:sz w:val="20"/>
                <w:lang w:val="fr-CA"/>
              </w:rPr>
              <w:t>juge siégeant en son cabinet</w:t>
            </w:r>
            <w:r w:rsidRPr="00D02EB6">
              <w:rPr>
                <w:sz w:val="20"/>
                <w:lang w:val="fr-CA"/>
              </w:rPr>
              <w:t xml:space="preserve"> a été infirmée</w:t>
            </w:r>
            <w:r w:rsidRPr="00D02EB6">
              <w:rPr>
                <w:color w:val="000000"/>
                <w:sz w:val="20"/>
                <w:lang w:val="fr-CA"/>
              </w:rPr>
              <w:t>, et la demande sous-jacente de la demanderesse a été rejetée.</w:t>
            </w:r>
          </w:p>
        </w:tc>
      </w:tr>
      <w:tr w:rsidR="00D02EB6" w:rsidRPr="00D02EB6" w:rsidTr="00E95A6A">
        <w:tc>
          <w:tcPr>
            <w:tcW w:w="5000" w:type="pct"/>
            <w:gridSpan w:val="4"/>
          </w:tcPr>
          <w:p w:rsidR="00D02EB6" w:rsidRPr="00D02EB6" w:rsidRDefault="00D02EB6" w:rsidP="00D02EB6">
            <w:pPr>
              <w:pStyle w:val="scjnumber"/>
              <w:spacing w:before="0" w:beforeAutospacing="0" w:after="0" w:afterAutospacing="0"/>
              <w:jc w:val="both"/>
              <w:rPr>
                <w:color w:val="000000"/>
                <w:sz w:val="20"/>
                <w:szCs w:val="20"/>
                <w:lang w:val="fr-CA"/>
              </w:rPr>
            </w:pPr>
          </w:p>
        </w:tc>
      </w:tr>
      <w:tr w:rsidR="00D02EB6" w:rsidRPr="00D02EB6" w:rsidTr="00E95A6A">
        <w:tc>
          <w:tcPr>
            <w:tcW w:w="2427" w:type="pct"/>
            <w:gridSpan w:val="2"/>
          </w:tcPr>
          <w:p w:rsidR="00D02EB6" w:rsidRPr="00D02EB6" w:rsidRDefault="00D02EB6" w:rsidP="00D02EB6">
            <w:pPr>
              <w:jc w:val="both"/>
              <w:rPr>
                <w:sz w:val="20"/>
                <w:lang w:val="fr-CA"/>
              </w:rPr>
            </w:pPr>
            <w:r w:rsidRPr="00D02EB6">
              <w:rPr>
                <w:sz w:val="20"/>
                <w:lang w:val="fr-CA"/>
              </w:rPr>
              <w:t>6 novembre 2020</w:t>
            </w:r>
          </w:p>
          <w:p w:rsidR="00D02EB6" w:rsidRPr="00D02EB6" w:rsidRDefault="00D02EB6" w:rsidP="00D02EB6">
            <w:pPr>
              <w:jc w:val="both"/>
              <w:rPr>
                <w:sz w:val="20"/>
                <w:lang w:val="fr-CA"/>
              </w:rPr>
            </w:pPr>
            <w:r w:rsidRPr="00D02EB6">
              <w:rPr>
                <w:sz w:val="20"/>
                <w:lang w:val="fr-CA"/>
              </w:rPr>
              <w:t>Cour suprême de la Colombie</w:t>
            </w:r>
            <w:r w:rsidRPr="00D02EB6">
              <w:rPr>
                <w:sz w:val="20"/>
                <w:lang w:val="fr-CA"/>
              </w:rPr>
              <w:noBreakHyphen/>
              <w:t>Britannique (juge Macdonald)</w:t>
            </w:r>
          </w:p>
          <w:p w:rsidR="00D02EB6" w:rsidRPr="00D02EB6" w:rsidRDefault="00D02EB6" w:rsidP="00D02EB6">
            <w:pPr>
              <w:jc w:val="both"/>
              <w:rPr>
                <w:sz w:val="20"/>
                <w:lang w:val="fr-CA"/>
              </w:rPr>
            </w:pPr>
            <w:hyperlink r:id="rId25" w:history="1">
              <w:r w:rsidRPr="00D02EB6">
                <w:rPr>
                  <w:rStyle w:val="Hyperlink"/>
                  <w:sz w:val="20"/>
                  <w:lang w:val="fr-CA"/>
                </w:rPr>
                <w:t>2020 BCSC 1666</w:t>
              </w:r>
            </w:hyperlink>
          </w:p>
          <w:p w:rsidR="00D02EB6" w:rsidRPr="00D02EB6" w:rsidRDefault="00D02EB6" w:rsidP="00D02EB6">
            <w:pPr>
              <w:jc w:val="both"/>
              <w:rPr>
                <w:sz w:val="20"/>
                <w:lang w:val="fr-CA"/>
              </w:rPr>
            </w:pPr>
          </w:p>
        </w:tc>
        <w:tc>
          <w:tcPr>
            <w:tcW w:w="243" w:type="pct"/>
          </w:tcPr>
          <w:p w:rsidR="00D02EB6" w:rsidRPr="00D02EB6" w:rsidRDefault="00D02EB6" w:rsidP="00D02EB6">
            <w:pPr>
              <w:jc w:val="both"/>
              <w:rPr>
                <w:sz w:val="20"/>
                <w:lang w:val="fr-CA"/>
              </w:rPr>
            </w:pPr>
          </w:p>
        </w:tc>
        <w:tc>
          <w:tcPr>
            <w:tcW w:w="2330" w:type="pct"/>
          </w:tcPr>
          <w:p w:rsidR="00D02EB6" w:rsidRPr="00D02EB6" w:rsidRDefault="00D02EB6" w:rsidP="00D02EB6">
            <w:pPr>
              <w:jc w:val="both"/>
              <w:rPr>
                <w:sz w:val="20"/>
                <w:lang w:val="fr-CA"/>
              </w:rPr>
            </w:pPr>
            <w:r w:rsidRPr="00D02EB6">
              <w:rPr>
                <w:sz w:val="20"/>
                <w:lang w:val="fr-CA"/>
              </w:rPr>
              <w:t>La décision de réexamen du</w:t>
            </w:r>
            <w:r w:rsidRPr="00D02EB6">
              <w:rPr>
                <w:color w:val="000000"/>
                <w:sz w:val="20"/>
                <w:lang w:val="fr-CA"/>
              </w:rPr>
              <w:t xml:space="preserve"> conseil municipal est annulée; l’affaire est renvoyée au conseil pour qu’elle rende une nouvelle décision.</w:t>
            </w:r>
          </w:p>
          <w:p w:rsidR="00D02EB6" w:rsidRPr="00D02EB6" w:rsidRDefault="00D02EB6" w:rsidP="00D02EB6">
            <w:pPr>
              <w:jc w:val="both"/>
              <w:rPr>
                <w:sz w:val="20"/>
                <w:lang w:val="fr-CA"/>
              </w:rPr>
            </w:pPr>
          </w:p>
        </w:tc>
      </w:tr>
      <w:tr w:rsidR="00D02EB6" w:rsidRPr="00D02EB6" w:rsidTr="00E95A6A">
        <w:tc>
          <w:tcPr>
            <w:tcW w:w="2427" w:type="pct"/>
            <w:gridSpan w:val="2"/>
          </w:tcPr>
          <w:p w:rsidR="00D02EB6" w:rsidRPr="00D02EB6" w:rsidRDefault="00D02EB6" w:rsidP="00D02EB6">
            <w:pPr>
              <w:jc w:val="both"/>
              <w:rPr>
                <w:sz w:val="20"/>
                <w:lang w:val="fr-CA"/>
              </w:rPr>
            </w:pPr>
            <w:r w:rsidRPr="00D02EB6">
              <w:rPr>
                <w:sz w:val="20"/>
                <w:lang w:val="fr-CA"/>
              </w:rPr>
              <w:t>3 novembre 2021</w:t>
            </w:r>
          </w:p>
          <w:p w:rsidR="00D02EB6" w:rsidRPr="00D02EB6" w:rsidRDefault="00D02EB6" w:rsidP="00D02EB6">
            <w:pPr>
              <w:jc w:val="both"/>
              <w:rPr>
                <w:sz w:val="20"/>
                <w:lang w:val="fr-CA"/>
              </w:rPr>
            </w:pPr>
            <w:r w:rsidRPr="00D02EB6">
              <w:rPr>
                <w:sz w:val="20"/>
                <w:lang w:val="fr-CA"/>
              </w:rPr>
              <w:t>Cour d’appel de la Colombie</w:t>
            </w:r>
            <w:r w:rsidRPr="00D02EB6">
              <w:rPr>
                <w:sz w:val="20"/>
                <w:lang w:val="fr-CA"/>
              </w:rPr>
              <w:noBreakHyphen/>
              <w:t>Britannique (Vancouver)</w:t>
            </w:r>
          </w:p>
          <w:p w:rsidR="00D02EB6" w:rsidRPr="00D02EB6" w:rsidRDefault="00D02EB6" w:rsidP="00D02EB6">
            <w:pPr>
              <w:jc w:val="both"/>
              <w:rPr>
                <w:sz w:val="20"/>
              </w:rPr>
            </w:pPr>
            <w:r w:rsidRPr="00D02EB6">
              <w:rPr>
                <w:sz w:val="20"/>
              </w:rPr>
              <w:t>(juges Saunders, Fitch, Butler)</w:t>
            </w:r>
          </w:p>
          <w:p w:rsidR="00D02EB6" w:rsidRPr="00D02EB6" w:rsidRDefault="00D02EB6" w:rsidP="00D02EB6">
            <w:pPr>
              <w:jc w:val="both"/>
              <w:rPr>
                <w:sz w:val="20"/>
              </w:rPr>
            </w:pPr>
            <w:hyperlink r:id="rId26" w:history="1">
              <w:r w:rsidRPr="00D02EB6">
                <w:rPr>
                  <w:rStyle w:val="Hyperlink"/>
                  <w:sz w:val="20"/>
                </w:rPr>
                <w:t>2021 BCCA 414</w:t>
              </w:r>
            </w:hyperlink>
            <w:r w:rsidRPr="00D02EB6">
              <w:rPr>
                <w:sz w:val="20"/>
              </w:rPr>
              <w:t>; CA 47154</w:t>
            </w:r>
          </w:p>
          <w:p w:rsidR="00D02EB6" w:rsidRPr="00D02EB6" w:rsidRDefault="00D02EB6" w:rsidP="00D02EB6">
            <w:pPr>
              <w:jc w:val="both"/>
              <w:rPr>
                <w:sz w:val="20"/>
              </w:rPr>
            </w:pPr>
          </w:p>
        </w:tc>
        <w:tc>
          <w:tcPr>
            <w:tcW w:w="243" w:type="pct"/>
          </w:tcPr>
          <w:p w:rsidR="00D02EB6" w:rsidRPr="00D02EB6" w:rsidRDefault="00D02EB6" w:rsidP="00D02EB6">
            <w:pPr>
              <w:jc w:val="both"/>
              <w:rPr>
                <w:sz w:val="20"/>
              </w:rPr>
            </w:pPr>
          </w:p>
        </w:tc>
        <w:tc>
          <w:tcPr>
            <w:tcW w:w="2330" w:type="pct"/>
          </w:tcPr>
          <w:p w:rsidR="00D02EB6" w:rsidRPr="00D02EB6" w:rsidRDefault="00D02EB6" w:rsidP="00D02EB6">
            <w:pPr>
              <w:jc w:val="both"/>
              <w:rPr>
                <w:sz w:val="20"/>
                <w:lang w:val="fr-CA"/>
              </w:rPr>
            </w:pPr>
            <w:r w:rsidRPr="00D02EB6">
              <w:rPr>
                <w:sz w:val="20"/>
                <w:lang w:val="fr-CA"/>
              </w:rPr>
              <w:t xml:space="preserve">L’appel de l’intimée est accueilli, avec dépens : l’ordonnance de la </w:t>
            </w:r>
            <w:r w:rsidRPr="00D02EB6">
              <w:rPr>
                <w:color w:val="000000"/>
                <w:sz w:val="20"/>
                <w:lang w:val="fr-CA"/>
              </w:rPr>
              <w:t>juge siégeant en son cabinet</w:t>
            </w:r>
            <w:r w:rsidRPr="00D02EB6">
              <w:rPr>
                <w:sz w:val="20"/>
                <w:lang w:val="fr-CA"/>
              </w:rPr>
              <w:t xml:space="preserve"> est infirmée</w:t>
            </w:r>
            <w:r w:rsidRPr="00D02EB6">
              <w:rPr>
                <w:color w:val="000000"/>
                <w:sz w:val="20"/>
                <w:lang w:val="fr-CA"/>
              </w:rPr>
              <w:t xml:space="preserve"> et la demande sous-jacente de la demanderesse est rejetée.</w:t>
            </w:r>
          </w:p>
          <w:p w:rsidR="00D02EB6" w:rsidRPr="00D02EB6" w:rsidRDefault="00D02EB6" w:rsidP="00D02EB6">
            <w:pPr>
              <w:jc w:val="both"/>
              <w:rPr>
                <w:sz w:val="20"/>
                <w:lang w:val="fr-CA"/>
              </w:rPr>
            </w:pPr>
          </w:p>
          <w:p w:rsidR="00D02EB6" w:rsidRPr="00D02EB6" w:rsidRDefault="00D02EB6" w:rsidP="00D02EB6">
            <w:pPr>
              <w:jc w:val="both"/>
              <w:rPr>
                <w:sz w:val="20"/>
                <w:lang w:val="fr-CA"/>
              </w:rPr>
            </w:pPr>
          </w:p>
        </w:tc>
      </w:tr>
      <w:tr w:rsidR="00D02EB6" w:rsidRPr="00D02EB6" w:rsidTr="00E95A6A">
        <w:tc>
          <w:tcPr>
            <w:tcW w:w="2427" w:type="pct"/>
            <w:gridSpan w:val="2"/>
          </w:tcPr>
          <w:p w:rsidR="00D02EB6" w:rsidRPr="00D02EB6" w:rsidRDefault="00D02EB6" w:rsidP="00D02EB6">
            <w:pPr>
              <w:jc w:val="both"/>
              <w:rPr>
                <w:sz w:val="20"/>
                <w:lang w:val="fr-CA"/>
              </w:rPr>
            </w:pPr>
            <w:r w:rsidRPr="00D02EB6">
              <w:rPr>
                <w:sz w:val="20"/>
                <w:lang w:val="fr-CA"/>
              </w:rPr>
              <w:t>27 janvier 2022</w:t>
            </w:r>
          </w:p>
          <w:p w:rsidR="00D02EB6" w:rsidRPr="00D02EB6" w:rsidRDefault="00D02EB6" w:rsidP="00D02EB6">
            <w:pPr>
              <w:jc w:val="both"/>
              <w:rPr>
                <w:sz w:val="20"/>
                <w:lang w:val="fr-CA"/>
              </w:rPr>
            </w:pPr>
            <w:r w:rsidRPr="00D02EB6">
              <w:rPr>
                <w:sz w:val="20"/>
                <w:lang w:val="fr-CA"/>
              </w:rPr>
              <w:t xml:space="preserve">Cour suprême du Canada </w:t>
            </w:r>
          </w:p>
        </w:tc>
        <w:tc>
          <w:tcPr>
            <w:tcW w:w="243" w:type="pct"/>
          </w:tcPr>
          <w:p w:rsidR="00D02EB6" w:rsidRPr="00D02EB6" w:rsidRDefault="00D02EB6" w:rsidP="00D02EB6">
            <w:pPr>
              <w:jc w:val="both"/>
              <w:rPr>
                <w:sz w:val="20"/>
                <w:lang w:val="fr-CA"/>
              </w:rPr>
            </w:pPr>
          </w:p>
        </w:tc>
        <w:tc>
          <w:tcPr>
            <w:tcW w:w="2330" w:type="pct"/>
          </w:tcPr>
          <w:p w:rsidR="00D02EB6" w:rsidRPr="00D02EB6" w:rsidRDefault="00D02EB6" w:rsidP="00D02EB6">
            <w:pPr>
              <w:jc w:val="both"/>
              <w:rPr>
                <w:sz w:val="20"/>
                <w:lang w:val="fr-CA"/>
              </w:rPr>
            </w:pPr>
            <w:r w:rsidRPr="00D02EB6">
              <w:rPr>
                <w:color w:val="000000"/>
                <w:sz w:val="20"/>
                <w:lang w:val="fr-CA"/>
              </w:rPr>
              <w:t>La requête en prorogation du délai de signification et de dépôt de la demande d’autorisation d’appel et la demande d’autorisation d’appel sont présentées.</w:t>
            </w:r>
          </w:p>
        </w:tc>
      </w:tr>
    </w:tbl>
    <w:p w:rsidR="00403CA6" w:rsidRPr="00D02EB6" w:rsidRDefault="00403CA6" w:rsidP="00403CA6">
      <w:pPr>
        <w:jc w:val="both"/>
        <w:rPr>
          <w:sz w:val="20"/>
          <w:lang w:val="fr-CA"/>
        </w:rPr>
      </w:pPr>
    </w:p>
    <w:p w:rsidR="0001473D" w:rsidRPr="00D02EB6" w:rsidRDefault="00D02EB6" w:rsidP="00BE597E">
      <w:pPr>
        <w:widowControl w:val="0"/>
        <w:jc w:val="both"/>
        <w:rPr>
          <w:sz w:val="20"/>
          <w:lang w:val="fr-CA"/>
        </w:rPr>
      </w:pPr>
      <w:r w:rsidRPr="00D02EB6">
        <w:rPr>
          <w:sz w:val="20"/>
        </w:rPr>
        <w:pict>
          <v:rect id="_x0000_i1027" style="width:2in;height:1pt" o:hrpct="0" o:hralign="center" o:hrstd="t" o:hrnoshade="t" o:hr="t" fillcolor="black [3213]" stroked="f"/>
        </w:pict>
      </w:r>
    </w:p>
    <w:p w:rsidR="00FD3FA0" w:rsidRPr="00D02EB6" w:rsidRDefault="00FD3FA0" w:rsidP="00350651">
      <w:pPr>
        <w:ind w:left="142" w:hanging="142"/>
        <w:jc w:val="both"/>
        <w:rPr>
          <w:sz w:val="20"/>
        </w:rPr>
      </w:pPr>
    </w:p>
    <w:p w:rsidR="008F2F11" w:rsidRPr="00D02EB6" w:rsidRDefault="008F2F11" w:rsidP="00350651">
      <w:pPr>
        <w:ind w:left="142" w:hanging="142"/>
        <w:jc w:val="both"/>
        <w:rPr>
          <w:sz w:val="20"/>
        </w:rPr>
      </w:pPr>
    </w:p>
    <w:p w:rsidR="008F2F11" w:rsidRPr="00D02EB6" w:rsidRDefault="008F2F11" w:rsidP="00350651">
      <w:pPr>
        <w:ind w:left="142" w:hanging="142"/>
        <w:jc w:val="both"/>
        <w:rPr>
          <w:sz w:val="20"/>
        </w:rPr>
      </w:pPr>
    </w:p>
    <w:p w:rsidR="00D3344A" w:rsidRPr="00D02EB6" w:rsidRDefault="00D3344A" w:rsidP="00D3344A">
      <w:pPr>
        <w:widowControl w:val="0"/>
        <w:outlineLvl w:val="0"/>
        <w:rPr>
          <w:sz w:val="20"/>
        </w:rPr>
      </w:pPr>
      <w:r w:rsidRPr="00D02EB6">
        <w:rPr>
          <w:sz w:val="20"/>
        </w:rPr>
        <w:t xml:space="preserve">Supreme Court of Canada / Cour suprême du </w:t>
      </w:r>
      <w:proofErr w:type="gramStart"/>
      <w:r w:rsidRPr="00D02EB6">
        <w:rPr>
          <w:sz w:val="20"/>
        </w:rPr>
        <w:t>Canad</w:t>
      </w:r>
      <w:r w:rsidR="00EE289F" w:rsidRPr="00D02EB6">
        <w:rPr>
          <w:sz w:val="20"/>
        </w:rPr>
        <w:t>a</w:t>
      </w:r>
      <w:r w:rsidRPr="00D02EB6">
        <w:rPr>
          <w:sz w:val="20"/>
        </w:rPr>
        <w:t xml:space="preserve"> :</w:t>
      </w:r>
      <w:proofErr w:type="gramEnd"/>
    </w:p>
    <w:p w:rsidR="00D3344A" w:rsidRPr="00D02EB6" w:rsidRDefault="00D02EB6" w:rsidP="00D3344A">
      <w:pPr>
        <w:widowControl w:val="0"/>
        <w:outlineLvl w:val="0"/>
        <w:rPr>
          <w:sz w:val="20"/>
          <w:u w:val="single"/>
        </w:rPr>
      </w:pPr>
      <w:hyperlink r:id="rId27" w:history="1">
        <w:r w:rsidR="009B7391" w:rsidRPr="00D02EB6">
          <w:rPr>
            <w:rStyle w:val="Hyperlink"/>
            <w:sz w:val="20"/>
          </w:rPr>
          <w:t>comments-commentaires@scc-csc.ca</w:t>
        </w:r>
      </w:hyperlink>
    </w:p>
    <w:p w:rsidR="00D3344A" w:rsidRPr="00D02EB6" w:rsidRDefault="0065588C" w:rsidP="00D3344A">
      <w:pPr>
        <w:widowControl w:val="0"/>
        <w:outlineLvl w:val="0"/>
        <w:rPr>
          <w:sz w:val="20"/>
        </w:rPr>
      </w:pPr>
      <w:r w:rsidRPr="00D02EB6">
        <w:rPr>
          <w:sz w:val="20"/>
        </w:rPr>
        <w:t>613-</w:t>
      </w:r>
      <w:r w:rsidR="00D3344A" w:rsidRPr="00D02EB6">
        <w:rPr>
          <w:sz w:val="20"/>
        </w:rPr>
        <w:t>995-4330</w:t>
      </w:r>
    </w:p>
    <w:p w:rsidR="00497B5E" w:rsidRPr="00D02EB6" w:rsidRDefault="00497B5E" w:rsidP="00497B5E">
      <w:pPr>
        <w:widowControl w:val="0"/>
        <w:rPr>
          <w:sz w:val="20"/>
        </w:rPr>
      </w:pPr>
    </w:p>
    <w:p w:rsidR="00F6251B" w:rsidRPr="007607A2" w:rsidRDefault="003F43E6" w:rsidP="00F6251B">
      <w:pPr>
        <w:pStyle w:val="Footer"/>
        <w:jc w:val="center"/>
        <w:rPr>
          <w:sz w:val="20"/>
        </w:rPr>
      </w:pPr>
      <w:r w:rsidRPr="00D02EB6">
        <w:rPr>
          <w:sz w:val="20"/>
        </w:rPr>
        <w:t>- 30 -</w:t>
      </w:r>
    </w:p>
    <w:sectPr w:rsidR="00F6251B" w:rsidRPr="007607A2" w:rsidSect="00E62F93">
      <w:headerReference w:type="even" r:id="rId28"/>
      <w:headerReference w:type="default" r:id="rId29"/>
      <w:footerReference w:type="even" r:id="rId30"/>
      <w:footerReference w:type="default" r:id="rId31"/>
      <w:headerReference w:type="first" r:id="rId32"/>
      <w:footerReference w:type="first" r:id="rId33"/>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943" w:rsidRDefault="003F4943" w:rsidP="0034178A">
      <w:r>
        <w:separator/>
      </w:r>
    </w:p>
  </w:endnote>
  <w:endnote w:type="continuationSeparator" w:id="0">
    <w:p w:rsidR="003F4943" w:rsidRDefault="003F4943"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3" w:rsidRDefault="003F49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3" w:rsidRPr="009F77F0" w:rsidRDefault="003F4943"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3" w:rsidRDefault="003F4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943" w:rsidRDefault="003F4943" w:rsidP="0034178A">
      <w:r>
        <w:separator/>
      </w:r>
    </w:p>
  </w:footnote>
  <w:footnote w:type="continuationSeparator" w:id="0">
    <w:p w:rsidR="003F4943" w:rsidRDefault="003F4943"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3" w:rsidRDefault="003F49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3" w:rsidRDefault="003F49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43" w:rsidRDefault="003F4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FFB"/>
    <w:multiLevelType w:val="hybridMultilevel"/>
    <w:tmpl w:val="3CF0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2"/>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40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471"/>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965"/>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D19"/>
    <w:rsid w:val="00573C76"/>
    <w:rsid w:val="0057402C"/>
    <w:rsid w:val="00574672"/>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2EB6"/>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0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867" TargetMode="External"/><Relationship Id="rId13" Type="http://schemas.openxmlformats.org/officeDocument/2006/relationships/hyperlink" Target="https://canlii.ca/t/jhdpf" TargetMode="External"/><Relationship Id="rId18" Type="http://schemas.openxmlformats.org/officeDocument/2006/relationships/hyperlink" Target="https://www.canlii.org/en/on/onsc/doc/2020/2020onsc3932/2020onsc3932.html" TargetMode="External"/><Relationship Id="rId26" Type="http://schemas.openxmlformats.org/officeDocument/2006/relationships/hyperlink" Target="https://canlii.ca/t/jk4h6" TargetMode="External"/><Relationship Id="rId3" Type="http://schemas.openxmlformats.org/officeDocument/2006/relationships/styles" Target="styles.xml"/><Relationship Id="rId21" Type="http://schemas.openxmlformats.org/officeDocument/2006/relationships/hyperlink" Target="https://www.canlii.org/en/on/onsc/doc/2020/2020onsc3932/2020onsc3932.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nlii.ca/t/jd3s5" TargetMode="External"/><Relationship Id="rId17" Type="http://schemas.openxmlformats.org/officeDocument/2006/relationships/hyperlink" Target="https://www.canlii.org/en/on/onsc/doc/2018/2018onsc7701/2018onsc7701.html" TargetMode="External"/><Relationship Id="rId25" Type="http://schemas.openxmlformats.org/officeDocument/2006/relationships/hyperlink" Target="https://canlii.ca/t/jbhwz"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anlii.ca/t/jhdpf" TargetMode="External"/><Relationship Id="rId20" Type="http://schemas.openxmlformats.org/officeDocument/2006/relationships/hyperlink" Target="https://www.canlii.org/en/on/onsc/doc/2018/2018onsc7701/2018onsc7701.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fr/qc/qccq/doc/2019/2019qccq3756/2019qccq3756.html?autocompleteStr=2019%20qccq%203756&amp;autocompletePos=1" TargetMode="External"/><Relationship Id="rId24" Type="http://schemas.openxmlformats.org/officeDocument/2006/relationships/hyperlink" Target="https://canlii.ca/t/jk4h6"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anlii.ca/t/jd3s5" TargetMode="External"/><Relationship Id="rId23" Type="http://schemas.openxmlformats.org/officeDocument/2006/relationships/hyperlink" Target="https://canlii.ca/t/jbhwz" TargetMode="External"/><Relationship Id="rId28" Type="http://schemas.openxmlformats.org/officeDocument/2006/relationships/header" Target="header1.xml"/><Relationship Id="rId10" Type="http://schemas.openxmlformats.org/officeDocument/2006/relationships/hyperlink" Target="https://www.scc-csc.ca/case-dossier/info/sum-som-eng.aspx?cas=40040" TargetMode="External"/><Relationship Id="rId19" Type="http://schemas.openxmlformats.org/officeDocument/2006/relationships/hyperlink" Target="https://www.canlii.org/en/on/onca/doc/2021/2021onca779/2021onca779.html?autocompleteStr=2021%20ONCA%20779&amp;autocompletePos=1"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40024" TargetMode="External"/><Relationship Id="rId14" Type="http://schemas.openxmlformats.org/officeDocument/2006/relationships/hyperlink" Target="https://www.canlii.org/fr/qc/qccq/doc/2019/2019qccq3756/2019qccq3756.html?autocompleteStr=2019%20qccq%203756&amp;autocompletePos=1" TargetMode="External"/><Relationship Id="rId22" Type="http://schemas.openxmlformats.org/officeDocument/2006/relationships/hyperlink" Target="https://www.canlii.org/en/on/onca/doc/2021/2021onca779/2021onca779.html?autocompleteStr=2021%20ONCA%20779&amp;autocompletePos=1" TargetMode="External"/><Relationship Id="rId27" Type="http://schemas.openxmlformats.org/officeDocument/2006/relationships/hyperlink" Target="mailto:comments-commentaires@scc-csc.ca"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E525D-93F2-4267-A6CC-FD1034F4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4003</Words>
  <Characters>22819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26769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2022-06-20T12:13:00Z</dcterms:modified>
</cp:coreProperties>
</file>