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23B91" w:rsidRDefault="002A192B" w:rsidP="002A192B">
      <w:pPr>
        <w:pStyle w:val="Header"/>
        <w:jc w:val="center"/>
        <w:rPr>
          <w:b/>
          <w:sz w:val="32"/>
        </w:rPr>
      </w:pPr>
      <w:r w:rsidRPr="00623B91">
        <w:rPr>
          <w:b/>
          <w:sz w:val="32"/>
        </w:rPr>
        <w:t>Supreme Court of Canada / Cour suprême du Canada</w:t>
      </w:r>
    </w:p>
    <w:p w:rsidR="002A192B" w:rsidRPr="00623B91" w:rsidRDefault="002A192B" w:rsidP="002A192B">
      <w:pPr>
        <w:widowControl w:val="0"/>
        <w:rPr>
          <w:i/>
        </w:rPr>
      </w:pPr>
    </w:p>
    <w:p w:rsidR="002A192B" w:rsidRPr="00623B91" w:rsidRDefault="002A192B" w:rsidP="002A192B">
      <w:pPr>
        <w:widowControl w:val="0"/>
        <w:rPr>
          <w:i/>
        </w:rPr>
      </w:pPr>
    </w:p>
    <w:p w:rsidR="001C4415" w:rsidRPr="00623B91" w:rsidRDefault="001C4415" w:rsidP="001C4415">
      <w:pPr>
        <w:widowControl w:val="0"/>
        <w:rPr>
          <w:i/>
          <w:sz w:val="20"/>
        </w:rPr>
      </w:pPr>
      <w:r w:rsidRPr="00623B91">
        <w:rPr>
          <w:i/>
          <w:sz w:val="20"/>
        </w:rPr>
        <w:t>(</w:t>
      </w:r>
      <w:r w:rsidR="003C50BF" w:rsidRPr="00623B91">
        <w:rPr>
          <w:i/>
          <w:sz w:val="20"/>
        </w:rPr>
        <w:t>Le</w:t>
      </w:r>
      <w:r w:rsidRPr="00623B91">
        <w:rPr>
          <w:i/>
          <w:sz w:val="20"/>
        </w:rPr>
        <w:t xml:space="preserve"> français suit)</w:t>
      </w:r>
    </w:p>
    <w:p w:rsidR="001C4415" w:rsidRPr="00623B91" w:rsidRDefault="001C4415" w:rsidP="001C4415">
      <w:pPr>
        <w:widowControl w:val="0"/>
      </w:pPr>
    </w:p>
    <w:p w:rsidR="001C4415" w:rsidRPr="00623B91" w:rsidRDefault="000347C1" w:rsidP="00214729">
      <w:pPr>
        <w:widowControl w:val="0"/>
        <w:jc w:val="center"/>
        <w:rPr>
          <w:b/>
        </w:rPr>
      </w:pPr>
      <w:r w:rsidRPr="00623B91">
        <w:fldChar w:fldCharType="begin"/>
      </w:r>
      <w:r w:rsidR="00FA7412" w:rsidRPr="00623B91">
        <w:instrText xml:space="preserve"> SEQ CHAPTER \h \r 1</w:instrText>
      </w:r>
      <w:r w:rsidRPr="00623B91">
        <w:fldChar w:fldCharType="end"/>
      </w:r>
      <w:r w:rsidR="00455BB9" w:rsidRPr="00623B91">
        <w:rPr>
          <w:b/>
        </w:rPr>
        <w:t>JUDGMENT</w:t>
      </w:r>
      <w:r w:rsidR="00FA7412" w:rsidRPr="00623B91">
        <w:rPr>
          <w:b/>
        </w:rPr>
        <w:t xml:space="preserve"> TO BE RENDERED IN APPEA</w:t>
      </w:r>
      <w:r w:rsidR="00CC2799" w:rsidRPr="00623B91">
        <w:rPr>
          <w:b/>
        </w:rPr>
        <w:t>L</w:t>
      </w:r>
    </w:p>
    <w:p w:rsidR="005A7C1B" w:rsidRPr="00623B91" w:rsidRDefault="005A7C1B" w:rsidP="005A7C1B">
      <w:pPr>
        <w:widowControl w:val="0"/>
      </w:pPr>
    </w:p>
    <w:p w:rsidR="00EC79B0" w:rsidRPr="00623B91" w:rsidRDefault="00B13C1F" w:rsidP="00EC79B0">
      <w:pPr>
        <w:widowControl w:val="0"/>
      </w:pPr>
      <w:r>
        <w:rPr>
          <w:b/>
        </w:rPr>
        <w:t>November</w:t>
      </w:r>
      <w:r w:rsidR="00C86395" w:rsidRPr="00623B91">
        <w:rPr>
          <w:b/>
        </w:rPr>
        <w:t xml:space="preserve"> </w:t>
      </w:r>
      <w:r>
        <w:rPr>
          <w:b/>
        </w:rPr>
        <w:t>4</w:t>
      </w:r>
      <w:r w:rsidR="00EC79B0" w:rsidRPr="00623B91">
        <w:rPr>
          <w:b/>
        </w:rPr>
        <w:t>, 2</w:t>
      </w:r>
      <w:r w:rsidR="00E6600C" w:rsidRPr="00623B91">
        <w:rPr>
          <w:b/>
        </w:rPr>
        <w:t>0</w:t>
      </w:r>
      <w:r w:rsidR="009544E9" w:rsidRPr="00623B91">
        <w:rPr>
          <w:b/>
        </w:rPr>
        <w:t>2</w:t>
      </w:r>
      <w:r w:rsidR="00B2287D" w:rsidRPr="00623B91">
        <w:rPr>
          <w:b/>
        </w:rPr>
        <w:t>2</w:t>
      </w:r>
    </w:p>
    <w:p w:rsidR="00EC79B0" w:rsidRPr="00623B91" w:rsidRDefault="00EC79B0" w:rsidP="00EC79B0">
      <w:pPr>
        <w:widowControl w:val="0"/>
        <w:rPr>
          <w:b/>
        </w:rPr>
      </w:pPr>
      <w:r w:rsidRPr="00623B91">
        <w:rPr>
          <w:b/>
        </w:rPr>
        <w:t>For immediate release</w:t>
      </w:r>
    </w:p>
    <w:p w:rsidR="00EC79B0" w:rsidRPr="00623B91" w:rsidRDefault="00EC79B0" w:rsidP="00EC79B0">
      <w:pPr>
        <w:widowControl w:val="0"/>
      </w:pPr>
    </w:p>
    <w:p w:rsidR="00EC79B0" w:rsidRPr="00623B91" w:rsidRDefault="00EC79B0" w:rsidP="00EC79B0">
      <w:pPr>
        <w:widowControl w:val="0"/>
        <w:rPr>
          <w:lang w:val="fr-CA"/>
        </w:rPr>
      </w:pPr>
      <w:r w:rsidRPr="00623B91">
        <w:rPr>
          <w:b/>
        </w:rPr>
        <w:t>OTTAWA</w:t>
      </w:r>
      <w:r w:rsidRPr="00623B91">
        <w:t xml:space="preserve"> – The Supreme Court of Canad</w:t>
      </w:r>
      <w:r w:rsidR="00455BB9" w:rsidRPr="00623B91">
        <w:t>a announced today that judgment</w:t>
      </w:r>
      <w:r w:rsidRPr="00623B91">
        <w:t xml:space="preserve"> in the following appeal will be delivered at 9:45 a.m. E</w:t>
      </w:r>
      <w:r w:rsidR="00B13C1F">
        <w:t>S</w:t>
      </w:r>
      <w:r w:rsidR="00DC6C1E" w:rsidRPr="00623B91">
        <w:t>T</w:t>
      </w:r>
      <w:r w:rsidR="00D74667" w:rsidRPr="00623B91">
        <w:t xml:space="preserve"> on</w:t>
      </w:r>
      <w:r w:rsidR="00DC6C1E" w:rsidRPr="00623B91">
        <w:t xml:space="preserve"> </w:t>
      </w:r>
      <w:r w:rsidR="00B13C1F">
        <w:t>Thursday</w:t>
      </w:r>
      <w:r w:rsidR="000A7900" w:rsidRPr="00623B91">
        <w:t xml:space="preserve">, </w:t>
      </w:r>
      <w:r w:rsidR="00623B91" w:rsidRPr="00623B91">
        <w:t>November</w:t>
      </w:r>
      <w:r w:rsidR="004E605A" w:rsidRPr="00623B91">
        <w:t xml:space="preserve"> </w:t>
      </w:r>
      <w:r w:rsidR="00B13C1F">
        <w:t>10</w:t>
      </w:r>
      <w:r w:rsidR="00E63199" w:rsidRPr="00623B91">
        <w:t>, 2</w:t>
      </w:r>
      <w:r w:rsidR="0086609D" w:rsidRPr="00623B91">
        <w:t>0</w:t>
      </w:r>
      <w:r w:rsidR="009544E9" w:rsidRPr="00623B91">
        <w:t>2</w:t>
      </w:r>
      <w:r w:rsidR="00B2287D" w:rsidRPr="00623B91">
        <w:t>2</w:t>
      </w:r>
      <w:r w:rsidR="00455BB9" w:rsidRPr="00623B91">
        <w:t xml:space="preserve">. </w:t>
      </w:r>
      <w:r w:rsidR="00455BB9" w:rsidRPr="00623B91">
        <w:rPr>
          <w:lang w:val="fr-CA"/>
        </w:rPr>
        <w:t>This</w:t>
      </w:r>
      <w:r w:rsidRPr="00623B91">
        <w:rPr>
          <w:lang w:val="fr-CA"/>
        </w:rPr>
        <w:t xml:space="preserve"> list is subject to change.</w:t>
      </w:r>
    </w:p>
    <w:p w:rsidR="001F76DD" w:rsidRPr="00623B91" w:rsidRDefault="001F76DD" w:rsidP="001C4415">
      <w:pPr>
        <w:widowControl w:val="0"/>
        <w:rPr>
          <w:szCs w:val="24"/>
          <w:lang w:val="fr-CA"/>
        </w:rPr>
      </w:pPr>
    </w:p>
    <w:p w:rsidR="001C4415" w:rsidRPr="00623B91" w:rsidRDefault="001C4415" w:rsidP="001C4415">
      <w:pPr>
        <w:widowControl w:val="0"/>
        <w:rPr>
          <w:lang w:val="fr-CA"/>
        </w:rPr>
      </w:pPr>
    </w:p>
    <w:p w:rsidR="001335A1" w:rsidRPr="00623B91" w:rsidRDefault="001335A1" w:rsidP="001335A1">
      <w:pPr>
        <w:widowControl w:val="0"/>
        <w:jc w:val="center"/>
        <w:rPr>
          <w:b/>
          <w:lang w:val="fr-CA"/>
        </w:rPr>
      </w:pPr>
      <w:r w:rsidRPr="00623B91">
        <w:rPr>
          <w:b/>
          <w:lang w:val="fr-CA"/>
        </w:rPr>
        <w:t>PROCHAIN JUGEMENT</w:t>
      </w:r>
      <w:r w:rsidR="00455BB9" w:rsidRPr="00623B91">
        <w:rPr>
          <w:b/>
          <w:lang w:val="fr-CA"/>
        </w:rPr>
        <w:t xml:space="preserve"> SUR APPEL</w:t>
      </w:r>
    </w:p>
    <w:p w:rsidR="001335A1" w:rsidRPr="00623B91" w:rsidRDefault="001335A1" w:rsidP="001335A1">
      <w:pPr>
        <w:widowControl w:val="0"/>
        <w:rPr>
          <w:lang w:val="fr-CA"/>
        </w:rPr>
      </w:pPr>
    </w:p>
    <w:p w:rsidR="00EC79B0" w:rsidRPr="00623B91" w:rsidRDefault="00EC79B0" w:rsidP="00EC79B0">
      <w:pPr>
        <w:widowControl w:val="0"/>
        <w:rPr>
          <w:lang w:val="fr-CA"/>
        </w:rPr>
      </w:pPr>
      <w:r w:rsidRPr="00623B91">
        <w:rPr>
          <w:b/>
          <w:lang w:val="fr-CA"/>
        </w:rPr>
        <w:t xml:space="preserve">Le </w:t>
      </w:r>
      <w:r w:rsidR="00B13C1F">
        <w:rPr>
          <w:b/>
          <w:lang w:val="fr-CA"/>
        </w:rPr>
        <w:t>4</w:t>
      </w:r>
      <w:r w:rsidR="00FA5450" w:rsidRPr="00623B91">
        <w:rPr>
          <w:b/>
          <w:lang w:val="fr-CA"/>
        </w:rPr>
        <w:t xml:space="preserve"> </w:t>
      </w:r>
      <w:r w:rsidR="00B13C1F">
        <w:rPr>
          <w:b/>
          <w:lang w:val="fr-CA"/>
        </w:rPr>
        <w:t>novembre</w:t>
      </w:r>
      <w:r w:rsidR="00C86395" w:rsidRPr="00623B91">
        <w:rPr>
          <w:b/>
          <w:lang w:val="fr-CA"/>
        </w:rPr>
        <w:t xml:space="preserve"> </w:t>
      </w:r>
      <w:r w:rsidR="0086609D" w:rsidRPr="00623B91">
        <w:rPr>
          <w:b/>
          <w:lang w:val="fr-CA"/>
        </w:rPr>
        <w:t>20</w:t>
      </w:r>
      <w:r w:rsidR="009544E9" w:rsidRPr="00623B91">
        <w:rPr>
          <w:b/>
          <w:lang w:val="fr-CA"/>
        </w:rPr>
        <w:t>2</w:t>
      </w:r>
      <w:r w:rsidR="00B2287D" w:rsidRPr="00623B91">
        <w:rPr>
          <w:b/>
          <w:lang w:val="fr-CA"/>
        </w:rPr>
        <w:t>2</w:t>
      </w:r>
    </w:p>
    <w:p w:rsidR="00EC79B0" w:rsidRPr="00623B91" w:rsidRDefault="00EC79B0" w:rsidP="00EC79B0">
      <w:pPr>
        <w:widowControl w:val="0"/>
        <w:rPr>
          <w:b/>
          <w:lang w:val="fr-CA"/>
        </w:rPr>
      </w:pPr>
      <w:r w:rsidRPr="00623B91">
        <w:rPr>
          <w:b/>
          <w:lang w:val="fr-CA"/>
        </w:rPr>
        <w:t>Pour diffusion immédiate</w:t>
      </w:r>
    </w:p>
    <w:p w:rsidR="00EC79B0" w:rsidRPr="00623B91" w:rsidRDefault="00EC79B0" w:rsidP="00EC79B0">
      <w:pPr>
        <w:widowControl w:val="0"/>
        <w:rPr>
          <w:lang w:val="fr-CA"/>
        </w:rPr>
      </w:pPr>
    </w:p>
    <w:p w:rsidR="00EC79B0" w:rsidRPr="00623B91" w:rsidRDefault="00EC79B0" w:rsidP="00EC79B0">
      <w:pPr>
        <w:widowControl w:val="0"/>
        <w:rPr>
          <w:lang w:val="fr-CA"/>
        </w:rPr>
      </w:pPr>
      <w:r w:rsidRPr="00623B91">
        <w:rPr>
          <w:b/>
          <w:lang w:val="fr-CA"/>
        </w:rPr>
        <w:t>OTTAWA</w:t>
      </w:r>
      <w:r w:rsidRPr="00623B91">
        <w:rPr>
          <w:lang w:val="fr-CA"/>
        </w:rPr>
        <w:t xml:space="preserve"> – La Cour suprême du Canada annonce que jugement ser</w:t>
      </w:r>
      <w:r w:rsidR="00204750" w:rsidRPr="00623B91">
        <w:rPr>
          <w:lang w:val="fr-CA"/>
        </w:rPr>
        <w:t>a</w:t>
      </w:r>
      <w:r w:rsidRPr="00623B91">
        <w:rPr>
          <w:lang w:val="fr-CA"/>
        </w:rPr>
        <w:t xml:space="preserve"> rendu dans </w:t>
      </w:r>
      <w:r w:rsidR="001F1643" w:rsidRPr="00623B91">
        <w:rPr>
          <w:lang w:val="fr-CA"/>
        </w:rPr>
        <w:t>l</w:t>
      </w:r>
      <w:r w:rsidR="00204750" w:rsidRPr="00623B91">
        <w:rPr>
          <w:lang w:val="fr-CA"/>
        </w:rPr>
        <w:t>’</w:t>
      </w:r>
      <w:r w:rsidR="001F1643" w:rsidRPr="00623B91">
        <w:rPr>
          <w:lang w:val="fr-CA"/>
        </w:rPr>
        <w:t xml:space="preserve">appel </w:t>
      </w:r>
      <w:r w:rsidRPr="00623B91">
        <w:rPr>
          <w:lang w:val="fr-CA"/>
        </w:rPr>
        <w:t xml:space="preserve">suivant le </w:t>
      </w:r>
      <w:r w:rsidR="00B13C1F">
        <w:rPr>
          <w:lang w:val="fr-CA"/>
        </w:rPr>
        <w:t>jeudi</w:t>
      </w:r>
      <w:r w:rsidR="007C1648" w:rsidRPr="00623B91">
        <w:rPr>
          <w:lang w:val="fr-CA"/>
        </w:rPr>
        <w:t xml:space="preserve"> </w:t>
      </w:r>
      <w:r w:rsidR="00B13C1F">
        <w:rPr>
          <w:lang w:val="fr-CA"/>
        </w:rPr>
        <w:t>10</w:t>
      </w:r>
      <w:r w:rsidR="00F62251" w:rsidRPr="00623B91">
        <w:rPr>
          <w:lang w:val="fr-CA"/>
        </w:rPr>
        <w:t xml:space="preserve"> </w:t>
      </w:r>
      <w:r w:rsidR="00623B91" w:rsidRPr="00623B91">
        <w:rPr>
          <w:lang w:val="fr-CA"/>
        </w:rPr>
        <w:t>novem</w:t>
      </w:r>
      <w:r w:rsidR="00665DDB" w:rsidRPr="00623B91">
        <w:rPr>
          <w:lang w:val="fr-CA"/>
        </w:rPr>
        <w:t>bre</w:t>
      </w:r>
      <w:r w:rsidR="00282563" w:rsidRPr="00623B91">
        <w:rPr>
          <w:lang w:val="fr-CA"/>
        </w:rPr>
        <w:t xml:space="preserve"> </w:t>
      </w:r>
      <w:r w:rsidRPr="00623B91">
        <w:rPr>
          <w:lang w:val="fr-CA"/>
        </w:rPr>
        <w:t>20</w:t>
      </w:r>
      <w:r w:rsidR="009544E9" w:rsidRPr="00623B91">
        <w:rPr>
          <w:lang w:val="fr-CA"/>
        </w:rPr>
        <w:t>2</w:t>
      </w:r>
      <w:r w:rsidR="00973946" w:rsidRPr="00623B91">
        <w:rPr>
          <w:lang w:val="fr-CA"/>
        </w:rPr>
        <w:t>2</w:t>
      </w:r>
      <w:r w:rsidRPr="00623B91">
        <w:rPr>
          <w:lang w:val="fr-CA"/>
        </w:rPr>
        <w:t>, à 9 h 45 H</w:t>
      </w:r>
      <w:r w:rsidR="00B13C1F">
        <w:rPr>
          <w:lang w:val="fr-CA"/>
        </w:rPr>
        <w:t>N</w:t>
      </w:r>
      <w:bookmarkStart w:id="0" w:name="_GoBack"/>
      <w:bookmarkEnd w:id="0"/>
      <w:r w:rsidRPr="00623B91">
        <w:rPr>
          <w:lang w:val="fr-CA"/>
        </w:rPr>
        <w:t>E. Cette liste est sujette à modifications.</w:t>
      </w:r>
    </w:p>
    <w:p w:rsidR="001F76DD" w:rsidRPr="00623B91" w:rsidRDefault="001F76DD" w:rsidP="00E92006">
      <w:pPr>
        <w:widowControl w:val="0"/>
        <w:jc w:val="both"/>
        <w:rPr>
          <w:szCs w:val="24"/>
          <w:lang w:val="fr-CA"/>
        </w:rPr>
      </w:pPr>
    </w:p>
    <w:p w:rsidR="00EF4622" w:rsidRPr="00623B91" w:rsidRDefault="00B13C1F"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623B91" w:rsidRDefault="001335A1" w:rsidP="001335A1">
      <w:pPr>
        <w:widowControl w:val="0"/>
        <w:rPr>
          <w:szCs w:val="24"/>
          <w:lang w:val="fr-CA"/>
        </w:rPr>
      </w:pPr>
    </w:p>
    <w:p w:rsidR="00772636" w:rsidRPr="00B13C1F" w:rsidRDefault="00623B91" w:rsidP="00772636">
      <w:pPr>
        <w:jc w:val="both"/>
        <w:rPr>
          <w:szCs w:val="24"/>
          <w:lang w:val="fr-CA"/>
        </w:rPr>
      </w:pPr>
      <w:r w:rsidRPr="00B13C1F">
        <w:rPr>
          <w:i/>
          <w:szCs w:val="24"/>
          <w:lang w:val="fr-CA"/>
        </w:rPr>
        <w:t>Peace River Hydro Partners, et al. v. Petrowest Corporation, et al.</w:t>
      </w:r>
      <w:r w:rsidR="00735BE0" w:rsidRPr="00B13C1F">
        <w:rPr>
          <w:i/>
          <w:szCs w:val="24"/>
          <w:lang w:val="fr-CA"/>
        </w:rPr>
        <w:t xml:space="preserve"> </w:t>
      </w:r>
      <w:r w:rsidR="00772636" w:rsidRPr="00B13C1F">
        <w:rPr>
          <w:szCs w:val="24"/>
          <w:lang w:val="fr-CA"/>
        </w:rPr>
        <w:t>(</w:t>
      </w:r>
      <w:r w:rsidRPr="00B13C1F">
        <w:rPr>
          <w:szCs w:val="24"/>
          <w:lang w:val="fr-CA"/>
        </w:rPr>
        <w:t>B.C</w:t>
      </w:r>
      <w:r w:rsidR="000523F2" w:rsidRPr="00B13C1F">
        <w:rPr>
          <w:szCs w:val="24"/>
          <w:lang w:val="fr-CA"/>
        </w:rPr>
        <w:t>.</w:t>
      </w:r>
      <w:r w:rsidR="00772636" w:rsidRPr="00B13C1F">
        <w:rPr>
          <w:szCs w:val="24"/>
          <w:lang w:val="fr-CA"/>
        </w:rPr>
        <w:t>) (</w:t>
      </w:r>
      <w:hyperlink r:id="rId7" w:history="1">
        <w:r w:rsidR="00772636" w:rsidRPr="00B13C1F">
          <w:rPr>
            <w:rStyle w:val="Hyperlink"/>
            <w:szCs w:val="24"/>
            <w:lang w:val="fr-CA"/>
          </w:rPr>
          <w:t>3</w:t>
        </w:r>
        <w:r w:rsidR="000E38C2" w:rsidRPr="00B13C1F">
          <w:rPr>
            <w:rStyle w:val="Hyperlink"/>
            <w:szCs w:val="24"/>
            <w:lang w:val="fr-CA"/>
          </w:rPr>
          <w:t>9</w:t>
        </w:r>
        <w:r w:rsidRPr="00B13C1F">
          <w:rPr>
            <w:rStyle w:val="Hyperlink"/>
            <w:szCs w:val="24"/>
            <w:lang w:val="fr-CA"/>
          </w:rPr>
          <w:t>547</w:t>
        </w:r>
      </w:hyperlink>
      <w:r w:rsidR="00772636" w:rsidRPr="00B13C1F">
        <w:rPr>
          <w:szCs w:val="24"/>
          <w:lang w:val="fr-CA"/>
        </w:rPr>
        <w:t>)</w:t>
      </w:r>
    </w:p>
    <w:p w:rsidR="000E38C2" w:rsidRPr="00B13C1F" w:rsidRDefault="000E38C2" w:rsidP="00340C6D">
      <w:pPr>
        <w:jc w:val="both"/>
        <w:rPr>
          <w:sz w:val="20"/>
          <w:lang w:val="fr-CA"/>
        </w:rPr>
      </w:pPr>
    </w:p>
    <w:p w:rsidR="00710E8B" w:rsidRPr="00B13C1F" w:rsidRDefault="00710E8B" w:rsidP="00340C6D">
      <w:pPr>
        <w:jc w:val="both"/>
        <w:rPr>
          <w:sz w:val="20"/>
          <w:lang w:val="fr-CA"/>
        </w:rPr>
      </w:pPr>
    </w:p>
    <w:bookmarkStart w:id="1" w:name="1"/>
    <w:bookmarkEnd w:id="1"/>
    <w:p w:rsidR="00623B91" w:rsidRPr="00B13C1F" w:rsidRDefault="00623B91" w:rsidP="00623B91">
      <w:pPr>
        <w:widowControl w:val="0"/>
        <w:ind w:left="709" w:hanging="709"/>
        <w:jc w:val="both"/>
        <w:rPr>
          <w:b/>
          <w:i/>
          <w:sz w:val="20"/>
          <w:lang w:val="fr-CA"/>
        </w:rPr>
      </w:pPr>
      <w:r w:rsidRPr="00623B91">
        <w:rPr>
          <w:b/>
          <w:sz w:val="20"/>
          <w:lang w:val="en-CA"/>
        </w:rPr>
        <w:fldChar w:fldCharType="begin"/>
      </w:r>
      <w:r w:rsidRPr="00B13C1F">
        <w:rPr>
          <w:b/>
          <w:sz w:val="20"/>
          <w:lang w:val="fr-CA"/>
        </w:rPr>
        <w:instrText xml:space="preserve"> SEQ CHAPTER \h \r 1</w:instrText>
      </w:r>
      <w:r w:rsidRPr="00623B91">
        <w:rPr>
          <w:b/>
          <w:sz w:val="20"/>
        </w:rPr>
        <w:fldChar w:fldCharType="end"/>
      </w:r>
      <w:r w:rsidRPr="00B13C1F">
        <w:rPr>
          <w:b/>
          <w:sz w:val="20"/>
          <w:lang w:val="fr-CA"/>
        </w:rPr>
        <w:t>39547</w:t>
      </w:r>
      <w:r w:rsidRPr="00B13C1F">
        <w:rPr>
          <w:sz w:val="20"/>
          <w:lang w:val="fr-CA"/>
        </w:rPr>
        <w:tab/>
      </w:r>
      <w:r w:rsidRPr="00B13C1F">
        <w:rPr>
          <w:rStyle w:val="Strong"/>
          <w:i/>
          <w:color w:val="333333"/>
          <w:sz w:val="20"/>
          <w:lang w:val="fr-CA"/>
        </w:rPr>
        <w:t>Peace River Hydro Partners, et al. v. Petrowest Corporation, et al.</w:t>
      </w:r>
    </w:p>
    <w:p w:rsidR="00623B91" w:rsidRPr="00623B91" w:rsidRDefault="00623B91" w:rsidP="00623B91">
      <w:pPr>
        <w:widowControl w:val="0"/>
        <w:ind w:left="709"/>
        <w:jc w:val="both"/>
        <w:rPr>
          <w:sz w:val="20"/>
          <w:lang w:val="en-CA"/>
        </w:rPr>
      </w:pPr>
      <w:r w:rsidRPr="00623B91">
        <w:rPr>
          <w:sz w:val="20"/>
          <w:lang w:val="en-CA"/>
        </w:rPr>
        <w:t>(B.C.) (Civil) (By Leave)</w:t>
      </w:r>
    </w:p>
    <w:p w:rsidR="00623B91" w:rsidRPr="00623B91" w:rsidRDefault="00623B91" w:rsidP="00623B91">
      <w:pPr>
        <w:widowControl w:val="0"/>
        <w:jc w:val="both"/>
        <w:rPr>
          <w:sz w:val="20"/>
          <w:lang w:val="en-CA"/>
        </w:rPr>
      </w:pPr>
      <w:bookmarkStart w:id="2" w:name="QuickMark_1"/>
      <w:bookmarkEnd w:id="2"/>
    </w:p>
    <w:p w:rsidR="00623B91" w:rsidRPr="00623B91" w:rsidRDefault="00623B91" w:rsidP="00623B91">
      <w:pPr>
        <w:jc w:val="both"/>
        <w:rPr>
          <w:sz w:val="20"/>
        </w:rPr>
      </w:pPr>
      <w:r w:rsidRPr="00623B91">
        <w:rPr>
          <w:sz w:val="20"/>
        </w:rPr>
        <w:t>Bankruptcy and Insolvency — Receivership — Commercial law — Contracts — Arbitration agreements — Receiver and trustee</w:t>
      </w:r>
      <w:r w:rsidRPr="00623B91">
        <w:rPr>
          <w:sz w:val="20"/>
        </w:rPr>
        <w:noBreakHyphen/>
        <w:t>in</w:t>
      </w:r>
      <w:r w:rsidRPr="00623B91">
        <w:rPr>
          <w:sz w:val="20"/>
        </w:rPr>
        <w:noBreakHyphen/>
        <w:t xml:space="preserve">bankruptcy of debtor companies claims contracting parties owe amounts to debtor companies — Receiver commences action — Agreements in issue contain mandatory arbitration clauses — Contracting parties seek stay of proceedings and arbitration — Whether receiver bound by arbitration clauses — Whether doctrine of separability allows receivers to disclaim arbitration clauses within agreements while pursuing rights under same agreements — </w:t>
      </w:r>
      <w:r w:rsidRPr="00623B91">
        <w:rPr>
          <w:i/>
          <w:color w:val="000000"/>
          <w:sz w:val="20"/>
        </w:rPr>
        <w:t>Arbitration Act</w:t>
      </w:r>
      <w:r w:rsidRPr="00623B91">
        <w:rPr>
          <w:color w:val="000000"/>
          <w:sz w:val="20"/>
        </w:rPr>
        <w:t xml:space="preserve">, </w:t>
      </w:r>
      <w:r w:rsidRPr="00623B91">
        <w:rPr>
          <w:sz w:val="20"/>
          <w:lang w:val="en"/>
        </w:rPr>
        <w:t>RSBC 1996, c. 55, s. 15.</w:t>
      </w:r>
    </w:p>
    <w:p w:rsidR="00623B91" w:rsidRPr="00623B91" w:rsidRDefault="00623B91" w:rsidP="00623B91">
      <w:pPr>
        <w:widowControl w:val="0"/>
        <w:jc w:val="both"/>
        <w:rPr>
          <w:sz w:val="20"/>
        </w:rPr>
      </w:pPr>
    </w:p>
    <w:p w:rsidR="00623B91" w:rsidRPr="00623B91" w:rsidRDefault="00623B91" w:rsidP="00623B91">
      <w:pPr>
        <w:widowControl w:val="0"/>
        <w:tabs>
          <w:tab w:val="left" w:pos="792"/>
        </w:tabs>
        <w:jc w:val="both"/>
        <w:textAlignment w:val="baseline"/>
        <w:rPr>
          <w:sz w:val="20"/>
          <w:lang w:val="en"/>
        </w:rPr>
      </w:pPr>
      <w:r w:rsidRPr="00623B91">
        <w:rPr>
          <w:color w:val="000000"/>
          <w:sz w:val="20"/>
        </w:rPr>
        <w:t>The parties entered into a partnership agreement and a guarantee and cross</w:t>
      </w:r>
      <w:r w:rsidRPr="00623B91">
        <w:rPr>
          <w:color w:val="000000"/>
          <w:sz w:val="20"/>
        </w:rPr>
        <w:noBreakHyphen/>
        <w:t xml:space="preserve">indemnity agreement. The partnership, </w:t>
      </w:r>
      <w:r w:rsidRPr="00623B91">
        <w:rPr>
          <w:sz w:val="20"/>
        </w:rPr>
        <w:t xml:space="preserve">Peace River Hydro Partners, </w:t>
      </w:r>
      <w:r w:rsidRPr="00623B91">
        <w:rPr>
          <w:color w:val="000000"/>
          <w:sz w:val="20"/>
        </w:rPr>
        <w:t xml:space="preserve">commenced work. It subcontracted some work to Petrowest Corporation and its affiliates pursuant to purchase orders and it entered </w:t>
      </w:r>
      <w:r w:rsidRPr="00623B91">
        <w:rPr>
          <w:sz w:val="20"/>
        </w:rPr>
        <w:t>into a</w:t>
      </w:r>
      <w:r w:rsidRPr="00623B91">
        <w:rPr>
          <w:color w:val="000000"/>
          <w:sz w:val="20"/>
        </w:rPr>
        <w:t xml:space="preserve"> subcontract agreement with Petrowest Civil Services LP. Petrowest Corporation and its affiliates became insolvent. Ernst and Young Inc. was appointed as their receiver. Ernst &amp; Young Inc. assigned Petrowest Corporations’ affiliates into bankruptcy and thereafter acted as both a trustee in bankruptcy and a receiver. Petrowest Corporation and its affiliates commenced a civil claim alleging amounts are owed to them under the general partnership agreement, the guarantee and cross-indemnity agreement, the purchase orders, and the subcontract agreement. </w:t>
      </w:r>
      <w:r w:rsidRPr="00623B91">
        <w:rPr>
          <w:sz w:val="20"/>
          <w:lang w:val="en"/>
        </w:rPr>
        <w:t>These agreements contain arbitration clauses. T</w:t>
      </w:r>
      <w:r w:rsidRPr="00623B91">
        <w:rPr>
          <w:color w:val="000000"/>
          <w:sz w:val="20"/>
          <w:lang w:val="en"/>
        </w:rPr>
        <w:t xml:space="preserve">he </w:t>
      </w:r>
      <w:r w:rsidRPr="00623B91">
        <w:rPr>
          <w:color w:val="000000"/>
          <w:sz w:val="20"/>
        </w:rPr>
        <w:t xml:space="preserve">appellants applied under s. 15 of the </w:t>
      </w:r>
      <w:r w:rsidRPr="00623B91">
        <w:rPr>
          <w:i/>
          <w:color w:val="000000"/>
          <w:sz w:val="20"/>
        </w:rPr>
        <w:t>Arbitration Act</w:t>
      </w:r>
      <w:r w:rsidRPr="00623B91">
        <w:rPr>
          <w:color w:val="000000"/>
          <w:sz w:val="20"/>
        </w:rPr>
        <w:t xml:space="preserve">, </w:t>
      </w:r>
      <w:r w:rsidRPr="00623B91">
        <w:rPr>
          <w:sz w:val="20"/>
          <w:lang w:val="en"/>
        </w:rPr>
        <w:t xml:space="preserve">RSBC 1996, </w:t>
      </w:r>
      <w:proofErr w:type="gramStart"/>
      <w:r w:rsidRPr="00623B91">
        <w:rPr>
          <w:sz w:val="20"/>
          <w:lang w:val="en"/>
        </w:rPr>
        <w:t>c</w:t>
      </w:r>
      <w:proofErr w:type="gramEnd"/>
      <w:r w:rsidRPr="00623B91">
        <w:rPr>
          <w:sz w:val="20"/>
          <w:lang w:val="en"/>
        </w:rPr>
        <w:t>. 55,</w:t>
      </w:r>
      <w:r w:rsidRPr="00623B91">
        <w:rPr>
          <w:i/>
          <w:color w:val="000000"/>
          <w:sz w:val="20"/>
        </w:rPr>
        <w:t xml:space="preserve"> </w:t>
      </w:r>
      <w:r w:rsidRPr="00623B91">
        <w:rPr>
          <w:color w:val="000000"/>
          <w:sz w:val="20"/>
        </w:rPr>
        <w:t>to stay the proceedings so that the matters could be referred to arbitration.</w:t>
      </w:r>
      <w:r w:rsidRPr="00623B91">
        <w:rPr>
          <w:sz w:val="20"/>
          <w:lang w:val="en"/>
        </w:rPr>
        <w:t xml:space="preserve"> </w:t>
      </w:r>
      <w:r w:rsidRPr="00623B91">
        <w:rPr>
          <w:sz w:val="20"/>
        </w:rPr>
        <w:t xml:space="preserve">The Supreme Court of British Columbia dismissed the application. The Court of Appeal dismissed an appeal. </w:t>
      </w:r>
    </w:p>
    <w:p w:rsidR="00623B91" w:rsidRPr="00623B91" w:rsidRDefault="00623B91" w:rsidP="00623B91">
      <w:pPr>
        <w:jc w:val="both"/>
        <w:rPr>
          <w:sz w:val="20"/>
        </w:rPr>
      </w:pPr>
    </w:p>
    <w:p w:rsidR="00623B91" w:rsidRPr="00623B91" w:rsidRDefault="00B13C1F" w:rsidP="00623B91">
      <w:pPr>
        <w:jc w:val="both"/>
        <w:rPr>
          <w:sz w:val="20"/>
        </w:rPr>
      </w:pPr>
      <w:r>
        <w:rPr>
          <w:sz w:val="20"/>
        </w:rPr>
        <w:pict>
          <v:rect id="_x0000_i1026" style="width:2in;height:1pt" o:hrpct="0" o:hralign="center" o:hrstd="t" o:hrnoshade="t" o:hr="t" fillcolor="black [3213]" stroked="f"/>
        </w:pict>
      </w:r>
    </w:p>
    <w:p w:rsidR="00623B91" w:rsidRPr="00623B91" w:rsidRDefault="00623B91" w:rsidP="00623B91">
      <w:pPr>
        <w:jc w:val="both"/>
        <w:rPr>
          <w:sz w:val="20"/>
        </w:rPr>
      </w:pPr>
    </w:p>
    <w:p w:rsidR="00623B91" w:rsidRPr="00623B91" w:rsidRDefault="00623B91" w:rsidP="00623B91">
      <w:pPr>
        <w:pStyle w:val="SCCLsocParty"/>
        <w:rPr>
          <w:b/>
          <w:sz w:val="20"/>
          <w:szCs w:val="20"/>
        </w:rPr>
      </w:pPr>
      <w:r w:rsidRPr="00B13C1F">
        <w:rPr>
          <w:rStyle w:val="SCCFileNumberChar"/>
          <w:i w:val="0"/>
          <w:sz w:val="20"/>
          <w:szCs w:val="20"/>
          <w:lang w:val="fr-CA"/>
        </w:rPr>
        <w:t>39547</w:t>
      </w:r>
      <w:r w:rsidRPr="00623B91">
        <w:rPr>
          <w:rStyle w:val="SCCFileNumberChar"/>
          <w:i w:val="0"/>
          <w:sz w:val="20"/>
          <w:szCs w:val="20"/>
          <w:lang w:val="fr-CA"/>
        </w:rPr>
        <w:tab/>
      </w:r>
      <w:r w:rsidRPr="00623B91">
        <w:rPr>
          <w:b/>
          <w:sz w:val="20"/>
          <w:szCs w:val="20"/>
        </w:rPr>
        <w:t>Peace River Hydro Partners, et al. c. Petrowest Corporation, et al.</w:t>
      </w:r>
    </w:p>
    <w:p w:rsidR="00623B91" w:rsidRPr="00623B91" w:rsidRDefault="00623B91" w:rsidP="00623B91">
      <w:pPr>
        <w:ind w:left="360" w:firstLine="360"/>
        <w:jc w:val="both"/>
        <w:rPr>
          <w:sz w:val="20"/>
          <w:lang w:val="fr-CA"/>
        </w:rPr>
      </w:pPr>
      <w:r w:rsidRPr="00623B91">
        <w:rPr>
          <w:sz w:val="20"/>
          <w:lang w:val="fr-CA"/>
        </w:rPr>
        <w:t>(C.-B.) (Civile) (Sur autorisation)</w:t>
      </w:r>
    </w:p>
    <w:p w:rsidR="00623B91" w:rsidRPr="00623B91" w:rsidRDefault="00623B91" w:rsidP="00623B91">
      <w:pPr>
        <w:jc w:val="both"/>
        <w:rPr>
          <w:sz w:val="20"/>
          <w:lang w:val="fr-CA"/>
        </w:rPr>
      </w:pPr>
    </w:p>
    <w:p w:rsidR="00623B91" w:rsidRPr="00623B91" w:rsidRDefault="00623B91" w:rsidP="00623B91">
      <w:pPr>
        <w:jc w:val="both"/>
        <w:rPr>
          <w:sz w:val="20"/>
          <w:lang w:val="fr-CA"/>
        </w:rPr>
      </w:pPr>
      <w:r w:rsidRPr="00623B91">
        <w:rPr>
          <w:sz w:val="20"/>
          <w:lang w:val="fr-CA"/>
        </w:rPr>
        <w:lastRenderedPageBreak/>
        <w:t>Faillite et insolvabilité — Séquestre — Droit commercial — Contrats — Conventions d’arbitrage — Le séquestre et syndic de faillite des sociétés débitrices allègue que les parties contractantes doivent des sommes aux sociétés débitrices — Le séquestre intente une action — Les ententes en cause renferment des clauses d’arbitrage obligatoire — Les parties contractantes demandent un arrêt des procédures et de procéder à l’arbitrage — Le séquestre est</w:t>
      </w:r>
      <w:r w:rsidRPr="00623B91">
        <w:rPr>
          <w:sz w:val="20"/>
          <w:lang w:val="fr-CA"/>
        </w:rPr>
        <w:noBreakHyphen/>
        <w:t>il lié par les clauses d’arbitrage ? — Le principe de la divisibilité permet</w:t>
      </w:r>
      <w:r w:rsidRPr="00623B91">
        <w:rPr>
          <w:sz w:val="20"/>
          <w:lang w:val="fr-CA"/>
        </w:rPr>
        <w:noBreakHyphen/>
        <w:t>il aux séquestres de renoncer aux clauses d’arbitrage que renferment les ententes tout en se prévalant des droits prévus par ces dernières ?</w:t>
      </w:r>
      <w:r w:rsidRPr="00623B91">
        <w:rPr>
          <w:i/>
          <w:color w:val="000000"/>
          <w:sz w:val="20"/>
          <w:lang w:val="fr-CA"/>
        </w:rPr>
        <w:t xml:space="preserve"> </w:t>
      </w:r>
      <w:r w:rsidRPr="00623B91">
        <w:rPr>
          <w:sz w:val="20"/>
          <w:lang w:val="fr-CA"/>
        </w:rPr>
        <w:t xml:space="preserve">— </w:t>
      </w:r>
      <w:r w:rsidRPr="00623B91">
        <w:rPr>
          <w:i/>
          <w:color w:val="000000"/>
          <w:sz w:val="20"/>
          <w:lang w:val="fr-CA"/>
        </w:rPr>
        <w:t>Arbitration Act</w:t>
      </w:r>
      <w:r w:rsidRPr="00623B91">
        <w:rPr>
          <w:color w:val="000000"/>
          <w:sz w:val="20"/>
          <w:lang w:val="fr-CA"/>
        </w:rPr>
        <w:t xml:space="preserve">, </w:t>
      </w:r>
      <w:r w:rsidRPr="00623B91">
        <w:rPr>
          <w:sz w:val="20"/>
          <w:lang w:val="fr-CA"/>
        </w:rPr>
        <w:t>RSBC 1996, c. 55, art. 15</w:t>
      </w:r>
    </w:p>
    <w:p w:rsidR="00623B91" w:rsidRPr="00623B91" w:rsidRDefault="00623B91" w:rsidP="00623B91">
      <w:pPr>
        <w:jc w:val="both"/>
        <w:rPr>
          <w:sz w:val="20"/>
          <w:lang w:val="fr-CA"/>
        </w:rPr>
      </w:pPr>
    </w:p>
    <w:p w:rsidR="00623B91" w:rsidRPr="00623B91" w:rsidRDefault="00623B91" w:rsidP="00623B91">
      <w:pPr>
        <w:jc w:val="both"/>
        <w:rPr>
          <w:sz w:val="20"/>
          <w:lang w:val="fr-CA"/>
        </w:rPr>
      </w:pPr>
      <w:r w:rsidRPr="00623B91">
        <w:rPr>
          <w:sz w:val="20"/>
          <w:lang w:val="fr-CA"/>
        </w:rPr>
        <w:t>Les parties ont conclu un contrat de société de personnes ainsi qu’une convention de cautionnement et d’indemnisation mutuelle.</w:t>
      </w:r>
      <w:r w:rsidRPr="00623B91">
        <w:rPr>
          <w:color w:val="000000"/>
          <w:sz w:val="20"/>
          <w:lang w:val="fr-CA"/>
        </w:rPr>
        <w:t xml:space="preserve"> La société de personnes, </w:t>
      </w:r>
      <w:r w:rsidRPr="00623B91">
        <w:rPr>
          <w:sz w:val="20"/>
          <w:lang w:val="fr-CA"/>
        </w:rPr>
        <w:t>Peace River Hydro Partners, a commencé les travaux.</w:t>
      </w:r>
      <w:r w:rsidRPr="00623B91">
        <w:rPr>
          <w:color w:val="000000"/>
          <w:sz w:val="20"/>
          <w:lang w:val="fr-CA"/>
        </w:rPr>
        <w:t xml:space="preserve"> Elle a confié l’exécution d’une partie des travaux en sous</w:t>
      </w:r>
      <w:r w:rsidRPr="00623B91">
        <w:rPr>
          <w:color w:val="000000"/>
          <w:sz w:val="20"/>
          <w:lang w:val="fr-CA"/>
        </w:rPr>
        <w:noBreakHyphen/>
        <w:t xml:space="preserve">traitance à Petrowest Corporation et ses </w:t>
      </w:r>
      <w:r w:rsidRPr="00623B91">
        <w:rPr>
          <w:sz w:val="20"/>
          <w:lang w:val="fr-CA"/>
        </w:rPr>
        <w:t xml:space="preserve">sociétés liées </w:t>
      </w:r>
      <w:r w:rsidRPr="00623B91">
        <w:rPr>
          <w:color w:val="000000"/>
          <w:sz w:val="20"/>
          <w:lang w:val="fr-CA"/>
        </w:rPr>
        <w:t>en vertu de bons de commande et a conclu un contrat de sous</w:t>
      </w:r>
      <w:r w:rsidRPr="00623B91">
        <w:rPr>
          <w:color w:val="000000"/>
          <w:sz w:val="20"/>
          <w:lang w:val="fr-CA"/>
        </w:rPr>
        <w:noBreakHyphen/>
        <w:t>traitance avec Petrowest Civil Services LP. Petrowest Corporation et ses sociétés liées sont devenues insolvables. Ernst &amp; Young Inc. a été nommée à titre de séquestre. Ernst &amp; Young Inc.</w:t>
      </w:r>
      <w:r w:rsidRPr="00623B91">
        <w:rPr>
          <w:sz w:val="20"/>
          <w:lang w:val="fr-CA"/>
        </w:rPr>
        <w:t xml:space="preserve"> </w:t>
      </w:r>
      <w:r w:rsidRPr="00623B91">
        <w:rPr>
          <w:color w:val="000000"/>
          <w:sz w:val="20"/>
          <w:lang w:val="fr-CA"/>
        </w:rPr>
        <w:t xml:space="preserve">a cédé les biens des sociétés liées de Petrowest Corporation dans le cadre d’une procédure en faillite et a par la suite agi en tant que syndic de faillite et de séquestre. Petrowest Corporation et ses sociétés liées ont intenté une action civile alléguant que des montants leur sont dus en vertu du contrat de société général, de la </w:t>
      </w:r>
      <w:r w:rsidRPr="00623B91">
        <w:rPr>
          <w:sz w:val="20"/>
          <w:lang w:val="fr-CA"/>
        </w:rPr>
        <w:t>convention de cautionnement et d’indemnisation mutuelle</w:t>
      </w:r>
      <w:r w:rsidRPr="00623B91">
        <w:rPr>
          <w:color w:val="000000"/>
          <w:sz w:val="20"/>
          <w:lang w:val="fr-CA"/>
        </w:rPr>
        <w:t>, des bons de commande et du contrat de sous</w:t>
      </w:r>
      <w:r w:rsidRPr="00623B91">
        <w:rPr>
          <w:color w:val="000000"/>
          <w:sz w:val="20"/>
          <w:lang w:val="fr-CA"/>
        </w:rPr>
        <w:noBreakHyphen/>
        <w:t xml:space="preserve">traitance. </w:t>
      </w:r>
      <w:r w:rsidRPr="00623B91">
        <w:rPr>
          <w:sz w:val="20"/>
          <w:lang w:val="fr-CA"/>
        </w:rPr>
        <w:t>Ces ententes renferment des clauses d’arbitrage. Les</w:t>
      </w:r>
      <w:r w:rsidRPr="00623B91">
        <w:rPr>
          <w:color w:val="000000"/>
          <w:sz w:val="20"/>
          <w:lang w:val="fr-CA"/>
        </w:rPr>
        <w:t xml:space="preserve"> appelantes ont demandé l’arrêt des procédures conformément à l’art. 15 de la loi intitulée </w:t>
      </w:r>
      <w:r w:rsidRPr="00623B91">
        <w:rPr>
          <w:i/>
          <w:color w:val="000000"/>
          <w:sz w:val="20"/>
          <w:lang w:val="fr-CA"/>
        </w:rPr>
        <w:t>Arbitration Act</w:t>
      </w:r>
      <w:r w:rsidRPr="00623B91">
        <w:rPr>
          <w:color w:val="000000"/>
          <w:sz w:val="20"/>
          <w:lang w:val="fr-CA"/>
        </w:rPr>
        <w:t xml:space="preserve">, </w:t>
      </w:r>
      <w:r w:rsidRPr="00623B91">
        <w:rPr>
          <w:sz w:val="20"/>
          <w:lang w:val="fr-CA"/>
        </w:rPr>
        <w:t>RSBC 1996, c. 55,</w:t>
      </w:r>
      <w:r w:rsidRPr="00623B91">
        <w:rPr>
          <w:i/>
          <w:color w:val="000000"/>
          <w:sz w:val="20"/>
          <w:lang w:val="fr-CA"/>
        </w:rPr>
        <w:t xml:space="preserve"> </w:t>
      </w:r>
      <w:r w:rsidRPr="00623B91">
        <w:rPr>
          <w:color w:val="000000"/>
          <w:sz w:val="20"/>
          <w:lang w:val="fr-CA"/>
        </w:rPr>
        <w:t>pour que les affaires soient renvoyées à l’arbitrage.</w:t>
      </w:r>
      <w:r w:rsidRPr="00623B91">
        <w:rPr>
          <w:sz w:val="20"/>
          <w:lang w:val="fr-CA"/>
        </w:rPr>
        <w:t xml:space="preserve"> La Cour suprême de la Colombie</w:t>
      </w:r>
      <w:r w:rsidRPr="00623B91">
        <w:rPr>
          <w:sz w:val="20"/>
          <w:lang w:val="fr-CA"/>
        </w:rPr>
        <w:noBreakHyphen/>
        <w:t>Britannique a rejeté la demande. La Cour d’appel a rejeté l’appel.</w:t>
      </w:r>
    </w:p>
    <w:p w:rsidR="00973946" w:rsidRPr="00623B91" w:rsidRDefault="00973946">
      <w:pPr>
        <w:widowControl w:val="0"/>
        <w:jc w:val="both"/>
        <w:rPr>
          <w:sz w:val="20"/>
          <w:lang w:val="fr-CA"/>
        </w:rPr>
      </w:pPr>
    </w:p>
    <w:p w:rsidR="00F5120E" w:rsidRPr="00623B91" w:rsidRDefault="00B13C1F" w:rsidP="00F5120E">
      <w:pPr>
        <w:widowControl w:val="0"/>
        <w:jc w:val="both"/>
        <w:rPr>
          <w:sz w:val="20"/>
          <w:lang w:val="fr-CA"/>
        </w:rPr>
      </w:pPr>
      <w:r>
        <w:rPr>
          <w:sz w:val="20"/>
        </w:rPr>
        <w:pict>
          <v:rect id="_x0000_i1027" style="width:2in;height:1pt" o:hrpct="0" o:hralign="center" o:hrstd="t" o:hrnoshade="t" o:hr="t" fillcolor="black [3213]" stroked="f"/>
        </w:pict>
      </w:r>
    </w:p>
    <w:p w:rsidR="00E92006" w:rsidRPr="00623B91" w:rsidRDefault="00E92006" w:rsidP="00340C6D">
      <w:pPr>
        <w:jc w:val="both"/>
        <w:rPr>
          <w:sz w:val="20"/>
          <w:lang w:val="fr-CA"/>
        </w:rPr>
      </w:pPr>
    </w:p>
    <w:p w:rsidR="00E92006" w:rsidRPr="00623B91" w:rsidRDefault="00E92006" w:rsidP="00340C6D">
      <w:pPr>
        <w:jc w:val="both"/>
        <w:rPr>
          <w:sz w:val="20"/>
          <w:lang w:val="fr-CA"/>
        </w:rPr>
      </w:pPr>
    </w:p>
    <w:p w:rsidR="00072A63" w:rsidRPr="00623B91" w:rsidRDefault="00072A63" w:rsidP="00EC79B0">
      <w:pPr>
        <w:jc w:val="both"/>
        <w:rPr>
          <w:sz w:val="20"/>
          <w:lang w:val="fr-CA"/>
        </w:rPr>
      </w:pPr>
    </w:p>
    <w:p w:rsidR="001C4415" w:rsidRPr="00623B91" w:rsidRDefault="001C4415" w:rsidP="001C4415">
      <w:pPr>
        <w:widowControl w:val="0"/>
        <w:outlineLvl w:val="0"/>
      </w:pPr>
      <w:r w:rsidRPr="00623B91">
        <w:t xml:space="preserve">Supreme Court of Canada / Cour suprême du </w:t>
      </w:r>
      <w:proofErr w:type="gramStart"/>
      <w:r w:rsidRPr="00623B91">
        <w:t>Canada :</w:t>
      </w:r>
      <w:proofErr w:type="gramEnd"/>
      <w:r w:rsidRPr="00623B91">
        <w:t xml:space="preserve"> </w:t>
      </w:r>
    </w:p>
    <w:p w:rsidR="001C4415" w:rsidRPr="00623B91" w:rsidRDefault="00B13C1F" w:rsidP="001C4415">
      <w:pPr>
        <w:widowControl w:val="0"/>
        <w:outlineLvl w:val="0"/>
      </w:pPr>
      <w:hyperlink r:id="rId8" w:history="1">
        <w:r w:rsidR="001C4415" w:rsidRPr="00623B91">
          <w:rPr>
            <w:rStyle w:val="Hyperlink"/>
          </w:rPr>
          <w:t>comments-commentaires@scc-csc.ca</w:t>
        </w:r>
      </w:hyperlink>
    </w:p>
    <w:p w:rsidR="001C4415" w:rsidRPr="00623B91" w:rsidRDefault="001C4415" w:rsidP="001C4415">
      <w:pPr>
        <w:widowControl w:val="0"/>
        <w:outlineLvl w:val="0"/>
      </w:pPr>
      <w:r w:rsidRPr="00623B91">
        <w:t>(613) 995-4330</w:t>
      </w:r>
    </w:p>
    <w:p w:rsidR="001C4415" w:rsidRPr="00623B91" w:rsidRDefault="001C4415" w:rsidP="001C4415">
      <w:pPr>
        <w:widowControl w:val="0"/>
        <w:rPr>
          <w:sz w:val="20"/>
        </w:rPr>
      </w:pPr>
    </w:p>
    <w:p w:rsidR="0036476C" w:rsidRPr="00A8502B" w:rsidRDefault="001C4415" w:rsidP="0036476C">
      <w:pPr>
        <w:pStyle w:val="Footer"/>
        <w:jc w:val="center"/>
        <w:rPr>
          <w:lang w:val="fr-CA"/>
        </w:rPr>
      </w:pPr>
      <w:r w:rsidRPr="00623B91">
        <w:rPr>
          <w:lang w:val="fr-CA"/>
        </w:rPr>
        <w:t xml:space="preserve">- 30 </w:t>
      </w:r>
      <w:r w:rsidR="003C1B6E" w:rsidRPr="00623B9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0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3C1F"/>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0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5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4277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2022-09-07T17:57:00Z</dcterms:modified>
</cp:coreProperties>
</file>