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F401B9" w:rsidRDefault="002A192B" w:rsidP="00346405">
      <w:pPr>
        <w:pStyle w:val="Header"/>
        <w:jc w:val="center"/>
        <w:rPr>
          <w:b/>
          <w:sz w:val="32"/>
        </w:rPr>
      </w:pPr>
      <w:r w:rsidRPr="00F401B9">
        <w:rPr>
          <w:b/>
          <w:sz w:val="32"/>
        </w:rPr>
        <w:t>Supreme Court of Canada / Cour suprême du Canada</w:t>
      </w:r>
    </w:p>
    <w:p w:rsidR="002A192B" w:rsidRPr="00F401B9" w:rsidRDefault="002A192B" w:rsidP="00346405">
      <w:pPr>
        <w:widowControl w:val="0"/>
        <w:rPr>
          <w:i/>
        </w:rPr>
      </w:pPr>
    </w:p>
    <w:p w:rsidR="002A192B" w:rsidRPr="00F401B9" w:rsidRDefault="002A192B" w:rsidP="00346405">
      <w:pPr>
        <w:widowControl w:val="0"/>
        <w:rPr>
          <w:i/>
        </w:rPr>
      </w:pPr>
    </w:p>
    <w:p w:rsidR="001C4415" w:rsidRPr="00F401B9" w:rsidRDefault="001C4415" w:rsidP="00346405">
      <w:pPr>
        <w:widowControl w:val="0"/>
        <w:rPr>
          <w:i/>
          <w:sz w:val="20"/>
        </w:rPr>
      </w:pPr>
      <w:r w:rsidRPr="00F401B9">
        <w:rPr>
          <w:i/>
          <w:sz w:val="20"/>
        </w:rPr>
        <w:t>(</w:t>
      </w:r>
      <w:r w:rsidR="003C50BF" w:rsidRPr="00F401B9">
        <w:rPr>
          <w:i/>
          <w:sz w:val="20"/>
        </w:rPr>
        <w:t>Le</w:t>
      </w:r>
      <w:r w:rsidRPr="00F401B9">
        <w:rPr>
          <w:i/>
          <w:sz w:val="20"/>
        </w:rPr>
        <w:t xml:space="preserve"> français suit)</w:t>
      </w:r>
    </w:p>
    <w:p w:rsidR="001C4415" w:rsidRPr="00F401B9" w:rsidRDefault="001C4415" w:rsidP="00346405">
      <w:pPr>
        <w:widowControl w:val="0"/>
      </w:pPr>
    </w:p>
    <w:p w:rsidR="001C4415" w:rsidRPr="00F401B9" w:rsidRDefault="000347C1" w:rsidP="00346405">
      <w:pPr>
        <w:widowControl w:val="0"/>
        <w:jc w:val="center"/>
        <w:rPr>
          <w:b/>
        </w:rPr>
      </w:pPr>
      <w:r w:rsidRPr="00F401B9">
        <w:fldChar w:fldCharType="begin"/>
      </w:r>
      <w:r w:rsidR="00FA7412" w:rsidRPr="00F401B9">
        <w:instrText xml:space="preserve"> SEQ CHAPTER \h \r 1</w:instrText>
      </w:r>
      <w:r w:rsidRPr="00F401B9">
        <w:fldChar w:fldCharType="end"/>
      </w:r>
      <w:r w:rsidR="00455BB9" w:rsidRPr="00F401B9">
        <w:rPr>
          <w:b/>
        </w:rPr>
        <w:t>JUDGMENT</w:t>
      </w:r>
      <w:r w:rsidR="00FA7412" w:rsidRPr="00F401B9">
        <w:rPr>
          <w:b/>
        </w:rPr>
        <w:t xml:space="preserve"> TO BE RENDERED IN APPEA</w:t>
      </w:r>
      <w:r w:rsidR="00CC2799" w:rsidRPr="00F401B9">
        <w:rPr>
          <w:b/>
        </w:rPr>
        <w:t>L</w:t>
      </w:r>
    </w:p>
    <w:p w:rsidR="005A7C1B" w:rsidRPr="00F401B9" w:rsidRDefault="005A7C1B" w:rsidP="00346405">
      <w:pPr>
        <w:widowControl w:val="0"/>
      </w:pPr>
    </w:p>
    <w:p w:rsidR="00EC79B0" w:rsidRPr="00F401B9" w:rsidRDefault="00663390" w:rsidP="00346405">
      <w:pPr>
        <w:widowControl w:val="0"/>
      </w:pPr>
      <w:r w:rsidRPr="00F401B9">
        <w:rPr>
          <w:b/>
        </w:rPr>
        <w:t>November</w:t>
      </w:r>
      <w:r w:rsidR="00C86395" w:rsidRPr="00F401B9">
        <w:rPr>
          <w:b/>
        </w:rPr>
        <w:t xml:space="preserve"> </w:t>
      </w:r>
      <w:r w:rsidR="00F401B9" w:rsidRPr="00F401B9">
        <w:rPr>
          <w:b/>
        </w:rPr>
        <w:t>2</w:t>
      </w:r>
      <w:r w:rsidR="00F86018">
        <w:rPr>
          <w:b/>
        </w:rPr>
        <w:t>9</w:t>
      </w:r>
      <w:r w:rsidR="00EC79B0" w:rsidRPr="00F401B9">
        <w:rPr>
          <w:b/>
        </w:rPr>
        <w:t>, 2</w:t>
      </w:r>
      <w:r w:rsidR="00E6600C" w:rsidRPr="00F401B9">
        <w:rPr>
          <w:b/>
        </w:rPr>
        <w:t>0</w:t>
      </w:r>
      <w:r w:rsidR="009544E9" w:rsidRPr="00F401B9">
        <w:rPr>
          <w:b/>
        </w:rPr>
        <w:t>2</w:t>
      </w:r>
      <w:r w:rsidR="00B2287D" w:rsidRPr="00F401B9">
        <w:rPr>
          <w:b/>
        </w:rPr>
        <w:t>2</w:t>
      </w:r>
    </w:p>
    <w:p w:rsidR="00EC79B0" w:rsidRPr="00F401B9" w:rsidRDefault="00EC79B0" w:rsidP="00346405">
      <w:pPr>
        <w:widowControl w:val="0"/>
        <w:rPr>
          <w:b/>
        </w:rPr>
      </w:pPr>
      <w:r w:rsidRPr="00F401B9">
        <w:rPr>
          <w:b/>
        </w:rPr>
        <w:t>For immediate release</w:t>
      </w:r>
    </w:p>
    <w:p w:rsidR="00EC79B0" w:rsidRPr="00F401B9" w:rsidRDefault="00EC79B0" w:rsidP="00346405">
      <w:pPr>
        <w:widowControl w:val="0"/>
      </w:pPr>
    </w:p>
    <w:p w:rsidR="00EC79B0" w:rsidRPr="00F401B9" w:rsidRDefault="00EC79B0" w:rsidP="00346405">
      <w:pPr>
        <w:widowControl w:val="0"/>
        <w:rPr>
          <w:lang w:val="fr-CA"/>
        </w:rPr>
      </w:pPr>
      <w:r w:rsidRPr="00F401B9">
        <w:rPr>
          <w:b/>
        </w:rPr>
        <w:t>OTTAWA</w:t>
      </w:r>
      <w:r w:rsidRPr="00F401B9">
        <w:t xml:space="preserve"> – The Supreme Court of Canad</w:t>
      </w:r>
      <w:r w:rsidR="00455BB9" w:rsidRPr="00F401B9">
        <w:t>a announced today that judgment</w:t>
      </w:r>
      <w:r w:rsidRPr="00F401B9">
        <w:t xml:space="preserve"> in the following appeal will be delivered at 9:45 a.m. E</w:t>
      </w:r>
      <w:r w:rsidR="00663390" w:rsidRPr="00F401B9">
        <w:t>S</w:t>
      </w:r>
      <w:r w:rsidR="00DC6C1E" w:rsidRPr="00F401B9">
        <w:t>T</w:t>
      </w:r>
      <w:r w:rsidR="00D74667" w:rsidRPr="00F401B9">
        <w:t xml:space="preserve"> on</w:t>
      </w:r>
      <w:r w:rsidR="00DC6C1E" w:rsidRPr="00F401B9">
        <w:t xml:space="preserve"> </w:t>
      </w:r>
      <w:r w:rsidR="00312A68" w:rsidRPr="00F401B9">
        <w:t>Friday</w:t>
      </w:r>
      <w:r w:rsidR="000A7900" w:rsidRPr="00F401B9">
        <w:t xml:space="preserve">, </w:t>
      </w:r>
      <w:r w:rsidR="00F401B9" w:rsidRPr="00F401B9">
        <w:t>December</w:t>
      </w:r>
      <w:r w:rsidR="004E605A" w:rsidRPr="00F401B9">
        <w:t xml:space="preserve"> </w:t>
      </w:r>
      <w:r w:rsidR="00F401B9" w:rsidRPr="00F401B9">
        <w:t>2</w:t>
      </w:r>
      <w:r w:rsidR="00E63199" w:rsidRPr="00F401B9">
        <w:t>, 2</w:t>
      </w:r>
      <w:r w:rsidR="0086609D" w:rsidRPr="00F401B9">
        <w:t>0</w:t>
      </w:r>
      <w:r w:rsidR="009544E9" w:rsidRPr="00F401B9">
        <w:t>2</w:t>
      </w:r>
      <w:r w:rsidR="00B2287D" w:rsidRPr="00F401B9">
        <w:t>2</w:t>
      </w:r>
      <w:r w:rsidR="00455BB9" w:rsidRPr="00F401B9">
        <w:t xml:space="preserve">. </w:t>
      </w:r>
      <w:r w:rsidR="00455BB9" w:rsidRPr="00F401B9">
        <w:rPr>
          <w:lang w:val="fr-CA"/>
        </w:rPr>
        <w:t>This</w:t>
      </w:r>
      <w:r w:rsidRPr="00F401B9">
        <w:rPr>
          <w:lang w:val="fr-CA"/>
        </w:rPr>
        <w:t xml:space="preserve"> list is subject to change.</w:t>
      </w:r>
    </w:p>
    <w:p w:rsidR="001F76DD" w:rsidRPr="00F401B9" w:rsidRDefault="001F76DD" w:rsidP="00346405">
      <w:pPr>
        <w:widowControl w:val="0"/>
        <w:rPr>
          <w:szCs w:val="24"/>
          <w:lang w:val="fr-CA"/>
        </w:rPr>
      </w:pPr>
    </w:p>
    <w:p w:rsidR="001C4415" w:rsidRPr="00F401B9" w:rsidRDefault="001C4415" w:rsidP="00346405">
      <w:pPr>
        <w:widowControl w:val="0"/>
        <w:rPr>
          <w:lang w:val="fr-CA"/>
        </w:rPr>
      </w:pPr>
    </w:p>
    <w:p w:rsidR="001335A1" w:rsidRPr="00F401B9" w:rsidRDefault="001335A1" w:rsidP="00346405">
      <w:pPr>
        <w:widowControl w:val="0"/>
        <w:jc w:val="center"/>
        <w:rPr>
          <w:b/>
          <w:lang w:val="fr-CA"/>
        </w:rPr>
      </w:pPr>
      <w:r w:rsidRPr="00F401B9">
        <w:rPr>
          <w:b/>
          <w:lang w:val="fr-CA"/>
        </w:rPr>
        <w:t>PROCHAIN JUGEMENT</w:t>
      </w:r>
      <w:r w:rsidR="00455BB9" w:rsidRPr="00F401B9">
        <w:rPr>
          <w:b/>
          <w:lang w:val="fr-CA"/>
        </w:rPr>
        <w:t xml:space="preserve"> SUR APPEL</w:t>
      </w:r>
    </w:p>
    <w:p w:rsidR="001335A1" w:rsidRPr="00F401B9" w:rsidRDefault="001335A1" w:rsidP="00346405">
      <w:pPr>
        <w:widowControl w:val="0"/>
        <w:rPr>
          <w:lang w:val="fr-CA"/>
        </w:rPr>
      </w:pPr>
    </w:p>
    <w:p w:rsidR="00EC79B0" w:rsidRPr="00F401B9" w:rsidRDefault="00EC79B0" w:rsidP="00346405">
      <w:pPr>
        <w:widowControl w:val="0"/>
        <w:rPr>
          <w:lang w:val="fr-CA"/>
        </w:rPr>
      </w:pPr>
      <w:r w:rsidRPr="00F401B9">
        <w:rPr>
          <w:b/>
          <w:lang w:val="fr-CA"/>
        </w:rPr>
        <w:t xml:space="preserve">Le </w:t>
      </w:r>
      <w:r w:rsidR="00F401B9" w:rsidRPr="00F401B9">
        <w:rPr>
          <w:b/>
          <w:lang w:val="fr-CA"/>
        </w:rPr>
        <w:t>2</w:t>
      </w:r>
      <w:r w:rsidR="00F86018">
        <w:rPr>
          <w:b/>
          <w:lang w:val="fr-CA"/>
        </w:rPr>
        <w:t>9</w:t>
      </w:r>
      <w:bookmarkStart w:id="0" w:name="_GoBack"/>
      <w:bookmarkEnd w:id="0"/>
      <w:r w:rsidR="00FA5450" w:rsidRPr="00F401B9">
        <w:rPr>
          <w:b/>
          <w:lang w:val="fr-CA"/>
        </w:rPr>
        <w:t xml:space="preserve"> </w:t>
      </w:r>
      <w:r w:rsidR="00663390" w:rsidRPr="00F401B9">
        <w:rPr>
          <w:b/>
          <w:lang w:val="fr-CA"/>
        </w:rPr>
        <w:t>novembre</w:t>
      </w:r>
      <w:r w:rsidR="00C86395" w:rsidRPr="00F401B9">
        <w:rPr>
          <w:b/>
          <w:lang w:val="fr-CA"/>
        </w:rPr>
        <w:t xml:space="preserve"> </w:t>
      </w:r>
      <w:r w:rsidR="0086609D" w:rsidRPr="00F401B9">
        <w:rPr>
          <w:b/>
          <w:lang w:val="fr-CA"/>
        </w:rPr>
        <w:t>20</w:t>
      </w:r>
      <w:r w:rsidR="009544E9" w:rsidRPr="00F401B9">
        <w:rPr>
          <w:b/>
          <w:lang w:val="fr-CA"/>
        </w:rPr>
        <w:t>2</w:t>
      </w:r>
      <w:r w:rsidR="00B2287D" w:rsidRPr="00F401B9">
        <w:rPr>
          <w:b/>
          <w:lang w:val="fr-CA"/>
        </w:rPr>
        <w:t>2</w:t>
      </w:r>
    </w:p>
    <w:p w:rsidR="00EC79B0" w:rsidRPr="00F401B9" w:rsidRDefault="00EC79B0" w:rsidP="00346405">
      <w:pPr>
        <w:widowControl w:val="0"/>
        <w:rPr>
          <w:b/>
          <w:lang w:val="fr-CA"/>
        </w:rPr>
      </w:pPr>
      <w:r w:rsidRPr="00F401B9">
        <w:rPr>
          <w:b/>
          <w:lang w:val="fr-CA"/>
        </w:rPr>
        <w:t>Pour diffusion immédiate</w:t>
      </w:r>
    </w:p>
    <w:p w:rsidR="00EC79B0" w:rsidRPr="00F401B9" w:rsidRDefault="00EC79B0" w:rsidP="00346405">
      <w:pPr>
        <w:widowControl w:val="0"/>
        <w:rPr>
          <w:lang w:val="fr-CA"/>
        </w:rPr>
      </w:pPr>
    </w:p>
    <w:p w:rsidR="00EC79B0" w:rsidRPr="00F401B9" w:rsidRDefault="00EC79B0" w:rsidP="00346405">
      <w:pPr>
        <w:widowControl w:val="0"/>
        <w:rPr>
          <w:lang w:val="fr-CA"/>
        </w:rPr>
      </w:pPr>
      <w:r w:rsidRPr="00F401B9">
        <w:rPr>
          <w:b/>
          <w:lang w:val="fr-CA"/>
        </w:rPr>
        <w:t>OTTAWA</w:t>
      </w:r>
      <w:r w:rsidRPr="00F401B9">
        <w:rPr>
          <w:lang w:val="fr-CA"/>
        </w:rPr>
        <w:t xml:space="preserve"> – La Cour suprême du Canada annonce que jugement ser</w:t>
      </w:r>
      <w:r w:rsidR="00204750" w:rsidRPr="00F401B9">
        <w:rPr>
          <w:lang w:val="fr-CA"/>
        </w:rPr>
        <w:t>a</w:t>
      </w:r>
      <w:r w:rsidRPr="00F401B9">
        <w:rPr>
          <w:lang w:val="fr-CA"/>
        </w:rPr>
        <w:t xml:space="preserve"> rendu dans </w:t>
      </w:r>
      <w:r w:rsidR="001F1643" w:rsidRPr="00F401B9">
        <w:rPr>
          <w:lang w:val="fr-CA"/>
        </w:rPr>
        <w:t>l</w:t>
      </w:r>
      <w:r w:rsidR="00204750" w:rsidRPr="00F401B9">
        <w:rPr>
          <w:lang w:val="fr-CA"/>
        </w:rPr>
        <w:t>’</w:t>
      </w:r>
      <w:r w:rsidR="001F1643" w:rsidRPr="00F401B9">
        <w:rPr>
          <w:lang w:val="fr-CA"/>
        </w:rPr>
        <w:t xml:space="preserve">appel </w:t>
      </w:r>
      <w:r w:rsidRPr="00F401B9">
        <w:rPr>
          <w:lang w:val="fr-CA"/>
        </w:rPr>
        <w:t xml:space="preserve">suivant le </w:t>
      </w:r>
      <w:r w:rsidR="00312A68" w:rsidRPr="00F401B9">
        <w:rPr>
          <w:lang w:val="fr-CA"/>
        </w:rPr>
        <w:t>vendre</w:t>
      </w:r>
      <w:r w:rsidR="0087500F" w:rsidRPr="00F401B9">
        <w:rPr>
          <w:lang w:val="fr-CA"/>
        </w:rPr>
        <w:t>di</w:t>
      </w:r>
      <w:r w:rsidR="007C1648" w:rsidRPr="00F401B9">
        <w:rPr>
          <w:lang w:val="fr-CA"/>
        </w:rPr>
        <w:t xml:space="preserve"> </w:t>
      </w:r>
      <w:r w:rsidR="00F401B9" w:rsidRPr="00F401B9">
        <w:rPr>
          <w:lang w:val="fr-CA"/>
        </w:rPr>
        <w:t>2</w:t>
      </w:r>
      <w:r w:rsidR="00F62251" w:rsidRPr="00F401B9">
        <w:rPr>
          <w:lang w:val="fr-CA"/>
        </w:rPr>
        <w:t xml:space="preserve"> </w:t>
      </w:r>
      <w:r w:rsidR="00F401B9" w:rsidRPr="00F401B9">
        <w:rPr>
          <w:lang w:val="fr-CA"/>
        </w:rPr>
        <w:t>déc</w:t>
      </w:r>
      <w:r w:rsidR="00623B91" w:rsidRPr="00F401B9">
        <w:rPr>
          <w:lang w:val="fr-CA"/>
        </w:rPr>
        <w:t>em</w:t>
      </w:r>
      <w:r w:rsidR="00665DDB" w:rsidRPr="00F401B9">
        <w:rPr>
          <w:lang w:val="fr-CA"/>
        </w:rPr>
        <w:t>bre</w:t>
      </w:r>
      <w:r w:rsidR="00282563" w:rsidRPr="00F401B9">
        <w:rPr>
          <w:lang w:val="fr-CA"/>
        </w:rPr>
        <w:t xml:space="preserve"> </w:t>
      </w:r>
      <w:r w:rsidRPr="00F401B9">
        <w:rPr>
          <w:lang w:val="fr-CA"/>
        </w:rPr>
        <w:t>20</w:t>
      </w:r>
      <w:r w:rsidR="009544E9" w:rsidRPr="00F401B9">
        <w:rPr>
          <w:lang w:val="fr-CA"/>
        </w:rPr>
        <w:t>2</w:t>
      </w:r>
      <w:r w:rsidR="00973946" w:rsidRPr="00F401B9">
        <w:rPr>
          <w:lang w:val="fr-CA"/>
        </w:rPr>
        <w:t>2</w:t>
      </w:r>
      <w:r w:rsidRPr="00F401B9">
        <w:rPr>
          <w:lang w:val="fr-CA"/>
        </w:rPr>
        <w:t>, à 9 h 45 H</w:t>
      </w:r>
      <w:r w:rsidR="00663390" w:rsidRPr="00F401B9">
        <w:rPr>
          <w:lang w:val="fr-CA"/>
        </w:rPr>
        <w:t>N</w:t>
      </w:r>
      <w:r w:rsidRPr="00F401B9">
        <w:rPr>
          <w:lang w:val="fr-CA"/>
        </w:rPr>
        <w:t>E. Cette liste est sujette à modifications.</w:t>
      </w:r>
    </w:p>
    <w:p w:rsidR="001F76DD" w:rsidRPr="00F401B9" w:rsidRDefault="001F76DD" w:rsidP="00346405">
      <w:pPr>
        <w:widowControl w:val="0"/>
        <w:jc w:val="both"/>
        <w:rPr>
          <w:szCs w:val="24"/>
          <w:lang w:val="fr-CA"/>
        </w:rPr>
      </w:pPr>
    </w:p>
    <w:p w:rsidR="00EF4622" w:rsidRPr="00F401B9" w:rsidRDefault="00F86018" w:rsidP="00346405">
      <w:pPr>
        <w:widowControl w:val="0"/>
        <w:jc w:val="both"/>
        <w:rPr>
          <w:szCs w:val="24"/>
          <w:lang w:val="fr-CA"/>
        </w:rPr>
      </w:pPr>
      <w:r>
        <w:rPr>
          <w:sz w:val="20"/>
        </w:rPr>
        <w:pict>
          <v:rect id="_x0000_i1025" style="width:2in;height:1pt" o:hrpct="0" o:hralign="center" o:hrstd="t" o:hrnoshade="t" o:hr="t" fillcolor="black [3213]" stroked="f"/>
        </w:pict>
      </w:r>
    </w:p>
    <w:p w:rsidR="001335A1" w:rsidRPr="00F401B9" w:rsidRDefault="001335A1" w:rsidP="00346405">
      <w:pPr>
        <w:widowControl w:val="0"/>
        <w:rPr>
          <w:szCs w:val="24"/>
          <w:lang w:val="fr-CA"/>
        </w:rPr>
      </w:pPr>
    </w:p>
    <w:p w:rsidR="00772636" w:rsidRPr="00346405" w:rsidRDefault="00F401B9" w:rsidP="00346405">
      <w:pPr>
        <w:jc w:val="both"/>
        <w:rPr>
          <w:szCs w:val="24"/>
        </w:rPr>
      </w:pPr>
      <w:r w:rsidRPr="00346405">
        <w:rPr>
          <w:i/>
          <w:szCs w:val="24"/>
        </w:rPr>
        <w:t>F. v. N.</w:t>
      </w:r>
      <w:r w:rsidR="00735BE0" w:rsidRPr="00346405">
        <w:rPr>
          <w:i/>
          <w:szCs w:val="24"/>
        </w:rPr>
        <w:t xml:space="preserve"> </w:t>
      </w:r>
      <w:r w:rsidR="00772636" w:rsidRPr="00346405">
        <w:rPr>
          <w:szCs w:val="24"/>
        </w:rPr>
        <w:t>(</w:t>
      </w:r>
      <w:r w:rsidRPr="00346405">
        <w:rPr>
          <w:szCs w:val="24"/>
        </w:rPr>
        <w:t>Ont</w:t>
      </w:r>
      <w:r w:rsidR="000523F2" w:rsidRPr="00346405">
        <w:rPr>
          <w:szCs w:val="24"/>
        </w:rPr>
        <w:t>.</w:t>
      </w:r>
      <w:r w:rsidR="00772636" w:rsidRPr="00346405">
        <w:rPr>
          <w:szCs w:val="24"/>
        </w:rPr>
        <w:t>) (</w:t>
      </w:r>
      <w:hyperlink r:id="rId7" w:history="1">
        <w:r w:rsidR="00772636" w:rsidRPr="00346405">
          <w:rPr>
            <w:rStyle w:val="Hyperlink"/>
            <w:szCs w:val="24"/>
          </w:rPr>
          <w:t>3</w:t>
        </w:r>
        <w:r w:rsidR="000E38C2" w:rsidRPr="00346405">
          <w:rPr>
            <w:rStyle w:val="Hyperlink"/>
            <w:szCs w:val="24"/>
          </w:rPr>
          <w:t>9</w:t>
        </w:r>
        <w:r w:rsidRPr="00346405">
          <w:rPr>
            <w:rStyle w:val="Hyperlink"/>
            <w:szCs w:val="24"/>
          </w:rPr>
          <w:t>875</w:t>
        </w:r>
      </w:hyperlink>
      <w:r w:rsidR="00772636" w:rsidRPr="00346405">
        <w:rPr>
          <w:szCs w:val="24"/>
        </w:rPr>
        <w:t>)</w:t>
      </w:r>
    </w:p>
    <w:p w:rsidR="000E38C2" w:rsidRPr="00346405" w:rsidRDefault="000E38C2" w:rsidP="00346405">
      <w:pPr>
        <w:jc w:val="both"/>
        <w:rPr>
          <w:sz w:val="20"/>
        </w:rPr>
      </w:pPr>
    </w:p>
    <w:p w:rsidR="00F401B9" w:rsidRPr="00346405" w:rsidRDefault="00F401B9" w:rsidP="00346405">
      <w:pPr>
        <w:jc w:val="both"/>
        <w:rPr>
          <w:sz w:val="20"/>
        </w:rPr>
      </w:pPr>
    </w:p>
    <w:p w:rsidR="00F401B9" w:rsidRPr="00346405" w:rsidRDefault="00F401B9" w:rsidP="00346405">
      <w:pPr>
        <w:widowControl w:val="0"/>
        <w:tabs>
          <w:tab w:val="left" w:pos="720"/>
        </w:tabs>
        <w:ind w:left="1440" w:hanging="1440"/>
        <w:jc w:val="both"/>
        <w:rPr>
          <w:b/>
          <w:i/>
          <w:sz w:val="20"/>
        </w:rPr>
      </w:pPr>
      <w:r w:rsidRPr="00F401B9">
        <w:rPr>
          <w:b/>
          <w:sz w:val="20"/>
          <w:lang w:val="en-CA"/>
        </w:rPr>
        <w:fldChar w:fldCharType="begin"/>
      </w:r>
      <w:r w:rsidRPr="00346405">
        <w:rPr>
          <w:b/>
          <w:sz w:val="20"/>
        </w:rPr>
        <w:instrText xml:space="preserve"> SEQ CHAPTER \h \r 1</w:instrText>
      </w:r>
      <w:r w:rsidRPr="00F401B9">
        <w:rPr>
          <w:b/>
          <w:sz w:val="20"/>
        </w:rPr>
        <w:fldChar w:fldCharType="end"/>
      </w:r>
      <w:r w:rsidRPr="00346405">
        <w:rPr>
          <w:b/>
          <w:sz w:val="20"/>
        </w:rPr>
        <w:t>39875</w:t>
      </w:r>
      <w:r w:rsidRPr="00346405">
        <w:rPr>
          <w:sz w:val="20"/>
        </w:rPr>
        <w:tab/>
      </w:r>
      <w:bookmarkStart w:id="1" w:name="3"/>
      <w:bookmarkEnd w:id="1"/>
      <w:r w:rsidR="00346405">
        <w:rPr>
          <w:b/>
          <w:i/>
          <w:sz w:val="20"/>
        </w:rPr>
        <w:t>F. v. N.</w:t>
      </w:r>
    </w:p>
    <w:p w:rsidR="00F401B9" w:rsidRPr="00F401B9" w:rsidRDefault="00F401B9" w:rsidP="00346405">
      <w:pPr>
        <w:widowControl w:val="0"/>
        <w:tabs>
          <w:tab w:val="left" w:pos="720"/>
        </w:tabs>
        <w:ind w:left="1440" w:hanging="1440"/>
        <w:jc w:val="both"/>
        <w:rPr>
          <w:sz w:val="20"/>
          <w:lang w:val="en-CA"/>
        </w:rPr>
      </w:pPr>
      <w:r w:rsidRPr="00346405">
        <w:rPr>
          <w:sz w:val="20"/>
        </w:rPr>
        <w:tab/>
      </w:r>
      <w:r w:rsidRPr="00F401B9">
        <w:rPr>
          <w:sz w:val="20"/>
          <w:lang w:val="en-CA"/>
        </w:rPr>
        <w:t>(Ontario) (Civil) (By leave)</w:t>
      </w:r>
    </w:p>
    <w:p w:rsidR="00F401B9" w:rsidRDefault="00F401B9" w:rsidP="00346405">
      <w:pPr>
        <w:widowControl w:val="0"/>
        <w:jc w:val="both"/>
        <w:rPr>
          <w:sz w:val="20"/>
          <w:lang w:val="en-CA"/>
        </w:rPr>
      </w:pPr>
    </w:p>
    <w:p w:rsidR="00346405" w:rsidRPr="00346405" w:rsidRDefault="00346405" w:rsidP="00346405">
      <w:pPr>
        <w:widowControl w:val="0"/>
        <w:jc w:val="both"/>
        <w:rPr>
          <w:smallCaps/>
          <w:sz w:val="20"/>
          <w:lang w:val="fr-CA"/>
        </w:rPr>
      </w:pPr>
      <w:r w:rsidRPr="00346405">
        <w:rPr>
          <w:smallCaps/>
          <w:sz w:val="20"/>
          <w:lang w:val="fr-CA"/>
        </w:rPr>
        <w:t>(Publication Ban)</w:t>
      </w:r>
    </w:p>
    <w:p w:rsidR="00346405" w:rsidRPr="00F401B9" w:rsidRDefault="00346405" w:rsidP="00346405">
      <w:pPr>
        <w:widowControl w:val="0"/>
        <w:jc w:val="both"/>
        <w:rPr>
          <w:sz w:val="20"/>
          <w:lang w:val="en-CA"/>
        </w:rPr>
      </w:pPr>
    </w:p>
    <w:p w:rsidR="00F401B9" w:rsidRPr="00F401B9" w:rsidRDefault="00F401B9" w:rsidP="00346405">
      <w:pPr>
        <w:widowControl w:val="0"/>
        <w:jc w:val="both"/>
        <w:rPr>
          <w:sz w:val="20"/>
        </w:rPr>
      </w:pPr>
      <w:r w:rsidRPr="00F401B9">
        <w:rPr>
          <w:sz w:val="20"/>
        </w:rPr>
        <w:t>Family law — Custody — Parental authority — Courts — Jurisdiction — Mother leaving non</w:t>
      </w:r>
      <w:r w:rsidRPr="00F401B9">
        <w:rPr>
          <w:sz w:val="20"/>
        </w:rPr>
        <w:noBreakHyphen/>
      </w:r>
      <w:r w:rsidRPr="00F401B9">
        <w:rPr>
          <w:i/>
          <w:sz w:val="20"/>
        </w:rPr>
        <w:t>Hague Convention</w:t>
      </w:r>
      <w:r w:rsidRPr="00F401B9">
        <w:rPr>
          <w:sz w:val="20"/>
        </w:rPr>
        <w:t xml:space="preserve"> country with children without father’s consent and retaining them in Ontario — Did the majority of the Court of Appeal err by affirming the trial judge’s decision to decline jurisdiction pursuant to s. 23 of the </w:t>
      </w:r>
      <w:r w:rsidRPr="00F401B9">
        <w:rPr>
          <w:i/>
          <w:sz w:val="20"/>
        </w:rPr>
        <w:t>CLRA</w:t>
      </w:r>
      <w:r w:rsidRPr="00F401B9">
        <w:rPr>
          <w:sz w:val="20"/>
        </w:rPr>
        <w:t xml:space="preserve">? — What factors and to what extent should the “best interests of the child” principle inform </w:t>
      </w:r>
      <w:proofErr w:type="gramStart"/>
      <w:r w:rsidRPr="00F401B9">
        <w:rPr>
          <w:sz w:val="20"/>
        </w:rPr>
        <w:t>a</w:t>
      </w:r>
      <w:proofErr w:type="gramEnd"/>
      <w:r w:rsidRPr="00F401B9">
        <w:rPr>
          <w:sz w:val="20"/>
        </w:rPr>
        <w:t xml:space="preserve"> s. 23 analysis in determining the risk of serious harm? — Did the majority of the Court of Appeal err by affirming the trial judge’s decision to return the children to the UAE pursuant to s. 40 of the </w:t>
      </w:r>
      <w:r w:rsidRPr="00F401B9">
        <w:rPr>
          <w:i/>
          <w:sz w:val="20"/>
        </w:rPr>
        <w:t>CLRA</w:t>
      </w:r>
      <w:r w:rsidRPr="00F401B9">
        <w:rPr>
          <w:sz w:val="20"/>
        </w:rPr>
        <w:t xml:space="preserve">? — How and to what extent should the “best interests of the child” principle inform the exercise of judicial discretion and available remedies under s. 40 of the </w:t>
      </w:r>
      <w:r w:rsidRPr="00F401B9">
        <w:rPr>
          <w:i/>
          <w:sz w:val="20"/>
        </w:rPr>
        <w:t>CLRA</w:t>
      </w:r>
      <w:r w:rsidRPr="00F401B9">
        <w:rPr>
          <w:sz w:val="20"/>
        </w:rPr>
        <w:t>?</w:t>
      </w:r>
    </w:p>
    <w:p w:rsidR="00F401B9" w:rsidRPr="00F401B9" w:rsidRDefault="00F401B9" w:rsidP="00346405">
      <w:pPr>
        <w:widowControl w:val="0"/>
        <w:jc w:val="both"/>
        <w:rPr>
          <w:sz w:val="20"/>
        </w:rPr>
      </w:pPr>
    </w:p>
    <w:p w:rsidR="00F401B9" w:rsidRPr="00F401B9" w:rsidRDefault="00F401B9" w:rsidP="00346405">
      <w:pPr>
        <w:widowControl w:val="0"/>
        <w:jc w:val="both"/>
        <w:rPr>
          <w:sz w:val="20"/>
        </w:rPr>
      </w:pPr>
      <w:r w:rsidRPr="00F401B9">
        <w:rPr>
          <w:sz w:val="20"/>
        </w:rPr>
        <w:t>The appellant and her former husband, the respondent, were married in Pakistan in 2012. They have two children under the age of five who are both Canadian citizens, as is the mother. The father is a Pakistani citizen. The parties resided in Dubai, United Arab Emirates (“UAE”) during the entire course of their marriage under a series of temporary residence visas directly linked to the father’s employment there. The mother and children were issued visas as dependents of the father, who had discretion over the renewal process. The mother advised the father shortly after arriving in Canada with the children in June 2020 to visit with her family that she would not be returning to Dubai with the children.</w:t>
      </w:r>
    </w:p>
    <w:p w:rsidR="00F401B9" w:rsidRPr="00F401B9" w:rsidRDefault="00F401B9" w:rsidP="00346405">
      <w:pPr>
        <w:widowControl w:val="0"/>
        <w:jc w:val="both"/>
        <w:rPr>
          <w:sz w:val="20"/>
        </w:rPr>
      </w:pPr>
    </w:p>
    <w:p w:rsidR="00F401B9" w:rsidRPr="00F401B9" w:rsidRDefault="00F401B9" w:rsidP="00346405">
      <w:pPr>
        <w:widowControl w:val="0"/>
        <w:jc w:val="both"/>
        <w:rPr>
          <w:sz w:val="20"/>
        </w:rPr>
      </w:pPr>
      <w:r w:rsidRPr="00F401B9">
        <w:rPr>
          <w:sz w:val="20"/>
        </w:rPr>
        <w:t xml:space="preserve">The father initiated proceedings for divorce in Dubai, and brought an application under s. 40 of the </w:t>
      </w:r>
      <w:r w:rsidRPr="00F401B9">
        <w:rPr>
          <w:i/>
          <w:sz w:val="20"/>
        </w:rPr>
        <w:t>CLRA</w:t>
      </w:r>
      <w:r w:rsidRPr="00F401B9">
        <w:rPr>
          <w:sz w:val="20"/>
        </w:rPr>
        <w:t xml:space="preserve"> for an order requiring the children to be returned to Dubai to have the matters of custody and access decided there, as the children’s habitual residence. The UAE is not a signatory country to the </w:t>
      </w:r>
      <w:r w:rsidRPr="00F401B9">
        <w:rPr>
          <w:i/>
          <w:sz w:val="20"/>
        </w:rPr>
        <w:t>Hague Convention</w:t>
      </w:r>
      <w:r w:rsidRPr="00F401B9">
        <w:rPr>
          <w:sz w:val="20"/>
        </w:rPr>
        <w:t xml:space="preserve">. The father obtained a divorce from the court in Dubai and was also granted custody and guardianship of the children. The mother did not participate in the proceedings in Dubai. The mother asked the Ontario court to assume jurisdiction in this case under ss. 22 or 23 of </w:t>
      </w:r>
      <w:r w:rsidRPr="00F401B9">
        <w:rPr>
          <w:sz w:val="20"/>
        </w:rPr>
        <w:lastRenderedPageBreak/>
        <w:t xml:space="preserve">the </w:t>
      </w:r>
      <w:r w:rsidRPr="00F401B9">
        <w:rPr>
          <w:i/>
          <w:sz w:val="20"/>
        </w:rPr>
        <w:t xml:space="preserve">CLRA </w:t>
      </w:r>
      <w:r w:rsidRPr="00F401B9">
        <w:rPr>
          <w:sz w:val="20"/>
        </w:rPr>
        <w:t>to decide the parenting issues.</w:t>
      </w:r>
    </w:p>
    <w:p w:rsidR="00F401B9" w:rsidRPr="00F401B9" w:rsidRDefault="00F401B9" w:rsidP="00346405">
      <w:pPr>
        <w:widowControl w:val="0"/>
        <w:jc w:val="both"/>
        <w:rPr>
          <w:sz w:val="20"/>
        </w:rPr>
      </w:pPr>
    </w:p>
    <w:p w:rsidR="00F401B9" w:rsidRPr="00F401B9" w:rsidRDefault="00F86018" w:rsidP="00346405">
      <w:pPr>
        <w:widowControl w:val="0"/>
        <w:jc w:val="both"/>
        <w:rPr>
          <w:sz w:val="20"/>
          <w:lang w:val="en-CA"/>
        </w:rPr>
      </w:pPr>
      <w:r>
        <w:rPr>
          <w:sz w:val="20"/>
        </w:rPr>
        <w:pict>
          <v:rect id="_x0000_i1026" style="width:2in;height:1pt" o:hrpct="0" o:hralign="center" o:hrstd="t" o:hrnoshade="t" o:hr="t" fillcolor="black [3213]" stroked="f"/>
        </w:pict>
      </w:r>
    </w:p>
    <w:p w:rsidR="00F401B9" w:rsidRPr="00F401B9" w:rsidRDefault="00F401B9" w:rsidP="00346405">
      <w:pPr>
        <w:widowControl w:val="0"/>
        <w:jc w:val="both"/>
        <w:rPr>
          <w:sz w:val="20"/>
          <w:lang w:val="en-CA"/>
        </w:rPr>
      </w:pPr>
    </w:p>
    <w:p w:rsidR="00346405" w:rsidRDefault="00F401B9" w:rsidP="00346405">
      <w:pPr>
        <w:widowControl w:val="0"/>
        <w:tabs>
          <w:tab w:val="left" w:pos="720"/>
        </w:tabs>
        <w:ind w:left="1440" w:hanging="1440"/>
        <w:jc w:val="both"/>
        <w:rPr>
          <w:b/>
          <w:i/>
          <w:sz w:val="20"/>
          <w:lang w:val="fr-CA"/>
        </w:rPr>
      </w:pPr>
      <w:r w:rsidRPr="00F401B9">
        <w:rPr>
          <w:b/>
          <w:sz w:val="20"/>
          <w:lang w:val="en-CA"/>
        </w:rPr>
        <w:fldChar w:fldCharType="begin"/>
      </w:r>
      <w:r w:rsidRPr="00F401B9">
        <w:rPr>
          <w:b/>
          <w:sz w:val="20"/>
          <w:lang w:val="fr-CA"/>
        </w:rPr>
        <w:instrText xml:space="preserve"> SEQ CHAPTER \h \r 1</w:instrText>
      </w:r>
      <w:r w:rsidRPr="00F401B9">
        <w:rPr>
          <w:b/>
          <w:sz w:val="20"/>
        </w:rPr>
        <w:fldChar w:fldCharType="end"/>
      </w:r>
      <w:r w:rsidRPr="00F401B9">
        <w:rPr>
          <w:b/>
          <w:sz w:val="20"/>
          <w:lang w:val="fr-CA"/>
        </w:rPr>
        <w:t>39875</w:t>
      </w:r>
      <w:r w:rsidRPr="00F401B9">
        <w:rPr>
          <w:sz w:val="20"/>
          <w:lang w:val="fr-CA"/>
        </w:rPr>
        <w:tab/>
      </w:r>
      <w:r w:rsidRPr="00F401B9">
        <w:rPr>
          <w:b/>
          <w:i/>
          <w:sz w:val="20"/>
          <w:lang w:val="fr-CA"/>
        </w:rPr>
        <w:t>F. c. N.</w:t>
      </w:r>
    </w:p>
    <w:p w:rsidR="00F401B9" w:rsidRPr="00F401B9" w:rsidRDefault="00F401B9" w:rsidP="00346405">
      <w:pPr>
        <w:widowControl w:val="0"/>
        <w:tabs>
          <w:tab w:val="left" w:pos="720"/>
        </w:tabs>
        <w:ind w:left="1440" w:hanging="1440"/>
        <w:jc w:val="both"/>
        <w:rPr>
          <w:sz w:val="20"/>
          <w:lang w:val="fr-CA"/>
        </w:rPr>
      </w:pPr>
      <w:r w:rsidRPr="00F401B9">
        <w:rPr>
          <w:sz w:val="20"/>
          <w:lang w:val="fr-CA"/>
        </w:rPr>
        <w:tab/>
        <w:t>(Ontario) (Civile) (Autorisation)</w:t>
      </w:r>
    </w:p>
    <w:p w:rsidR="00F401B9" w:rsidRDefault="00F401B9" w:rsidP="00346405">
      <w:pPr>
        <w:widowControl w:val="0"/>
        <w:jc w:val="both"/>
        <w:rPr>
          <w:sz w:val="20"/>
          <w:lang w:val="fr-CA"/>
        </w:rPr>
      </w:pPr>
    </w:p>
    <w:p w:rsidR="00346405" w:rsidRPr="00346405" w:rsidRDefault="00346405" w:rsidP="00346405">
      <w:pPr>
        <w:widowControl w:val="0"/>
        <w:tabs>
          <w:tab w:val="left" w:pos="720"/>
        </w:tabs>
        <w:ind w:left="1440" w:hanging="1440"/>
        <w:jc w:val="both"/>
        <w:rPr>
          <w:b/>
          <w:i/>
          <w:smallCaps/>
          <w:sz w:val="20"/>
          <w:lang w:val="fr-CA"/>
        </w:rPr>
      </w:pPr>
      <w:r w:rsidRPr="00346405">
        <w:rPr>
          <w:smallCaps/>
          <w:sz w:val="20"/>
          <w:lang w:val="fr-CA"/>
        </w:rPr>
        <w:t>(Interdiction de publication)</w:t>
      </w:r>
    </w:p>
    <w:p w:rsidR="00346405" w:rsidRPr="00F401B9" w:rsidRDefault="00346405" w:rsidP="00346405">
      <w:pPr>
        <w:widowControl w:val="0"/>
        <w:jc w:val="both"/>
        <w:rPr>
          <w:sz w:val="20"/>
          <w:lang w:val="fr-CA"/>
        </w:rPr>
      </w:pPr>
    </w:p>
    <w:p w:rsidR="00F401B9" w:rsidRPr="00F401B9" w:rsidRDefault="00F401B9" w:rsidP="00346405">
      <w:pPr>
        <w:widowControl w:val="0"/>
        <w:jc w:val="both"/>
        <w:rPr>
          <w:sz w:val="20"/>
          <w:lang w:val="fr-CA"/>
        </w:rPr>
      </w:pPr>
      <w:r w:rsidRPr="00F401B9">
        <w:rPr>
          <w:sz w:val="20"/>
          <w:lang w:val="fr-CA"/>
        </w:rPr>
        <w:t>Droit de la famille — Garde — Autorité parentale — Tribunaux — Compétence — Mère quittant un pays non</w:t>
      </w:r>
      <w:r w:rsidRPr="00F401B9">
        <w:rPr>
          <w:sz w:val="20"/>
          <w:lang w:val="fr-CA"/>
        </w:rPr>
        <w:noBreakHyphen/>
        <w:t xml:space="preserve">signataire de la </w:t>
      </w:r>
      <w:r w:rsidRPr="00F401B9">
        <w:rPr>
          <w:i/>
          <w:sz w:val="20"/>
          <w:lang w:val="fr-CA"/>
        </w:rPr>
        <w:t xml:space="preserve">Convention de La Haye </w:t>
      </w:r>
      <w:r w:rsidRPr="00F401B9">
        <w:rPr>
          <w:sz w:val="20"/>
          <w:lang w:val="fr-CA"/>
        </w:rPr>
        <w:t>avec les enfants, sans le consentement du père et les retenant en Ontario — Les juges majoritaires de la Cour d’appel ont</w:t>
      </w:r>
      <w:r w:rsidRPr="00F401B9">
        <w:rPr>
          <w:sz w:val="20"/>
          <w:lang w:val="fr-CA"/>
        </w:rPr>
        <w:noBreakHyphen/>
        <w:t xml:space="preserve">ils erronément confirmé la décision du juge de première instance de décliner sa compétence, au titre de l’art. 23 de la </w:t>
      </w:r>
      <w:r w:rsidRPr="00F401B9">
        <w:rPr>
          <w:i/>
          <w:sz w:val="20"/>
          <w:lang w:val="fr-CA"/>
        </w:rPr>
        <w:t>LRDE</w:t>
      </w:r>
      <w:r w:rsidRPr="00F401B9">
        <w:rPr>
          <w:sz w:val="20"/>
          <w:lang w:val="fr-CA"/>
        </w:rPr>
        <w:t>? — Quels facteurs et quelle portée devraient être accordés au principe de « l’intérêt véritable de l’enfant » dans une analyse menée au titre de l’art. 23, lorsqu’il s’agit de déterminer le risque de préjudice grave causé à l’enfant? — Les juges majoritaires de la Cour d’appel ont</w:t>
      </w:r>
      <w:r w:rsidRPr="00F401B9">
        <w:rPr>
          <w:sz w:val="20"/>
          <w:lang w:val="fr-CA"/>
        </w:rPr>
        <w:noBreakHyphen/>
        <w:t xml:space="preserve">ils erronément confirmé la décision du juge de première instance de renvoyer les enfants aux Émirats arabes unis, en application de l’art. 40 de la </w:t>
      </w:r>
      <w:r w:rsidRPr="00F401B9">
        <w:rPr>
          <w:i/>
          <w:sz w:val="20"/>
          <w:lang w:val="fr-CA"/>
        </w:rPr>
        <w:t>LRDE</w:t>
      </w:r>
      <w:r w:rsidRPr="00F401B9">
        <w:rPr>
          <w:sz w:val="20"/>
          <w:lang w:val="fr-CA"/>
        </w:rPr>
        <w:t>? — Comment le principe de « l’intérêt véritable de l’enfant » devrait</w:t>
      </w:r>
      <w:r w:rsidRPr="00F401B9">
        <w:rPr>
          <w:sz w:val="20"/>
          <w:lang w:val="fr-CA"/>
        </w:rPr>
        <w:noBreakHyphen/>
        <w:t xml:space="preserve">il éclairer l’exercice du pouvoir discrétionnaire du tribunal, quelle en est la portée, et quelles sont les réparations offertes au titre de l’art. 40 de la </w:t>
      </w:r>
      <w:r w:rsidRPr="00F401B9">
        <w:rPr>
          <w:i/>
          <w:sz w:val="20"/>
          <w:lang w:val="fr-CA"/>
        </w:rPr>
        <w:t>LRDE</w:t>
      </w:r>
      <w:r w:rsidRPr="00F401B9">
        <w:rPr>
          <w:sz w:val="20"/>
          <w:lang w:val="fr-CA"/>
        </w:rPr>
        <w:t>?</w:t>
      </w:r>
    </w:p>
    <w:p w:rsidR="00F401B9" w:rsidRPr="00F401B9" w:rsidRDefault="00F401B9" w:rsidP="00346405">
      <w:pPr>
        <w:widowControl w:val="0"/>
        <w:jc w:val="both"/>
        <w:rPr>
          <w:sz w:val="20"/>
          <w:lang w:val="fr-CA"/>
        </w:rPr>
      </w:pPr>
    </w:p>
    <w:p w:rsidR="00F401B9" w:rsidRPr="00F401B9" w:rsidRDefault="00F401B9" w:rsidP="00346405">
      <w:pPr>
        <w:widowControl w:val="0"/>
        <w:jc w:val="both"/>
        <w:rPr>
          <w:sz w:val="20"/>
          <w:lang w:val="fr-CA"/>
        </w:rPr>
      </w:pPr>
      <w:r w:rsidRPr="00F401B9">
        <w:rPr>
          <w:sz w:val="20"/>
          <w:lang w:val="fr-CA"/>
        </w:rPr>
        <w:t>L’appelante et son ex</w:t>
      </w:r>
      <w:r w:rsidRPr="00F401B9">
        <w:rPr>
          <w:sz w:val="20"/>
          <w:lang w:val="fr-CA"/>
        </w:rPr>
        <w:noBreakHyphen/>
        <w:t>époux, l’intimé, se sont mariés au Pakistan, en 2012. Ils ont deux enfants âgés de moins de cinq ans qui sont tous les deux des citoyens canadiens, tout comme la mère. Le père est un citoyen pakistanais. Les parties ont résidé à Dubaï, aux Émirats arabes unis (ÉAU) pendant toute la durée de leur mariage, au titre des nombreux visas de résident temporaires directement liés à l’emploi du père dans ce pays</w:t>
      </w:r>
      <w:r w:rsidRPr="00F401B9">
        <w:rPr>
          <w:sz w:val="20"/>
          <w:lang w:val="fr-CA"/>
        </w:rPr>
        <w:noBreakHyphen/>
        <w:t>là. La mère et les enfants ont obtenu des visas, en tant que personnes à charge du père, le processus de renouvellement des visas était laissé à la discrétion du père. Peu après son arrivée au Canada avec les enfants en juin 2020 pour rendre visite à sa famille, la mère a avisé le père qu’elle ne retournerait pas à Dubaï avec les enfants.</w:t>
      </w:r>
    </w:p>
    <w:p w:rsidR="00F401B9" w:rsidRPr="00F401B9" w:rsidRDefault="00F401B9" w:rsidP="00346405">
      <w:pPr>
        <w:widowControl w:val="0"/>
        <w:jc w:val="both"/>
        <w:rPr>
          <w:sz w:val="20"/>
          <w:lang w:val="fr-CA"/>
        </w:rPr>
      </w:pPr>
    </w:p>
    <w:p w:rsidR="00F401B9" w:rsidRPr="00F401B9" w:rsidRDefault="00F401B9" w:rsidP="00346405">
      <w:pPr>
        <w:widowControl w:val="0"/>
        <w:jc w:val="both"/>
        <w:rPr>
          <w:sz w:val="20"/>
          <w:lang w:val="fr-CA"/>
        </w:rPr>
      </w:pPr>
      <w:r w:rsidRPr="00F401B9">
        <w:rPr>
          <w:sz w:val="20"/>
          <w:lang w:val="fr-CA"/>
        </w:rPr>
        <w:t xml:space="preserve">Le père a commencé une procédure de divorce à Dubaï et a présenté une requête au titre de l’art. 40 de la </w:t>
      </w:r>
      <w:r w:rsidRPr="00F401B9">
        <w:rPr>
          <w:i/>
          <w:sz w:val="20"/>
          <w:lang w:val="fr-CA"/>
        </w:rPr>
        <w:t>LRDE</w:t>
      </w:r>
      <w:r w:rsidRPr="00F401B9">
        <w:rPr>
          <w:sz w:val="20"/>
          <w:lang w:val="fr-CA"/>
        </w:rPr>
        <w:t xml:space="preserve">, en vue d’obtenir une ordonnance enjoignant le renvoi des enfants à Dubaï pour que les questions relatives à la garde et à l’accès y soit tranchées, car les enfants y ont leur résidence habituelle. Les ÉAU ne sont pas un pays signataire de la </w:t>
      </w:r>
      <w:r w:rsidRPr="00F401B9">
        <w:rPr>
          <w:i/>
          <w:sz w:val="20"/>
          <w:lang w:val="fr-CA"/>
        </w:rPr>
        <w:t>Convention de La Haye</w:t>
      </w:r>
      <w:r w:rsidRPr="00F401B9">
        <w:rPr>
          <w:sz w:val="20"/>
          <w:lang w:val="fr-CA"/>
        </w:rPr>
        <w:t xml:space="preserve">. Le père a obtenu le divorce auprès d’un tribunal de Dubaï ainsi que la garde et la tutelle des enfants. La mère n’a pas participé à la procédure à Dubaï. La mère a demandé à un tribunal de l’Ontario d’exercer sa compétence dans la cause, au titre </w:t>
      </w:r>
      <w:proofErr w:type="gramStart"/>
      <w:r w:rsidRPr="00F401B9">
        <w:rPr>
          <w:sz w:val="20"/>
          <w:lang w:val="fr-CA"/>
        </w:rPr>
        <w:t>des art</w:t>
      </w:r>
      <w:proofErr w:type="gramEnd"/>
      <w:r w:rsidRPr="00F401B9">
        <w:rPr>
          <w:sz w:val="20"/>
          <w:lang w:val="fr-CA"/>
        </w:rPr>
        <w:t xml:space="preserve">. 22 ou 23 de la </w:t>
      </w:r>
      <w:r w:rsidRPr="00F401B9">
        <w:rPr>
          <w:i/>
          <w:sz w:val="20"/>
          <w:lang w:val="fr-CA"/>
        </w:rPr>
        <w:t>LRDE</w:t>
      </w:r>
      <w:r w:rsidRPr="00F401B9">
        <w:rPr>
          <w:sz w:val="20"/>
          <w:lang w:val="fr-CA"/>
        </w:rPr>
        <w:t>, afin de statuer sur les questions parentales.</w:t>
      </w:r>
    </w:p>
    <w:p w:rsidR="00F401B9" w:rsidRPr="00F401B9" w:rsidRDefault="00F401B9" w:rsidP="00346405">
      <w:pPr>
        <w:widowControl w:val="0"/>
        <w:jc w:val="both"/>
        <w:rPr>
          <w:sz w:val="20"/>
          <w:lang w:val="fr-CA"/>
        </w:rPr>
      </w:pPr>
    </w:p>
    <w:p w:rsidR="00F401B9" w:rsidRPr="00F401B9" w:rsidRDefault="00F86018" w:rsidP="00346405">
      <w:pPr>
        <w:jc w:val="both"/>
        <w:rPr>
          <w:sz w:val="20"/>
          <w:lang w:val="fr-CA"/>
        </w:rPr>
      </w:pPr>
      <w:r>
        <w:rPr>
          <w:sz w:val="20"/>
        </w:rPr>
        <w:pict>
          <v:rect id="_x0000_i1027" style="width:2in;height:1pt" o:hrpct="0" o:hralign="center" o:hrstd="t" o:hrnoshade="t" o:hr="t" fillcolor="black [3213]" stroked="f"/>
        </w:pict>
      </w:r>
    </w:p>
    <w:p w:rsidR="00E92006" w:rsidRPr="00F401B9" w:rsidRDefault="00E92006" w:rsidP="00346405">
      <w:pPr>
        <w:jc w:val="both"/>
        <w:rPr>
          <w:sz w:val="20"/>
          <w:lang w:val="fr-CA"/>
        </w:rPr>
      </w:pPr>
    </w:p>
    <w:p w:rsidR="00F401B9" w:rsidRPr="00F401B9" w:rsidRDefault="00F401B9" w:rsidP="00346405">
      <w:pPr>
        <w:jc w:val="both"/>
        <w:rPr>
          <w:sz w:val="20"/>
          <w:lang w:val="fr-CA"/>
        </w:rPr>
      </w:pPr>
    </w:p>
    <w:p w:rsidR="00072A63" w:rsidRPr="00F401B9" w:rsidRDefault="00072A63" w:rsidP="00346405">
      <w:pPr>
        <w:jc w:val="both"/>
        <w:rPr>
          <w:sz w:val="20"/>
          <w:lang w:val="fr-CA"/>
        </w:rPr>
      </w:pPr>
    </w:p>
    <w:p w:rsidR="001C4415" w:rsidRPr="00F401B9" w:rsidRDefault="001C4415" w:rsidP="00346405">
      <w:pPr>
        <w:widowControl w:val="0"/>
        <w:outlineLvl w:val="0"/>
      </w:pPr>
      <w:r w:rsidRPr="00F401B9">
        <w:t xml:space="preserve">Supreme Court of Canada / Cour suprême du </w:t>
      </w:r>
      <w:proofErr w:type="gramStart"/>
      <w:r w:rsidRPr="00F401B9">
        <w:t>Canada :</w:t>
      </w:r>
      <w:proofErr w:type="gramEnd"/>
      <w:r w:rsidRPr="00F401B9">
        <w:t xml:space="preserve"> </w:t>
      </w:r>
    </w:p>
    <w:p w:rsidR="001C4415" w:rsidRPr="00F401B9" w:rsidRDefault="00F86018" w:rsidP="00346405">
      <w:pPr>
        <w:widowControl w:val="0"/>
        <w:outlineLvl w:val="0"/>
      </w:pPr>
      <w:hyperlink r:id="rId8" w:history="1">
        <w:r w:rsidR="001C4415" w:rsidRPr="00F401B9">
          <w:rPr>
            <w:rStyle w:val="Hyperlink"/>
          </w:rPr>
          <w:t>comments-commentaires@scc-csc.ca</w:t>
        </w:r>
      </w:hyperlink>
    </w:p>
    <w:p w:rsidR="001C4415" w:rsidRPr="00F401B9" w:rsidRDefault="001C4415" w:rsidP="00346405">
      <w:pPr>
        <w:widowControl w:val="0"/>
        <w:outlineLvl w:val="0"/>
      </w:pPr>
      <w:r w:rsidRPr="00F401B9">
        <w:t>(613) 995-4330</w:t>
      </w:r>
    </w:p>
    <w:p w:rsidR="001C4415" w:rsidRPr="00F401B9" w:rsidRDefault="001C4415" w:rsidP="00346405">
      <w:pPr>
        <w:widowControl w:val="0"/>
        <w:rPr>
          <w:sz w:val="20"/>
        </w:rPr>
      </w:pPr>
    </w:p>
    <w:p w:rsidR="0036476C" w:rsidRPr="00A8502B" w:rsidRDefault="001C4415" w:rsidP="00346405">
      <w:pPr>
        <w:pStyle w:val="Footer"/>
        <w:jc w:val="center"/>
        <w:rPr>
          <w:lang w:val="fr-CA"/>
        </w:rPr>
      </w:pPr>
      <w:r w:rsidRPr="00F401B9">
        <w:rPr>
          <w:lang w:val="fr-CA"/>
        </w:rPr>
        <w:t xml:space="preserve">- 30 </w:t>
      </w:r>
      <w:r w:rsidR="003C1B6E" w:rsidRPr="00F401B9">
        <w:rPr>
          <w:lang w:val="fr-CA"/>
        </w:rPr>
        <w:t>-</w:t>
      </w:r>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2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8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2022-11-28T23:41:00Z</dcterms:modified>
</cp:coreProperties>
</file>