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49E" w:rsidRPr="00B10DEF" w:rsidRDefault="00B5249E" w:rsidP="00B5249E">
      <w:pPr>
        <w:tabs>
          <w:tab w:val="center" w:pos="4680"/>
          <w:tab w:val="right" w:pos="9360"/>
        </w:tabs>
        <w:jc w:val="center"/>
        <w:rPr>
          <w:rFonts w:eastAsiaTheme="minorHAnsi" w:cstheme="minorBidi"/>
          <w:szCs w:val="24"/>
          <w:lang w:eastAsia="en-US"/>
        </w:rPr>
      </w:pPr>
      <w:r w:rsidRPr="00B10DEF">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7" o:title=""/>
          </v:shape>
          <o:OLEObject Type="Embed" ProgID="Presentations.Drawing.13" ShapeID="_x0000_i1025" DrawAspect="Content" ObjectID="_1426944502" r:id="rId8"/>
        </w:object>
      </w:r>
    </w:p>
    <w:p w:rsidR="00B5249E" w:rsidRPr="00B10DEF" w:rsidRDefault="00B5249E" w:rsidP="00B5249E">
      <w:pPr>
        <w:tabs>
          <w:tab w:val="center" w:pos="4680"/>
          <w:tab w:val="right" w:pos="9360"/>
        </w:tabs>
        <w:rPr>
          <w:rFonts w:eastAsiaTheme="minorHAnsi" w:cstheme="minorBidi"/>
          <w:szCs w:val="24"/>
          <w:lang w:eastAsia="en-US"/>
        </w:rPr>
      </w:pPr>
    </w:p>
    <w:p w:rsidR="00B5249E" w:rsidRPr="00B10DEF" w:rsidRDefault="00B5249E" w:rsidP="00B5249E">
      <w:pPr>
        <w:jc w:val="center"/>
        <w:rPr>
          <w:rFonts w:eastAsiaTheme="minorHAnsi" w:cstheme="minorBidi"/>
          <w:b/>
          <w:szCs w:val="24"/>
          <w:lang w:eastAsia="en-US"/>
        </w:rPr>
      </w:pPr>
      <w:r w:rsidRPr="00B10DEF">
        <w:rPr>
          <w:rFonts w:eastAsiaTheme="minorHAnsi" w:cstheme="minorBidi"/>
          <w:b/>
          <w:szCs w:val="24"/>
          <w:lang w:eastAsia="en-US"/>
        </w:rPr>
        <w:t>SUPREME COURT OF CANADA</w:t>
      </w:r>
    </w:p>
    <w:p w:rsidR="00B5249E" w:rsidRPr="00B10DEF" w:rsidRDefault="00B5249E" w:rsidP="00B5249E">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B5249E" w:rsidRPr="00B10DEF" w:rsidTr="002F6440">
        <w:trPr>
          <w:cantSplit/>
        </w:trPr>
        <w:tc>
          <w:tcPr>
            <w:tcW w:w="6768" w:type="dxa"/>
          </w:tcPr>
          <w:p w:rsidR="00B5249E" w:rsidRPr="00B10DEF" w:rsidRDefault="00B5249E" w:rsidP="002F6440">
            <w:pPr>
              <w:rPr>
                <w:lang w:val="fr-CA"/>
              </w:rPr>
            </w:pPr>
            <w:r w:rsidRPr="00B10DEF">
              <w:rPr>
                <w:b/>
                <w:smallCaps/>
                <w:lang w:val="fr-CA"/>
              </w:rPr>
              <w:t>Citation:</w:t>
            </w:r>
            <w:r w:rsidRPr="00B10DEF">
              <w:rPr>
                <w:lang w:val="fr-CA"/>
              </w:rPr>
              <w:t xml:space="preserve"> R. </w:t>
            </w:r>
            <w:r w:rsidRPr="00B10DEF">
              <w:rPr>
                <w:i/>
                <w:lang w:val="fr-CA"/>
              </w:rPr>
              <w:t>v.</w:t>
            </w:r>
            <w:r w:rsidRPr="00B10DEF">
              <w:rPr>
                <w:lang w:val="fr-CA"/>
              </w:rPr>
              <w:t xml:space="preserve"> </w:t>
            </w:r>
            <w:proofErr w:type="spellStart"/>
            <w:r>
              <w:rPr>
                <w:lang w:val="fr-CA"/>
              </w:rPr>
              <w:t>Rochon</w:t>
            </w:r>
            <w:proofErr w:type="spellEnd"/>
            <w:r>
              <w:rPr>
                <w:lang w:val="fr-CA"/>
              </w:rPr>
              <w:t>, 2012</w:t>
            </w:r>
            <w:r w:rsidRPr="00B10DEF">
              <w:rPr>
                <w:lang w:val="fr-CA"/>
              </w:rPr>
              <w:t xml:space="preserve"> SCC </w:t>
            </w:r>
            <w:r>
              <w:rPr>
                <w:lang w:val="fr-CA"/>
              </w:rPr>
              <w:t>50, [2012] 2 S.C.R. 673</w:t>
            </w:r>
          </w:p>
        </w:tc>
        <w:tc>
          <w:tcPr>
            <w:tcW w:w="2808" w:type="dxa"/>
          </w:tcPr>
          <w:p w:rsidR="00B5249E" w:rsidRDefault="00B5249E" w:rsidP="002F6440">
            <w:r w:rsidRPr="00B10DEF">
              <w:rPr>
                <w:b/>
                <w:smallCaps/>
              </w:rPr>
              <w:t>Date:</w:t>
            </w:r>
            <w:r>
              <w:t xml:space="preserve"> 20121</w:t>
            </w:r>
            <w:r w:rsidRPr="00B10DEF">
              <w:t>01</w:t>
            </w:r>
            <w:r>
              <w:t>6</w:t>
            </w:r>
          </w:p>
          <w:p w:rsidR="00B5249E" w:rsidRPr="00B10DEF" w:rsidRDefault="00B5249E" w:rsidP="002F6440">
            <w:r w:rsidRPr="00B10DEF">
              <w:rPr>
                <w:b/>
                <w:smallCaps/>
              </w:rPr>
              <w:t>Docket:</w:t>
            </w:r>
            <w:r w:rsidRPr="00B10DEF">
              <w:t xml:space="preserve"> 3</w:t>
            </w:r>
            <w:r>
              <w:t>4557</w:t>
            </w:r>
          </w:p>
        </w:tc>
      </w:tr>
    </w:tbl>
    <w:p w:rsidR="00B5249E" w:rsidRPr="00B10DEF" w:rsidRDefault="00B5249E" w:rsidP="00B5249E">
      <w:pPr>
        <w:rPr>
          <w:rFonts w:eastAsiaTheme="minorHAnsi" w:cstheme="minorBidi"/>
          <w:szCs w:val="24"/>
          <w:lang w:eastAsia="en-US"/>
        </w:rPr>
      </w:pPr>
    </w:p>
    <w:p w:rsidR="00B5249E" w:rsidRPr="00B10DEF" w:rsidRDefault="00B5249E" w:rsidP="00B5249E">
      <w:pPr>
        <w:rPr>
          <w:rFonts w:eastAsiaTheme="minorHAnsi" w:cstheme="minorBidi"/>
          <w:b/>
          <w:smallCaps/>
          <w:szCs w:val="24"/>
          <w:lang w:eastAsia="en-US"/>
        </w:rPr>
      </w:pPr>
      <w:r w:rsidRPr="00B10DEF">
        <w:rPr>
          <w:rFonts w:eastAsiaTheme="minorHAnsi" w:cstheme="minorBidi"/>
          <w:b/>
          <w:smallCaps/>
          <w:szCs w:val="24"/>
          <w:lang w:eastAsia="en-US"/>
        </w:rPr>
        <w:t>Between:</w:t>
      </w:r>
    </w:p>
    <w:p w:rsidR="00B5249E" w:rsidRPr="00B10DEF" w:rsidRDefault="00B5249E" w:rsidP="00B5249E">
      <w:pPr>
        <w:jc w:val="center"/>
        <w:rPr>
          <w:rFonts w:eastAsiaTheme="minorHAnsi" w:cstheme="minorBidi"/>
          <w:b/>
          <w:szCs w:val="24"/>
          <w:lang w:eastAsia="en-US"/>
        </w:rPr>
      </w:pPr>
      <w:r w:rsidRPr="00B10DEF">
        <w:rPr>
          <w:rFonts w:eastAsiaTheme="minorHAnsi" w:cstheme="minorBidi"/>
          <w:b/>
          <w:szCs w:val="24"/>
          <w:lang w:eastAsia="en-US"/>
        </w:rPr>
        <w:t xml:space="preserve">Her Majesty </w:t>
      </w:r>
      <w:proofErr w:type="gramStart"/>
      <w:r w:rsidRPr="00B10DEF">
        <w:rPr>
          <w:rFonts w:eastAsiaTheme="minorHAnsi" w:cstheme="minorBidi"/>
          <w:b/>
          <w:szCs w:val="24"/>
          <w:lang w:eastAsia="en-US"/>
        </w:rPr>
        <w:t>The</w:t>
      </w:r>
      <w:proofErr w:type="gramEnd"/>
      <w:r w:rsidRPr="00B10DEF">
        <w:rPr>
          <w:rFonts w:eastAsiaTheme="minorHAnsi" w:cstheme="minorBidi"/>
          <w:b/>
          <w:szCs w:val="24"/>
          <w:lang w:eastAsia="en-US"/>
        </w:rPr>
        <w:t xml:space="preserve"> Queen</w:t>
      </w:r>
    </w:p>
    <w:p w:rsidR="00B5249E" w:rsidRPr="00B5249E" w:rsidRDefault="00B5249E" w:rsidP="00B5249E">
      <w:pPr>
        <w:jc w:val="center"/>
        <w:rPr>
          <w:rFonts w:eastAsiaTheme="minorHAnsi" w:cstheme="minorBidi"/>
          <w:szCs w:val="24"/>
          <w:lang w:val="fr-CA" w:eastAsia="en-US"/>
        </w:rPr>
      </w:pPr>
      <w:r w:rsidRPr="00B5249E">
        <w:rPr>
          <w:rFonts w:eastAsiaTheme="minorHAnsi" w:cstheme="minorBidi"/>
          <w:szCs w:val="24"/>
          <w:lang w:val="fr-CA" w:eastAsia="en-US"/>
        </w:rPr>
        <w:t>Appellant</w:t>
      </w:r>
    </w:p>
    <w:p w:rsidR="00B5249E" w:rsidRPr="00B5249E" w:rsidRDefault="00B5249E" w:rsidP="00B5249E">
      <w:pPr>
        <w:jc w:val="center"/>
        <w:rPr>
          <w:rFonts w:eastAsiaTheme="minorHAnsi" w:cstheme="minorBidi"/>
          <w:szCs w:val="24"/>
          <w:lang w:val="fr-CA" w:eastAsia="en-US"/>
        </w:rPr>
      </w:pPr>
      <w:r w:rsidRPr="00B5249E">
        <w:rPr>
          <w:rFonts w:eastAsiaTheme="minorHAnsi" w:cstheme="minorBidi"/>
          <w:szCs w:val="24"/>
          <w:lang w:val="fr-CA" w:eastAsia="en-US"/>
        </w:rPr>
        <w:t>and</w:t>
      </w:r>
    </w:p>
    <w:p w:rsidR="00B5249E" w:rsidRPr="00B5249E" w:rsidRDefault="00B5249E" w:rsidP="00B5249E">
      <w:pPr>
        <w:jc w:val="center"/>
        <w:rPr>
          <w:rFonts w:eastAsiaTheme="minorHAnsi" w:cstheme="minorBidi"/>
          <w:b/>
          <w:szCs w:val="24"/>
          <w:lang w:val="fr-CA" w:eastAsia="en-US"/>
        </w:rPr>
      </w:pPr>
      <w:r w:rsidRPr="00B5249E">
        <w:rPr>
          <w:rFonts w:eastAsiaTheme="minorHAnsi" w:cstheme="minorBidi"/>
          <w:b/>
          <w:szCs w:val="24"/>
          <w:lang w:val="fr-CA" w:eastAsia="en-US"/>
        </w:rPr>
        <w:t>Nicole Rochon</w:t>
      </w:r>
    </w:p>
    <w:p w:rsidR="00B5249E" w:rsidRPr="00B5249E" w:rsidRDefault="00B5249E" w:rsidP="00B5249E">
      <w:pPr>
        <w:jc w:val="center"/>
        <w:rPr>
          <w:rFonts w:eastAsiaTheme="minorHAnsi" w:cstheme="minorBidi"/>
          <w:szCs w:val="24"/>
          <w:lang w:val="fr-CA" w:eastAsia="en-US"/>
        </w:rPr>
      </w:pPr>
      <w:r w:rsidRPr="00B5249E">
        <w:rPr>
          <w:rFonts w:eastAsiaTheme="minorHAnsi" w:cstheme="minorBidi"/>
          <w:szCs w:val="24"/>
          <w:lang w:val="fr-CA" w:eastAsia="en-US"/>
        </w:rPr>
        <w:t>Respondent</w:t>
      </w:r>
    </w:p>
    <w:p w:rsidR="00B5249E" w:rsidRPr="00B5249E" w:rsidRDefault="00B5249E" w:rsidP="00B5249E">
      <w:pPr>
        <w:jc w:val="center"/>
        <w:rPr>
          <w:rFonts w:eastAsiaTheme="minorHAnsi" w:cstheme="minorBidi"/>
          <w:szCs w:val="24"/>
          <w:lang w:val="fr-CA" w:eastAsia="en-US"/>
        </w:rPr>
      </w:pPr>
      <w:r w:rsidRPr="00B5249E">
        <w:rPr>
          <w:rFonts w:eastAsiaTheme="minorHAnsi" w:cstheme="minorBidi"/>
          <w:szCs w:val="24"/>
          <w:lang w:val="fr-CA" w:eastAsia="en-US"/>
        </w:rPr>
        <w:t>et</w:t>
      </w:r>
    </w:p>
    <w:p w:rsidR="00B5249E" w:rsidRPr="00FE514D" w:rsidRDefault="00B5249E" w:rsidP="00B5249E">
      <w:pPr>
        <w:jc w:val="center"/>
        <w:rPr>
          <w:rFonts w:eastAsiaTheme="minorHAnsi" w:cstheme="minorBidi"/>
          <w:b/>
          <w:szCs w:val="24"/>
          <w:lang w:eastAsia="en-US"/>
        </w:rPr>
      </w:pPr>
      <w:r w:rsidRPr="00FE514D">
        <w:rPr>
          <w:rFonts w:eastAsiaTheme="minorHAnsi" w:cstheme="minorBidi"/>
          <w:b/>
          <w:szCs w:val="24"/>
          <w:lang w:eastAsia="en-US"/>
        </w:rPr>
        <w:t>Director of Public Prosecutions of Canada</w:t>
      </w:r>
    </w:p>
    <w:p w:rsidR="00B5249E" w:rsidRPr="00B10DEF" w:rsidRDefault="00B5249E" w:rsidP="00B5249E">
      <w:pPr>
        <w:jc w:val="center"/>
        <w:rPr>
          <w:rFonts w:eastAsiaTheme="minorHAnsi" w:cstheme="minorBidi"/>
          <w:szCs w:val="24"/>
          <w:lang w:eastAsia="en-US"/>
        </w:rPr>
      </w:pPr>
      <w:proofErr w:type="spellStart"/>
      <w:r>
        <w:rPr>
          <w:rFonts w:eastAsiaTheme="minorHAnsi" w:cstheme="minorBidi"/>
          <w:szCs w:val="24"/>
          <w:lang w:eastAsia="en-US"/>
        </w:rPr>
        <w:t>Invervener</w:t>
      </w:r>
      <w:proofErr w:type="spellEnd"/>
    </w:p>
    <w:p w:rsidR="00B5249E" w:rsidRPr="00523F40" w:rsidRDefault="00B5249E" w:rsidP="00B5249E">
      <w:pPr>
        <w:rPr>
          <w:rFonts w:eastAsiaTheme="minorHAnsi" w:cstheme="minorBidi"/>
          <w:smallCaps/>
          <w:szCs w:val="24"/>
          <w:lang w:eastAsia="en-US"/>
        </w:rPr>
      </w:pPr>
    </w:p>
    <w:p w:rsidR="00B5249E" w:rsidRPr="00523F40" w:rsidRDefault="00B5249E" w:rsidP="00B5249E">
      <w:pPr>
        <w:jc w:val="center"/>
        <w:rPr>
          <w:rFonts w:eastAsiaTheme="minorHAnsi" w:cstheme="minorBidi"/>
          <w:b/>
          <w:smallCaps/>
          <w:szCs w:val="24"/>
          <w:lang w:eastAsia="en-US"/>
        </w:rPr>
      </w:pPr>
      <w:r w:rsidRPr="00523F40">
        <w:rPr>
          <w:rFonts w:eastAsiaTheme="minorHAnsi" w:cstheme="minorBidi"/>
          <w:b/>
          <w:smallCaps/>
          <w:szCs w:val="24"/>
          <w:lang w:eastAsia="en-US"/>
        </w:rPr>
        <w:t xml:space="preserve">official </w:t>
      </w:r>
      <w:proofErr w:type="spellStart"/>
      <w:r w:rsidRPr="00523F40">
        <w:rPr>
          <w:rFonts w:eastAsiaTheme="minorHAnsi" w:cstheme="minorBidi"/>
          <w:b/>
          <w:smallCaps/>
          <w:szCs w:val="24"/>
          <w:lang w:eastAsia="en-US"/>
        </w:rPr>
        <w:t>english</w:t>
      </w:r>
      <w:proofErr w:type="spellEnd"/>
      <w:r w:rsidRPr="00523F40">
        <w:rPr>
          <w:rFonts w:eastAsiaTheme="minorHAnsi" w:cstheme="minorBidi"/>
          <w:b/>
          <w:smallCaps/>
          <w:szCs w:val="24"/>
          <w:lang w:eastAsia="en-US"/>
        </w:rPr>
        <w:t xml:space="preserve"> translation</w:t>
      </w:r>
    </w:p>
    <w:p w:rsidR="00B5249E" w:rsidRPr="00B10DEF" w:rsidRDefault="00B5249E" w:rsidP="00B5249E">
      <w:pPr>
        <w:rPr>
          <w:rFonts w:eastAsiaTheme="minorHAnsi" w:cstheme="minorBidi"/>
          <w:szCs w:val="24"/>
          <w:lang w:eastAsia="en-US"/>
        </w:rPr>
      </w:pPr>
    </w:p>
    <w:p w:rsidR="00B5249E" w:rsidRPr="00B10DEF" w:rsidRDefault="00B5249E" w:rsidP="00B5249E">
      <w:pPr>
        <w:rPr>
          <w:rFonts w:eastAsiaTheme="minorHAnsi" w:cstheme="minorBidi"/>
          <w:szCs w:val="24"/>
          <w:lang w:eastAsia="en-US"/>
        </w:rPr>
      </w:pPr>
      <w:r w:rsidRPr="00B10DEF">
        <w:rPr>
          <w:rFonts w:eastAsiaTheme="minorHAnsi" w:cstheme="minorBidi"/>
          <w:b/>
          <w:smallCaps/>
          <w:szCs w:val="24"/>
          <w:lang w:eastAsia="en-US"/>
        </w:rPr>
        <w:t>Coram:</w:t>
      </w:r>
      <w:r w:rsidRPr="00B10DEF">
        <w:rPr>
          <w:rFonts w:eastAsiaTheme="minorHAnsi" w:cstheme="minorBidi"/>
          <w:szCs w:val="24"/>
          <w:lang w:eastAsia="en-US"/>
        </w:rPr>
        <w:t xml:space="preserve"> </w:t>
      </w:r>
      <w:proofErr w:type="spellStart"/>
      <w:r w:rsidRPr="00B10DEF">
        <w:rPr>
          <w:rFonts w:eastAsiaTheme="minorHAnsi" w:cstheme="minorBidi"/>
          <w:szCs w:val="24"/>
          <w:lang w:eastAsia="en-US"/>
        </w:rPr>
        <w:t>McLachlin</w:t>
      </w:r>
      <w:proofErr w:type="spellEnd"/>
      <w:r w:rsidRPr="00B10DEF">
        <w:rPr>
          <w:rFonts w:eastAsiaTheme="minorHAnsi" w:cstheme="minorBidi"/>
          <w:szCs w:val="24"/>
          <w:lang w:eastAsia="en-US"/>
        </w:rPr>
        <w:t xml:space="preserve"> C.J. and </w:t>
      </w:r>
      <w:proofErr w:type="spellStart"/>
      <w:r>
        <w:rPr>
          <w:rFonts w:eastAsiaTheme="minorHAnsi" w:cstheme="minorBidi"/>
          <w:szCs w:val="24"/>
          <w:lang w:eastAsia="en-US"/>
        </w:rPr>
        <w:t>LeBel</w:t>
      </w:r>
      <w:proofErr w:type="spellEnd"/>
      <w:r>
        <w:rPr>
          <w:rFonts w:eastAsiaTheme="minorHAnsi" w:cstheme="minorBidi"/>
          <w:szCs w:val="24"/>
          <w:lang w:eastAsia="en-US"/>
        </w:rPr>
        <w:t xml:space="preserve">, </w:t>
      </w:r>
      <w:r w:rsidRPr="00B10DEF">
        <w:rPr>
          <w:rFonts w:eastAsiaTheme="minorHAnsi" w:cstheme="minorBidi"/>
          <w:szCs w:val="24"/>
          <w:lang w:eastAsia="en-US"/>
        </w:rPr>
        <w:t>Fi</w:t>
      </w:r>
      <w:r>
        <w:rPr>
          <w:rFonts w:eastAsiaTheme="minorHAnsi" w:cstheme="minorBidi"/>
          <w:szCs w:val="24"/>
          <w:lang w:eastAsia="en-US"/>
        </w:rPr>
        <w:t xml:space="preserve">sh, </w:t>
      </w:r>
      <w:proofErr w:type="spellStart"/>
      <w:r>
        <w:rPr>
          <w:rFonts w:eastAsiaTheme="minorHAnsi" w:cstheme="minorBidi"/>
          <w:szCs w:val="24"/>
          <w:lang w:eastAsia="en-US"/>
        </w:rPr>
        <w:t>Abella</w:t>
      </w:r>
      <w:proofErr w:type="spellEnd"/>
      <w:r>
        <w:rPr>
          <w:rFonts w:eastAsiaTheme="minorHAnsi" w:cstheme="minorBidi"/>
          <w:szCs w:val="24"/>
          <w:lang w:eastAsia="en-US"/>
        </w:rPr>
        <w:t>, Rothstein, Cromwell and</w:t>
      </w:r>
      <w:r w:rsidRPr="00B10DEF">
        <w:rPr>
          <w:rFonts w:eastAsiaTheme="minorHAnsi" w:cstheme="minorBidi"/>
          <w:szCs w:val="24"/>
          <w:lang w:eastAsia="en-US"/>
        </w:rPr>
        <w:t xml:space="preserve"> </w:t>
      </w:r>
      <w:proofErr w:type="spellStart"/>
      <w:r w:rsidRPr="00B10DEF">
        <w:rPr>
          <w:rFonts w:eastAsiaTheme="minorHAnsi" w:cstheme="minorBidi"/>
          <w:szCs w:val="24"/>
          <w:lang w:eastAsia="en-US"/>
        </w:rPr>
        <w:t>Moldaver</w:t>
      </w:r>
      <w:proofErr w:type="spellEnd"/>
      <w:r>
        <w:rPr>
          <w:rFonts w:eastAsiaTheme="minorHAnsi" w:cstheme="minorBidi"/>
          <w:szCs w:val="24"/>
          <w:lang w:eastAsia="en-US"/>
        </w:rPr>
        <w:t xml:space="preserve"> JJ</w:t>
      </w:r>
      <w:r w:rsidRPr="00B10DEF">
        <w:rPr>
          <w:rFonts w:eastAsiaTheme="minorHAnsi" w:cstheme="minorBidi"/>
          <w:szCs w:val="24"/>
          <w:lang w:eastAsia="en-US"/>
        </w:rPr>
        <w:t>.</w:t>
      </w:r>
    </w:p>
    <w:p w:rsidR="00B5249E" w:rsidRPr="00B10DEF" w:rsidRDefault="00B5249E" w:rsidP="00B5249E">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B5249E" w:rsidRPr="00B10DEF" w:rsidTr="002F6440">
        <w:trPr>
          <w:cantSplit/>
        </w:trPr>
        <w:tc>
          <w:tcPr>
            <w:tcW w:w="3618" w:type="dxa"/>
          </w:tcPr>
          <w:p w:rsidR="00B5249E" w:rsidRPr="00B10DEF" w:rsidRDefault="00B5249E" w:rsidP="002F6440">
            <w:pPr>
              <w:rPr>
                <w:b/>
                <w:smallCaps/>
              </w:rPr>
            </w:pPr>
            <w:r w:rsidRPr="00B10DEF">
              <w:rPr>
                <w:b/>
                <w:smallCaps/>
              </w:rPr>
              <w:t>Reasons for Judgment:</w:t>
            </w:r>
          </w:p>
          <w:p w:rsidR="00B5249E" w:rsidRPr="00B10DEF" w:rsidRDefault="00B5249E" w:rsidP="002F6440">
            <w:pPr>
              <w:rPr>
                <w:b/>
                <w:smallCaps/>
              </w:rPr>
            </w:pPr>
            <w:r>
              <w:t>(</w:t>
            </w:r>
            <w:proofErr w:type="spellStart"/>
            <w:r>
              <w:t>paras</w:t>
            </w:r>
            <w:proofErr w:type="spellEnd"/>
            <w:r>
              <w:t>. 1 to 4</w:t>
            </w:r>
            <w:r w:rsidRPr="00B10DEF">
              <w:t>)</w:t>
            </w:r>
          </w:p>
          <w:p w:rsidR="00B5249E" w:rsidRPr="00B10DEF" w:rsidRDefault="00B5249E" w:rsidP="002F6440">
            <w:pPr>
              <w:rPr>
                <w:b/>
                <w:smallCaps/>
              </w:rPr>
            </w:pPr>
          </w:p>
          <w:p w:rsidR="00B5249E" w:rsidRPr="00B10DEF" w:rsidRDefault="00B5249E" w:rsidP="002F6440"/>
        </w:tc>
        <w:tc>
          <w:tcPr>
            <w:tcW w:w="5958" w:type="dxa"/>
          </w:tcPr>
          <w:p w:rsidR="00B5249E" w:rsidRPr="00B10DEF" w:rsidRDefault="00B5249E" w:rsidP="002F6440">
            <w:r w:rsidRPr="00B10DEF">
              <w:t>Fish J. (</w:t>
            </w:r>
            <w:proofErr w:type="spellStart"/>
            <w:r w:rsidRPr="00B10DEF">
              <w:t>McLachlin</w:t>
            </w:r>
            <w:proofErr w:type="spellEnd"/>
            <w:r w:rsidRPr="00B10DEF">
              <w:t xml:space="preserve"> C.J. and </w:t>
            </w:r>
            <w:proofErr w:type="spellStart"/>
            <w:r>
              <w:t>LeBel</w:t>
            </w:r>
            <w:proofErr w:type="spellEnd"/>
            <w:r>
              <w:t xml:space="preserve">, </w:t>
            </w:r>
            <w:proofErr w:type="spellStart"/>
            <w:r w:rsidRPr="00B10DEF">
              <w:t>Abella</w:t>
            </w:r>
            <w:proofErr w:type="spellEnd"/>
            <w:r>
              <w:t>, Rothstein,</w:t>
            </w:r>
            <w:r w:rsidRPr="00B10DEF">
              <w:t xml:space="preserve"> </w:t>
            </w:r>
            <w:r>
              <w:t xml:space="preserve">Cromwell and </w:t>
            </w:r>
            <w:proofErr w:type="spellStart"/>
            <w:r w:rsidRPr="00B10DEF">
              <w:t>Moldaver</w:t>
            </w:r>
            <w:proofErr w:type="spellEnd"/>
            <w:r w:rsidRPr="00B10DEF">
              <w:t xml:space="preserve"> JJ. concurring)</w:t>
            </w:r>
          </w:p>
          <w:p w:rsidR="00B5249E" w:rsidRPr="00B10DEF" w:rsidRDefault="00B5249E" w:rsidP="002F6440"/>
          <w:p w:rsidR="00B5249E" w:rsidRPr="00B10DEF" w:rsidRDefault="00B5249E" w:rsidP="002F6440"/>
          <w:p w:rsidR="00B5249E" w:rsidRPr="00B10DEF" w:rsidRDefault="00B5249E" w:rsidP="002F6440"/>
        </w:tc>
      </w:tr>
    </w:tbl>
    <w:p w:rsidR="00B5249E" w:rsidRPr="00B10DEF" w:rsidRDefault="00B5249E" w:rsidP="00B5249E">
      <w:pPr>
        <w:rPr>
          <w:rFonts w:eastAsiaTheme="minorHAnsi" w:cstheme="minorBidi"/>
          <w:szCs w:val="24"/>
          <w:lang w:eastAsia="en-US"/>
        </w:rPr>
      </w:pPr>
      <w:r w:rsidRPr="00E72A45">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mso-position-horizontal-relative:text;mso-position-vertical-relative:text" o:connectortype="straight"/>
        </w:pict>
      </w:r>
    </w:p>
    <w:p w:rsidR="00B5249E" w:rsidRDefault="00B5249E" w:rsidP="00B5249E">
      <w:pPr>
        <w:rPr>
          <w:smallCaps/>
        </w:rPr>
      </w:pPr>
    </w:p>
    <w:p w:rsidR="00B5249E" w:rsidRDefault="00B5249E">
      <w:pPr>
        <w:rPr>
          <w:lang w:val="en-US"/>
        </w:rPr>
      </w:pPr>
      <w:r>
        <w:rPr>
          <w:lang w:val="en-US"/>
        </w:rPr>
        <w:br w:type="page"/>
      </w:r>
    </w:p>
    <w:p w:rsidR="00D37291" w:rsidRDefault="00FE69F1" w:rsidP="00D37291">
      <w:pPr>
        <w:spacing w:line="480" w:lineRule="auto"/>
        <w:jc w:val="both"/>
      </w:pPr>
      <w:r>
        <w:rPr>
          <w:lang w:val="en-US"/>
        </w:rPr>
        <w:lastRenderedPageBreak/>
        <w:t>R</w:t>
      </w:r>
      <w:r w:rsidR="00D37291" w:rsidRPr="00FE69F1">
        <w:rPr>
          <w:lang w:val="en-US"/>
        </w:rPr>
        <w:t xml:space="preserve">. </w:t>
      </w:r>
      <w:r w:rsidR="00D37291" w:rsidRPr="00FE69F1">
        <w:rPr>
          <w:i/>
          <w:lang w:val="en-US"/>
        </w:rPr>
        <w:t>v.</w:t>
      </w:r>
      <w:r w:rsidR="00D37291" w:rsidRPr="00FE69F1">
        <w:rPr>
          <w:lang w:val="en-US"/>
        </w:rPr>
        <w:t xml:space="preserve"> </w:t>
      </w:r>
      <w:proofErr w:type="spellStart"/>
      <w:r>
        <w:rPr>
          <w:lang w:val="en-US"/>
        </w:rPr>
        <w:t>R</w:t>
      </w:r>
      <w:r w:rsidR="007B086B" w:rsidRPr="00FE69F1">
        <w:rPr>
          <w:lang w:val="en-US"/>
        </w:rPr>
        <w:t>ochon</w:t>
      </w:r>
      <w:proofErr w:type="spellEnd"/>
      <w:r>
        <w:t>, 2012 SCC 50</w:t>
      </w:r>
      <w:r w:rsidRPr="00FE69F1">
        <w:t xml:space="preserve">, [2012] 2 S.C.R. </w:t>
      </w:r>
      <w:r>
        <w:t>673</w:t>
      </w:r>
    </w:p>
    <w:p w:rsidR="004E6CAD" w:rsidRPr="00FE69F1" w:rsidRDefault="004E6CAD" w:rsidP="00D37291">
      <w:pPr>
        <w:spacing w:line="480" w:lineRule="auto"/>
        <w:jc w:val="both"/>
        <w:rPr>
          <w:rStyle w:val="SCCRespondentForRunningHeadChar"/>
          <w:lang w:val="en-US"/>
        </w:rPr>
      </w:pPr>
    </w:p>
    <w:p w:rsidR="00D37291" w:rsidRPr="000C4108" w:rsidRDefault="00D37291" w:rsidP="00D37291">
      <w:pPr>
        <w:spacing w:line="480" w:lineRule="auto"/>
        <w:jc w:val="both"/>
        <w:rPr>
          <w:rStyle w:val="SCCRespondentForRunningHeadChar"/>
          <w:lang w:val="en-US"/>
        </w:rPr>
      </w:pPr>
    </w:p>
    <w:p w:rsidR="00D37291" w:rsidRPr="000C4108" w:rsidRDefault="007B086B" w:rsidP="00D37291">
      <w:pPr>
        <w:pStyle w:val="SCCLsocParty"/>
        <w:tabs>
          <w:tab w:val="right" w:pos="8280"/>
        </w:tabs>
        <w:spacing w:line="480" w:lineRule="auto"/>
        <w:rPr>
          <w:lang w:val="en-US"/>
        </w:rPr>
      </w:pPr>
      <w:r w:rsidRPr="000C4108">
        <w:rPr>
          <w:lang w:val="en-US"/>
        </w:rPr>
        <w:t>Her Majesty The Queen</w:t>
      </w:r>
      <w:r w:rsidR="00D37291" w:rsidRPr="000C4108">
        <w:rPr>
          <w:lang w:val="en-US"/>
        </w:rPr>
        <w:tab/>
      </w:r>
      <w:r w:rsidR="00D37291" w:rsidRPr="000C4108">
        <w:rPr>
          <w:b w:val="0"/>
          <w:i/>
          <w:lang w:val="en-US"/>
        </w:rPr>
        <w:t>Appellant</w:t>
      </w:r>
    </w:p>
    <w:p w:rsidR="00D37291" w:rsidRPr="000C4108" w:rsidRDefault="00D37291" w:rsidP="00D37291">
      <w:pPr>
        <w:pStyle w:val="SCCLsocParty"/>
        <w:tabs>
          <w:tab w:val="right" w:pos="8280"/>
        </w:tabs>
        <w:spacing w:line="480" w:lineRule="auto"/>
        <w:rPr>
          <w:lang w:val="en-US"/>
        </w:rPr>
      </w:pPr>
    </w:p>
    <w:p w:rsidR="00D37291" w:rsidRPr="000C4108" w:rsidRDefault="00D37291" w:rsidP="00D37291">
      <w:pPr>
        <w:pStyle w:val="SCCLsocVersus"/>
        <w:spacing w:after="480" w:line="480" w:lineRule="auto"/>
      </w:pPr>
      <w:r w:rsidRPr="000C4108">
        <w:t>v.</w:t>
      </w:r>
    </w:p>
    <w:p w:rsidR="00D37291" w:rsidRPr="000C4108" w:rsidRDefault="007B086B" w:rsidP="00D37291">
      <w:pPr>
        <w:pStyle w:val="SCCLsocParty"/>
        <w:tabs>
          <w:tab w:val="right" w:pos="8280"/>
        </w:tabs>
        <w:spacing w:line="480" w:lineRule="auto"/>
      </w:pPr>
      <w:r w:rsidRPr="000C4108">
        <w:t>Nicole Rochon</w:t>
      </w:r>
      <w:r w:rsidR="00D37291" w:rsidRPr="000C4108">
        <w:tab/>
      </w:r>
      <w:r w:rsidR="00D37291" w:rsidRPr="000C4108">
        <w:rPr>
          <w:b w:val="0"/>
          <w:i/>
        </w:rPr>
        <w:t>Respondent</w:t>
      </w:r>
    </w:p>
    <w:p w:rsidR="0048652C" w:rsidRPr="000C4108" w:rsidRDefault="0048652C" w:rsidP="00F2572F">
      <w:pPr>
        <w:pStyle w:val="SCCLsocParty"/>
        <w:tabs>
          <w:tab w:val="right" w:pos="8280"/>
        </w:tabs>
        <w:spacing w:line="480" w:lineRule="auto"/>
      </w:pPr>
    </w:p>
    <w:p w:rsidR="0048652C" w:rsidRPr="000C4108" w:rsidRDefault="0048652C" w:rsidP="0048652C">
      <w:pPr>
        <w:spacing w:after="480" w:line="480" w:lineRule="auto"/>
        <w:jc w:val="both"/>
      </w:pPr>
      <w:r w:rsidRPr="000C4108">
        <w:t>and</w:t>
      </w:r>
    </w:p>
    <w:p w:rsidR="0048652C" w:rsidRPr="000C4108" w:rsidRDefault="0048652C" w:rsidP="00F2572F">
      <w:pPr>
        <w:pStyle w:val="SCCLsocParty"/>
        <w:tabs>
          <w:tab w:val="right" w:pos="8280"/>
        </w:tabs>
        <w:spacing w:line="480" w:lineRule="auto"/>
      </w:pPr>
    </w:p>
    <w:p w:rsidR="0048652C" w:rsidRPr="000C4108" w:rsidRDefault="0048652C" w:rsidP="0048652C">
      <w:pPr>
        <w:pStyle w:val="SCCLsocParty"/>
        <w:tabs>
          <w:tab w:val="right" w:pos="8280"/>
        </w:tabs>
        <w:spacing w:after="480" w:line="480" w:lineRule="auto"/>
      </w:pPr>
      <w:r w:rsidRPr="000C4108">
        <w:t xml:space="preserve">Director of Public Prosecutions </w:t>
      </w:r>
      <w:r w:rsidR="000C3EC3">
        <w:t>of Canada</w:t>
      </w:r>
      <w:r w:rsidRPr="000C4108">
        <w:tab/>
      </w:r>
      <w:r w:rsidRPr="000C4108">
        <w:rPr>
          <w:b w:val="0"/>
          <w:i/>
        </w:rPr>
        <w:t>Intervener</w:t>
      </w:r>
    </w:p>
    <w:p w:rsidR="00D37291" w:rsidRPr="000C4108" w:rsidRDefault="00D37291" w:rsidP="0048652C">
      <w:pPr>
        <w:spacing w:after="480" w:line="480" w:lineRule="auto"/>
        <w:jc w:val="both"/>
        <w:rPr>
          <w:b/>
        </w:rPr>
      </w:pPr>
      <w:r w:rsidRPr="000C4108">
        <w:rPr>
          <w:b/>
        </w:rPr>
        <w:t>Indexed as:  R.</w:t>
      </w:r>
      <w:r w:rsidRPr="000C4108">
        <w:rPr>
          <w:b/>
          <w:i/>
        </w:rPr>
        <w:t xml:space="preserve"> v</w:t>
      </w:r>
      <w:r w:rsidRPr="000C4108">
        <w:rPr>
          <w:b/>
        </w:rPr>
        <w:t xml:space="preserve">. </w:t>
      </w:r>
      <w:r w:rsidR="007B086B" w:rsidRPr="000C4108">
        <w:rPr>
          <w:b/>
        </w:rPr>
        <w:t>Rochon</w:t>
      </w:r>
    </w:p>
    <w:p w:rsidR="00D37291" w:rsidRPr="000C4108" w:rsidRDefault="00D37291" w:rsidP="00D37291">
      <w:pPr>
        <w:pStyle w:val="SCCSystemYear"/>
        <w:spacing w:line="480" w:lineRule="auto"/>
        <w:jc w:val="both"/>
      </w:pPr>
      <w:r w:rsidRPr="000C4108">
        <w:t>2012 SCC </w:t>
      </w:r>
      <w:r w:rsidR="008371FC" w:rsidRPr="000C4108">
        <w:t>50</w:t>
      </w:r>
    </w:p>
    <w:p w:rsidR="00D37291" w:rsidRPr="000C4108" w:rsidRDefault="00D37291" w:rsidP="00D37291">
      <w:pPr>
        <w:spacing w:line="480" w:lineRule="auto"/>
        <w:jc w:val="both"/>
      </w:pPr>
    </w:p>
    <w:p w:rsidR="00D37291" w:rsidRPr="000C4108" w:rsidRDefault="00D37291" w:rsidP="00D37291">
      <w:pPr>
        <w:spacing w:line="480" w:lineRule="auto"/>
        <w:jc w:val="both"/>
      </w:pPr>
      <w:r w:rsidRPr="000C4108">
        <w:t>File No.:  </w:t>
      </w:r>
      <w:r w:rsidR="00DD2584" w:rsidRPr="000C4108">
        <w:t>3455</w:t>
      </w:r>
      <w:r w:rsidRPr="000C4108">
        <w:t>7.</w:t>
      </w:r>
    </w:p>
    <w:p w:rsidR="00D37291" w:rsidRPr="000C4108" w:rsidRDefault="00D37291" w:rsidP="00D37291">
      <w:pPr>
        <w:spacing w:line="480" w:lineRule="auto"/>
        <w:jc w:val="both"/>
      </w:pPr>
    </w:p>
    <w:p w:rsidR="00D37291" w:rsidRPr="000C4108" w:rsidRDefault="00D37291" w:rsidP="00D37291">
      <w:pPr>
        <w:spacing w:line="480" w:lineRule="auto"/>
        <w:jc w:val="both"/>
      </w:pPr>
      <w:r w:rsidRPr="000C4108">
        <w:t>2012:  </w:t>
      </w:r>
      <w:r w:rsidR="00C050EF" w:rsidRPr="000C4108">
        <w:t>October 16</w:t>
      </w:r>
      <w:r w:rsidRPr="000C4108">
        <w:t>.</w:t>
      </w:r>
    </w:p>
    <w:p w:rsidR="00D37291" w:rsidRPr="000C4108" w:rsidRDefault="00D37291" w:rsidP="00D37291">
      <w:pPr>
        <w:spacing w:line="480" w:lineRule="auto"/>
        <w:jc w:val="both"/>
      </w:pPr>
    </w:p>
    <w:p w:rsidR="00D37291" w:rsidRPr="000C4108" w:rsidRDefault="00D37291" w:rsidP="00D37291">
      <w:pPr>
        <w:jc w:val="both"/>
      </w:pPr>
      <w:r w:rsidRPr="000C4108">
        <w:t xml:space="preserve">Present:  McLachlin C.J. and LeBel, Fish, Abella, Rothstein, </w:t>
      </w:r>
      <w:r w:rsidR="00C050EF" w:rsidRPr="000C4108">
        <w:t xml:space="preserve">Cromwell and </w:t>
      </w:r>
      <w:r w:rsidRPr="000C4108">
        <w:t>Moldaver JJ.</w:t>
      </w:r>
    </w:p>
    <w:p w:rsidR="00D37291" w:rsidRPr="000C4108" w:rsidRDefault="00D37291" w:rsidP="00D37291">
      <w:pPr>
        <w:spacing w:line="480" w:lineRule="auto"/>
        <w:jc w:val="both"/>
        <w:rPr>
          <w:szCs w:val="24"/>
        </w:rPr>
      </w:pPr>
    </w:p>
    <w:p w:rsidR="00D37291" w:rsidRPr="000C4108" w:rsidRDefault="00D37291" w:rsidP="00D37291">
      <w:pPr>
        <w:spacing w:line="480" w:lineRule="auto"/>
        <w:jc w:val="both"/>
        <w:rPr>
          <w:smallCaps/>
          <w:szCs w:val="24"/>
        </w:rPr>
      </w:pPr>
      <w:r w:rsidRPr="000C4108">
        <w:rPr>
          <w:smallCaps/>
          <w:szCs w:val="24"/>
        </w:rPr>
        <w:t>on appeal from the court of appeal</w:t>
      </w:r>
      <w:r w:rsidR="00E57D90" w:rsidRPr="000C4108">
        <w:rPr>
          <w:smallCaps/>
          <w:szCs w:val="24"/>
        </w:rPr>
        <w:t xml:space="preserve"> of quebec</w:t>
      </w:r>
    </w:p>
    <w:p w:rsidR="00D37291" w:rsidRPr="000C4108" w:rsidRDefault="00D37291" w:rsidP="00D37291">
      <w:pPr>
        <w:pStyle w:val="SCCNormalDoubleSpacing"/>
        <w:rPr>
          <w:szCs w:val="24"/>
        </w:rPr>
      </w:pPr>
    </w:p>
    <w:p w:rsidR="00D37291" w:rsidRPr="000C4108" w:rsidRDefault="00D37291" w:rsidP="00D37291">
      <w:pPr>
        <w:pStyle w:val="SCCNormalDoubleSpacing"/>
        <w:tabs>
          <w:tab w:val="left" w:pos="1170"/>
        </w:tabs>
        <w:rPr>
          <w:i/>
          <w:szCs w:val="24"/>
        </w:rPr>
      </w:pPr>
      <w:r w:rsidRPr="000C4108">
        <w:rPr>
          <w:szCs w:val="24"/>
        </w:rPr>
        <w:tab/>
      </w:r>
      <w:r w:rsidR="00D428F2" w:rsidRPr="000C4108">
        <w:rPr>
          <w:i/>
          <w:szCs w:val="24"/>
        </w:rPr>
        <w:t>Criminal law — Parties to offences — Doing or omitting to do anything to aid any person to commit offence — Accused entrusting property to son and failing to report son’s marijuana cultivation on property —</w:t>
      </w:r>
      <w:r w:rsidR="00B375AA" w:rsidRPr="000C4108">
        <w:rPr>
          <w:i/>
          <w:szCs w:val="24"/>
        </w:rPr>
        <w:t xml:space="preserve"> Evidence insufficient to establish that accused aided in commission of offence</w:t>
      </w:r>
      <w:r w:rsidR="00D428F2" w:rsidRPr="000C4108">
        <w:rPr>
          <w:i/>
          <w:szCs w:val="24"/>
        </w:rPr>
        <w:t xml:space="preserve"> — Criminal Code, R.S.C. 1985, c. C-46, s. 21(1)(b).</w:t>
      </w:r>
    </w:p>
    <w:p w:rsidR="00D37291" w:rsidRPr="000C4108" w:rsidRDefault="00D37291" w:rsidP="00D37291">
      <w:pPr>
        <w:pStyle w:val="SCCNormalDoubleSpacing"/>
        <w:tabs>
          <w:tab w:val="left" w:pos="1170"/>
        </w:tabs>
        <w:rPr>
          <w:i/>
          <w:szCs w:val="24"/>
        </w:rPr>
      </w:pPr>
    </w:p>
    <w:p w:rsidR="00D37291" w:rsidRPr="000C4108" w:rsidRDefault="00D37291" w:rsidP="00D37291">
      <w:pPr>
        <w:pStyle w:val="SCCNormalDoubleSpacing"/>
        <w:tabs>
          <w:tab w:val="left" w:pos="1170"/>
        </w:tabs>
        <w:spacing w:after="480"/>
      </w:pPr>
      <w:r w:rsidRPr="000C4108">
        <w:tab/>
        <w:t>APPEAL from a judgment of the Court of Appeal</w:t>
      </w:r>
      <w:r w:rsidR="00E57D90" w:rsidRPr="000C4108">
        <w:t xml:space="preserve"> of Quebec</w:t>
      </w:r>
      <w:r w:rsidRPr="000C4108">
        <w:t xml:space="preserve"> (</w:t>
      </w:r>
      <w:r w:rsidR="0048652C" w:rsidRPr="000C4108">
        <w:t>Duval Hesler C.J.Q.</w:t>
      </w:r>
      <w:r w:rsidRPr="000C4108">
        <w:t xml:space="preserve">, </w:t>
      </w:r>
      <w:r w:rsidR="0048652C" w:rsidRPr="000C4108">
        <w:t>Dalphond</w:t>
      </w:r>
      <w:r w:rsidRPr="000C4108">
        <w:t xml:space="preserve"> and </w:t>
      </w:r>
      <w:r w:rsidR="0048652C" w:rsidRPr="000C4108">
        <w:t xml:space="preserve">Kasirer </w:t>
      </w:r>
      <w:r w:rsidRPr="000C4108">
        <w:t>JJ.A</w:t>
      </w:r>
      <w:r w:rsidR="00D428F2" w:rsidRPr="000C4108">
        <w:t xml:space="preserve">.), 2011 QCCA 2012, 90 C.R. (6th) 38, </w:t>
      </w:r>
      <w:r w:rsidR="003E18AD">
        <w:t>SOQUIJ AZ-50799783</w:t>
      </w:r>
      <w:r w:rsidR="006015CB">
        <w:t xml:space="preserve">, </w:t>
      </w:r>
      <w:r w:rsidR="00D428F2" w:rsidRPr="000C4108">
        <w:t xml:space="preserve">[2011] J.Q. </w:t>
      </w:r>
      <w:r w:rsidR="00FC0404" w:rsidRPr="000C4108">
        <w:t>n</w:t>
      </w:r>
      <w:r w:rsidR="00FC0404" w:rsidRPr="000C4108">
        <w:rPr>
          <w:vertAlign w:val="superscript"/>
        </w:rPr>
        <w:t>o</w:t>
      </w:r>
      <w:r w:rsidR="00D428F2" w:rsidRPr="000C4108">
        <w:t xml:space="preserve"> 15669 (QL), 2011 CarswellQue 12372, setting aside the accused’s conviction for being a party to drug-related offences entered by Chevalier J.</w:t>
      </w:r>
      <w:r w:rsidR="0072081F">
        <w:t>,</w:t>
      </w:r>
      <w:r w:rsidR="00D428F2" w:rsidRPr="000C4108">
        <w:t xml:space="preserve"> 2008 QCCQ 7960,</w:t>
      </w:r>
      <w:r w:rsidR="003E18AD">
        <w:t xml:space="preserve"> SOQUIJ AZ-50513168,</w:t>
      </w:r>
      <w:r w:rsidR="00D428F2" w:rsidRPr="000C4108">
        <w:t xml:space="preserve"> [2008] J.Q. </w:t>
      </w:r>
      <w:r w:rsidR="00FC0404" w:rsidRPr="000C4108">
        <w:t>n</w:t>
      </w:r>
      <w:r w:rsidR="00FC0404" w:rsidRPr="000C4108">
        <w:rPr>
          <w:vertAlign w:val="superscript"/>
        </w:rPr>
        <w:t>o</w:t>
      </w:r>
      <w:r w:rsidR="00D428F2" w:rsidRPr="000C4108">
        <w:t xml:space="preserve"> 8940 (QL)</w:t>
      </w:r>
      <w:r w:rsidR="00FC0404" w:rsidRPr="000C4108">
        <w:t xml:space="preserve">, 2008 </w:t>
      </w:r>
      <w:proofErr w:type="spellStart"/>
      <w:r w:rsidR="00FC0404" w:rsidRPr="000C4108">
        <w:t>CarswellQue</w:t>
      </w:r>
      <w:proofErr w:type="spellEnd"/>
      <w:r w:rsidR="00FC0404" w:rsidRPr="000C4108">
        <w:t xml:space="preserve"> 8968</w:t>
      </w:r>
      <w:r w:rsidRPr="000C4108">
        <w:t>.</w:t>
      </w:r>
      <w:r w:rsidR="00D428F2" w:rsidRPr="000C4108">
        <w:t xml:space="preserve"> Appeal dismissed, Cromwell J. dissenting.</w:t>
      </w:r>
    </w:p>
    <w:p w:rsidR="00D37291" w:rsidRPr="000C4108" w:rsidRDefault="00D37291" w:rsidP="00D37291">
      <w:pPr>
        <w:pStyle w:val="SCCNormalDoubleSpacing"/>
        <w:tabs>
          <w:tab w:val="left" w:pos="1170"/>
        </w:tabs>
        <w:spacing w:after="480"/>
        <w:rPr>
          <w:rStyle w:val="SCCCounselPartyRoleChar"/>
        </w:rPr>
      </w:pPr>
      <w:r w:rsidRPr="000C4108">
        <w:rPr>
          <w:rStyle w:val="SCCCounselNameChar"/>
        </w:rPr>
        <w:tab/>
      </w:r>
      <w:r w:rsidR="00DD36E4" w:rsidRPr="000C4108">
        <w:rPr>
          <w:rStyle w:val="SCCCounselNameChar"/>
        </w:rPr>
        <w:t>Jean Campeau</w:t>
      </w:r>
      <w:r w:rsidR="00DD36E4" w:rsidRPr="000C4108">
        <w:rPr>
          <w:rStyle w:val="SCCCounselNameChar"/>
          <w:i w:val="0"/>
        </w:rPr>
        <w:t xml:space="preserve"> and </w:t>
      </w:r>
      <w:r w:rsidR="00DD36E4" w:rsidRPr="000C4108">
        <w:rPr>
          <w:rStyle w:val="SCCCounselNameChar"/>
        </w:rPr>
        <w:t>Christine Lafrance</w:t>
      </w:r>
      <w:r w:rsidRPr="000C4108">
        <w:rPr>
          <w:rStyle w:val="SCCCounselPartyRoleChar"/>
        </w:rPr>
        <w:t>, for the appellant.</w:t>
      </w:r>
    </w:p>
    <w:p w:rsidR="00D37291" w:rsidRPr="000C4108" w:rsidRDefault="00D37291" w:rsidP="00D37291">
      <w:pPr>
        <w:pStyle w:val="SCCNormalDoubleSpacing"/>
        <w:tabs>
          <w:tab w:val="left" w:pos="1170"/>
        </w:tabs>
        <w:spacing w:after="480"/>
        <w:rPr>
          <w:rStyle w:val="SCCCounselPartyRoleChar"/>
        </w:rPr>
      </w:pPr>
      <w:r w:rsidRPr="000C4108">
        <w:rPr>
          <w:rStyle w:val="SCCCounselPartyRoleChar"/>
        </w:rPr>
        <w:tab/>
      </w:r>
      <w:r w:rsidR="00DD36E4" w:rsidRPr="000C4108">
        <w:rPr>
          <w:rStyle w:val="SCCCounselPartyRoleChar"/>
          <w:i/>
        </w:rPr>
        <w:t>Julie Giroux</w:t>
      </w:r>
      <w:r w:rsidR="00DD36E4" w:rsidRPr="000C4108">
        <w:rPr>
          <w:rStyle w:val="SCCCounselPartyRoleChar"/>
        </w:rPr>
        <w:t xml:space="preserve"> and</w:t>
      </w:r>
      <w:r w:rsidR="00DD36E4" w:rsidRPr="000C4108">
        <w:rPr>
          <w:rStyle w:val="SCCCounselPartyRoleChar"/>
          <w:i/>
        </w:rPr>
        <w:t xml:space="preserve"> Alexandre Bergevin</w:t>
      </w:r>
      <w:r w:rsidRPr="000C4108">
        <w:rPr>
          <w:rStyle w:val="SCCCounselPartyRoleChar"/>
        </w:rPr>
        <w:t>, for the respondent.</w:t>
      </w:r>
    </w:p>
    <w:p w:rsidR="00D35F39" w:rsidRPr="000C4108" w:rsidRDefault="00D35F39" w:rsidP="00D37291">
      <w:pPr>
        <w:pStyle w:val="SCCNormalDoubleSpacing"/>
        <w:tabs>
          <w:tab w:val="left" w:pos="1170"/>
        </w:tabs>
        <w:spacing w:after="480"/>
        <w:rPr>
          <w:rStyle w:val="SCCCounselPartyRoleChar"/>
        </w:rPr>
      </w:pPr>
      <w:r w:rsidRPr="000C4108">
        <w:rPr>
          <w:rStyle w:val="SCCCounselPartyRoleChar"/>
        </w:rPr>
        <w:tab/>
      </w:r>
      <w:r w:rsidRPr="000C4108">
        <w:rPr>
          <w:rStyle w:val="SCCCounselPartyRoleChar"/>
          <w:i/>
        </w:rPr>
        <w:t>François Lacasse</w:t>
      </w:r>
      <w:r w:rsidRPr="000C4108">
        <w:rPr>
          <w:rStyle w:val="SCCCounselPartyRoleChar"/>
        </w:rPr>
        <w:t>, for the intevener.</w:t>
      </w:r>
    </w:p>
    <w:p w:rsidR="00D37291" w:rsidRPr="000C4108" w:rsidRDefault="00D37291" w:rsidP="00D37291">
      <w:pPr>
        <w:pStyle w:val="SCCNormalDoubleSpacing"/>
        <w:tabs>
          <w:tab w:val="left" w:pos="1170"/>
        </w:tabs>
        <w:spacing w:after="480"/>
        <w:rPr>
          <w:szCs w:val="24"/>
        </w:rPr>
      </w:pPr>
      <w:r w:rsidRPr="000C4108">
        <w:rPr>
          <w:szCs w:val="24"/>
        </w:rPr>
        <w:tab/>
      </w:r>
      <w:r w:rsidR="00CB7563" w:rsidRPr="000C4108">
        <w:rPr>
          <w:szCs w:val="24"/>
        </w:rPr>
        <w:t>English version of the judgment of the Court delivered orally by</w:t>
      </w:r>
    </w:p>
    <w:p w:rsidR="00961924" w:rsidRPr="000C4108" w:rsidRDefault="00961924" w:rsidP="005C185F">
      <w:pPr>
        <w:pStyle w:val="ParaNoNdepar-AltN"/>
        <w:tabs>
          <w:tab w:val="clear" w:pos="1512"/>
          <w:tab w:val="num" w:pos="1152"/>
        </w:tabs>
        <w:ind w:left="0"/>
        <w:rPr>
          <w:rFonts w:cs="Times New Roman"/>
        </w:rPr>
      </w:pPr>
      <w:r w:rsidRPr="000C4108">
        <w:rPr>
          <w:rFonts w:cs="Times New Roman"/>
          <w:smallCaps/>
        </w:rPr>
        <w:t>Fish</w:t>
      </w:r>
      <w:r w:rsidRPr="000C4108">
        <w:rPr>
          <w:rFonts w:cs="Times New Roman"/>
        </w:rPr>
        <w:t xml:space="preserve"> J. </w:t>
      </w:r>
      <w:r w:rsidR="005C185F" w:rsidRPr="000C4108">
        <w:rPr>
          <w:rFonts w:cs="Times New Roman"/>
        </w:rPr>
        <w:t>—</w:t>
      </w:r>
      <w:r w:rsidRPr="000C4108">
        <w:rPr>
          <w:rFonts w:cs="Times New Roman"/>
        </w:rPr>
        <w:t xml:space="preserve"> It is unnecessary to decide in this case whether an omission “to do anything” can serve as a basis for conviction under s. 21(1)(</w:t>
      </w:r>
      <w:r w:rsidRPr="000C4108">
        <w:rPr>
          <w:rFonts w:cs="Times New Roman"/>
          <w:i/>
        </w:rPr>
        <w:t>b</w:t>
      </w:r>
      <w:r w:rsidRPr="000C4108">
        <w:rPr>
          <w:rFonts w:cs="Times New Roman"/>
        </w:rPr>
        <w:t xml:space="preserve">) of the </w:t>
      </w:r>
      <w:r w:rsidRPr="000C4108">
        <w:rPr>
          <w:rFonts w:cs="Times New Roman"/>
          <w:i/>
        </w:rPr>
        <w:t>Criminal Code</w:t>
      </w:r>
      <w:r w:rsidR="00D428F2" w:rsidRPr="000C4108">
        <w:rPr>
          <w:rFonts w:cs="Times New Roman"/>
        </w:rPr>
        <w:t>,</w:t>
      </w:r>
      <w:r w:rsidRPr="000C4108">
        <w:rPr>
          <w:rFonts w:cs="Times New Roman"/>
        </w:rPr>
        <w:t xml:space="preserve"> where the accused did not have a duty to act.</w:t>
      </w:r>
    </w:p>
    <w:p w:rsidR="00961924" w:rsidRPr="000C4108" w:rsidRDefault="00961924" w:rsidP="005C185F">
      <w:pPr>
        <w:pStyle w:val="ParaNoNdepar-AltN"/>
        <w:tabs>
          <w:tab w:val="clear" w:pos="1512"/>
          <w:tab w:val="num" w:pos="1152"/>
        </w:tabs>
        <w:ind w:left="0"/>
        <w:rPr>
          <w:rFonts w:cs="Times New Roman"/>
        </w:rPr>
      </w:pPr>
      <w:r w:rsidRPr="000C4108">
        <w:rPr>
          <w:rFonts w:cs="Times New Roman"/>
        </w:rPr>
        <w:lastRenderedPageBreak/>
        <w:t>In light of the trial judge’s findings of fact, we agree with the majority of the Court of Appeal that the evidence was insufficient to establish to the required degree of certainty that the respondent had acted, or failed to act, for the purpose of aiding any person to commit the crimes mentioned in the indictment, even if that was clearly the result.</w:t>
      </w:r>
    </w:p>
    <w:p w:rsidR="00961924" w:rsidRPr="000C4108" w:rsidRDefault="00961924" w:rsidP="005C185F">
      <w:pPr>
        <w:pStyle w:val="ParaNoNdepar-AltN"/>
        <w:tabs>
          <w:tab w:val="clear" w:pos="1512"/>
          <w:tab w:val="num" w:pos="1152"/>
        </w:tabs>
        <w:ind w:left="0"/>
        <w:rPr>
          <w:rFonts w:cs="Times New Roman"/>
        </w:rPr>
      </w:pPr>
      <w:r w:rsidRPr="000C4108">
        <w:rPr>
          <w:rFonts w:cs="Times New Roman"/>
        </w:rPr>
        <w:t>For these reasons, the appeal is dismissed.</w:t>
      </w:r>
    </w:p>
    <w:p w:rsidR="00D37291" w:rsidRPr="000C4108" w:rsidRDefault="005C185F" w:rsidP="005C185F">
      <w:pPr>
        <w:pStyle w:val="ParaNoNdepar-AltN"/>
        <w:tabs>
          <w:tab w:val="clear" w:pos="1512"/>
          <w:tab w:val="num" w:pos="1152"/>
        </w:tabs>
        <w:ind w:left="0"/>
        <w:rPr>
          <w:rFonts w:cs="Times New Roman"/>
        </w:rPr>
      </w:pPr>
      <w:r w:rsidRPr="000C4108">
        <w:rPr>
          <w:rFonts w:cs="Times New Roman"/>
        </w:rPr>
        <w:t>C</w:t>
      </w:r>
      <w:r w:rsidR="00961924" w:rsidRPr="000C4108">
        <w:rPr>
          <w:rFonts w:cs="Times New Roman"/>
        </w:rPr>
        <w:t>romwell J., dissenting, would have allowed the appeal, substantially for the reasons given by Dalphond J.A., dissenting in the Court of Appeal.</w:t>
      </w:r>
    </w:p>
    <w:p w:rsidR="00D37291" w:rsidRPr="000C4108" w:rsidRDefault="00D37291" w:rsidP="00D37291">
      <w:pPr>
        <w:pStyle w:val="SCCNormalDoubleSpacing"/>
        <w:tabs>
          <w:tab w:val="left" w:pos="1170"/>
        </w:tabs>
        <w:spacing w:after="480"/>
        <w:rPr>
          <w:rStyle w:val="SCCCounselPartyRoleChar"/>
          <w:i/>
        </w:rPr>
      </w:pPr>
      <w:r w:rsidRPr="000C4108">
        <w:rPr>
          <w:i/>
        </w:rPr>
        <w:tab/>
        <w:t>Judgment accordingly.</w:t>
      </w:r>
    </w:p>
    <w:p w:rsidR="00D37291" w:rsidRPr="000C4108" w:rsidRDefault="00D37291" w:rsidP="00D37291">
      <w:pPr>
        <w:pStyle w:val="SCCNormalDoubleSpacing"/>
        <w:tabs>
          <w:tab w:val="left" w:pos="1170"/>
        </w:tabs>
        <w:spacing w:after="480"/>
      </w:pPr>
      <w:r w:rsidRPr="000C4108">
        <w:tab/>
      </w:r>
      <w:r w:rsidRPr="000C4108">
        <w:rPr>
          <w:i/>
        </w:rPr>
        <w:t>Solicitor for the appellant:  </w:t>
      </w:r>
      <w:r w:rsidR="00075C62" w:rsidRPr="000C4108">
        <w:rPr>
          <w:i/>
        </w:rPr>
        <w:t>Jean Campeau</w:t>
      </w:r>
      <w:r w:rsidRPr="000C4108">
        <w:rPr>
          <w:i/>
        </w:rPr>
        <w:t>,</w:t>
      </w:r>
      <w:r w:rsidR="00576AAB">
        <w:rPr>
          <w:i/>
        </w:rPr>
        <w:t xml:space="preserve"> </w:t>
      </w:r>
      <w:r w:rsidR="00075C62" w:rsidRPr="000C4108">
        <w:rPr>
          <w:i/>
        </w:rPr>
        <w:t>Gatineau</w:t>
      </w:r>
      <w:r w:rsidRPr="000C4108">
        <w:rPr>
          <w:i/>
        </w:rPr>
        <w:t>.</w:t>
      </w:r>
    </w:p>
    <w:p w:rsidR="00075C62" w:rsidRPr="000C4108" w:rsidRDefault="00D37291" w:rsidP="00D37291">
      <w:pPr>
        <w:pStyle w:val="SCCNormalDoubleSpacing"/>
        <w:tabs>
          <w:tab w:val="left" w:pos="1170"/>
        </w:tabs>
        <w:spacing w:after="480"/>
        <w:rPr>
          <w:i/>
          <w:lang w:val="en-US"/>
        </w:rPr>
      </w:pPr>
      <w:r w:rsidRPr="000C4108">
        <w:tab/>
      </w:r>
      <w:r w:rsidRPr="000C4108">
        <w:rPr>
          <w:i/>
          <w:lang w:val="en-US"/>
        </w:rPr>
        <w:t>Solicitor</w:t>
      </w:r>
      <w:r w:rsidR="00551D33" w:rsidRPr="000C4108">
        <w:rPr>
          <w:i/>
          <w:lang w:val="en-US"/>
        </w:rPr>
        <w:t>s</w:t>
      </w:r>
      <w:r w:rsidRPr="000C4108">
        <w:rPr>
          <w:i/>
          <w:lang w:val="en-US"/>
        </w:rPr>
        <w:t xml:space="preserve"> for the </w:t>
      </w:r>
      <w:r w:rsidRPr="000C4108">
        <w:rPr>
          <w:i/>
        </w:rPr>
        <w:t>respondent</w:t>
      </w:r>
      <w:r w:rsidRPr="000C4108">
        <w:rPr>
          <w:i/>
          <w:lang w:val="en-US"/>
        </w:rPr>
        <w:t>:  </w:t>
      </w:r>
      <w:proofErr w:type="spellStart"/>
      <w:r w:rsidR="00551D33" w:rsidRPr="000C4108">
        <w:rPr>
          <w:i/>
          <w:lang w:val="en-US"/>
        </w:rPr>
        <w:t>Bergevin</w:t>
      </w:r>
      <w:proofErr w:type="spellEnd"/>
      <w:r w:rsidR="00551D33" w:rsidRPr="000C4108">
        <w:rPr>
          <w:i/>
          <w:lang w:val="en-US"/>
        </w:rPr>
        <w:t xml:space="preserve"> &amp; </w:t>
      </w:r>
      <w:proofErr w:type="spellStart"/>
      <w:r w:rsidR="00551D33" w:rsidRPr="000C4108">
        <w:rPr>
          <w:i/>
          <w:lang w:val="en-US"/>
        </w:rPr>
        <w:t>Associés</w:t>
      </w:r>
      <w:proofErr w:type="spellEnd"/>
      <w:r w:rsidR="00551D33" w:rsidRPr="000C4108">
        <w:rPr>
          <w:i/>
          <w:lang w:val="en-US"/>
        </w:rPr>
        <w:t>, Montréal.</w:t>
      </w:r>
    </w:p>
    <w:p w:rsidR="00075C62" w:rsidRPr="000C4108" w:rsidRDefault="00075C62" w:rsidP="00D37291">
      <w:pPr>
        <w:pStyle w:val="SCCNormalDoubleSpacing"/>
        <w:tabs>
          <w:tab w:val="left" w:pos="1170"/>
        </w:tabs>
        <w:spacing w:after="480"/>
        <w:rPr>
          <w:i/>
          <w:lang w:val="en-US"/>
        </w:rPr>
      </w:pPr>
      <w:r w:rsidRPr="000C4108">
        <w:rPr>
          <w:i/>
          <w:lang w:val="en-US"/>
        </w:rPr>
        <w:tab/>
        <w:t xml:space="preserve">Solicitor for the </w:t>
      </w:r>
      <w:proofErr w:type="spellStart"/>
      <w:r w:rsidRPr="000C4108">
        <w:rPr>
          <w:i/>
          <w:lang w:val="en-US"/>
        </w:rPr>
        <w:t>interverner</w:t>
      </w:r>
      <w:proofErr w:type="spellEnd"/>
      <w:r w:rsidRPr="000C4108">
        <w:rPr>
          <w:i/>
          <w:lang w:val="en-US"/>
        </w:rPr>
        <w:t>:</w:t>
      </w:r>
      <w:r w:rsidR="00551D33" w:rsidRPr="000C4108">
        <w:rPr>
          <w:i/>
          <w:lang w:val="en-US"/>
        </w:rPr>
        <w:t xml:space="preserve"> Public Prosecution Service of Canada, Ottawa.</w:t>
      </w:r>
    </w:p>
    <w:p w:rsidR="00E005E9" w:rsidRPr="000C4108" w:rsidRDefault="00E005E9">
      <w:pPr>
        <w:rPr>
          <w:lang w:val="en-US"/>
        </w:rPr>
      </w:pPr>
    </w:p>
    <w:sectPr w:rsidR="00E005E9" w:rsidRPr="000C4108" w:rsidSect="0048652C">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1FC" w:rsidRDefault="008371FC" w:rsidP="00D246CA">
      <w:r>
        <w:separator/>
      </w:r>
    </w:p>
  </w:endnote>
  <w:endnote w:type="continuationSeparator" w:id="0">
    <w:p w:rsidR="008371FC" w:rsidRDefault="008371FC" w:rsidP="00D246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1FC" w:rsidRDefault="008371FC" w:rsidP="00D246CA">
      <w:r>
        <w:separator/>
      </w:r>
    </w:p>
  </w:footnote>
  <w:footnote w:type="continuationSeparator" w:id="0">
    <w:p w:rsidR="008371FC" w:rsidRDefault="008371FC" w:rsidP="00D246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5541"/>
      <w:docPartObj>
        <w:docPartGallery w:val="Page Numbers (Top of Page)"/>
        <w:docPartUnique/>
      </w:docPartObj>
    </w:sdtPr>
    <w:sdtContent>
      <w:p w:rsidR="008371FC" w:rsidRDefault="008371FC">
        <w:pPr>
          <w:pStyle w:val="Header"/>
          <w:jc w:val="center"/>
        </w:pPr>
        <w:r>
          <w:t xml:space="preserve">- </w:t>
        </w:r>
        <w:fldSimple w:instr=" PAGE   \* MERGEFORMAT ">
          <w:r w:rsidR="00B5249E">
            <w:rPr>
              <w:noProof/>
            </w:rPr>
            <w:t>2</w:t>
          </w:r>
        </w:fldSimple>
        <w:r>
          <w:t xml:space="preserve"> -</w:t>
        </w:r>
      </w:p>
    </w:sdtContent>
  </w:sdt>
  <w:p w:rsidR="008371FC" w:rsidRDefault="008371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50FD2"/>
    <w:multiLevelType w:val="hybridMultilevel"/>
    <w:tmpl w:val="EB1C5390"/>
    <w:lvl w:ilvl="0" w:tplc="CBE6C6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283EE8"/>
    <w:multiLevelType w:val="multilevel"/>
    <w:tmpl w:val="05C00208"/>
    <w:lvl w:ilvl="0">
      <w:start w:val="1"/>
      <w:numFmt w:val="decimal"/>
      <w:pStyle w:val="ParaNoNdepar-AltN"/>
      <w:lvlText w:val="[%1]"/>
      <w:lvlJc w:val="left"/>
      <w:pPr>
        <w:tabs>
          <w:tab w:val="num" w:pos="1512"/>
        </w:tabs>
        <w:ind w:left="36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1"/>
  </w:num>
  <w:num w:numId="4">
    <w:abstractNumId w:val="1"/>
  </w:num>
  <w:num w:numId="5">
    <w:abstractNumId w:val="1"/>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hyphenationZone w:val="425"/>
  <w:characterSpacingControl w:val="doNotCompress"/>
  <w:footnotePr>
    <w:footnote w:id="-1"/>
    <w:footnote w:id="0"/>
  </w:footnotePr>
  <w:endnotePr>
    <w:endnote w:id="-1"/>
    <w:endnote w:id="0"/>
  </w:endnotePr>
  <w:compat/>
  <w:rsids>
    <w:rsidRoot w:val="00D37291"/>
    <w:rsid w:val="00075C62"/>
    <w:rsid w:val="000C3EC3"/>
    <w:rsid w:val="000C4108"/>
    <w:rsid w:val="00137CA7"/>
    <w:rsid w:val="00145655"/>
    <w:rsid w:val="00150E8F"/>
    <w:rsid w:val="001A0DB0"/>
    <w:rsid w:val="001A47DE"/>
    <w:rsid w:val="001E47FD"/>
    <w:rsid w:val="00217496"/>
    <w:rsid w:val="00293A64"/>
    <w:rsid w:val="00295F78"/>
    <w:rsid w:val="002A0198"/>
    <w:rsid w:val="0030585A"/>
    <w:rsid w:val="003E18AD"/>
    <w:rsid w:val="003E3033"/>
    <w:rsid w:val="00406986"/>
    <w:rsid w:val="0048652C"/>
    <w:rsid w:val="004E6CAD"/>
    <w:rsid w:val="00551D33"/>
    <w:rsid w:val="00576AAB"/>
    <w:rsid w:val="005A6B8A"/>
    <w:rsid w:val="005C0066"/>
    <w:rsid w:val="005C185F"/>
    <w:rsid w:val="005C73DF"/>
    <w:rsid w:val="006015CB"/>
    <w:rsid w:val="00697D41"/>
    <w:rsid w:val="006B20A1"/>
    <w:rsid w:val="006E23F3"/>
    <w:rsid w:val="0072081F"/>
    <w:rsid w:val="007B086B"/>
    <w:rsid w:val="00825940"/>
    <w:rsid w:val="008371FC"/>
    <w:rsid w:val="008564F7"/>
    <w:rsid w:val="008647A3"/>
    <w:rsid w:val="008A660E"/>
    <w:rsid w:val="008E6D14"/>
    <w:rsid w:val="0090006F"/>
    <w:rsid w:val="00944083"/>
    <w:rsid w:val="00961924"/>
    <w:rsid w:val="009F535D"/>
    <w:rsid w:val="00A643D4"/>
    <w:rsid w:val="00AB7D19"/>
    <w:rsid w:val="00B375AA"/>
    <w:rsid w:val="00B5249E"/>
    <w:rsid w:val="00B93575"/>
    <w:rsid w:val="00C050EF"/>
    <w:rsid w:val="00C078BF"/>
    <w:rsid w:val="00C47979"/>
    <w:rsid w:val="00CB54FB"/>
    <w:rsid w:val="00CB7563"/>
    <w:rsid w:val="00D246CA"/>
    <w:rsid w:val="00D35F39"/>
    <w:rsid w:val="00D37291"/>
    <w:rsid w:val="00D428F2"/>
    <w:rsid w:val="00D5494C"/>
    <w:rsid w:val="00DD2584"/>
    <w:rsid w:val="00DD36E4"/>
    <w:rsid w:val="00E005E9"/>
    <w:rsid w:val="00E23DE9"/>
    <w:rsid w:val="00E241F7"/>
    <w:rsid w:val="00E57D90"/>
    <w:rsid w:val="00E80013"/>
    <w:rsid w:val="00ED4DB6"/>
    <w:rsid w:val="00EE026A"/>
    <w:rsid w:val="00EE3FC6"/>
    <w:rsid w:val="00F2572F"/>
    <w:rsid w:val="00F63E92"/>
    <w:rsid w:val="00F81AFB"/>
    <w:rsid w:val="00FC0404"/>
    <w:rsid w:val="00FE69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291"/>
    <w:rPr>
      <w:sz w:val="24"/>
    </w:rPr>
  </w:style>
  <w:style w:type="paragraph" w:styleId="Heading1">
    <w:name w:val="heading 1"/>
    <w:basedOn w:val="Normal"/>
    <w:next w:val="Normal"/>
    <w:link w:val="Heading1Char"/>
    <w:uiPriority w:val="9"/>
    <w:qFormat/>
    <w:rsid w:val="00F81A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AF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F81AFB"/>
    <w:rPr>
      <w:b/>
      <w:bCs/>
    </w:rPr>
  </w:style>
  <w:style w:type="paragraph" w:styleId="Quote">
    <w:name w:val="Quote"/>
    <w:basedOn w:val="Normal"/>
    <w:next w:val="Normal"/>
    <w:link w:val="QuoteChar"/>
    <w:uiPriority w:val="29"/>
    <w:qFormat/>
    <w:rsid w:val="00F81AFB"/>
    <w:rPr>
      <w:i/>
      <w:iCs/>
      <w:color w:val="000000" w:themeColor="text1"/>
      <w:lang w:val="en-US"/>
    </w:rPr>
  </w:style>
  <w:style w:type="character" w:customStyle="1" w:styleId="QuoteChar">
    <w:name w:val="Quote Char"/>
    <w:basedOn w:val="DefaultParagraphFont"/>
    <w:link w:val="Quote"/>
    <w:uiPriority w:val="29"/>
    <w:rsid w:val="00F81AFB"/>
    <w:rPr>
      <w:i/>
      <w:iCs/>
      <w:color w:val="000000" w:themeColor="text1"/>
      <w:sz w:val="24"/>
      <w:lang w:val="en-US"/>
    </w:rPr>
  </w:style>
  <w:style w:type="character" w:customStyle="1" w:styleId="SCCNormalDoubleSpacingChar">
    <w:name w:val="SCC.Normal.DoubleSpacing Char"/>
    <w:basedOn w:val="DefaultParagraphFont"/>
    <w:link w:val="SCCNormalDoubleSpacing"/>
    <w:locked/>
    <w:rsid w:val="00D37291"/>
    <w:rPr>
      <w:sz w:val="24"/>
    </w:rPr>
  </w:style>
  <w:style w:type="paragraph" w:customStyle="1" w:styleId="SCCNormalDoubleSpacing">
    <w:name w:val="SCC.Normal.DoubleSpacing"/>
    <w:basedOn w:val="Normal"/>
    <w:link w:val="SCCNormalDoubleSpacingChar"/>
    <w:rsid w:val="00D37291"/>
    <w:pPr>
      <w:spacing w:line="480" w:lineRule="auto"/>
      <w:jc w:val="both"/>
    </w:pPr>
  </w:style>
  <w:style w:type="character" w:customStyle="1" w:styleId="SCCLsocPartyChar">
    <w:name w:val="SCC.Lsoc.Party Char"/>
    <w:basedOn w:val="DefaultParagraphFont"/>
    <w:link w:val="SCCLsocParty"/>
    <w:locked/>
    <w:rsid w:val="00D37291"/>
    <w:rPr>
      <w:b/>
      <w:sz w:val="24"/>
    </w:rPr>
  </w:style>
  <w:style w:type="paragraph" w:customStyle="1" w:styleId="SCCLsocParty">
    <w:name w:val="SCC.Lsoc.Party"/>
    <w:basedOn w:val="Normal"/>
    <w:next w:val="Normal"/>
    <w:link w:val="SCCLsocPartyChar"/>
    <w:rsid w:val="00D37291"/>
    <w:pPr>
      <w:jc w:val="both"/>
    </w:pPr>
    <w:rPr>
      <w:b/>
    </w:rPr>
  </w:style>
  <w:style w:type="character" w:customStyle="1" w:styleId="SCCLsocVersusChar">
    <w:name w:val="SCC.Lsoc.Versus Char"/>
    <w:basedOn w:val="DefaultParagraphFont"/>
    <w:link w:val="SCCLsocVersus"/>
    <w:locked/>
    <w:rsid w:val="00D37291"/>
    <w:rPr>
      <w:i/>
      <w:sz w:val="24"/>
    </w:rPr>
  </w:style>
  <w:style w:type="paragraph" w:customStyle="1" w:styleId="SCCLsocVersus">
    <w:name w:val="SCC.Lsoc.Versus"/>
    <w:basedOn w:val="Normal"/>
    <w:next w:val="Normal"/>
    <w:link w:val="SCCLsocVersusChar"/>
    <w:rsid w:val="00D37291"/>
    <w:rPr>
      <w:i/>
    </w:rPr>
  </w:style>
  <w:style w:type="character" w:customStyle="1" w:styleId="SCCRespondentForRunningHeadChar">
    <w:name w:val="SCC.RespondentForRunningHead Char"/>
    <w:basedOn w:val="DefaultParagraphFont"/>
    <w:link w:val="SCCRespondentForRunningHead"/>
    <w:locked/>
    <w:rsid w:val="00D37291"/>
    <w:rPr>
      <w:smallCaps/>
      <w:sz w:val="24"/>
    </w:rPr>
  </w:style>
  <w:style w:type="paragraph" w:customStyle="1" w:styleId="SCCRespondentForRunningHead">
    <w:name w:val="SCC.RespondentForRunningHead"/>
    <w:basedOn w:val="Normal"/>
    <w:next w:val="Normal"/>
    <w:link w:val="SCCRespondentForRunningHeadChar"/>
    <w:rsid w:val="00D37291"/>
    <w:rPr>
      <w:smallCaps/>
    </w:rPr>
  </w:style>
  <w:style w:type="character" w:customStyle="1" w:styleId="SCCSystemYearChar">
    <w:name w:val="SCC.SystemYear Char"/>
    <w:basedOn w:val="DefaultParagraphFont"/>
    <w:link w:val="SCCSystemYear"/>
    <w:locked/>
    <w:rsid w:val="00D37291"/>
    <w:rPr>
      <w:b/>
      <w:sz w:val="24"/>
    </w:rPr>
  </w:style>
  <w:style w:type="paragraph" w:customStyle="1" w:styleId="SCCSystemYear">
    <w:name w:val="SCC.SystemYear"/>
    <w:basedOn w:val="Normal"/>
    <w:next w:val="Normal"/>
    <w:link w:val="SCCSystemYearChar"/>
    <w:rsid w:val="00D37291"/>
    <w:rPr>
      <w:b/>
    </w:rPr>
  </w:style>
  <w:style w:type="character" w:customStyle="1" w:styleId="SCCCounselNameChar">
    <w:name w:val="SCC.CounselName Char"/>
    <w:basedOn w:val="SCCNormalDoubleSpacingChar"/>
    <w:link w:val="SCCCounselName"/>
    <w:locked/>
    <w:rsid w:val="00D37291"/>
    <w:rPr>
      <w:i/>
    </w:rPr>
  </w:style>
  <w:style w:type="paragraph" w:customStyle="1" w:styleId="SCCCounselName">
    <w:name w:val="SCC.CounselName"/>
    <w:basedOn w:val="SCCNormalDoubleSpacing"/>
    <w:next w:val="SCCNormalDoubleSpacing"/>
    <w:link w:val="SCCCounselNameChar"/>
    <w:rsid w:val="00D37291"/>
    <w:rPr>
      <w:i/>
    </w:rPr>
  </w:style>
  <w:style w:type="character" w:customStyle="1" w:styleId="SCCCounselPartyRoleChar">
    <w:name w:val="SCC.CounselPartyRole Char"/>
    <w:basedOn w:val="SCCNormalDoubleSpacingChar"/>
    <w:link w:val="SCCCounselPartyRole"/>
    <w:locked/>
    <w:rsid w:val="00D37291"/>
  </w:style>
  <w:style w:type="paragraph" w:customStyle="1" w:styleId="SCCCounselPartyRole">
    <w:name w:val="SCC.CounselPartyRole"/>
    <w:basedOn w:val="SCCNormalDoubleSpacing"/>
    <w:next w:val="SCCNormalDoubleSpacing"/>
    <w:link w:val="SCCCounselPartyRoleChar"/>
    <w:rsid w:val="00D37291"/>
  </w:style>
  <w:style w:type="paragraph" w:customStyle="1" w:styleId="ParaNoNdepar-AltN">
    <w:name w:val="Para. No. / Nº de par. - Alt N"/>
    <w:qFormat/>
    <w:rsid w:val="00D37291"/>
    <w:pPr>
      <w:numPr>
        <w:numId w:val="1"/>
      </w:numPr>
      <w:spacing w:before="480" w:after="480" w:line="480" w:lineRule="auto"/>
      <w:jc w:val="both"/>
    </w:pPr>
    <w:rPr>
      <w:rFonts w:eastAsiaTheme="minorEastAsia" w:cstheme="minorBidi"/>
      <w:sz w:val="24"/>
      <w:szCs w:val="22"/>
      <w:lang w:eastAsia="en-US"/>
    </w:rPr>
  </w:style>
  <w:style w:type="paragraph" w:styleId="Header">
    <w:name w:val="header"/>
    <w:basedOn w:val="Normal"/>
    <w:link w:val="HeaderChar"/>
    <w:uiPriority w:val="99"/>
    <w:unhideWhenUsed/>
    <w:rsid w:val="00D37291"/>
    <w:pPr>
      <w:tabs>
        <w:tab w:val="center" w:pos="4680"/>
        <w:tab w:val="right" w:pos="9360"/>
      </w:tabs>
    </w:pPr>
  </w:style>
  <w:style w:type="character" w:customStyle="1" w:styleId="HeaderChar">
    <w:name w:val="Header Char"/>
    <w:basedOn w:val="DefaultParagraphFont"/>
    <w:link w:val="Header"/>
    <w:uiPriority w:val="99"/>
    <w:rsid w:val="00D37291"/>
    <w:rPr>
      <w:sz w:val="24"/>
    </w:rPr>
  </w:style>
  <w:style w:type="character" w:styleId="PlaceholderText">
    <w:name w:val="Placeholder Text"/>
    <w:basedOn w:val="DefaultParagraphFont"/>
    <w:uiPriority w:val="99"/>
    <w:semiHidden/>
    <w:rsid w:val="00D428F2"/>
    <w:rPr>
      <w:color w:val="808080"/>
    </w:rPr>
  </w:style>
  <w:style w:type="paragraph" w:styleId="BalloonText">
    <w:name w:val="Balloon Text"/>
    <w:basedOn w:val="Normal"/>
    <w:link w:val="BalloonTextChar"/>
    <w:uiPriority w:val="99"/>
    <w:semiHidden/>
    <w:unhideWhenUsed/>
    <w:rsid w:val="00D428F2"/>
    <w:rPr>
      <w:rFonts w:ascii="Tahoma" w:hAnsi="Tahoma" w:cs="Tahoma"/>
      <w:sz w:val="16"/>
      <w:szCs w:val="16"/>
    </w:rPr>
  </w:style>
  <w:style w:type="character" w:customStyle="1" w:styleId="BalloonTextChar">
    <w:name w:val="Balloon Text Char"/>
    <w:basedOn w:val="DefaultParagraphFont"/>
    <w:link w:val="BalloonText"/>
    <w:uiPriority w:val="99"/>
    <w:semiHidden/>
    <w:rsid w:val="00D428F2"/>
    <w:rPr>
      <w:rFonts w:ascii="Tahoma" w:hAnsi="Tahoma" w:cs="Tahoma"/>
      <w:sz w:val="16"/>
      <w:szCs w:val="16"/>
    </w:rPr>
  </w:style>
  <w:style w:type="table" w:styleId="TableGrid">
    <w:name w:val="Table Grid"/>
    <w:basedOn w:val="TableNormal"/>
    <w:uiPriority w:val="59"/>
    <w:rsid w:val="00B5249E"/>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445</Words>
  <Characters>2451</Characters>
  <Application>Microsoft Office Word</Application>
  <DocSecurity>0</DocSecurity>
  <Lines>20</Lines>
  <Paragraphs>5</Paragraphs>
  <ScaleCrop>false</ScaleCrop>
  <Company/>
  <LinksUpToDate>false</LinksUpToDate>
  <CharactersWithSpaces>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2012-12-11T16:23:00Z</dcterms:created>
  <dcterms:modified xsi:type="dcterms:W3CDTF">2013-04-08T20:40:00Z</dcterms:modified>
</cp:coreProperties>
</file>