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FC" w:rsidRPr="003E2EE3" w:rsidRDefault="001C24FC" w:rsidP="001C24FC">
      <w:pPr>
        <w:tabs>
          <w:tab w:val="center" w:pos="4680"/>
          <w:tab w:val="right" w:pos="9360"/>
        </w:tabs>
        <w:jc w:val="center"/>
        <w:rPr>
          <w:rFonts w:eastAsiaTheme="minorHAnsi" w:cstheme="minorBidi"/>
          <w:szCs w:val="24"/>
          <w:lang w:eastAsia="en-US"/>
        </w:rPr>
      </w:pPr>
      <w:r w:rsidRPr="003E2EE3">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436341053" r:id="rId9"/>
        </w:object>
      </w:r>
    </w:p>
    <w:p w:rsidR="001C24FC" w:rsidRPr="003E2EE3" w:rsidRDefault="001C24FC" w:rsidP="001C24FC">
      <w:pPr>
        <w:tabs>
          <w:tab w:val="center" w:pos="4680"/>
          <w:tab w:val="right" w:pos="9360"/>
        </w:tabs>
        <w:rPr>
          <w:rFonts w:eastAsiaTheme="minorHAnsi" w:cstheme="minorBidi"/>
          <w:szCs w:val="24"/>
          <w:lang w:eastAsia="en-US"/>
        </w:rPr>
      </w:pPr>
    </w:p>
    <w:p w:rsidR="001C24FC" w:rsidRPr="003E2EE3" w:rsidRDefault="001C24FC" w:rsidP="001C24FC">
      <w:pPr>
        <w:jc w:val="center"/>
        <w:rPr>
          <w:rFonts w:eastAsiaTheme="minorHAnsi" w:cstheme="minorBidi"/>
          <w:b/>
          <w:szCs w:val="24"/>
          <w:lang w:eastAsia="en-US"/>
        </w:rPr>
      </w:pPr>
      <w:r w:rsidRPr="003E2EE3">
        <w:rPr>
          <w:rFonts w:eastAsiaTheme="minorHAnsi" w:cstheme="minorBidi"/>
          <w:b/>
          <w:szCs w:val="24"/>
          <w:lang w:eastAsia="en-US"/>
        </w:rPr>
        <w:t>SUPREME COURT OF CANADA</w:t>
      </w:r>
    </w:p>
    <w:p w:rsidR="001C24FC" w:rsidRPr="003E2EE3" w:rsidRDefault="001C24FC" w:rsidP="001C24FC">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C24FC" w:rsidRPr="003E2EE3" w:rsidTr="00E567EE">
        <w:trPr>
          <w:cantSplit/>
        </w:trPr>
        <w:tc>
          <w:tcPr>
            <w:tcW w:w="6768" w:type="dxa"/>
          </w:tcPr>
          <w:p w:rsidR="001C24FC" w:rsidRPr="001C24FC" w:rsidRDefault="001C24FC" w:rsidP="00E567EE">
            <w:pPr>
              <w:rPr>
                <w:lang w:val="fr-CA"/>
              </w:rPr>
            </w:pPr>
            <w:r w:rsidRPr="003E2EE3">
              <w:rPr>
                <w:b/>
                <w:smallCaps/>
                <w:lang w:val="fr-CA"/>
              </w:rPr>
              <w:t>Citation</w:t>
            </w:r>
            <w:proofErr w:type="gramStart"/>
            <w:r w:rsidRPr="003E2EE3">
              <w:rPr>
                <w:b/>
                <w:smallCaps/>
                <w:lang w:val="fr-CA"/>
              </w:rPr>
              <w:t>:</w:t>
            </w:r>
            <w:r w:rsidRPr="003E2EE3">
              <w:rPr>
                <w:lang w:val="fr-CA"/>
              </w:rPr>
              <w:t xml:space="preserve">  R</w:t>
            </w:r>
            <w:proofErr w:type="gramEnd"/>
            <w:r w:rsidRPr="003E2EE3">
              <w:rPr>
                <w:lang w:val="fr-CA"/>
              </w:rPr>
              <w:t xml:space="preserve">. </w:t>
            </w:r>
            <w:r w:rsidRPr="003E2EE3">
              <w:rPr>
                <w:i/>
                <w:lang w:val="fr-CA"/>
              </w:rPr>
              <w:t>v.</w:t>
            </w:r>
            <w:r w:rsidRPr="003E2EE3">
              <w:rPr>
                <w:lang w:val="fr-CA"/>
              </w:rPr>
              <w:t xml:space="preserve"> </w:t>
            </w:r>
            <w:proofErr w:type="spellStart"/>
            <w:r w:rsidRPr="003E2EE3">
              <w:rPr>
                <w:lang w:val="fr-CA"/>
              </w:rPr>
              <w:t>Nedelcu</w:t>
            </w:r>
            <w:proofErr w:type="spellEnd"/>
            <w:r w:rsidRPr="003E2EE3">
              <w:rPr>
                <w:lang w:val="fr-CA"/>
              </w:rPr>
              <w:t xml:space="preserve">, </w:t>
            </w:r>
            <w:r w:rsidRPr="001C24FC">
              <w:rPr>
                <w:lang w:val="fr-CA"/>
              </w:rPr>
              <w:t>2012 SCC 59, [2012] 3 S.C.R. 311</w:t>
            </w:r>
          </w:p>
        </w:tc>
        <w:tc>
          <w:tcPr>
            <w:tcW w:w="2808" w:type="dxa"/>
          </w:tcPr>
          <w:p w:rsidR="001C24FC" w:rsidRPr="003E2EE3" w:rsidRDefault="001C24FC" w:rsidP="00E567EE">
            <w:r w:rsidRPr="003E2EE3">
              <w:rPr>
                <w:b/>
                <w:smallCaps/>
              </w:rPr>
              <w:t>Date:</w:t>
            </w:r>
            <w:r w:rsidRPr="003E2EE3">
              <w:t xml:space="preserve"> 20121107</w:t>
            </w:r>
          </w:p>
          <w:p w:rsidR="001C24FC" w:rsidRPr="003E2EE3" w:rsidRDefault="001C24FC" w:rsidP="00E567EE">
            <w:r w:rsidRPr="003E2EE3">
              <w:rPr>
                <w:b/>
                <w:smallCaps/>
              </w:rPr>
              <w:t>Docket:</w:t>
            </w:r>
            <w:r w:rsidRPr="003E2EE3">
              <w:t xml:space="preserve"> 34228</w:t>
            </w:r>
          </w:p>
        </w:tc>
      </w:tr>
    </w:tbl>
    <w:p w:rsidR="001C24FC" w:rsidRPr="003E2EE3" w:rsidRDefault="001C24FC" w:rsidP="001C24FC">
      <w:pPr>
        <w:rPr>
          <w:rFonts w:eastAsiaTheme="minorHAnsi" w:cstheme="minorBidi"/>
          <w:szCs w:val="24"/>
          <w:lang w:eastAsia="en-US"/>
        </w:rPr>
      </w:pPr>
    </w:p>
    <w:p w:rsidR="001C24FC" w:rsidRPr="003E2EE3" w:rsidRDefault="001C24FC" w:rsidP="001C24FC">
      <w:pPr>
        <w:rPr>
          <w:rFonts w:eastAsiaTheme="minorHAnsi" w:cstheme="minorBidi"/>
          <w:b/>
          <w:smallCaps/>
          <w:szCs w:val="24"/>
          <w:lang w:eastAsia="en-US"/>
        </w:rPr>
      </w:pPr>
      <w:r w:rsidRPr="003E2EE3">
        <w:rPr>
          <w:rFonts w:eastAsiaTheme="minorHAnsi" w:cstheme="minorBidi"/>
          <w:b/>
          <w:smallCaps/>
          <w:szCs w:val="24"/>
          <w:lang w:eastAsia="en-US"/>
        </w:rPr>
        <w:t>Between:</w:t>
      </w:r>
    </w:p>
    <w:p w:rsidR="001C24FC" w:rsidRPr="003E2EE3" w:rsidRDefault="001C24FC" w:rsidP="001C24FC">
      <w:pPr>
        <w:jc w:val="center"/>
        <w:rPr>
          <w:rFonts w:eastAsiaTheme="minorHAnsi" w:cstheme="minorBidi"/>
          <w:b/>
          <w:szCs w:val="24"/>
          <w:lang w:eastAsia="en-US"/>
        </w:rPr>
      </w:pPr>
      <w:r w:rsidRPr="003E2EE3">
        <w:rPr>
          <w:rFonts w:eastAsiaTheme="minorHAnsi" w:cstheme="minorBidi"/>
          <w:b/>
          <w:szCs w:val="24"/>
          <w:lang w:eastAsia="en-US"/>
        </w:rPr>
        <w:t xml:space="preserve">Her Majesty </w:t>
      </w:r>
      <w:proofErr w:type="gramStart"/>
      <w:r w:rsidRPr="003E2EE3">
        <w:rPr>
          <w:rFonts w:eastAsiaTheme="minorHAnsi" w:cstheme="minorBidi"/>
          <w:b/>
          <w:szCs w:val="24"/>
          <w:lang w:eastAsia="en-US"/>
        </w:rPr>
        <w:t>The</w:t>
      </w:r>
      <w:proofErr w:type="gramEnd"/>
      <w:r w:rsidRPr="003E2EE3">
        <w:rPr>
          <w:rFonts w:eastAsiaTheme="minorHAnsi" w:cstheme="minorBidi"/>
          <w:b/>
          <w:szCs w:val="24"/>
          <w:lang w:eastAsia="en-US"/>
        </w:rPr>
        <w:t xml:space="preserve"> Queen</w:t>
      </w:r>
    </w:p>
    <w:p w:rsidR="001C24FC" w:rsidRPr="003E2EE3" w:rsidRDefault="001C24FC" w:rsidP="001C24FC">
      <w:pPr>
        <w:jc w:val="center"/>
        <w:rPr>
          <w:rFonts w:eastAsiaTheme="minorHAnsi" w:cstheme="minorBidi"/>
          <w:szCs w:val="24"/>
          <w:lang w:eastAsia="en-US"/>
        </w:rPr>
      </w:pPr>
      <w:r w:rsidRPr="003E2EE3">
        <w:rPr>
          <w:rFonts w:eastAsiaTheme="minorHAnsi" w:cstheme="minorBidi"/>
          <w:szCs w:val="24"/>
          <w:lang w:eastAsia="en-US"/>
        </w:rPr>
        <w:t>Appellant</w:t>
      </w:r>
    </w:p>
    <w:p w:rsidR="001C24FC" w:rsidRPr="003E2EE3" w:rsidRDefault="001C24FC" w:rsidP="001C24FC">
      <w:pPr>
        <w:jc w:val="center"/>
        <w:rPr>
          <w:rFonts w:eastAsiaTheme="minorHAnsi" w:cstheme="minorBidi"/>
          <w:szCs w:val="24"/>
          <w:lang w:eastAsia="en-US"/>
        </w:rPr>
      </w:pPr>
      <w:proofErr w:type="gramStart"/>
      <w:r w:rsidRPr="003E2EE3">
        <w:rPr>
          <w:rFonts w:eastAsiaTheme="minorHAnsi" w:cstheme="minorBidi"/>
          <w:szCs w:val="24"/>
          <w:lang w:eastAsia="en-US"/>
        </w:rPr>
        <w:t>and</w:t>
      </w:r>
      <w:proofErr w:type="gramEnd"/>
    </w:p>
    <w:p w:rsidR="001C24FC" w:rsidRPr="003E2EE3" w:rsidRDefault="001C24FC" w:rsidP="001C24FC">
      <w:pPr>
        <w:jc w:val="center"/>
        <w:rPr>
          <w:rFonts w:eastAsiaTheme="minorHAnsi" w:cstheme="minorBidi"/>
          <w:b/>
          <w:szCs w:val="24"/>
          <w:lang w:eastAsia="en-US"/>
        </w:rPr>
      </w:pPr>
      <w:r w:rsidRPr="003E2EE3">
        <w:rPr>
          <w:rFonts w:eastAsiaTheme="minorHAnsi" w:cstheme="minorBidi"/>
          <w:b/>
          <w:szCs w:val="24"/>
          <w:lang w:eastAsia="en-US"/>
        </w:rPr>
        <w:t xml:space="preserve">Marius </w:t>
      </w:r>
      <w:proofErr w:type="spellStart"/>
      <w:r w:rsidRPr="003E2EE3">
        <w:rPr>
          <w:rFonts w:eastAsiaTheme="minorHAnsi" w:cstheme="minorBidi"/>
          <w:b/>
          <w:szCs w:val="24"/>
          <w:lang w:eastAsia="en-US"/>
        </w:rPr>
        <w:t>Nedelcu</w:t>
      </w:r>
      <w:proofErr w:type="spellEnd"/>
    </w:p>
    <w:p w:rsidR="001C24FC" w:rsidRPr="003E2EE3" w:rsidRDefault="001C24FC" w:rsidP="001C24FC">
      <w:pPr>
        <w:jc w:val="center"/>
        <w:rPr>
          <w:rFonts w:eastAsiaTheme="minorHAnsi" w:cstheme="minorBidi"/>
          <w:szCs w:val="24"/>
          <w:lang w:eastAsia="en-US"/>
        </w:rPr>
      </w:pPr>
      <w:r w:rsidRPr="003E2EE3">
        <w:rPr>
          <w:rFonts w:eastAsiaTheme="minorHAnsi" w:cstheme="minorBidi"/>
          <w:szCs w:val="24"/>
          <w:lang w:eastAsia="en-US"/>
        </w:rPr>
        <w:t>Respondent</w:t>
      </w:r>
    </w:p>
    <w:p w:rsidR="001C24FC" w:rsidRPr="003E2EE3" w:rsidRDefault="001C24FC" w:rsidP="001C24FC">
      <w:pPr>
        <w:jc w:val="center"/>
        <w:rPr>
          <w:rFonts w:eastAsiaTheme="minorHAnsi" w:cstheme="minorBidi"/>
          <w:szCs w:val="24"/>
          <w:lang w:eastAsia="en-US"/>
        </w:rPr>
      </w:pPr>
      <w:r w:rsidRPr="003E2EE3">
        <w:rPr>
          <w:rFonts w:eastAsiaTheme="minorHAnsi" w:cstheme="minorBidi"/>
          <w:szCs w:val="24"/>
          <w:lang w:eastAsia="en-US"/>
        </w:rPr>
        <w:t xml:space="preserve">- </w:t>
      </w:r>
      <w:proofErr w:type="gramStart"/>
      <w:r w:rsidRPr="003E2EE3">
        <w:rPr>
          <w:rFonts w:eastAsiaTheme="minorHAnsi" w:cstheme="minorBidi"/>
          <w:szCs w:val="24"/>
          <w:lang w:eastAsia="en-US"/>
        </w:rPr>
        <w:t>and</w:t>
      </w:r>
      <w:proofErr w:type="gramEnd"/>
      <w:r w:rsidRPr="003E2EE3">
        <w:rPr>
          <w:rFonts w:eastAsiaTheme="minorHAnsi" w:cstheme="minorBidi"/>
          <w:szCs w:val="24"/>
          <w:lang w:eastAsia="en-US"/>
        </w:rPr>
        <w:t xml:space="preserve"> -</w:t>
      </w:r>
    </w:p>
    <w:p w:rsidR="001C24FC" w:rsidRPr="003E2EE3" w:rsidRDefault="001C24FC" w:rsidP="001C24FC">
      <w:pPr>
        <w:jc w:val="center"/>
        <w:rPr>
          <w:rFonts w:eastAsiaTheme="minorHAnsi" w:cstheme="minorBidi"/>
          <w:b/>
          <w:szCs w:val="24"/>
          <w:lang w:eastAsia="en-US"/>
        </w:rPr>
      </w:pPr>
      <w:r w:rsidRPr="003E2EE3">
        <w:rPr>
          <w:rFonts w:eastAsiaTheme="minorHAnsi" w:cstheme="minorBidi"/>
          <w:b/>
          <w:szCs w:val="24"/>
          <w:lang w:eastAsia="en-US"/>
        </w:rPr>
        <w:t>Attorney General of Quebec, Advocates’ Society and</w:t>
      </w:r>
    </w:p>
    <w:p w:rsidR="001C24FC" w:rsidRPr="003E2EE3" w:rsidRDefault="001C24FC" w:rsidP="001C24FC">
      <w:pPr>
        <w:jc w:val="center"/>
        <w:rPr>
          <w:rFonts w:eastAsiaTheme="minorHAnsi" w:cstheme="minorBidi"/>
          <w:b/>
          <w:szCs w:val="24"/>
          <w:lang w:eastAsia="en-US"/>
        </w:rPr>
      </w:pPr>
      <w:r w:rsidRPr="003E2EE3">
        <w:rPr>
          <w:rFonts w:eastAsiaTheme="minorHAnsi" w:cstheme="minorBidi"/>
          <w:b/>
          <w:szCs w:val="24"/>
          <w:lang w:eastAsia="en-US"/>
        </w:rPr>
        <w:t>Criminal Lawyers’ Association (Ontario)</w:t>
      </w:r>
    </w:p>
    <w:p w:rsidR="001C24FC" w:rsidRPr="003E2EE3" w:rsidRDefault="001C24FC" w:rsidP="001C24FC">
      <w:pPr>
        <w:jc w:val="center"/>
        <w:rPr>
          <w:rFonts w:eastAsiaTheme="minorHAnsi" w:cstheme="minorBidi"/>
          <w:szCs w:val="24"/>
          <w:lang w:eastAsia="en-US"/>
        </w:rPr>
      </w:pPr>
      <w:r w:rsidRPr="003E2EE3">
        <w:rPr>
          <w:rFonts w:eastAsiaTheme="minorHAnsi" w:cstheme="minorBidi"/>
          <w:szCs w:val="24"/>
          <w:lang w:eastAsia="en-US"/>
        </w:rPr>
        <w:t>Interveners</w:t>
      </w:r>
    </w:p>
    <w:p w:rsidR="001C24FC" w:rsidRPr="003E2EE3" w:rsidRDefault="001C24FC" w:rsidP="001C24FC">
      <w:pPr>
        <w:rPr>
          <w:rFonts w:eastAsiaTheme="minorHAnsi" w:cstheme="minorBidi"/>
          <w:szCs w:val="24"/>
          <w:lang w:eastAsia="en-US"/>
        </w:rPr>
      </w:pPr>
    </w:p>
    <w:p w:rsidR="001C24FC" w:rsidRPr="003E2EE3" w:rsidRDefault="001C24FC" w:rsidP="001C24FC">
      <w:pPr>
        <w:rPr>
          <w:rFonts w:eastAsiaTheme="minorHAnsi" w:cstheme="minorBidi"/>
          <w:szCs w:val="24"/>
          <w:lang w:eastAsia="en-US"/>
        </w:rPr>
      </w:pPr>
    </w:p>
    <w:p w:rsidR="001C24FC" w:rsidRPr="003E2EE3" w:rsidRDefault="001C24FC" w:rsidP="001C24FC">
      <w:pPr>
        <w:rPr>
          <w:rFonts w:eastAsiaTheme="minorHAnsi" w:cstheme="minorBidi"/>
          <w:szCs w:val="24"/>
          <w:lang w:eastAsia="en-US"/>
        </w:rPr>
      </w:pPr>
    </w:p>
    <w:p w:rsidR="001C24FC" w:rsidRPr="003E2EE3" w:rsidRDefault="001C24FC" w:rsidP="001C24FC">
      <w:pPr>
        <w:rPr>
          <w:rFonts w:eastAsiaTheme="minorHAnsi" w:cstheme="minorBidi"/>
          <w:szCs w:val="24"/>
          <w:lang w:eastAsia="en-US"/>
        </w:rPr>
      </w:pPr>
      <w:r w:rsidRPr="003E2EE3">
        <w:rPr>
          <w:rFonts w:eastAsiaTheme="minorHAnsi" w:cstheme="minorBidi"/>
          <w:b/>
          <w:smallCaps/>
          <w:szCs w:val="24"/>
          <w:lang w:eastAsia="en-US"/>
        </w:rPr>
        <w:t>Coram:</w:t>
      </w:r>
      <w:r w:rsidRPr="003E2EE3">
        <w:rPr>
          <w:rFonts w:eastAsiaTheme="minorHAnsi" w:cstheme="minorBidi"/>
          <w:szCs w:val="24"/>
          <w:lang w:eastAsia="en-US"/>
        </w:rPr>
        <w:t xml:space="preserve"> </w:t>
      </w:r>
      <w:proofErr w:type="spellStart"/>
      <w:r w:rsidRPr="003E2EE3">
        <w:rPr>
          <w:rFonts w:eastAsiaTheme="minorHAnsi" w:cstheme="minorBidi"/>
          <w:szCs w:val="24"/>
          <w:lang w:eastAsia="en-US"/>
        </w:rPr>
        <w:t>McLachlin</w:t>
      </w:r>
      <w:proofErr w:type="spellEnd"/>
      <w:r w:rsidRPr="003E2EE3">
        <w:rPr>
          <w:rFonts w:eastAsiaTheme="minorHAnsi" w:cstheme="minorBidi"/>
          <w:szCs w:val="24"/>
          <w:lang w:eastAsia="en-US"/>
        </w:rPr>
        <w:t xml:space="preserve"> C.J. and </w:t>
      </w:r>
      <w:proofErr w:type="spellStart"/>
      <w:r w:rsidRPr="003E2EE3">
        <w:rPr>
          <w:rFonts w:eastAsiaTheme="minorHAnsi" w:cstheme="minorBidi"/>
          <w:szCs w:val="24"/>
          <w:lang w:eastAsia="en-US"/>
        </w:rPr>
        <w:t>LeBel</w:t>
      </w:r>
      <w:proofErr w:type="spellEnd"/>
      <w:r w:rsidRPr="003E2EE3">
        <w:rPr>
          <w:rFonts w:eastAsiaTheme="minorHAnsi" w:cstheme="minorBidi"/>
          <w:szCs w:val="24"/>
          <w:lang w:eastAsia="en-US"/>
        </w:rPr>
        <w:t xml:space="preserve">, </w:t>
      </w:r>
      <w:proofErr w:type="spellStart"/>
      <w:r w:rsidRPr="003E2EE3">
        <w:rPr>
          <w:rFonts w:eastAsiaTheme="minorHAnsi" w:cstheme="minorBidi"/>
          <w:szCs w:val="24"/>
          <w:lang w:eastAsia="en-US"/>
        </w:rPr>
        <w:t>Deschamps</w:t>
      </w:r>
      <w:proofErr w:type="spellEnd"/>
      <w:r w:rsidRPr="003E2EE3">
        <w:rPr>
          <w:rFonts w:eastAsiaTheme="minorHAnsi" w:cstheme="minorBidi"/>
          <w:szCs w:val="24"/>
          <w:lang w:eastAsia="en-US"/>
        </w:rPr>
        <w:t xml:space="preserve">, Fish, </w:t>
      </w:r>
      <w:proofErr w:type="spellStart"/>
      <w:r w:rsidRPr="003E2EE3">
        <w:rPr>
          <w:rFonts w:eastAsiaTheme="minorHAnsi" w:cstheme="minorBidi"/>
          <w:szCs w:val="24"/>
          <w:lang w:eastAsia="en-US"/>
        </w:rPr>
        <w:t>Abella</w:t>
      </w:r>
      <w:proofErr w:type="spellEnd"/>
      <w:r w:rsidRPr="003E2EE3">
        <w:rPr>
          <w:rFonts w:eastAsiaTheme="minorHAnsi" w:cstheme="minorBidi"/>
          <w:szCs w:val="24"/>
          <w:lang w:eastAsia="en-US"/>
        </w:rPr>
        <w:t xml:space="preserve">, Rothstein, Cromwell, </w:t>
      </w:r>
      <w:proofErr w:type="spellStart"/>
      <w:r w:rsidRPr="003E2EE3">
        <w:rPr>
          <w:rFonts w:eastAsiaTheme="minorHAnsi" w:cstheme="minorBidi"/>
          <w:szCs w:val="24"/>
          <w:lang w:eastAsia="en-US"/>
        </w:rPr>
        <w:t>Moldaver</w:t>
      </w:r>
      <w:proofErr w:type="spellEnd"/>
      <w:r w:rsidRPr="003E2EE3">
        <w:rPr>
          <w:rFonts w:eastAsiaTheme="minorHAnsi" w:cstheme="minorBidi"/>
          <w:szCs w:val="24"/>
          <w:lang w:eastAsia="en-US"/>
        </w:rPr>
        <w:t xml:space="preserve"> and </w:t>
      </w:r>
      <w:proofErr w:type="spellStart"/>
      <w:r w:rsidRPr="003E2EE3">
        <w:rPr>
          <w:rFonts w:eastAsiaTheme="minorHAnsi" w:cstheme="minorBidi"/>
          <w:szCs w:val="24"/>
          <w:lang w:eastAsia="en-US"/>
        </w:rPr>
        <w:t>Karakatsanis</w:t>
      </w:r>
      <w:proofErr w:type="spellEnd"/>
      <w:r w:rsidRPr="003E2EE3">
        <w:rPr>
          <w:rFonts w:eastAsiaTheme="minorHAnsi" w:cstheme="minorBidi"/>
          <w:szCs w:val="24"/>
          <w:lang w:eastAsia="en-US"/>
        </w:rPr>
        <w:t> JJ.</w:t>
      </w:r>
    </w:p>
    <w:p w:rsidR="001C24FC" w:rsidRPr="003E2EE3" w:rsidRDefault="001C24FC" w:rsidP="001C24FC">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C24FC" w:rsidRPr="003E2EE3" w:rsidTr="00E567EE">
        <w:trPr>
          <w:cantSplit/>
        </w:trPr>
        <w:tc>
          <w:tcPr>
            <w:tcW w:w="3618" w:type="dxa"/>
          </w:tcPr>
          <w:p w:rsidR="001C24FC" w:rsidRPr="003E2EE3" w:rsidRDefault="001C24FC" w:rsidP="00E567EE">
            <w:pPr>
              <w:rPr>
                <w:b/>
                <w:smallCaps/>
              </w:rPr>
            </w:pPr>
            <w:r w:rsidRPr="003E2EE3">
              <w:rPr>
                <w:b/>
                <w:smallCaps/>
              </w:rPr>
              <w:t>Reasons for Judgment:</w:t>
            </w:r>
          </w:p>
          <w:p w:rsidR="001C24FC" w:rsidRPr="003E2EE3" w:rsidRDefault="001C24FC" w:rsidP="00E567EE">
            <w:pPr>
              <w:rPr>
                <w:b/>
                <w:smallCaps/>
              </w:rPr>
            </w:pPr>
            <w:r w:rsidRPr="003E2EE3">
              <w:t>(</w:t>
            </w:r>
            <w:proofErr w:type="spellStart"/>
            <w:r w:rsidRPr="003E2EE3">
              <w:t>paras</w:t>
            </w:r>
            <w:proofErr w:type="spellEnd"/>
            <w:r w:rsidRPr="003E2EE3">
              <w:t>. 1 to 43)</w:t>
            </w:r>
          </w:p>
          <w:p w:rsidR="001C24FC" w:rsidRPr="003E2EE3" w:rsidRDefault="001C24FC" w:rsidP="00E567EE">
            <w:pPr>
              <w:rPr>
                <w:b/>
                <w:smallCaps/>
              </w:rPr>
            </w:pPr>
          </w:p>
          <w:p w:rsidR="001C24FC" w:rsidRPr="003E2EE3" w:rsidRDefault="001C24FC" w:rsidP="00E567EE">
            <w:pPr>
              <w:rPr>
                <w:b/>
                <w:smallCaps/>
              </w:rPr>
            </w:pPr>
            <w:r w:rsidRPr="003E2EE3">
              <w:rPr>
                <w:b/>
                <w:smallCaps/>
              </w:rPr>
              <w:t>Dissenting Reasons:</w:t>
            </w:r>
          </w:p>
          <w:p w:rsidR="001C24FC" w:rsidRPr="003E2EE3" w:rsidRDefault="001C24FC" w:rsidP="00E567EE">
            <w:pPr>
              <w:rPr>
                <w:b/>
                <w:smallCaps/>
              </w:rPr>
            </w:pPr>
            <w:r w:rsidRPr="003E2EE3">
              <w:t>(</w:t>
            </w:r>
            <w:proofErr w:type="spellStart"/>
            <w:r w:rsidRPr="003E2EE3">
              <w:t>paras</w:t>
            </w:r>
            <w:proofErr w:type="spellEnd"/>
            <w:r w:rsidRPr="003E2EE3">
              <w:t>. 44 to 145)</w:t>
            </w:r>
          </w:p>
          <w:p w:rsidR="001C24FC" w:rsidRPr="003E2EE3" w:rsidRDefault="001C24FC" w:rsidP="00E567EE"/>
        </w:tc>
        <w:tc>
          <w:tcPr>
            <w:tcW w:w="5958" w:type="dxa"/>
          </w:tcPr>
          <w:p w:rsidR="001C24FC" w:rsidRPr="003E2EE3" w:rsidRDefault="001C24FC" w:rsidP="00E567EE">
            <w:proofErr w:type="spellStart"/>
            <w:r w:rsidRPr="003E2EE3">
              <w:t>Moldaver</w:t>
            </w:r>
            <w:proofErr w:type="spellEnd"/>
            <w:r w:rsidRPr="003E2EE3">
              <w:t xml:space="preserve"> J. (</w:t>
            </w:r>
            <w:proofErr w:type="spellStart"/>
            <w:r w:rsidRPr="003E2EE3">
              <w:t>McLachlin</w:t>
            </w:r>
            <w:proofErr w:type="spellEnd"/>
            <w:r w:rsidRPr="003E2EE3">
              <w:t xml:space="preserve"> C.J. and </w:t>
            </w:r>
            <w:proofErr w:type="spellStart"/>
            <w:r w:rsidRPr="003E2EE3">
              <w:t>Deschamps</w:t>
            </w:r>
            <w:proofErr w:type="spellEnd"/>
            <w:r w:rsidRPr="003E2EE3">
              <w:t xml:space="preserve">, </w:t>
            </w:r>
            <w:proofErr w:type="spellStart"/>
            <w:r w:rsidRPr="003E2EE3">
              <w:t>Abella</w:t>
            </w:r>
            <w:proofErr w:type="spellEnd"/>
            <w:r w:rsidRPr="003E2EE3">
              <w:t xml:space="preserve">, Rothstein and </w:t>
            </w:r>
            <w:proofErr w:type="spellStart"/>
            <w:r w:rsidRPr="003E2EE3">
              <w:t>Karakatsanis</w:t>
            </w:r>
            <w:proofErr w:type="spellEnd"/>
            <w:r w:rsidRPr="003E2EE3">
              <w:t xml:space="preserve"> JJ. concurring)</w:t>
            </w:r>
          </w:p>
          <w:p w:rsidR="001C24FC" w:rsidRPr="003E2EE3" w:rsidRDefault="001C24FC" w:rsidP="00E567EE"/>
          <w:p w:rsidR="001C24FC" w:rsidRPr="003E2EE3" w:rsidRDefault="001C24FC" w:rsidP="00E567EE">
            <w:proofErr w:type="spellStart"/>
            <w:r w:rsidRPr="003E2EE3">
              <w:t>LeBel</w:t>
            </w:r>
            <w:proofErr w:type="spellEnd"/>
            <w:r w:rsidRPr="003E2EE3">
              <w:t xml:space="preserve"> J. (Fish and Cromwell JJ. concurring)</w:t>
            </w:r>
          </w:p>
        </w:tc>
      </w:tr>
    </w:tbl>
    <w:p w:rsidR="001C24FC" w:rsidRPr="003E2EE3" w:rsidRDefault="001C24FC" w:rsidP="001C24FC">
      <w:pPr>
        <w:rPr>
          <w:rFonts w:eastAsiaTheme="minorHAnsi" w:cstheme="minorBidi"/>
          <w:szCs w:val="24"/>
          <w:lang w:eastAsia="en-US"/>
        </w:rPr>
      </w:pPr>
    </w:p>
    <w:p w:rsidR="001C24FC" w:rsidRPr="003E2EE3" w:rsidRDefault="001C24FC" w:rsidP="001C24FC">
      <w:pPr>
        <w:rPr>
          <w:rFonts w:eastAsiaTheme="minorHAnsi" w:cstheme="minorBidi"/>
          <w:szCs w:val="24"/>
          <w:lang w:eastAsia="en-US"/>
        </w:rPr>
      </w:pPr>
    </w:p>
    <w:p w:rsidR="001C24FC" w:rsidRPr="003E2EE3" w:rsidRDefault="001C24FC" w:rsidP="001C24FC">
      <w:pPr>
        <w:rPr>
          <w:rFonts w:eastAsiaTheme="minorHAnsi" w:cstheme="minorBidi"/>
          <w:szCs w:val="24"/>
          <w:lang w:eastAsia="en-US"/>
        </w:rPr>
      </w:pPr>
      <w:r w:rsidRPr="00330256">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1C24FC" w:rsidRPr="003E2EE3" w:rsidRDefault="001C24FC" w:rsidP="001C24FC">
      <w:pPr>
        <w:rPr>
          <w:smallCaps/>
        </w:rPr>
      </w:pPr>
      <w:r w:rsidRPr="003E2EE3">
        <w:rPr>
          <w:smallCaps/>
        </w:rPr>
        <w:br w:type="page"/>
      </w:r>
    </w:p>
    <w:p w:rsidR="00552F07" w:rsidRPr="00552F07" w:rsidRDefault="00552F07" w:rsidP="00552F07">
      <w:pPr>
        <w:spacing w:after="720"/>
        <w:jc w:val="both"/>
      </w:pPr>
      <w:r w:rsidRPr="00552F07">
        <w:lastRenderedPageBreak/>
        <w:t xml:space="preserve">R. </w:t>
      </w:r>
      <w:r w:rsidRPr="00552F07">
        <w:rPr>
          <w:i/>
        </w:rPr>
        <w:t>v.</w:t>
      </w:r>
      <w:r w:rsidRPr="00552F07">
        <w:t xml:space="preserve"> </w:t>
      </w:r>
      <w:proofErr w:type="spellStart"/>
      <w:r w:rsidRPr="00552F07">
        <w:t>Nedelcu</w:t>
      </w:r>
      <w:proofErr w:type="spellEnd"/>
      <w:r w:rsidRPr="00552F07">
        <w:t>, 2012 SCC 59, [2012] 3 S.C.R. 311</w:t>
      </w:r>
    </w:p>
    <w:p w:rsidR="00D80930" w:rsidRPr="00AC789B" w:rsidRDefault="00F664FF" w:rsidP="00C46F3D">
      <w:pPr>
        <w:pStyle w:val="SCCLsocParty"/>
        <w:tabs>
          <w:tab w:val="right" w:pos="8222"/>
        </w:tabs>
        <w:spacing w:after="720"/>
      </w:pPr>
      <w:r w:rsidRPr="00AC789B">
        <w:t xml:space="preserve">Her Majesty </w:t>
      </w:r>
      <w:proofErr w:type="gramStart"/>
      <w:r w:rsidRPr="00AC789B">
        <w:t>T</w:t>
      </w:r>
      <w:r w:rsidR="00E12D94" w:rsidRPr="00AC789B">
        <w:t>he</w:t>
      </w:r>
      <w:proofErr w:type="gramEnd"/>
      <w:r w:rsidR="00E12D94" w:rsidRPr="00AC789B">
        <w:t xml:space="preserve"> Queen</w:t>
      </w:r>
      <w:r w:rsidR="00406921" w:rsidRPr="00AC789B">
        <w:t xml:space="preserve"> </w:t>
      </w:r>
      <w:r w:rsidR="00406921" w:rsidRPr="00AC789B">
        <w:tab/>
      </w:r>
      <w:r w:rsidR="00406921" w:rsidRPr="00AC789B">
        <w:rPr>
          <w:b w:val="0"/>
          <w:i/>
          <w:lang w:val="en-US"/>
        </w:rPr>
        <w:t>Appellant</w:t>
      </w:r>
    </w:p>
    <w:p w:rsidR="00406921" w:rsidRPr="00AC789B" w:rsidRDefault="00E12D94" w:rsidP="00C46F3D">
      <w:pPr>
        <w:pStyle w:val="SCCLsocVersus"/>
        <w:spacing w:after="720"/>
        <w:rPr>
          <w:lang w:val="en-US"/>
        </w:rPr>
      </w:pPr>
      <w:proofErr w:type="gramStart"/>
      <w:r w:rsidRPr="00AC789B">
        <w:rPr>
          <w:lang w:val="en-US"/>
        </w:rPr>
        <w:t>v</w:t>
      </w:r>
      <w:proofErr w:type="gramEnd"/>
      <w:r w:rsidRPr="00AC789B">
        <w:rPr>
          <w:lang w:val="en-US"/>
        </w:rPr>
        <w:t>.</w:t>
      </w:r>
    </w:p>
    <w:p w:rsidR="00D80930" w:rsidRPr="00AC789B" w:rsidRDefault="00E12D94" w:rsidP="00C46F3D">
      <w:pPr>
        <w:pStyle w:val="SCCLsocParty"/>
        <w:tabs>
          <w:tab w:val="right" w:pos="8222"/>
        </w:tabs>
        <w:spacing w:after="720"/>
        <w:rPr>
          <w:lang w:val="en-US"/>
        </w:rPr>
      </w:pPr>
      <w:r w:rsidRPr="00AC789B">
        <w:rPr>
          <w:lang w:val="en-US"/>
        </w:rPr>
        <w:t xml:space="preserve">Marius </w:t>
      </w:r>
      <w:proofErr w:type="spellStart"/>
      <w:r w:rsidRPr="00AC789B">
        <w:rPr>
          <w:lang w:val="en-US"/>
        </w:rPr>
        <w:t>Nedelcu</w:t>
      </w:r>
      <w:proofErr w:type="spellEnd"/>
      <w:r w:rsidR="00406921" w:rsidRPr="00AC789B">
        <w:rPr>
          <w:lang w:val="en-US"/>
        </w:rPr>
        <w:t xml:space="preserve"> </w:t>
      </w:r>
      <w:r w:rsidR="00406921" w:rsidRPr="00AC789B">
        <w:rPr>
          <w:lang w:val="en-US"/>
        </w:rPr>
        <w:tab/>
      </w:r>
      <w:r w:rsidR="00406921" w:rsidRPr="00AC789B">
        <w:rPr>
          <w:b w:val="0"/>
          <w:i/>
          <w:lang w:val="en-US"/>
        </w:rPr>
        <w:t>Respondent</w:t>
      </w:r>
    </w:p>
    <w:p w:rsidR="00406921" w:rsidRPr="00AC789B" w:rsidRDefault="00406921" w:rsidP="00C46F3D">
      <w:pPr>
        <w:pStyle w:val="SCCLsocOtherPartySeparator"/>
        <w:spacing w:after="720"/>
      </w:pPr>
      <w:proofErr w:type="gramStart"/>
      <w:r w:rsidRPr="00AC789B">
        <w:t>a</w:t>
      </w:r>
      <w:r w:rsidR="00E12D94" w:rsidRPr="00AC789B">
        <w:t>nd</w:t>
      </w:r>
      <w:proofErr w:type="gramEnd"/>
    </w:p>
    <w:p w:rsidR="00D80930" w:rsidRPr="00AC789B" w:rsidRDefault="00E12D94">
      <w:pPr>
        <w:pStyle w:val="SCCLsocParty"/>
      </w:pPr>
      <w:r w:rsidRPr="00AC789B">
        <w:t xml:space="preserve">Attorney General of Quebec, </w:t>
      </w:r>
    </w:p>
    <w:p w:rsidR="00D80930" w:rsidRPr="00AC789B" w:rsidRDefault="00F664FF">
      <w:pPr>
        <w:pStyle w:val="SCCLsocParty"/>
      </w:pPr>
      <w:r w:rsidRPr="00AC789B">
        <w:t>Advocates</w:t>
      </w:r>
      <w:r w:rsidR="00121948" w:rsidRPr="00AC789B">
        <w:t>’</w:t>
      </w:r>
      <w:r w:rsidR="00E12D94" w:rsidRPr="00AC789B">
        <w:t xml:space="preserve"> Society</w:t>
      </w:r>
      <w:r w:rsidRPr="00AC789B">
        <w:t xml:space="preserve"> and</w:t>
      </w:r>
      <w:r w:rsidR="00E12D94" w:rsidRPr="00AC789B">
        <w:t xml:space="preserve"> </w:t>
      </w:r>
    </w:p>
    <w:p w:rsidR="00D80930" w:rsidRPr="00AC789B" w:rsidRDefault="00E12D94" w:rsidP="00C46F3D">
      <w:pPr>
        <w:pStyle w:val="SCCLsocParty"/>
        <w:tabs>
          <w:tab w:val="right" w:pos="8222"/>
        </w:tabs>
        <w:spacing w:after="720"/>
      </w:pPr>
      <w:r w:rsidRPr="00AC789B">
        <w:t>Criminal Lawyers</w:t>
      </w:r>
      <w:r w:rsidR="00121948" w:rsidRPr="00AC789B">
        <w:t>’</w:t>
      </w:r>
      <w:r w:rsidRPr="00AC789B">
        <w:t xml:space="preserve"> Association (Ontario)</w:t>
      </w:r>
      <w:r w:rsidR="00406921" w:rsidRPr="00AC789B">
        <w:t xml:space="preserve"> </w:t>
      </w:r>
      <w:r w:rsidR="00406921" w:rsidRPr="00AC789B">
        <w:tab/>
      </w:r>
      <w:r w:rsidR="00406921" w:rsidRPr="00AC789B">
        <w:rPr>
          <w:b w:val="0"/>
          <w:i/>
          <w:lang w:val="en-US"/>
        </w:rPr>
        <w:t>Interveners</w:t>
      </w:r>
    </w:p>
    <w:p w:rsidR="00426659" w:rsidRPr="00AC789B" w:rsidRDefault="00426659" w:rsidP="00C46F3D">
      <w:pPr>
        <w:spacing w:after="720"/>
        <w:jc w:val="both"/>
        <w:rPr>
          <w:b/>
        </w:rPr>
      </w:pPr>
      <w:r w:rsidRPr="00AC789B">
        <w:rPr>
          <w:b/>
        </w:rPr>
        <w:t xml:space="preserve">Indexed as:  R. </w:t>
      </w:r>
      <w:r w:rsidRPr="00AC789B">
        <w:rPr>
          <w:b/>
          <w:i/>
        </w:rPr>
        <w:t>v.</w:t>
      </w:r>
      <w:r w:rsidRPr="00AC789B">
        <w:rPr>
          <w:b/>
        </w:rPr>
        <w:t xml:space="preserve"> </w:t>
      </w:r>
      <w:proofErr w:type="spellStart"/>
      <w:r w:rsidRPr="00AC789B">
        <w:rPr>
          <w:b/>
        </w:rPr>
        <w:t>Nedelcu</w:t>
      </w:r>
      <w:proofErr w:type="spellEnd"/>
    </w:p>
    <w:p w:rsidR="00426659" w:rsidRPr="00AC789B" w:rsidRDefault="00566AD1" w:rsidP="00C46F3D">
      <w:pPr>
        <w:pStyle w:val="SCCSystemYear"/>
        <w:spacing w:after="720"/>
        <w:jc w:val="both"/>
      </w:pPr>
      <w:r w:rsidRPr="00AC789B">
        <w:t>2012</w:t>
      </w:r>
      <w:r w:rsidR="003D0399" w:rsidRPr="00AC789B">
        <w:t xml:space="preserve"> </w:t>
      </w:r>
      <w:r w:rsidR="00404C35" w:rsidRPr="00AC789B">
        <w:t>SCC 59</w:t>
      </w:r>
    </w:p>
    <w:p w:rsidR="008322BD" w:rsidRPr="00AC789B" w:rsidRDefault="009B57B3" w:rsidP="00C46F3D">
      <w:pPr>
        <w:spacing w:after="720"/>
        <w:jc w:val="both"/>
      </w:pPr>
      <w:r w:rsidRPr="00AC789B">
        <w:t>File No.:  34228.</w:t>
      </w:r>
    </w:p>
    <w:p w:rsidR="008322BD" w:rsidRPr="00AC789B" w:rsidRDefault="00D64EF0" w:rsidP="00C46F3D">
      <w:pPr>
        <w:spacing w:after="720"/>
        <w:jc w:val="both"/>
      </w:pPr>
      <w:r w:rsidRPr="00AC789B">
        <w:t>2012:  March </w:t>
      </w:r>
      <w:r w:rsidR="00566AD1" w:rsidRPr="00AC789B">
        <w:t>16</w:t>
      </w:r>
      <w:r w:rsidRPr="00AC789B">
        <w:t>; 2012:  November </w:t>
      </w:r>
      <w:r w:rsidR="00AE0EB2" w:rsidRPr="00AC789B">
        <w:t>7</w:t>
      </w:r>
      <w:r w:rsidR="009B57B3" w:rsidRPr="00AC789B">
        <w:t>.</w:t>
      </w:r>
    </w:p>
    <w:p w:rsidR="008322BD" w:rsidRPr="00AC789B" w:rsidRDefault="009B57B3" w:rsidP="00C46F3D">
      <w:pPr>
        <w:spacing w:after="720"/>
        <w:jc w:val="both"/>
      </w:pPr>
      <w:r w:rsidRPr="00AC789B">
        <w:t xml:space="preserve">Present:  </w:t>
      </w:r>
      <w:proofErr w:type="spellStart"/>
      <w:r w:rsidRPr="00AC789B">
        <w:t>McLachlin</w:t>
      </w:r>
      <w:proofErr w:type="spellEnd"/>
      <w:r w:rsidRPr="00AC789B">
        <w:t xml:space="preserve"> C.J. and </w:t>
      </w:r>
      <w:proofErr w:type="spellStart"/>
      <w:r w:rsidRPr="00AC789B">
        <w:t>LeBel</w:t>
      </w:r>
      <w:proofErr w:type="spellEnd"/>
      <w:r w:rsidRPr="00AC789B">
        <w:t xml:space="preserve">, </w:t>
      </w:r>
      <w:proofErr w:type="spellStart"/>
      <w:r w:rsidRPr="00AC789B">
        <w:t>Deschamps</w:t>
      </w:r>
      <w:proofErr w:type="spellEnd"/>
      <w:r w:rsidRPr="00AC789B">
        <w:t xml:space="preserve">, Fish, </w:t>
      </w:r>
      <w:proofErr w:type="spellStart"/>
      <w:r w:rsidRPr="00AC789B">
        <w:t>Abella</w:t>
      </w:r>
      <w:proofErr w:type="spellEnd"/>
      <w:r w:rsidRPr="00AC789B">
        <w:t xml:space="preserve">, Rothstein, Cromwell, </w:t>
      </w:r>
      <w:proofErr w:type="spellStart"/>
      <w:r w:rsidRPr="00AC789B">
        <w:t>Moldaver</w:t>
      </w:r>
      <w:proofErr w:type="spellEnd"/>
      <w:r w:rsidRPr="00AC789B">
        <w:t xml:space="preserve"> and </w:t>
      </w:r>
      <w:proofErr w:type="spellStart"/>
      <w:r w:rsidRPr="00AC789B">
        <w:t>Karakatsanis</w:t>
      </w:r>
      <w:proofErr w:type="spellEnd"/>
      <w:r w:rsidRPr="00AC789B">
        <w:t> JJ.</w:t>
      </w:r>
    </w:p>
    <w:p w:rsidR="008322BD" w:rsidRPr="00AC789B" w:rsidRDefault="00656313" w:rsidP="00C46F3D">
      <w:pPr>
        <w:pStyle w:val="SCCLowerCourtNameLowercase"/>
        <w:spacing w:after="720" w:line="240" w:lineRule="auto"/>
      </w:pPr>
      <w:r w:rsidRPr="00AC789B">
        <w:t>o</w:t>
      </w:r>
      <w:r w:rsidR="00170592" w:rsidRPr="00AC789B">
        <w:t>n</w:t>
      </w:r>
      <w:r w:rsidR="00224FC0" w:rsidRPr="00AC789B">
        <w:t xml:space="preserve"> </w:t>
      </w:r>
      <w:r w:rsidRPr="00AC789B">
        <w:t>a</w:t>
      </w:r>
      <w:r w:rsidR="00170592" w:rsidRPr="00AC789B">
        <w:t>ppeal</w:t>
      </w:r>
      <w:r w:rsidR="00224FC0" w:rsidRPr="00AC789B">
        <w:t xml:space="preserve"> </w:t>
      </w:r>
      <w:r w:rsidR="00170592" w:rsidRPr="00AC789B">
        <w:t>from</w:t>
      </w:r>
      <w:r w:rsidR="009567AA" w:rsidRPr="00AC789B">
        <w:t xml:space="preserve"> the</w:t>
      </w:r>
      <w:r w:rsidR="00224FC0" w:rsidRPr="00AC789B">
        <w:t xml:space="preserve"> </w:t>
      </w:r>
      <w:r w:rsidR="009B57B3" w:rsidRPr="00AC789B">
        <w:t xml:space="preserve">court of appeal for </w:t>
      </w:r>
      <w:proofErr w:type="spellStart"/>
      <w:r w:rsidR="009B57B3" w:rsidRPr="00AC789B">
        <w:t>ontario</w:t>
      </w:r>
      <w:proofErr w:type="spellEnd"/>
    </w:p>
    <w:p w:rsidR="001640E7" w:rsidRPr="00AC789B" w:rsidRDefault="009B57B3" w:rsidP="001640E7">
      <w:pPr>
        <w:pStyle w:val="SCCNormalDoubleSpacing"/>
        <w:spacing w:after="480"/>
      </w:pPr>
      <w:r w:rsidRPr="00AC789B">
        <w:lastRenderedPageBreak/>
        <w:tab/>
      </w:r>
      <w:r w:rsidR="001640E7" w:rsidRPr="00AC789B">
        <w:rPr>
          <w:i/>
        </w:rPr>
        <w:t>Constitutional law — Charter of Rights — Self</w:t>
      </w:r>
      <w:r w:rsidR="00D64EF0" w:rsidRPr="00AC789B">
        <w:rPr>
          <w:i/>
        </w:rPr>
        <w:noBreakHyphen/>
      </w:r>
      <w:r w:rsidR="001640E7" w:rsidRPr="00AC789B">
        <w:rPr>
          <w:i/>
        </w:rPr>
        <w:t>incrimination — Accused involved in motor vehicle accident where victim sustained serious injuries — Accused charged with Criminal Code offences — Accused testifying in criminal action — Testimony inconsistent with discovery testimony in prior related civil action —</w:t>
      </w:r>
      <w:r w:rsidR="00AD09FD" w:rsidRPr="00AC789B">
        <w:rPr>
          <w:i/>
        </w:rPr>
        <w:t xml:space="preserve"> </w:t>
      </w:r>
      <w:r w:rsidR="001640E7" w:rsidRPr="00AC789B">
        <w:rPr>
          <w:i/>
        </w:rPr>
        <w:t>Whether Crown at criminal trial may cross</w:t>
      </w:r>
      <w:r w:rsidR="00D64EF0" w:rsidRPr="00AC789B">
        <w:rPr>
          <w:i/>
        </w:rPr>
        <w:noBreakHyphen/>
      </w:r>
      <w:r w:rsidR="001640E7" w:rsidRPr="00AC789B">
        <w:rPr>
          <w:i/>
        </w:rPr>
        <w:t>examine accused on prior inconsistent statements without infringing right against self</w:t>
      </w:r>
      <w:r w:rsidR="00D64EF0" w:rsidRPr="00AC789B">
        <w:rPr>
          <w:i/>
        </w:rPr>
        <w:noBreakHyphen/>
      </w:r>
      <w:r w:rsidR="001640E7" w:rsidRPr="00AC789B">
        <w:rPr>
          <w:i/>
        </w:rPr>
        <w:t>incrimination — Canadian Charter of Rights and Freedoms, s.</w:t>
      </w:r>
      <w:r w:rsidR="008F35F6" w:rsidRPr="00AC789B">
        <w:rPr>
          <w:i/>
        </w:rPr>
        <w:t> </w:t>
      </w:r>
      <w:r w:rsidR="001640E7" w:rsidRPr="00AC789B">
        <w:rPr>
          <w:i/>
        </w:rPr>
        <w:t>13.</w:t>
      </w:r>
    </w:p>
    <w:p w:rsidR="001640E7" w:rsidRPr="00AC789B" w:rsidRDefault="001640E7" w:rsidP="00D64EF0">
      <w:pPr>
        <w:pStyle w:val="SCCNormalDoubleSpacing"/>
        <w:spacing w:after="480"/>
      </w:pPr>
      <w:r w:rsidRPr="00AC789B">
        <w:tab/>
        <w:t>After work one evening, N took the victim for a ride on his motorcycle on their employer</w:t>
      </w:r>
      <w:r w:rsidR="00121948" w:rsidRPr="00AC789B">
        <w:t>’</w:t>
      </w:r>
      <w:r w:rsidRPr="00AC789B">
        <w:t xml:space="preserve">s property. </w:t>
      </w:r>
      <w:r w:rsidR="008F35F6" w:rsidRPr="00AC789B">
        <w:t xml:space="preserve"> </w:t>
      </w:r>
      <w:r w:rsidRPr="00AC789B">
        <w:t>The motorcycle crashed into a curb, causing the victim permanent brain damage.</w:t>
      </w:r>
      <w:r w:rsidR="008F35F6" w:rsidRPr="00AC789B">
        <w:t xml:space="preserve"> </w:t>
      </w:r>
      <w:r w:rsidRPr="00AC789B">
        <w:t xml:space="preserve"> N sustained minor injuries and was hospitalized overnight</w:t>
      </w:r>
      <w:r w:rsidR="00031CCD" w:rsidRPr="00AC789B">
        <w:t xml:space="preserve">.  </w:t>
      </w:r>
      <w:r w:rsidRPr="00AC789B">
        <w:t xml:space="preserve">N was charged with dangerous driving causing bodily harm and impaired driving causing bodily harm. </w:t>
      </w:r>
      <w:r w:rsidR="008F35F6" w:rsidRPr="00AC789B">
        <w:t xml:space="preserve"> </w:t>
      </w:r>
      <w:r w:rsidRPr="00AC789B">
        <w:t>He was also sued in a civil action by the victim and his family</w:t>
      </w:r>
      <w:r w:rsidR="00031CCD" w:rsidRPr="00AC789B">
        <w:t xml:space="preserve">.  </w:t>
      </w:r>
      <w:r w:rsidRPr="00AC789B">
        <w:t xml:space="preserve">During his examination for discovery in the civil matter, N testified that he had no memory of the events from the day of the accident until he woke up in the hospital the following day. </w:t>
      </w:r>
      <w:r w:rsidR="008F35F6" w:rsidRPr="00AC789B">
        <w:t xml:space="preserve"> </w:t>
      </w:r>
      <w:r w:rsidRPr="00AC789B">
        <w:t>At his criminal trial, however, N gave a detailed account of the events leading up to and during the accident</w:t>
      </w:r>
      <w:r w:rsidR="008F35F6" w:rsidRPr="00AC789B">
        <w:t xml:space="preserve">.  </w:t>
      </w:r>
      <w:r w:rsidRPr="00AC789B">
        <w:t>Having been granted leave to cross</w:t>
      </w:r>
      <w:r w:rsidR="00D64EF0" w:rsidRPr="00AC789B">
        <w:noBreakHyphen/>
      </w:r>
      <w:r w:rsidRPr="00AC789B">
        <w:t>examine N on his discovery evidence, the Crown asked N about his memory of the events</w:t>
      </w:r>
      <w:r w:rsidR="008F35F6" w:rsidRPr="00AC789B">
        <w:t xml:space="preserve">.  </w:t>
      </w:r>
      <w:r w:rsidRPr="00AC789B">
        <w:t>N stated, “I have a recollection about 90, 95 percent”</w:t>
      </w:r>
      <w:r w:rsidR="008F35F6" w:rsidRPr="00AC789B">
        <w:t xml:space="preserve">.  </w:t>
      </w:r>
      <w:r w:rsidRPr="00AC789B">
        <w:t>N</w:t>
      </w:r>
      <w:r w:rsidR="00121948" w:rsidRPr="00AC789B">
        <w:t>’</w:t>
      </w:r>
      <w:r w:rsidRPr="00AC789B">
        <w:t>s trial testimony was found to be unreliable and he was found guilty of dangerous driving causing bodily harm</w:t>
      </w:r>
      <w:r w:rsidR="008F35F6" w:rsidRPr="00AC789B">
        <w:t xml:space="preserve">.  </w:t>
      </w:r>
      <w:r w:rsidRPr="00AC789B">
        <w:t>The Court of Appeal allowed N</w:t>
      </w:r>
      <w:r w:rsidR="00121948" w:rsidRPr="00AC789B">
        <w:t>’</w:t>
      </w:r>
      <w:r w:rsidRPr="00AC789B">
        <w:t>s appe</w:t>
      </w:r>
      <w:r w:rsidR="00D64EF0" w:rsidRPr="00AC789B">
        <w:t>al.</w:t>
      </w:r>
      <w:r w:rsidR="00031CCD" w:rsidRPr="00AC789B">
        <w:t xml:space="preserve"> </w:t>
      </w:r>
      <w:r w:rsidR="008F35F6" w:rsidRPr="00AC789B">
        <w:t xml:space="preserve"> </w:t>
      </w:r>
      <w:r w:rsidRPr="00AC789B">
        <w:t>The trial judge</w:t>
      </w:r>
      <w:r w:rsidR="00121948" w:rsidRPr="00AC789B">
        <w:t>’</w:t>
      </w:r>
      <w:r w:rsidRPr="00AC789B">
        <w:t>s ruling was overturned, the conviction was set aside and a new trial was ordered.</w:t>
      </w:r>
    </w:p>
    <w:p w:rsidR="001640E7" w:rsidRPr="00AC789B" w:rsidRDefault="001640E7" w:rsidP="00D64EF0">
      <w:pPr>
        <w:pStyle w:val="SCCNormalDoubleSpacing"/>
        <w:spacing w:after="480"/>
        <w:rPr>
          <w:lang w:val="en-US"/>
        </w:rPr>
      </w:pPr>
      <w:r w:rsidRPr="00AC789B">
        <w:lastRenderedPageBreak/>
        <w:tab/>
      </w:r>
      <w:r w:rsidRPr="00AC789B">
        <w:rPr>
          <w:i/>
        </w:rPr>
        <w:t>Held</w:t>
      </w:r>
      <w:r w:rsidR="00D64EF0" w:rsidRPr="00AC789B">
        <w:t xml:space="preserve"> (LeBel, Fish and Cromwell </w:t>
      </w:r>
      <w:r w:rsidRPr="00AC789B">
        <w:t xml:space="preserve">JJ. dissenting): </w:t>
      </w:r>
      <w:r w:rsidR="00AE0EB2" w:rsidRPr="00AC789B">
        <w:t xml:space="preserve"> </w:t>
      </w:r>
      <w:r w:rsidRPr="00AC789B">
        <w:rPr>
          <w:lang w:val="en-US"/>
        </w:rPr>
        <w:t>The appeal should be allowed, the order for a new trial set aside, and the guilty verdict on the charge of dangerous driving causing bodily harm restored.</w:t>
      </w:r>
    </w:p>
    <w:p w:rsidR="001640E7" w:rsidRPr="00AC789B" w:rsidRDefault="00AE0EB2" w:rsidP="00D64EF0">
      <w:pPr>
        <w:pStyle w:val="SCCNormalDoubleSpacing"/>
        <w:spacing w:after="480"/>
      </w:pPr>
      <w:r w:rsidRPr="00AC789B">
        <w:rPr>
          <w:i/>
        </w:rPr>
        <w:tab/>
      </w:r>
      <w:r w:rsidR="001640E7" w:rsidRPr="00AC789B">
        <w:rPr>
          <w:i/>
        </w:rPr>
        <w:t>Per</w:t>
      </w:r>
      <w:r w:rsidR="008F35F6" w:rsidRPr="00AC789B">
        <w:t xml:space="preserve"> </w:t>
      </w:r>
      <w:proofErr w:type="spellStart"/>
      <w:r w:rsidR="008F35F6" w:rsidRPr="00AC789B">
        <w:t>McLachlin</w:t>
      </w:r>
      <w:proofErr w:type="spellEnd"/>
      <w:r w:rsidR="008F35F6" w:rsidRPr="00AC789B">
        <w:t> </w:t>
      </w:r>
      <w:r w:rsidR="001640E7" w:rsidRPr="00AC789B">
        <w:t xml:space="preserve">C.J. and </w:t>
      </w:r>
      <w:proofErr w:type="spellStart"/>
      <w:r w:rsidR="001640E7" w:rsidRPr="00AC789B">
        <w:t>Deschamps</w:t>
      </w:r>
      <w:proofErr w:type="spellEnd"/>
      <w:r w:rsidR="001640E7" w:rsidRPr="00AC789B">
        <w:t xml:space="preserve">, </w:t>
      </w:r>
      <w:proofErr w:type="spellStart"/>
      <w:r w:rsidR="001640E7" w:rsidRPr="00AC789B">
        <w:t>Abella</w:t>
      </w:r>
      <w:proofErr w:type="spellEnd"/>
      <w:r w:rsidR="001640E7" w:rsidRPr="00AC789B">
        <w:t xml:space="preserve">, Rothstein, </w:t>
      </w:r>
      <w:proofErr w:type="spellStart"/>
      <w:r w:rsidR="001640E7" w:rsidRPr="00AC789B">
        <w:t>Moldaver</w:t>
      </w:r>
      <w:proofErr w:type="spellEnd"/>
      <w:r w:rsidR="00A701C1" w:rsidRPr="00AC789B">
        <w:t xml:space="preserve"> and </w:t>
      </w:r>
      <w:proofErr w:type="spellStart"/>
      <w:r w:rsidR="00A701C1" w:rsidRPr="00AC789B">
        <w:t>Kara</w:t>
      </w:r>
      <w:r w:rsidR="00AD09FD" w:rsidRPr="00AC789B">
        <w:t>katsanis</w:t>
      </w:r>
      <w:proofErr w:type="spellEnd"/>
      <w:r w:rsidR="008F35F6" w:rsidRPr="00AC789B">
        <w:t> </w:t>
      </w:r>
      <w:r w:rsidR="00AD09FD" w:rsidRPr="00AC789B">
        <w:t>JJ.:</w:t>
      </w:r>
      <w:r w:rsidRPr="00AC789B">
        <w:t xml:space="preserve">  </w:t>
      </w:r>
      <w:r w:rsidR="001640E7" w:rsidRPr="00AC789B">
        <w:t>Although N was statutorily compellable and therefore compelled for the purpose of s.</w:t>
      </w:r>
      <w:r w:rsidR="008F35F6" w:rsidRPr="00AC789B">
        <w:t> </w:t>
      </w:r>
      <w:r w:rsidR="001640E7" w:rsidRPr="00AC789B">
        <w:t xml:space="preserve">13 of the </w:t>
      </w:r>
      <w:r w:rsidR="001640E7" w:rsidRPr="00AC789B">
        <w:rPr>
          <w:i/>
        </w:rPr>
        <w:t>Charter</w:t>
      </w:r>
      <w:r w:rsidR="001640E7" w:rsidRPr="00AC789B">
        <w:t xml:space="preserve"> to testify at his examination for discovery in the civil action, the use of his non</w:t>
      </w:r>
      <w:r w:rsidR="00D64EF0" w:rsidRPr="00AC789B">
        <w:noBreakHyphen/>
      </w:r>
      <w:r w:rsidR="001640E7" w:rsidRPr="00AC789B">
        <w:t>incriminating discovery evidence for impeachment purposes could not and did no</w:t>
      </w:r>
      <w:r w:rsidR="008F35F6" w:rsidRPr="00AC789B">
        <w:t>t trigger the application of s. </w:t>
      </w:r>
      <w:r w:rsidR="001640E7" w:rsidRPr="00AC789B">
        <w:t>13.</w:t>
      </w:r>
      <w:r w:rsidR="008F35F6" w:rsidRPr="00AC789B">
        <w:t xml:space="preserve">  Section </w:t>
      </w:r>
      <w:r w:rsidR="001640E7" w:rsidRPr="00AC789B">
        <w:t>13 is not directed to “any evidence” the witness may have been compelled to give at the prior proceeding, but to incriminating evidence</w:t>
      </w:r>
      <w:r w:rsidR="008F35F6" w:rsidRPr="00AC789B">
        <w:t xml:space="preserve">.  </w:t>
      </w:r>
      <w:r w:rsidR="001640E7" w:rsidRPr="00AC789B">
        <w:t>Incriminating evidence is evidence given by the witness at the prior proceeding that the Crown could use at the subsequent proceeding, if it were permitted to do so, to prove guilt, i.e.</w:t>
      </w:r>
      <w:r w:rsidR="00A701C1" w:rsidRPr="00AC789B">
        <w:t>,</w:t>
      </w:r>
      <w:r w:rsidR="001640E7" w:rsidRPr="00AC789B">
        <w:t xml:space="preserve"> to prove or assist in proving one or more of the essential elements of the offence for which the witness is being tried</w:t>
      </w:r>
      <w:r w:rsidR="008F35F6" w:rsidRPr="00AC789B">
        <w:t xml:space="preserve">.  </w:t>
      </w:r>
      <w:r w:rsidR="001640E7" w:rsidRPr="00AC789B">
        <w:t>Where the evidence given by the witness at the prior proceeding could not be used by the Crown at the subsequent proceeding to prove the witness</w:t>
      </w:r>
      <w:r w:rsidR="00121948" w:rsidRPr="00AC789B">
        <w:t>’</w:t>
      </w:r>
      <w:r w:rsidR="001640E7" w:rsidRPr="00AC789B">
        <w:t xml:space="preserve">s guilt on the charge for which he or she is being tried, the prior evidence is not “incriminating evidence”. </w:t>
      </w:r>
    </w:p>
    <w:p w:rsidR="001640E7" w:rsidRPr="00AC789B" w:rsidRDefault="001640E7" w:rsidP="00D64EF0">
      <w:pPr>
        <w:pStyle w:val="SCCNormalDoubleSpacing"/>
        <w:spacing w:after="480"/>
      </w:pPr>
      <w:r w:rsidRPr="00AC789B">
        <w:tab/>
        <w:t>The mere possibility that evidence, which is otherwise “non</w:t>
      </w:r>
      <w:r w:rsidR="00D64EF0" w:rsidRPr="00AC789B">
        <w:noBreakHyphen/>
      </w:r>
      <w:r w:rsidRPr="00AC789B">
        <w:t xml:space="preserve">incriminating”, can be converted into “incriminating” evidence if the Crown were to take the added steps needed to make it </w:t>
      </w:r>
      <w:proofErr w:type="gramStart"/>
      <w:r w:rsidRPr="00AC789B">
        <w:t>so,</w:t>
      </w:r>
      <w:proofErr w:type="gramEnd"/>
      <w:r w:rsidRPr="00AC789B">
        <w:t xml:space="preserve"> is not enough t</w:t>
      </w:r>
      <w:r w:rsidR="008F35F6" w:rsidRPr="00AC789B">
        <w:t>o trigger the application of s. </w:t>
      </w:r>
      <w:r w:rsidRPr="00AC789B">
        <w:t xml:space="preserve">13. </w:t>
      </w:r>
      <w:r w:rsidR="008F35F6" w:rsidRPr="00AC789B">
        <w:t xml:space="preserve"> </w:t>
      </w:r>
      <w:r w:rsidRPr="00AC789B">
        <w:t xml:space="preserve">The use of </w:t>
      </w:r>
      <w:r w:rsidR="00AD09FD" w:rsidRPr="00AC789B">
        <w:t>N</w:t>
      </w:r>
      <w:r w:rsidR="00121948" w:rsidRPr="00AC789B">
        <w:t>’</w:t>
      </w:r>
      <w:r w:rsidRPr="00AC789B">
        <w:t xml:space="preserve">s discovery evidence to test his credibility, and </w:t>
      </w:r>
      <w:r w:rsidRPr="00AC789B">
        <w:lastRenderedPageBreak/>
        <w:t xml:space="preserve">nothing else, could not convert his discovery evidence into incriminating evidence.  The discovery evidence would retain its original characteristics and it would not become evidence from which the </w:t>
      </w:r>
      <w:proofErr w:type="spellStart"/>
      <w:r w:rsidRPr="00AC789B">
        <w:t>triers</w:t>
      </w:r>
      <w:proofErr w:type="spellEnd"/>
      <w:r w:rsidRPr="00AC789B">
        <w:t xml:space="preserve"> of fact could infer guilt.</w:t>
      </w:r>
    </w:p>
    <w:p w:rsidR="001640E7" w:rsidRPr="00AC789B" w:rsidRDefault="001640E7" w:rsidP="00D64EF0">
      <w:pPr>
        <w:pStyle w:val="SCCNormalDoubleSpacing"/>
        <w:spacing w:after="480"/>
      </w:pPr>
      <w:r w:rsidRPr="00AC789B">
        <w:tab/>
        <w:t xml:space="preserve">While it is true that </w:t>
      </w:r>
      <w:r w:rsidR="00AD09FD" w:rsidRPr="00AC789B">
        <w:t>N</w:t>
      </w:r>
      <w:r w:rsidR="00121948" w:rsidRPr="00AC789B">
        <w:t>’</w:t>
      </w:r>
      <w:r w:rsidRPr="00AC789B">
        <w:t xml:space="preserve">s inconsistent discovery evidence might lead the </w:t>
      </w:r>
      <w:proofErr w:type="spellStart"/>
      <w:r w:rsidRPr="00AC789B">
        <w:t>triers</w:t>
      </w:r>
      <w:proofErr w:type="spellEnd"/>
      <w:r w:rsidRPr="00AC789B">
        <w:t xml:space="preserve"> of fact to reject his trial testimony, rejection of an </w:t>
      </w:r>
      <w:proofErr w:type="spellStart"/>
      <w:r w:rsidRPr="00AC789B">
        <w:t>accused</w:t>
      </w:r>
      <w:r w:rsidR="00121948" w:rsidRPr="00AC789B">
        <w:t>’</w:t>
      </w:r>
      <w:r w:rsidRPr="00AC789B">
        <w:t>s</w:t>
      </w:r>
      <w:proofErr w:type="spellEnd"/>
      <w:r w:rsidRPr="00AC789B">
        <w:t xml:space="preserve"> testimony does not create evidence for the Crown — any more than the rejection of an </w:t>
      </w:r>
      <w:proofErr w:type="spellStart"/>
      <w:r w:rsidRPr="00AC789B">
        <w:t>accused</w:t>
      </w:r>
      <w:r w:rsidR="00121948" w:rsidRPr="00AC789B">
        <w:t>’</w:t>
      </w:r>
      <w:r w:rsidRPr="00AC789B">
        <w:t>s</w:t>
      </w:r>
      <w:proofErr w:type="spellEnd"/>
      <w:r w:rsidRPr="00AC789B">
        <w:t xml:space="preserve"> alibi evidence does, absent a finding on independent evidence, that the alibi has been concocted.</w:t>
      </w:r>
    </w:p>
    <w:p w:rsidR="001640E7" w:rsidRPr="00AC789B" w:rsidRDefault="001640E7" w:rsidP="00D64EF0">
      <w:pPr>
        <w:pStyle w:val="SCCNormalDoubleSpacing"/>
        <w:spacing w:after="480"/>
      </w:pPr>
      <w:r w:rsidRPr="00AC789B">
        <w:tab/>
        <w:t>On this c</w:t>
      </w:r>
      <w:r w:rsidR="008F35F6" w:rsidRPr="00AC789B">
        <w:t>onstruction of s. </w:t>
      </w:r>
      <w:r w:rsidRPr="00AC789B">
        <w:t>13, neither the truthful witness nor the perjurer need be concerned that any incriminating evidence given by them at a prior proceeding will be used against them, for any purpose, at a subsequent proceeding for anything other than perjury.</w:t>
      </w:r>
    </w:p>
    <w:p w:rsidR="001640E7" w:rsidRPr="00AC789B" w:rsidRDefault="001640E7" w:rsidP="00D64EF0">
      <w:pPr>
        <w:pStyle w:val="SCCNormalDoubleSpacing"/>
        <w:spacing w:after="480"/>
        <w:rPr>
          <w:b/>
        </w:rPr>
      </w:pPr>
      <w:r w:rsidRPr="00AC789B">
        <w:tab/>
        <w:t>While this approach might impinge ever so slightly on clarity and predictability, clarity and predictability should not be pursued</w:t>
      </w:r>
      <w:r w:rsidR="008F35F6" w:rsidRPr="00AC789B">
        <w:t xml:space="preserve"> at the expense of rewriting s. </w:t>
      </w:r>
      <w:r w:rsidRPr="00AC789B">
        <w:t>13 to remove critical words that alter the meaning of the section and impermissibly extend its protection beyond its intended purpose</w:t>
      </w:r>
      <w:r w:rsidR="008F35F6" w:rsidRPr="00AC789B">
        <w:t xml:space="preserve">.  </w:t>
      </w:r>
      <w:r w:rsidRPr="00AC789B">
        <w:t>Trial judges will have little difficulty deciding whether evidence put forward by the Crown meets the test for “incriminating” evidence as defined</w:t>
      </w:r>
      <w:r w:rsidR="008F35F6" w:rsidRPr="00AC789B">
        <w:t xml:space="preserve">.  </w:t>
      </w:r>
      <w:r w:rsidRPr="00AC789B">
        <w:t>It would of course be incumbent on trial judges to provide juries with clear instructions as to the use they could make of the evidence given at the prior proceeding.</w:t>
      </w:r>
    </w:p>
    <w:p w:rsidR="001640E7" w:rsidRPr="00AC789B" w:rsidRDefault="001640E7" w:rsidP="00D64EF0">
      <w:pPr>
        <w:pStyle w:val="SCCNormalDoubleSpacing"/>
        <w:spacing w:after="480"/>
      </w:pPr>
      <w:r w:rsidRPr="00AC789B">
        <w:lastRenderedPageBreak/>
        <w:tab/>
        <w:t>On its own, N</w:t>
      </w:r>
      <w:r w:rsidR="00121948" w:rsidRPr="00AC789B">
        <w:t>’</w:t>
      </w:r>
      <w:r w:rsidRPr="00AC789B">
        <w:t>s discovery testimony could not have been used by the Crown to prove or assis</w:t>
      </w:r>
      <w:r w:rsidR="00D64EF0" w:rsidRPr="00AC789B">
        <w:t>t in proving one or more of the</w:t>
      </w:r>
      <w:r w:rsidRPr="00AC789B">
        <w:t xml:space="preserve"> essential elements of the criminal charges he was facing</w:t>
      </w:r>
      <w:r w:rsidR="008F35F6" w:rsidRPr="00AC789B">
        <w:t xml:space="preserve">.  </w:t>
      </w:r>
      <w:r w:rsidRPr="00AC789B">
        <w:t xml:space="preserve">While his inconsistent discovery evidence might lead the </w:t>
      </w:r>
      <w:proofErr w:type="spellStart"/>
      <w:r w:rsidRPr="00AC789B">
        <w:t>triers</w:t>
      </w:r>
      <w:proofErr w:type="spellEnd"/>
      <w:r w:rsidRPr="00AC789B">
        <w:t xml:space="preserve"> of fact to reject his trial testimony, rejection of an </w:t>
      </w:r>
      <w:proofErr w:type="spellStart"/>
      <w:r w:rsidRPr="00AC789B">
        <w:t>accused</w:t>
      </w:r>
      <w:r w:rsidR="00121948" w:rsidRPr="00AC789B">
        <w:t>’</w:t>
      </w:r>
      <w:r w:rsidRPr="00AC789B">
        <w:t>s</w:t>
      </w:r>
      <w:proofErr w:type="spellEnd"/>
      <w:r w:rsidRPr="00AC789B">
        <w:t xml:space="preserve"> testimony does not create evidence for the Crown.</w:t>
      </w:r>
    </w:p>
    <w:p w:rsidR="001640E7" w:rsidRPr="00AC789B" w:rsidRDefault="00AE0EB2" w:rsidP="00D64EF0">
      <w:pPr>
        <w:pStyle w:val="SCCNormalDoubleSpacing"/>
        <w:spacing w:after="480"/>
      </w:pPr>
      <w:r w:rsidRPr="00AC789B">
        <w:rPr>
          <w:i/>
        </w:rPr>
        <w:tab/>
      </w:r>
      <w:proofErr w:type="gramStart"/>
      <w:r w:rsidR="001640E7" w:rsidRPr="00AC789B">
        <w:rPr>
          <w:i/>
        </w:rPr>
        <w:t>Per</w:t>
      </w:r>
      <w:r w:rsidR="001640E7" w:rsidRPr="00AC789B">
        <w:t xml:space="preserve"> LeBel</w:t>
      </w:r>
      <w:r w:rsidR="008F35F6" w:rsidRPr="00AC789B">
        <w:t>, Fish and Cromwell </w:t>
      </w:r>
      <w:r w:rsidR="001640E7" w:rsidRPr="00AC789B">
        <w:t>JJ.</w:t>
      </w:r>
      <w:proofErr w:type="gramEnd"/>
      <w:r w:rsidR="001640E7" w:rsidRPr="00AC789B">
        <w:t xml:space="preserve"> (</w:t>
      </w:r>
      <w:proofErr w:type="gramStart"/>
      <w:r w:rsidR="001640E7" w:rsidRPr="00AC789B">
        <w:t>dissenting</w:t>
      </w:r>
      <w:proofErr w:type="gramEnd"/>
      <w:r w:rsidR="001640E7" w:rsidRPr="00AC789B">
        <w:t>):</w:t>
      </w:r>
      <w:r w:rsidRPr="00AC789B">
        <w:t xml:space="preserve">  </w:t>
      </w:r>
      <w:r w:rsidR="001640E7" w:rsidRPr="00AC789B">
        <w:t>The right against self</w:t>
      </w:r>
      <w:r w:rsidR="00D64EF0" w:rsidRPr="00AC789B">
        <w:noBreakHyphen/>
      </w:r>
      <w:r w:rsidR="001640E7" w:rsidRPr="00AC789B">
        <w:t xml:space="preserve">incrimination lies at the heart of our justice system and is enshrined in the </w:t>
      </w:r>
      <w:r w:rsidR="001640E7" w:rsidRPr="00AC789B">
        <w:rPr>
          <w:i/>
        </w:rPr>
        <w:t>Canadian Charter of Rights and Freedoms</w:t>
      </w:r>
      <w:r w:rsidR="008F35F6" w:rsidRPr="00AC789B">
        <w:t xml:space="preserve">.  </w:t>
      </w:r>
      <w:r w:rsidR="001640E7" w:rsidRPr="00AC789B">
        <w:t>It is intimately linked to the right to stand silent in the face of one</w:t>
      </w:r>
      <w:r w:rsidR="00121948" w:rsidRPr="00AC789B">
        <w:t>’</w:t>
      </w:r>
      <w:r w:rsidR="001640E7" w:rsidRPr="00AC789B">
        <w:t>s accuser, to the presumption of innocence and to the notion that the Crown must prove its case beyond a reasonable doubt without any assistance from the accused.</w:t>
      </w:r>
    </w:p>
    <w:p w:rsidR="001640E7" w:rsidRPr="00AC789B" w:rsidRDefault="001640E7" w:rsidP="00D64EF0">
      <w:pPr>
        <w:pStyle w:val="SCCNormalDoubleSpacing"/>
        <w:spacing w:after="480"/>
      </w:pPr>
      <w:r w:rsidRPr="00AC789B">
        <w:tab/>
        <w:t xml:space="preserve">Section 13 only applies when the </w:t>
      </w:r>
      <w:r w:rsidRPr="00AC789B">
        <w:rPr>
          <w:i/>
        </w:rPr>
        <w:t>quid pro quo</w:t>
      </w:r>
      <w:r w:rsidRPr="00AC789B">
        <w:t xml:space="preserve"> is engaged: a witness</w:t>
      </w:r>
      <w:r w:rsidR="00121948" w:rsidRPr="00AC789B">
        <w:t>’</w:t>
      </w:r>
      <w:r w:rsidRPr="00AC789B">
        <w:t>s evidence is compelled in exchange for a guarantee that the Crown will not use that evidence against that person i</w:t>
      </w:r>
      <w:r w:rsidR="00A701C1" w:rsidRPr="00AC789B">
        <w:t>f</w:t>
      </w:r>
      <w:r w:rsidRPr="00AC789B">
        <w:t xml:space="preserve"> another proceeding</w:t>
      </w:r>
      <w:r w:rsidRPr="00AC789B">
        <w:rPr>
          <w:i/>
        </w:rPr>
        <w:t xml:space="preserve"> </w:t>
      </w:r>
      <w:r w:rsidRPr="00AC789B">
        <w:t>is engaged</w:t>
      </w:r>
      <w:r w:rsidR="008F35F6" w:rsidRPr="00AC789B">
        <w:t>.  The focus of the s. </w:t>
      </w:r>
      <w:r w:rsidRPr="00AC789B">
        <w:t>13 analysis should be on compulsion</w:t>
      </w:r>
      <w:r w:rsidR="008F35F6" w:rsidRPr="00AC789B">
        <w:t xml:space="preserve">.  </w:t>
      </w:r>
      <w:r w:rsidRPr="00AC789B">
        <w:t>Evidence should be treated as compelled where there is a statutory route by which the witness could be compelled to give evidence</w:t>
      </w:r>
      <w:r w:rsidR="008F35F6" w:rsidRPr="00AC789B">
        <w:t xml:space="preserve">.  </w:t>
      </w:r>
      <w:r w:rsidRPr="00AC789B">
        <w:t>Whether or not that route is actually taken does not change the fact that it was available and could have been taken</w:t>
      </w:r>
      <w:r w:rsidR="008F35F6" w:rsidRPr="00AC789B">
        <w:t xml:space="preserve">.  </w:t>
      </w:r>
      <w:r w:rsidRPr="00AC789B">
        <w:t xml:space="preserve">It would be unprincipled to give a lesser degree of </w:t>
      </w:r>
      <w:r w:rsidRPr="00AC789B">
        <w:rPr>
          <w:i/>
        </w:rPr>
        <w:t>Charter</w:t>
      </w:r>
      <w:r w:rsidRPr="00AC789B">
        <w:t xml:space="preserve"> protection to a witness who testifies willingly than to a witness who must be subpoenaed or otherwise forced to give evidence, if both could have been statutorily compelled to testify in any event.</w:t>
      </w:r>
    </w:p>
    <w:p w:rsidR="001640E7" w:rsidRPr="00AC789B" w:rsidRDefault="001640E7" w:rsidP="00D64EF0">
      <w:pPr>
        <w:pStyle w:val="SCCNormalDoubleSpacing"/>
        <w:spacing w:after="480"/>
      </w:pPr>
      <w:r w:rsidRPr="00AC789B">
        <w:lastRenderedPageBreak/>
        <w:tab/>
        <w:t>Similarly, the focus should not be on the nature of the statements</w:t>
      </w:r>
      <w:r w:rsidR="008F35F6" w:rsidRPr="00AC789B">
        <w:t>.  While s. </w:t>
      </w:r>
      <w:r w:rsidRPr="00AC789B">
        <w:t>13 refers to using “incriminating statements” to “incriminate”, parsing an accused person</w:t>
      </w:r>
      <w:r w:rsidR="00121948" w:rsidRPr="00AC789B">
        <w:t>’</w:t>
      </w:r>
      <w:r w:rsidRPr="00AC789B">
        <w:t>s testimony to distinguish what is “incriminating” from what is “innocuous” in order to determine on what parts of his or her testimony the accused may be cross</w:t>
      </w:r>
      <w:r w:rsidR="00D64EF0" w:rsidRPr="00AC789B">
        <w:noBreakHyphen/>
      </w:r>
      <w:r w:rsidRPr="00AC789B">
        <w:t>examined might result in a protracted and unpredictable classification exercise</w:t>
      </w:r>
      <w:r w:rsidR="008F35F6" w:rsidRPr="00AC789B">
        <w:t xml:space="preserve">.  </w:t>
      </w:r>
      <w:r w:rsidRPr="00AC789B">
        <w:t>That distinction is just as unworkable as the previously abolished distinction between using prior compelled testimony to impeach credibility and using it to incriminate the accused</w:t>
      </w:r>
      <w:r w:rsidR="008F35F6" w:rsidRPr="00AC789B">
        <w:t xml:space="preserve">.  </w:t>
      </w:r>
      <w:r w:rsidRPr="00AC789B">
        <w:t>It is especially difficul</w:t>
      </w:r>
      <w:r w:rsidR="00AD09FD" w:rsidRPr="00AC789B">
        <w:t xml:space="preserve">t to draw that distinction </w:t>
      </w:r>
      <w:r w:rsidRPr="00AC789B">
        <w:t>because the focus of the right against self</w:t>
      </w:r>
      <w:r w:rsidR="00D64EF0" w:rsidRPr="00AC789B">
        <w:noBreakHyphen/>
      </w:r>
      <w:r w:rsidRPr="00AC789B">
        <w:t>incrimination is on the second proceedings, the time at which the previous testimony is sought to be used, rather than the time at which it is given</w:t>
      </w:r>
      <w:r w:rsidR="008F35F6" w:rsidRPr="00AC789B">
        <w:t xml:space="preserve">.  </w:t>
      </w:r>
      <w:r w:rsidRPr="00AC789B">
        <w:t xml:space="preserve">Any evidence that may assist the Crown in proving its case will have an incriminating effect and </w:t>
      </w:r>
      <w:r w:rsidR="008F35F6" w:rsidRPr="00AC789B">
        <w:t>must therefore be subject to s. </w:t>
      </w:r>
      <w:r w:rsidRPr="00AC789B">
        <w:t>13 protection.</w:t>
      </w:r>
    </w:p>
    <w:p w:rsidR="001640E7" w:rsidRPr="00AC789B" w:rsidRDefault="008F35F6" w:rsidP="00D64EF0">
      <w:pPr>
        <w:pStyle w:val="SCCNormalDoubleSpacing"/>
        <w:spacing w:after="480"/>
      </w:pPr>
      <w:r w:rsidRPr="00AC789B">
        <w:tab/>
        <w:t>The protection afforded by s. </w:t>
      </w:r>
      <w:r w:rsidR="001640E7" w:rsidRPr="00AC789B">
        <w:t>13 is not lost when a witness gives what is perceived to be dishonest testimony</w:t>
      </w:r>
      <w:r w:rsidRPr="00AC789B">
        <w:t xml:space="preserve">.  </w:t>
      </w:r>
      <w:r w:rsidR="001640E7" w:rsidRPr="00AC789B">
        <w:t xml:space="preserve">Although the </w:t>
      </w:r>
      <w:r w:rsidR="001640E7" w:rsidRPr="00AC789B">
        <w:rPr>
          <w:i/>
        </w:rPr>
        <w:t>quid pro quo</w:t>
      </w:r>
      <w:r w:rsidR="001640E7" w:rsidRPr="00AC789B">
        <w:t xml:space="preserve"> is meant to encour</w:t>
      </w:r>
      <w:r w:rsidRPr="00AC789B">
        <w:t>age full and frank evidence, s. </w:t>
      </w:r>
      <w:r w:rsidR="001640E7" w:rsidRPr="00AC789B">
        <w:t xml:space="preserve">13, in the context of the greater balancing of interests embodied in the </w:t>
      </w:r>
      <w:r w:rsidR="001640E7" w:rsidRPr="00AC789B">
        <w:rPr>
          <w:i/>
        </w:rPr>
        <w:t>Charter</w:t>
      </w:r>
      <w:r w:rsidR="001640E7" w:rsidRPr="00AC789B">
        <w:t>, dictates that the truth</w:t>
      </w:r>
      <w:r w:rsidR="00D64EF0" w:rsidRPr="00AC789B">
        <w:noBreakHyphen/>
      </w:r>
      <w:r w:rsidR="001640E7" w:rsidRPr="00AC789B">
        <w:t>seeking function of the trial give way to the right of the accused against self</w:t>
      </w:r>
      <w:r w:rsidR="00D64EF0" w:rsidRPr="00AC789B">
        <w:noBreakHyphen/>
      </w:r>
      <w:r w:rsidR="001640E7" w:rsidRPr="00AC789B">
        <w:t>incrimination</w:t>
      </w:r>
      <w:r w:rsidRPr="00AC789B">
        <w:t xml:space="preserve">.  </w:t>
      </w:r>
      <w:r w:rsidR="001640E7" w:rsidRPr="00AC789B">
        <w:t xml:space="preserve">The </w:t>
      </w:r>
      <w:r w:rsidR="001640E7" w:rsidRPr="00AC789B">
        <w:rPr>
          <w:i/>
        </w:rPr>
        <w:t>quid pro quo</w:t>
      </w:r>
      <w:r w:rsidR="001640E7" w:rsidRPr="00AC789B">
        <w:t xml:space="preserve"> is not a “contract” with a witness that can be nullified if the witness lies under oath</w:t>
      </w:r>
      <w:r w:rsidRPr="00AC789B">
        <w:t xml:space="preserve">.  </w:t>
      </w:r>
      <w:r w:rsidR="001640E7" w:rsidRPr="00AC789B">
        <w:t>Prior compelled evidence can be used in a prosecution for perjury or for the giving of contradictory evidence</w:t>
      </w:r>
      <w:r w:rsidRPr="00AC789B">
        <w:t xml:space="preserve">.  </w:t>
      </w:r>
      <w:r w:rsidR="001640E7" w:rsidRPr="00AC789B">
        <w:t xml:space="preserve">Laying criminal charges for perjury is the appropriate way to deal with witnesses who tailor their evidence to suit their needs in each particular proceeding without diluting the </w:t>
      </w:r>
      <w:r w:rsidR="001640E7" w:rsidRPr="00AC789B">
        <w:rPr>
          <w:i/>
        </w:rPr>
        <w:t xml:space="preserve">Charter </w:t>
      </w:r>
      <w:r w:rsidR="001640E7" w:rsidRPr="00AC789B">
        <w:t>rights of the accused</w:t>
      </w:r>
      <w:r w:rsidRPr="00AC789B">
        <w:t xml:space="preserve">.  </w:t>
      </w:r>
      <w:r w:rsidR="001640E7" w:rsidRPr="00AC789B">
        <w:t xml:space="preserve">This approach </w:t>
      </w:r>
      <w:r w:rsidR="001640E7" w:rsidRPr="00AC789B">
        <w:lastRenderedPageBreak/>
        <w:t>maintains respect for the administration of justic</w:t>
      </w:r>
      <w:r w:rsidRPr="00AC789B">
        <w:t>e while fully preserving the s. </w:t>
      </w:r>
      <w:r w:rsidR="001640E7" w:rsidRPr="00AC789B">
        <w:t>13 right of the accused</w:t>
      </w:r>
      <w:r w:rsidRPr="00AC789B">
        <w:t xml:space="preserve">.  </w:t>
      </w:r>
      <w:r w:rsidR="00AD09FD" w:rsidRPr="00AC789B">
        <w:t xml:space="preserve">It also avoids the need to </w:t>
      </w:r>
      <w:r w:rsidR="001640E7" w:rsidRPr="00AC789B">
        <w:t xml:space="preserve">conduct a </w:t>
      </w:r>
      <w:proofErr w:type="spellStart"/>
      <w:r w:rsidR="001640E7" w:rsidRPr="00AC789B">
        <w:rPr>
          <w:i/>
        </w:rPr>
        <w:t>voir</w:t>
      </w:r>
      <w:proofErr w:type="spellEnd"/>
      <w:r w:rsidR="001640E7" w:rsidRPr="00AC789B">
        <w:rPr>
          <w:i/>
        </w:rPr>
        <w:t xml:space="preserve"> dire</w:t>
      </w:r>
      <w:r w:rsidR="001640E7" w:rsidRPr="00AC789B">
        <w:t xml:space="preserve">, which would encumber the trial </w:t>
      </w:r>
      <w:r w:rsidRPr="00AC789B">
        <w:t>process, render the scope of s. </w:t>
      </w:r>
      <w:r w:rsidR="001640E7" w:rsidRPr="00AC789B">
        <w:t>13 dubious in theory and uncertain in practice, discourage full and frank testimony,</w:t>
      </w:r>
      <w:r w:rsidRPr="00AC789B">
        <w:t xml:space="preserve"> and reduce the scope of the s. </w:t>
      </w:r>
      <w:r w:rsidR="001640E7" w:rsidRPr="00AC789B">
        <w:t xml:space="preserve">13 protection that previously compelled witnesses have had since </w:t>
      </w:r>
      <w:r w:rsidR="001640E7" w:rsidRPr="00AC789B">
        <w:rPr>
          <w:i/>
        </w:rPr>
        <w:t>R. v. Henry</w:t>
      </w:r>
      <w:r w:rsidR="001640E7" w:rsidRPr="00AC789B">
        <w:t>, 2005 SCC 76, [2005] 3 S.C.R. 609.</w:t>
      </w:r>
    </w:p>
    <w:p w:rsidR="00B17820" w:rsidRPr="00AC789B" w:rsidRDefault="001640E7" w:rsidP="00B17820">
      <w:pPr>
        <w:pStyle w:val="SCCNormalDoubleSpacing"/>
        <w:spacing w:after="480"/>
      </w:pPr>
      <w:r w:rsidRPr="00AC789B">
        <w:tab/>
        <w:t xml:space="preserve">In this case, N was statutorily compellable to be examined for discovery, and therefore “compelled” within the meaning of </w:t>
      </w:r>
      <w:r w:rsidRPr="00AC789B">
        <w:rPr>
          <w:i/>
        </w:rPr>
        <w:t xml:space="preserve">Henry </w:t>
      </w:r>
      <w:r w:rsidR="008F35F6" w:rsidRPr="00AC789B">
        <w:t>and for the purposes of s. </w:t>
      </w:r>
      <w:r w:rsidRPr="00AC789B">
        <w:t>13</w:t>
      </w:r>
      <w:r w:rsidR="00031CCD" w:rsidRPr="00AC789B">
        <w:t xml:space="preserve">.  </w:t>
      </w:r>
      <w:r w:rsidRPr="00AC789B">
        <w:t>Whether he freely decided to attend the discovery procee</w:t>
      </w:r>
      <w:r w:rsidR="002A7678" w:rsidRPr="00AC789B">
        <w:t>ding is irrelevant because r</w:t>
      </w:r>
      <w:r w:rsidR="008F35F6" w:rsidRPr="00AC789B">
        <w:t>ule </w:t>
      </w:r>
      <w:r w:rsidRPr="00AC789B">
        <w:t xml:space="preserve">31.04(2) of the Ontario </w:t>
      </w:r>
      <w:r w:rsidRPr="00AC789B">
        <w:rPr>
          <w:i/>
        </w:rPr>
        <w:t xml:space="preserve">Rules of Civil Procedure </w:t>
      </w:r>
      <w:r w:rsidRPr="00AC789B">
        <w:t>compels a defendant in a civil action to be examined for discovery</w:t>
      </w:r>
      <w:r w:rsidR="008F35F6" w:rsidRPr="00AC789B">
        <w:t xml:space="preserve">.  </w:t>
      </w:r>
      <w:r w:rsidRPr="00AC789B">
        <w:t>Failing to file a statement of defence would not have allowed N to avoid coming within the grasp of the procedural rules that would compel his evidence, so whether he was actually noted in default is irrelevant</w:t>
      </w:r>
      <w:r w:rsidR="008F35F6" w:rsidRPr="00AC789B">
        <w:t xml:space="preserve">.  </w:t>
      </w:r>
      <w:r w:rsidRPr="00AC789B">
        <w:t>Despite the rather blatant incon</w:t>
      </w:r>
      <w:r w:rsidR="008F35F6" w:rsidRPr="00AC789B">
        <w:t>sistencies in his testimony, s. </w:t>
      </w:r>
      <w:r w:rsidRPr="00AC789B">
        <w:t>13 dictates that the truth</w:t>
      </w:r>
      <w:r w:rsidR="00D64EF0" w:rsidRPr="00AC789B">
        <w:noBreakHyphen/>
      </w:r>
      <w:r w:rsidRPr="00AC789B">
        <w:t>seeking function of the trial give way to the right of the accused against self</w:t>
      </w:r>
      <w:r w:rsidR="00D64EF0" w:rsidRPr="00AC789B">
        <w:noBreakHyphen/>
      </w:r>
      <w:r w:rsidRPr="00AC789B">
        <w:t>incrimination.</w:t>
      </w:r>
    </w:p>
    <w:p w:rsidR="007E1C47" w:rsidRPr="00AC789B" w:rsidRDefault="002E6705" w:rsidP="00B17820">
      <w:pPr>
        <w:pStyle w:val="SCCNormalDoubleSpacing"/>
        <w:spacing w:after="480"/>
        <w:rPr>
          <w:b/>
        </w:rPr>
      </w:pPr>
      <w:r w:rsidRPr="00AC789B">
        <w:rPr>
          <w:b/>
        </w:rPr>
        <w:t>Cases Cited</w:t>
      </w:r>
    </w:p>
    <w:p w:rsidR="00A149DF" w:rsidRPr="00AC789B" w:rsidRDefault="00E63D2D" w:rsidP="00D64EF0">
      <w:pPr>
        <w:pStyle w:val="SCCNormalDoubleSpacing"/>
        <w:keepNext/>
        <w:spacing w:after="720" w:line="240" w:lineRule="auto"/>
      </w:pPr>
      <w:proofErr w:type="gramStart"/>
      <w:r w:rsidRPr="00AC789B">
        <w:lastRenderedPageBreak/>
        <w:t xml:space="preserve">By </w:t>
      </w:r>
      <w:proofErr w:type="spellStart"/>
      <w:r w:rsidRPr="00AC789B">
        <w:t>Moldaver</w:t>
      </w:r>
      <w:proofErr w:type="spellEnd"/>
      <w:r w:rsidRPr="00AC789B">
        <w:t> </w:t>
      </w:r>
      <w:r w:rsidR="00164A08" w:rsidRPr="00AC789B">
        <w:t>J.</w:t>
      </w:r>
      <w:proofErr w:type="gramEnd"/>
    </w:p>
    <w:p w:rsidR="00164A08" w:rsidRPr="00AC789B" w:rsidRDefault="00600D2D" w:rsidP="00C46F3D">
      <w:pPr>
        <w:pStyle w:val="SCCNormalDoubleSpacing"/>
        <w:spacing w:after="480"/>
        <w:rPr>
          <w:szCs w:val="24"/>
        </w:rPr>
      </w:pPr>
      <w:r w:rsidRPr="00AC789B">
        <w:tab/>
      </w:r>
      <w:r w:rsidRPr="00AC789B">
        <w:rPr>
          <w:b/>
        </w:rPr>
        <w:t>Referred to:</w:t>
      </w:r>
      <w:r w:rsidRPr="00AC789B">
        <w:t xml:space="preserve">  </w:t>
      </w:r>
      <w:r w:rsidR="000B28FB" w:rsidRPr="00AC789B">
        <w:rPr>
          <w:i/>
        </w:rPr>
        <w:t>R. v. Henry</w:t>
      </w:r>
      <w:r w:rsidR="000B28FB" w:rsidRPr="00AC789B">
        <w:t xml:space="preserve">, 2005 SCC 76, [2005] 3 S.C.R. 609; </w:t>
      </w:r>
      <w:r w:rsidR="005950F9" w:rsidRPr="00AC789B">
        <w:rPr>
          <w:i/>
          <w:szCs w:val="24"/>
        </w:rPr>
        <w:t xml:space="preserve">R. v. </w:t>
      </w:r>
      <w:proofErr w:type="spellStart"/>
      <w:r w:rsidR="005950F9" w:rsidRPr="00AC789B">
        <w:rPr>
          <w:i/>
          <w:szCs w:val="24"/>
        </w:rPr>
        <w:t>Kuldip</w:t>
      </w:r>
      <w:proofErr w:type="spellEnd"/>
      <w:r w:rsidR="005950F9" w:rsidRPr="00AC789B">
        <w:rPr>
          <w:szCs w:val="24"/>
        </w:rPr>
        <w:t xml:space="preserve">, [1990] 3 S.C.R. 618; </w:t>
      </w:r>
      <w:r w:rsidR="001E64EC" w:rsidRPr="00AC789B">
        <w:rPr>
          <w:i/>
        </w:rPr>
        <w:t>R. v. Noël</w:t>
      </w:r>
      <w:r w:rsidR="001E64EC" w:rsidRPr="00AC789B">
        <w:t xml:space="preserve">, 2002 SCC 67, [2002] 3 S.C.R. 433; </w:t>
      </w:r>
      <w:r w:rsidR="001E64EC" w:rsidRPr="00AC789B">
        <w:rPr>
          <w:i/>
          <w:szCs w:val="24"/>
        </w:rPr>
        <w:t xml:space="preserve">Dubois v. </w:t>
      </w:r>
      <w:proofErr w:type="gramStart"/>
      <w:r w:rsidR="001E64EC" w:rsidRPr="00AC789B">
        <w:rPr>
          <w:i/>
          <w:szCs w:val="24"/>
        </w:rPr>
        <w:t>The Queen</w:t>
      </w:r>
      <w:r w:rsidR="001E64EC" w:rsidRPr="00AC789B">
        <w:rPr>
          <w:szCs w:val="24"/>
        </w:rPr>
        <w:t xml:space="preserve">, [1985] 2 S.C.R. 350; </w:t>
      </w:r>
      <w:r w:rsidR="001E64EC" w:rsidRPr="00AC789B">
        <w:rPr>
          <w:i/>
          <w:szCs w:val="24"/>
        </w:rPr>
        <w:t xml:space="preserve">R. v. </w:t>
      </w:r>
      <w:proofErr w:type="spellStart"/>
      <w:r w:rsidR="001E64EC" w:rsidRPr="00AC789B">
        <w:rPr>
          <w:i/>
          <w:szCs w:val="24"/>
        </w:rPr>
        <w:t>Hibbert</w:t>
      </w:r>
      <w:proofErr w:type="spellEnd"/>
      <w:r w:rsidR="001E64EC" w:rsidRPr="00AC789B">
        <w:rPr>
          <w:szCs w:val="24"/>
        </w:rPr>
        <w:t>, 2002 SCC 39, [2002] 2 S.C.R. 445.</w:t>
      </w:r>
      <w:proofErr w:type="gramEnd"/>
    </w:p>
    <w:p w:rsidR="00600D2D" w:rsidRPr="00AC789B" w:rsidRDefault="00C46F3D" w:rsidP="006F2CEA">
      <w:pPr>
        <w:pStyle w:val="SCCNormalDoubleSpacing"/>
        <w:keepNext/>
        <w:spacing w:after="720" w:line="240" w:lineRule="auto"/>
      </w:pPr>
      <w:r w:rsidRPr="00AC789B">
        <w:t>By LeBel </w:t>
      </w:r>
      <w:r w:rsidR="00600D2D" w:rsidRPr="00AC789B">
        <w:t>J. (dissenting)</w:t>
      </w:r>
    </w:p>
    <w:p w:rsidR="00600D2D" w:rsidRPr="00AC789B" w:rsidRDefault="00600D2D" w:rsidP="00C46F3D">
      <w:pPr>
        <w:pStyle w:val="SCCNormalDoubleSpacing"/>
        <w:spacing w:after="480"/>
      </w:pPr>
      <w:r w:rsidRPr="00AC789B">
        <w:tab/>
      </w:r>
      <w:proofErr w:type="gramStart"/>
      <w:r w:rsidRPr="00AC789B">
        <w:rPr>
          <w:i/>
        </w:rPr>
        <w:t>R. v. Henry</w:t>
      </w:r>
      <w:r w:rsidRPr="00AC789B">
        <w:t xml:space="preserve">, 2005 SCC 76, [2005] 3 S.C.R. 609; </w:t>
      </w:r>
      <w:r w:rsidRPr="00AC789B">
        <w:rPr>
          <w:i/>
        </w:rPr>
        <w:t>British Columbia Securities Commission v. Branch</w:t>
      </w:r>
      <w:r w:rsidRPr="00AC789B">
        <w:t xml:space="preserve">, [1995] 2 S.C.R. 3; </w:t>
      </w:r>
      <w:r w:rsidR="0006309F" w:rsidRPr="00AC789B">
        <w:rPr>
          <w:i/>
          <w:szCs w:val="24"/>
        </w:rPr>
        <w:t>Dubois v.</w:t>
      </w:r>
      <w:proofErr w:type="gramEnd"/>
      <w:r w:rsidR="0006309F" w:rsidRPr="00AC789B">
        <w:rPr>
          <w:i/>
          <w:szCs w:val="24"/>
        </w:rPr>
        <w:t xml:space="preserve"> </w:t>
      </w:r>
      <w:proofErr w:type="gramStart"/>
      <w:r w:rsidR="0006309F" w:rsidRPr="00AC789B">
        <w:rPr>
          <w:i/>
          <w:szCs w:val="24"/>
        </w:rPr>
        <w:t>The Queen</w:t>
      </w:r>
      <w:r w:rsidR="0006309F" w:rsidRPr="00AC789B">
        <w:rPr>
          <w:szCs w:val="24"/>
        </w:rPr>
        <w:t xml:space="preserve">, [1985] 2 S.C.R. 350; </w:t>
      </w:r>
      <w:r w:rsidRPr="00AC789B">
        <w:rPr>
          <w:i/>
        </w:rPr>
        <w:t>R. v. Noël</w:t>
      </w:r>
      <w:r w:rsidRPr="00AC789B">
        <w:t xml:space="preserve">, 2002 SCC 67, [2002] 3 S.C.R. 433; </w:t>
      </w:r>
      <w:proofErr w:type="spellStart"/>
      <w:r w:rsidRPr="00AC789B">
        <w:rPr>
          <w:i/>
          <w:szCs w:val="24"/>
        </w:rPr>
        <w:t>Juman</w:t>
      </w:r>
      <w:proofErr w:type="spellEnd"/>
      <w:r w:rsidRPr="00AC789B">
        <w:rPr>
          <w:i/>
          <w:szCs w:val="24"/>
        </w:rPr>
        <w:t xml:space="preserve"> v. Doucette</w:t>
      </w:r>
      <w:r w:rsidRPr="00AC789B">
        <w:rPr>
          <w:szCs w:val="24"/>
        </w:rPr>
        <w:t xml:space="preserve">, 2008 SCC 8, [2008] 1 S.C.R. 157; </w:t>
      </w:r>
      <w:r w:rsidRPr="00AC789B">
        <w:rPr>
          <w:i/>
          <w:szCs w:val="24"/>
        </w:rPr>
        <w:t>Attorney General for Quebec v. Begin</w:t>
      </w:r>
      <w:r w:rsidRPr="00AC789B">
        <w:rPr>
          <w:szCs w:val="24"/>
        </w:rPr>
        <w:t xml:space="preserve">, [1955] S.C.R. 593; </w:t>
      </w:r>
      <w:proofErr w:type="spellStart"/>
      <w:r w:rsidRPr="00AC789B">
        <w:rPr>
          <w:i/>
          <w:szCs w:val="24"/>
        </w:rPr>
        <w:t>Curr</w:t>
      </w:r>
      <w:proofErr w:type="spellEnd"/>
      <w:r w:rsidRPr="00AC789B">
        <w:rPr>
          <w:i/>
          <w:szCs w:val="24"/>
        </w:rPr>
        <w:t xml:space="preserve"> v.</w:t>
      </w:r>
      <w:proofErr w:type="gramEnd"/>
      <w:r w:rsidRPr="00AC789B">
        <w:rPr>
          <w:i/>
          <w:szCs w:val="24"/>
        </w:rPr>
        <w:t xml:space="preserve"> </w:t>
      </w:r>
      <w:proofErr w:type="gramStart"/>
      <w:r w:rsidRPr="00AC789B">
        <w:rPr>
          <w:i/>
          <w:szCs w:val="24"/>
        </w:rPr>
        <w:t>The Queen</w:t>
      </w:r>
      <w:r w:rsidRPr="00AC789B">
        <w:rPr>
          <w:szCs w:val="24"/>
        </w:rPr>
        <w:t xml:space="preserve">, [1972] S.C.R. 889; </w:t>
      </w:r>
      <w:r w:rsidRPr="00AC789B">
        <w:rPr>
          <w:i/>
          <w:szCs w:val="24"/>
        </w:rPr>
        <w:t xml:space="preserve">R. v. </w:t>
      </w:r>
      <w:proofErr w:type="spellStart"/>
      <w:r w:rsidRPr="00AC789B">
        <w:rPr>
          <w:i/>
          <w:szCs w:val="24"/>
        </w:rPr>
        <w:t>Kuldip</w:t>
      </w:r>
      <w:proofErr w:type="spellEnd"/>
      <w:r w:rsidRPr="00AC789B">
        <w:rPr>
          <w:szCs w:val="24"/>
        </w:rPr>
        <w:t xml:space="preserve">, [1990] 3 S.C.R. 618; </w:t>
      </w:r>
      <w:r w:rsidRPr="00AC789B">
        <w:rPr>
          <w:i/>
          <w:szCs w:val="24"/>
        </w:rPr>
        <w:t xml:space="preserve">R. v. </w:t>
      </w:r>
      <w:proofErr w:type="spellStart"/>
      <w:r w:rsidRPr="00AC789B">
        <w:rPr>
          <w:i/>
          <w:szCs w:val="24"/>
        </w:rPr>
        <w:t>Mannion</w:t>
      </w:r>
      <w:proofErr w:type="spellEnd"/>
      <w:r w:rsidRPr="00AC789B">
        <w:rPr>
          <w:szCs w:val="24"/>
        </w:rPr>
        <w:t xml:space="preserve">, [1986] 2 S.C.R. 272; </w:t>
      </w:r>
      <w:r w:rsidRPr="00AC789B">
        <w:rPr>
          <w:i/>
          <w:szCs w:val="24"/>
        </w:rPr>
        <w:t>R. v. Allen</w:t>
      </w:r>
      <w:r w:rsidRPr="00AC789B">
        <w:rPr>
          <w:szCs w:val="24"/>
        </w:rPr>
        <w:t xml:space="preserve">, 2003 SCC 18, [2003] 1 S.C.R. 223; </w:t>
      </w:r>
      <w:r w:rsidRPr="00AC789B">
        <w:rPr>
          <w:i/>
          <w:szCs w:val="24"/>
        </w:rPr>
        <w:t>Ontario (Attorney General) v. Fraser</w:t>
      </w:r>
      <w:r w:rsidRPr="00AC789B">
        <w:rPr>
          <w:szCs w:val="24"/>
        </w:rPr>
        <w:t xml:space="preserve">, 2011 SCC 20, [2011] 2 S.C.R. 3; </w:t>
      </w:r>
      <w:proofErr w:type="spellStart"/>
      <w:r w:rsidRPr="00AC789B">
        <w:rPr>
          <w:i/>
          <w:szCs w:val="24"/>
        </w:rPr>
        <w:t>Copthorne</w:t>
      </w:r>
      <w:proofErr w:type="spellEnd"/>
      <w:r w:rsidRPr="00AC789B">
        <w:rPr>
          <w:i/>
          <w:szCs w:val="24"/>
        </w:rPr>
        <w:t xml:space="preserve"> Holdings Ltd. v. Canada</w:t>
      </w:r>
      <w:r w:rsidRPr="00AC789B">
        <w:rPr>
          <w:szCs w:val="24"/>
        </w:rPr>
        <w:t>, 2011 SCC 63, [2011] 3 S.C.R. 721.</w:t>
      </w:r>
      <w:proofErr w:type="gramEnd"/>
    </w:p>
    <w:p w:rsidR="003B215F" w:rsidRPr="00AC789B" w:rsidRDefault="002E6705" w:rsidP="00C46F3D">
      <w:pPr>
        <w:pStyle w:val="SCCNormalDoubleSpacing"/>
        <w:keepNext/>
        <w:spacing w:after="720" w:line="240" w:lineRule="auto"/>
      </w:pPr>
      <w:r w:rsidRPr="00AC789B">
        <w:rPr>
          <w:b/>
        </w:rPr>
        <w:t>Statutes and Regulations Cite</w:t>
      </w:r>
      <w:r w:rsidR="00A41805" w:rsidRPr="00AC789B">
        <w:rPr>
          <w:b/>
        </w:rPr>
        <w:t>d</w:t>
      </w:r>
    </w:p>
    <w:p w:rsidR="004F1E1B" w:rsidRPr="00AC789B" w:rsidRDefault="004F1E1B" w:rsidP="00C46F3D">
      <w:pPr>
        <w:pStyle w:val="SCCNormalDoubleSpacing"/>
        <w:spacing w:after="240" w:line="240" w:lineRule="auto"/>
        <w:ind w:left="539" w:hanging="539"/>
      </w:pPr>
      <w:r w:rsidRPr="00AC789B">
        <w:rPr>
          <w:i/>
        </w:rPr>
        <w:t>Canada Evidence Act</w:t>
      </w:r>
      <w:r w:rsidRPr="00AC789B">
        <w:t>, R.S.C. 1985,</w:t>
      </w:r>
      <w:r w:rsidR="006F2CEA" w:rsidRPr="00AC789B">
        <w:t xml:space="preserve"> c. </w:t>
      </w:r>
      <w:r w:rsidRPr="00AC789B">
        <w:t>C</w:t>
      </w:r>
      <w:r w:rsidR="00980CEA">
        <w:t>-</w:t>
      </w:r>
      <w:r w:rsidRPr="00AC789B">
        <w:t>5, s.</w:t>
      </w:r>
      <w:r w:rsidR="0041437F" w:rsidRPr="00AC789B">
        <w:t> </w:t>
      </w:r>
      <w:r w:rsidRPr="00AC789B">
        <w:t>5.</w:t>
      </w:r>
    </w:p>
    <w:p w:rsidR="00A149DF" w:rsidRPr="00AC789B" w:rsidRDefault="004F1E1B" w:rsidP="00C46F3D">
      <w:pPr>
        <w:pStyle w:val="SCCNormalDoubleSpacing"/>
        <w:spacing w:after="240" w:line="240" w:lineRule="auto"/>
        <w:ind w:left="539" w:hanging="539"/>
      </w:pPr>
      <w:proofErr w:type="gramStart"/>
      <w:r w:rsidRPr="00AC789B">
        <w:rPr>
          <w:i/>
        </w:rPr>
        <w:t>Canadian Charter of Rights and Freedoms</w:t>
      </w:r>
      <w:r w:rsidRPr="00AC789B">
        <w:t xml:space="preserve">, </w:t>
      </w:r>
      <w:r w:rsidR="00D64EF0" w:rsidRPr="00AC789B">
        <w:t>ss. </w:t>
      </w:r>
      <w:r w:rsidRPr="00AC789B">
        <w:t>11(</w:t>
      </w:r>
      <w:r w:rsidRPr="00AC789B">
        <w:rPr>
          <w:i/>
        </w:rPr>
        <w:t>c</w:t>
      </w:r>
      <w:r w:rsidRPr="00AC789B">
        <w:t>), 13.</w:t>
      </w:r>
      <w:proofErr w:type="gramEnd"/>
    </w:p>
    <w:p w:rsidR="004F1E1B" w:rsidRPr="00AC789B" w:rsidRDefault="004F1E1B" w:rsidP="00C46F3D">
      <w:pPr>
        <w:pStyle w:val="SCCNormalDoubleSpacing"/>
        <w:spacing w:after="720" w:line="240" w:lineRule="auto"/>
        <w:ind w:left="540" w:hanging="540"/>
      </w:pPr>
      <w:proofErr w:type="gramStart"/>
      <w:r w:rsidRPr="00AC789B">
        <w:rPr>
          <w:i/>
        </w:rPr>
        <w:t>Rules of Civil Procedure</w:t>
      </w:r>
      <w:r w:rsidRPr="00AC789B">
        <w:t xml:space="preserve">, </w:t>
      </w:r>
      <w:r w:rsidR="00DA676E" w:rsidRPr="00AC789B">
        <w:t xml:space="preserve">R.R.O. 1990, Reg. 194, </w:t>
      </w:r>
      <w:r w:rsidR="006F2CEA" w:rsidRPr="00AC789B">
        <w:t>r. </w:t>
      </w:r>
      <w:r w:rsidRPr="00AC789B">
        <w:t>31.04(2).</w:t>
      </w:r>
      <w:proofErr w:type="gramEnd"/>
    </w:p>
    <w:p w:rsidR="002E6705" w:rsidRPr="00AC789B" w:rsidRDefault="002E6705" w:rsidP="00C46F3D">
      <w:pPr>
        <w:pStyle w:val="SCCNormalDoubleSpacing"/>
        <w:keepNext/>
        <w:spacing w:after="720" w:line="240" w:lineRule="auto"/>
        <w:rPr>
          <w:b/>
        </w:rPr>
      </w:pPr>
      <w:r w:rsidRPr="00AC789B">
        <w:rPr>
          <w:b/>
        </w:rPr>
        <w:lastRenderedPageBreak/>
        <w:t>Authors Cited</w:t>
      </w:r>
    </w:p>
    <w:p w:rsidR="00A149DF" w:rsidRPr="00AC789B" w:rsidRDefault="004F1E1B" w:rsidP="00C46F3D">
      <w:pPr>
        <w:pStyle w:val="SCCNormalDoubleSpacing"/>
        <w:spacing w:after="240" w:line="240" w:lineRule="auto"/>
        <w:ind w:left="539" w:hanging="539"/>
      </w:pPr>
      <w:proofErr w:type="spellStart"/>
      <w:proofErr w:type="gramStart"/>
      <w:r w:rsidRPr="00AC789B">
        <w:t>Paciocco</w:t>
      </w:r>
      <w:proofErr w:type="spellEnd"/>
      <w:r w:rsidR="00DA676E" w:rsidRPr="00AC789B">
        <w:t>,</w:t>
      </w:r>
      <w:r w:rsidRPr="00AC789B">
        <w:t xml:space="preserve"> </w:t>
      </w:r>
      <w:r w:rsidR="00067F51" w:rsidRPr="00AC789B">
        <w:t>David </w:t>
      </w:r>
      <w:r w:rsidR="00DA676E" w:rsidRPr="00AC789B">
        <w:t>M., and</w:t>
      </w:r>
      <w:r w:rsidRPr="00AC789B">
        <w:t xml:space="preserve"> Lee </w:t>
      </w:r>
      <w:proofErr w:type="spellStart"/>
      <w:r w:rsidRPr="00AC789B">
        <w:t>Stuesser</w:t>
      </w:r>
      <w:proofErr w:type="spellEnd"/>
      <w:r w:rsidR="00DA676E" w:rsidRPr="00AC789B">
        <w:t>.</w:t>
      </w:r>
      <w:proofErr w:type="gramEnd"/>
      <w:r w:rsidR="00DA676E" w:rsidRPr="00AC789B">
        <w:t xml:space="preserve">  </w:t>
      </w:r>
      <w:r w:rsidR="00DA676E" w:rsidRPr="00AC789B">
        <w:rPr>
          <w:i/>
        </w:rPr>
        <w:t>The Law of Evidence</w:t>
      </w:r>
      <w:r w:rsidR="00DA676E" w:rsidRPr="00AC789B">
        <w:t xml:space="preserve">, </w:t>
      </w:r>
      <w:r w:rsidR="008B17E8" w:rsidRPr="00AC789B">
        <w:t>6</w:t>
      </w:r>
      <w:r w:rsidR="00DA676E" w:rsidRPr="00AC789B">
        <w:t xml:space="preserve">th </w:t>
      </w:r>
      <w:proofErr w:type="gramStart"/>
      <w:r w:rsidR="00DA676E" w:rsidRPr="00AC789B">
        <w:t>ed</w:t>
      </w:r>
      <w:proofErr w:type="gramEnd"/>
      <w:r w:rsidR="00DA676E" w:rsidRPr="00AC789B">
        <w:t xml:space="preserve">.  </w:t>
      </w:r>
      <w:r w:rsidRPr="00AC789B">
        <w:t>Toronto:</w:t>
      </w:r>
      <w:r w:rsidR="00DA676E" w:rsidRPr="00AC789B">
        <w:t xml:space="preserve"> </w:t>
      </w:r>
      <w:r w:rsidRPr="00AC789B">
        <w:t xml:space="preserve"> </w:t>
      </w:r>
      <w:r w:rsidR="006724C1" w:rsidRPr="00AC789B">
        <w:t>Irwin Law, 2011</w:t>
      </w:r>
      <w:r w:rsidRPr="00AC789B">
        <w:t>.</w:t>
      </w:r>
    </w:p>
    <w:p w:rsidR="004F1E1B" w:rsidRPr="00AC789B" w:rsidRDefault="004F1E1B" w:rsidP="00C46F3D">
      <w:pPr>
        <w:pStyle w:val="SCCNormalDoubleSpacing"/>
        <w:spacing w:after="240" w:line="240" w:lineRule="auto"/>
        <w:ind w:left="539" w:hanging="539"/>
      </w:pPr>
      <w:proofErr w:type="spellStart"/>
      <w:r w:rsidRPr="00AC789B">
        <w:t>Sankoff</w:t>
      </w:r>
      <w:proofErr w:type="spellEnd"/>
      <w:r w:rsidRPr="00AC789B">
        <w:t xml:space="preserve">, </w:t>
      </w:r>
      <w:r w:rsidR="00DA676E" w:rsidRPr="00AC789B">
        <w:t xml:space="preserve">Peter.  </w:t>
      </w:r>
      <w:proofErr w:type="gramStart"/>
      <w:r w:rsidRPr="00AC789B">
        <w:t>“</w:t>
      </w:r>
      <w:r w:rsidRPr="00AC789B">
        <w:rPr>
          <w:i/>
        </w:rPr>
        <w:t xml:space="preserve">R. v. </w:t>
      </w:r>
      <w:proofErr w:type="spellStart"/>
      <w:r w:rsidRPr="00AC789B">
        <w:rPr>
          <w:i/>
        </w:rPr>
        <w:t>Nedelcu</w:t>
      </w:r>
      <w:proofErr w:type="spellEnd"/>
      <w:r w:rsidRPr="00AC789B">
        <w:t xml:space="preserve">: </w:t>
      </w:r>
      <w:r w:rsidR="00DA676E" w:rsidRPr="00AC789B">
        <w:t xml:space="preserve"> </w:t>
      </w:r>
      <w:r w:rsidRPr="00AC789B">
        <w:t xml:space="preserve">The Role of Compulsion in Excluding Incriminating Prior Testimony under Section 13 of the </w:t>
      </w:r>
      <w:r w:rsidRPr="00AC789B">
        <w:rPr>
          <w:i/>
        </w:rPr>
        <w:t>Charter</w:t>
      </w:r>
      <w:r w:rsidRPr="00AC789B">
        <w:t>” (2011)</w:t>
      </w:r>
      <w:r w:rsidR="00DA676E" w:rsidRPr="00AC789B">
        <w:t>,</w:t>
      </w:r>
      <w:r w:rsidRPr="00AC789B">
        <w:t xml:space="preserve"> 83 C.R. (6th) 55.</w:t>
      </w:r>
      <w:proofErr w:type="gramEnd"/>
    </w:p>
    <w:p w:rsidR="004F1E1B" w:rsidRPr="00AC789B" w:rsidRDefault="004F1E1B" w:rsidP="00C46F3D">
      <w:pPr>
        <w:pStyle w:val="SCCNormalDoubleSpacing"/>
        <w:spacing w:after="720" w:line="240" w:lineRule="auto"/>
        <w:ind w:left="540" w:hanging="540"/>
      </w:pPr>
      <w:r w:rsidRPr="00AC789B">
        <w:t xml:space="preserve">Stewart, </w:t>
      </w:r>
      <w:r w:rsidR="00DA676E" w:rsidRPr="00AC789B">
        <w:t xml:space="preserve">Hamish.  </w:t>
      </w:r>
      <w:r w:rsidRPr="00AC789B">
        <w:t>“</w:t>
      </w:r>
      <w:r w:rsidRPr="00AC789B">
        <w:rPr>
          <w:i/>
        </w:rPr>
        <w:t>Henry</w:t>
      </w:r>
      <w:r w:rsidRPr="00AC789B">
        <w:t xml:space="preserve"> in the Supreme Court of Canada: </w:t>
      </w:r>
      <w:r w:rsidR="00DA676E" w:rsidRPr="00AC789B">
        <w:t xml:space="preserve"> </w:t>
      </w:r>
      <w:r w:rsidR="006724C1" w:rsidRPr="00AC789B">
        <w:t>Reorienting the s.</w:t>
      </w:r>
      <w:r w:rsidR="00031CCD" w:rsidRPr="00AC789B">
        <w:t> </w:t>
      </w:r>
      <w:r w:rsidR="006724C1" w:rsidRPr="00AC789B">
        <w:t>13 Right a</w:t>
      </w:r>
      <w:r w:rsidRPr="00AC789B">
        <w:t>gainst Self</w:t>
      </w:r>
      <w:r w:rsidR="00D64EF0" w:rsidRPr="00AC789B">
        <w:noBreakHyphen/>
      </w:r>
      <w:r w:rsidRPr="00AC789B">
        <w:t>incrimination” (2006)</w:t>
      </w:r>
      <w:r w:rsidR="00DA676E" w:rsidRPr="00AC789B">
        <w:t>,</w:t>
      </w:r>
      <w:r w:rsidRPr="00AC789B">
        <w:t xml:space="preserve"> 34 C.R. (6th) 112.</w:t>
      </w:r>
    </w:p>
    <w:p w:rsidR="00656313" w:rsidRPr="00AC789B" w:rsidRDefault="00F664FF" w:rsidP="00C46F3D">
      <w:pPr>
        <w:pStyle w:val="SCCNormalDoubleSpacing"/>
        <w:spacing w:after="480"/>
      </w:pPr>
      <w:r w:rsidRPr="00AC789B">
        <w:tab/>
      </w:r>
      <w:r w:rsidR="009B57B3" w:rsidRPr="00AC789B">
        <w:t xml:space="preserve">APPEAL from a judgment of the </w:t>
      </w:r>
      <w:r w:rsidRPr="00AC789B">
        <w:t xml:space="preserve">Ontario </w:t>
      </w:r>
      <w:r w:rsidR="009B57B3" w:rsidRPr="00AC789B">
        <w:t>Court of Appeal</w:t>
      </w:r>
      <w:r w:rsidR="00E12D94" w:rsidRPr="00AC789B">
        <w:t xml:space="preserve"> (</w:t>
      </w:r>
      <w:proofErr w:type="spellStart"/>
      <w:r w:rsidR="00127802" w:rsidRPr="00AC789B">
        <w:t>W</w:t>
      </w:r>
      <w:r w:rsidR="006F2CEA" w:rsidRPr="00AC789B">
        <w:t>eiler</w:t>
      </w:r>
      <w:proofErr w:type="spellEnd"/>
      <w:r w:rsidR="006F2CEA" w:rsidRPr="00AC789B">
        <w:t xml:space="preserve">, </w:t>
      </w:r>
      <w:proofErr w:type="spellStart"/>
      <w:r w:rsidR="006F2CEA" w:rsidRPr="00AC789B">
        <w:t>MacPherson</w:t>
      </w:r>
      <w:proofErr w:type="spellEnd"/>
      <w:r w:rsidR="006F2CEA" w:rsidRPr="00AC789B">
        <w:t xml:space="preserve"> and Armstrong </w:t>
      </w:r>
      <w:r w:rsidR="00127802" w:rsidRPr="00AC789B">
        <w:t xml:space="preserve">JJ.A.), 2011 ONCA 143, 276 O.A.C. 106, 269 C.C.C. (3d) 1, 83 C.R. (6th) 41, </w:t>
      </w:r>
      <w:r w:rsidR="00F226B9" w:rsidRPr="00AC789B">
        <w:t xml:space="preserve">227 C.R.R. (2d) 364, </w:t>
      </w:r>
      <w:r w:rsidR="00127802" w:rsidRPr="00AC789B">
        <w:t xml:space="preserve">7 M.V.R. (6th) 10, </w:t>
      </w:r>
      <w:r w:rsidR="00F226B9" w:rsidRPr="00AC789B">
        <w:t xml:space="preserve">5 C.P.C. (7th) 16, </w:t>
      </w:r>
      <w:r w:rsidR="00127802" w:rsidRPr="00AC789B">
        <w:t xml:space="preserve">[2011] O.J. </w:t>
      </w:r>
      <w:r w:rsidR="00D64EF0" w:rsidRPr="00AC789B">
        <w:t>No. </w:t>
      </w:r>
      <w:r w:rsidR="00127802" w:rsidRPr="00AC789B">
        <w:t xml:space="preserve">795 (QL), 2011 </w:t>
      </w:r>
      <w:proofErr w:type="spellStart"/>
      <w:r w:rsidR="00127802" w:rsidRPr="00AC789B">
        <w:t>CarswellOnt</w:t>
      </w:r>
      <w:proofErr w:type="spellEnd"/>
      <w:r w:rsidR="00127802" w:rsidRPr="00AC789B">
        <w:t xml:space="preserve"> 1090, setting aside the conviction for dangerous driving causing bodily harm entered by O</w:t>
      </w:r>
      <w:r w:rsidR="00121948" w:rsidRPr="00AC789B">
        <w:t>’</w:t>
      </w:r>
      <w:r w:rsidR="00127802" w:rsidRPr="00AC789B">
        <w:t>Connor J.</w:t>
      </w:r>
      <w:r w:rsidR="00B50CF2" w:rsidRPr="00AC789B">
        <w:t xml:space="preserve"> (2007)</w:t>
      </w:r>
      <w:r w:rsidR="00127802" w:rsidRPr="00AC789B">
        <w:t xml:space="preserve">, </w:t>
      </w:r>
      <w:r w:rsidR="00A96BED" w:rsidRPr="00AC789B">
        <w:t xml:space="preserve">60 M.V.R. (5th) 186, </w:t>
      </w:r>
      <w:r w:rsidR="00723354" w:rsidRPr="00AC789B">
        <w:t xml:space="preserve">2007 </w:t>
      </w:r>
      <w:proofErr w:type="spellStart"/>
      <w:r w:rsidR="00723354" w:rsidRPr="00AC789B">
        <w:t>CanLII</w:t>
      </w:r>
      <w:proofErr w:type="spellEnd"/>
      <w:r w:rsidR="00723354" w:rsidRPr="00AC789B">
        <w:t xml:space="preserve"> 54970, </w:t>
      </w:r>
      <w:r w:rsidR="00A96BED" w:rsidRPr="00AC789B">
        <w:t>[</w:t>
      </w:r>
      <w:r w:rsidR="00127802" w:rsidRPr="00AC789B">
        <w:t>2007</w:t>
      </w:r>
      <w:r w:rsidR="00A96BED" w:rsidRPr="00AC789B">
        <w:t>]</w:t>
      </w:r>
      <w:r w:rsidR="00127802" w:rsidRPr="00AC789B">
        <w:t xml:space="preserve"> O.J. </w:t>
      </w:r>
      <w:r w:rsidR="00D64EF0" w:rsidRPr="00AC789B">
        <w:t>No. </w:t>
      </w:r>
      <w:r w:rsidR="00127802" w:rsidRPr="00AC789B">
        <w:t>4906 (QL),</w:t>
      </w:r>
      <w:r w:rsidR="00A96BED" w:rsidRPr="00AC789B">
        <w:t xml:space="preserve"> 2007 </w:t>
      </w:r>
      <w:proofErr w:type="spellStart"/>
      <w:r w:rsidR="00A96BED" w:rsidRPr="00AC789B">
        <w:t>CarswellOnt</w:t>
      </w:r>
      <w:proofErr w:type="spellEnd"/>
      <w:r w:rsidR="00A96BED" w:rsidRPr="00AC789B">
        <w:t xml:space="preserve"> 8205,</w:t>
      </w:r>
      <w:r w:rsidR="00127802" w:rsidRPr="00AC789B">
        <w:t xml:space="preserve"> and ordering a new tri</w:t>
      </w:r>
      <w:r w:rsidR="00134BDA" w:rsidRPr="00AC789B">
        <w:t>al.</w:t>
      </w:r>
      <w:r w:rsidRPr="00AC789B">
        <w:t xml:space="preserve"> </w:t>
      </w:r>
      <w:r w:rsidR="00134BDA" w:rsidRPr="00AC789B">
        <w:t xml:space="preserve"> </w:t>
      </w:r>
      <w:r w:rsidRPr="00AC789B">
        <w:t xml:space="preserve">Appeal </w:t>
      </w:r>
      <w:r w:rsidR="00FF225F" w:rsidRPr="00AC789B">
        <w:t>allowed</w:t>
      </w:r>
      <w:r w:rsidR="00A96BED" w:rsidRPr="00AC789B">
        <w:t xml:space="preserve">, </w:t>
      </w:r>
      <w:r w:rsidR="00FF225F" w:rsidRPr="00AC789B">
        <w:t>LeBel, Fish and Cromwell</w:t>
      </w:r>
      <w:r w:rsidR="006F2CEA" w:rsidRPr="00AC789B">
        <w:t> </w:t>
      </w:r>
      <w:r w:rsidR="00A96BED" w:rsidRPr="00AC789B">
        <w:t xml:space="preserve">JJ. </w:t>
      </w:r>
      <w:proofErr w:type="gramStart"/>
      <w:r w:rsidR="00A96BED" w:rsidRPr="00AC789B">
        <w:t>dissenting</w:t>
      </w:r>
      <w:proofErr w:type="gramEnd"/>
      <w:r w:rsidRPr="00AC789B">
        <w:t>.</w:t>
      </w:r>
    </w:p>
    <w:p w:rsidR="00D80930" w:rsidRPr="00AC789B" w:rsidRDefault="00E12D94" w:rsidP="00C46F3D">
      <w:pPr>
        <w:pStyle w:val="SCCNormalDoubleSpacing"/>
        <w:spacing w:after="480"/>
      </w:pPr>
      <w:r w:rsidRPr="00AC789B">
        <w:rPr>
          <w:i/>
        </w:rPr>
        <w:tab/>
      </w:r>
      <w:proofErr w:type="gramStart"/>
      <w:r w:rsidRPr="00AC789B">
        <w:rPr>
          <w:i/>
        </w:rPr>
        <w:t>Michal Fairburn</w:t>
      </w:r>
      <w:r w:rsidRPr="00AC789B">
        <w:t xml:space="preserve"> and </w:t>
      </w:r>
      <w:r w:rsidRPr="00AC789B">
        <w:rPr>
          <w:i/>
        </w:rPr>
        <w:t>Randy Schwartz</w:t>
      </w:r>
      <w:r w:rsidRPr="00AC789B">
        <w:t>, for the appellant.</w:t>
      </w:r>
      <w:proofErr w:type="gramEnd"/>
    </w:p>
    <w:p w:rsidR="00D80930" w:rsidRPr="00AC789B" w:rsidRDefault="00C46F3D" w:rsidP="00C46F3D">
      <w:pPr>
        <w:pStyle w:val="SCCNormalDoubleSpacing"/>
        <w:spacing w:after="480"/>
      </w:pPr>
      <w:r w:rsidRPr="00AC789B">
        <w:rPr>
          <w:i/>
        </w:rPr>
        <w:tab/>
      </w:r>
      <w:r w:rsidR="00D64EF0" w:rsidRPr="00AC789B">
        <w:rPr>
          <w:i/>
        </w:rPr>
        <w:t>P. </w:t>
      </w:r>
      <w:proofErr w:type="spellStart"/>
      <w:r w:rsidR="00E12D94" w:rsidRPr="00AC789B">
        <w:rPr>
          <w:i/>
        </w:rPr>
        <w:t>Andras</w:t>
      </w:r>
      <w:proofErr w:type="spellEnd"/>
      <w:r w:rsidR="00E12D94" w:rsidRPr="00AC789B">
        <w:rPr>
          <w:i/>
        </w:rPr>
        <w:t xml:space="preserve"> </w:t>
      </w:r>
      <w:proofErr w:type="spellStart"/>
      <w:r w:rsidR="00E12D94" w:rsidRPr="00AC789B">
        <w:rPr>
          <w:i/>
        </w:rPr>
        <w:t>Schreck</w:t>
      </w:r>
      <w:proofErr w:type="spellEnd"/>
      <w:r w:rsidR="00E12D94" w:rsidRPr="00AC789B">
        <w:t xml:space="preserve"> and </w:t>
      </w:r>
      <w:r w:rsidR="00E12D94" w:rsidRPr="00AC789B">
        <w:rPr>
          <w:i/>
        </w:rPr>
        <w:t xml:space="preserve">Candice </w:t>
      </w:r>
      <w:proofErr w:type="spellStart"/>
      <w:r w:rsidR="00E12D94" w:rsidRPr="00AC789B">
        <w:rPr>
          <w:i/>
        </w:rPr>
        <w:t>Suter</w:t>
      </w:r>
      <w:proofErr w:type="spellEnd"/>
      <w:r w:rsidR="00E12D94" w:rsidRPr="00AC789B">
        <w:t>, for the respondent.</w:t>
      </w:r>
    </w:p>
    <w:p w:rsidR="00E6609E" w:rsidRPr="00AC789B" w:rsidRDefault="00E6609E" w:rsidP="00C46F3D">
      <w:pPr>
        <w:pStyle w:val="SCCNormalDoubleSpacing"/>
        <w:spacing w:after="480"/>
      </w:pPr>
      <w:r w:rsidRPr="00AC789B">
        <w:rPr>
          <w:i/>
        </w:rPr>
        <w:tab/>
      </w:r>
      <w:proofErr w:type="gramStart"/>
      <w:r w:rsidRPr="00AC789B">
        <w:rPr>
          <w:i/>
        </w:rPr>
        <w:t xml:space="preserve">Sylvain </w:t>
      </w:r>
      <w:proofErr w:type="spellStart"/>
      <w:r w:rsidRPr="00AC789B">
        <w:rPr>
          <w:i/>
        </w:rPr>
        <w:t>Leboeuf</w:t>
      </w:r>
      <w:proofErr w:type="spellEnd"/>
      <w:r w:rsidRPr="00AC789B">
        <w:t xml:space="preserve"> and </w:t>
      </w:r>
      <w:r w:rsidRPr="00AC789B">
        <w:rPr>
          <w:i/>
        </w:rPr>
        <w:t xml:space="preserve">Gilles </w:t>
      </w:r>
      <w:proofErr w:type="spellStart"/>
      <w:r w:rsidRPr="00AC789B">
        <w:rPr>
          <w:i/>
        </w:rPr>
        <w:t>Laporte</w:t>
      </w:r>
      <w:proofErr w:type="spellEnd"/>
      <w:r w:rsidRPr="00AC789B">
        <w:t>, for the intervener the Attorney General of Quebec.</w:t>
      </w:r>
      <w:proofErr w:type="gramEnd"/>
    </w:p>
    <w:p w:rsidR="00D80930" w:rsidRPr="00AC789B" w:rsidRDefault="00C46F3D" w:rsidP="00C46F3D">
      <w:pPr>
        <w:pStyle w:val="SCCNormalDoubleSpacing"/>
        <w:spacing w:after="480"/>
      </w:pPr>
      <w:r w:rsidRPr="00AC789B">
        <w:rPr>
          <w:i/>
        </w:rPr>
        <w:tab/>
      </w:r>
      <w:proofErr w:type="gramStart"/>
      <w:r w:rsidRPr="00AC789B">
        <w:rPr>
          <w:i/>
        </w:rPr>
        <w:t>Barbara </w:t>
      </w:r>
      <w:r w:rsidR="00E12D94" w:rsidRPr="00AC789B">
        <w:rPr>
          <w:i/>
        </w:rPr>
        <w:t xml:space="preserve">A. </w:t>
      </w:r>
      <w:proofErr w:type="spellStart"/>
      <w:r w:rsidR="00E12D94" w:rsidRPr="00AC789B">
        <w:rPr>
          <w:i/>
        </w:rPr>
        <w:t>McIsaac</w:t>
      </w:r>
      <w:proofErr w:type="spellEnd"/>
      <w:r w:rsidR="00E12D94" w:rsidRPr="00AC789B">
        <w:t xml:space="preserve">, </w:t>
      </w:r>
      <w:r w:rsidR="00E12D94" w:rsidRPr="00AC789B">
        <w:rPr>
          <w:i/>
        </w:rPr>
        <w:t>Q.C.</w:t>
      </w:r>
      <w:r w:rsidR="00E12D94" w:rsidRPr="00AC789B">
        <w:t xml:space="preserve">, </w:t>
      </w:r>
      <w:r w:rsidR="00E12D94" w:rsidRPr="00AC789B">
        <w:rPr>
          <w:i/>
        </w:rPr>
        <w:t>Jacquie El</w:t>
      </w:r>
      <w:r w:rsidR="00D64EF0" w:rsidRPr="00AC789B">
        <w:rPr>
          <w:i/>
        </w:rPr>
        <w:noBreakHyphen/>
      </w:r>
      <w:proofErr w:type="spellStart"/>
      <w:r w:rsidR="00E12D94" w:rsidRPr="00AC789B">
        <w:rPr>
          <w:i/>
        </w:rPr>
        <w:t>Chammas</w:t>
      </w:r>
      <w:proofErr w:type="spellEnd"/>
      <w:r w:rsidR="00E12D94" w:rsidRPr="00AC789B">
        <w:t xml:space="preserve"> and </w:t>
      </w:r>
      <w:r w:rsidR="00E12D94" w:rsidRPr="00AC789B">
        <w:rPr>
          <w:i/>
        </w:rPr>
        <w:t xml:space="preserve">Frank </w:t>
      </w:r>
      <w:proofErr w:type="spellStart"/>
      <w:r w:rsidR="00E12D94" w:rsidRPr="00AC789B">
        <w:rPr>
          <w:i/>
        </w:rPr>
        <w:t>Addario</w:t>
      </w:r>
      <w:proofErr w:type="spellEnd"/>
      <w:r w:rsidR="00E12D94" w:rsidRPr="00AC789B">
        <w:t xml:space="preserve">, for the intervener </w:t>
      </w:r>
      <w:r w:rsidR="00E6609E" w:rsidRPr="00AC789B">
        <w:t xml:space="preserve">the </w:t>
      </w:r>
      <w:r w:rsidR="00E12D94" w:rsidRPr="00AC789B">
        <w:t>Advocates</w:t>
      </w:r>
      <w:r w:rsidR="00121948" w:rsidRPr="00AC789B">
        <w:t>’</w:t>
      </w:r>
      <w:r w:rsidR="00E12D94" w:rsidRPr="00AC789B">
        <w:t xml:space="preserve"> Society.</w:t>
      </w:r>
      <w:proofErr w:type="gramEnd"/>
    </w:p>
    <w:p w:rsidR="00D80930" w:rsidRPr="00AC789B" w:rsidRDefault="00E6609E" w:rsidP="00C46F3D">
      <w:pPr>
        <w:pStyle w:val="SCCNormalDoubleSpacing"/>
        <w:spacing w:after="480"/>
      </w:pPr>
      <w:r w:rsidRPr="00AC789B">
        <w:rPr>
          <w:i/>
        </w:rPr>
        <w:lastRenderedPageBreak/>
        <w:tab/>
      </w:r>
      <w:proofErr w:type="gramStart"/>
      <w:r w:rsidRPr="00AC789B">
        <w:rPr>
          <w:i/>
        </w:rPr>
        <w:t>Scott </w:t>
      </w:r>
      <w:r w:rsidR="00E12D94" w:rsidRPr="00AC789B">
        <w:rPr>
          <w:i/>
        </w:rPr>
        <w:t>C. Hutchison</w:t>
      </w:r>
      <w:r w:rsidR="00E12D94" w:rsidRPr="00AC789B">
        <w:t xml:space="preserve"> </w:t>
      </w:r>
      <w:r w:rsidRPr="00AC789B">
        <w:t xml:space="preserve">and </w:t>
      </w:r>
      <w:r w:rsidRPr="00AC789B">
        <w:rPr>
          <w:i/>
        </w:rPr>
        <w:t xml:space="preserve">Edward </w:t>
      </w:r>
      <w:proofErr w:type="spellStart"/>
      <w:r w:rsidRPr="00AC789B">
        <w:rPr>
          <w:i/>
        </w:rPr>
        <w:t>Marrocco</w:t>
      </w:r>
      <w:proofErr w:type="spellEnd"/>
      <w:r w:rsidRPr="00AC789B">
        <w:t xml:space="preserve">, </w:t>
      </w:r>
      <w:r w:rsidR="00E12D94" w:rsidRPr="00AC789B">
        <w:t xml:space="preserve">for the intervener </w:t>
      </w:r>
      <w:r w:rsidRPr="00AC789B">
        <w:t xml:space="preserve">the </w:t>
      </w:r>
      <w:r w:rsidR="00E12D94" w:rsidRPr="00AC789B">
        <w:t>Criminal Lawyers</w:t>
      </w:r>
      <w:r w:rsidR="00121948" w:rsidRPr="00AC789B">
        <w:t>’</w:t>
      </w:r>
      <w:r w:rsidR="00E12D94" w:rsidRPr="00AC789B">
        <w:t xml:space="preserve"> Association (Ontario).</w:t>
      </w:r>
      <w:proofErr w:type="gramEnd"/>
    </w:p>
    <w:p w:rsidR="00AC4C1F" w:rsidRPr="00AC789B" w:rsidRDefault="00B50CF2" w:rsidP="00C46F3D">
      <w:pPr>
        <w:pStyle w:val="SCCNormalDoubleSpacing"/>
        <w:spacing w:after="480"/>
      </w:pPr>
      <w:r w:rsidRPr="00AC789B">
        <w:tab/>
      </w:r>
      <w:proofErr w:type="gramStart"/>
      <w:r w:rsidRPr="00AC789B">
        <w:t xml:space="preserve">The judgment of </w:t>
      </w:r>
      <w:proofErr w:type="spellStart"/>
      <w:r w:rsidRPr="00AC789B">
        <w:t>McLachlin</w:t>
      </w:r>
      <w:proofErr w:type="spellEnd"/>
      <w:r w:rsidRPr="00AC789B">
        <w:t xml:space="preserve"> C.J. and </w:t>
      </w:r>
      <w:proofErr w:type="spellStart"/>
      <w:r w:rsidRPr="00AC789B">
        <w:t>Deschamps</w:t>
      </w:r>
      <w:proofErr w:type="spellEnd"/>
      <w:r w:rsidRPr="00AC789B">
        <w:t xml:space="preserve">, </w:t>
      </w:r>
      <w:proofErr w:type="spellStart"/>
      <w:r w:rsidRPr="00AC789B">
        <w:t>Abella</w:t>
      </w:r>
      <w:proofErr w:type="spellEnd"/>
      <w:r w:rsidRPr="00AC789B">
        <w:t xml:space="preserve">, Rothstein, </w:t>
      </w:r>
      <w:proofErr w:type="spellStart"/>
      <w:r w:rsidRPr="00AC789B">
        <w:t>Moldaver</w:t>
      </w:r>
      <w:proofErr w:type="spellEnd"/>
      <w:r w:rsidRPr="00AC789B">
        <w:t xml:space="preserve"> and </w:t>
      </w:r>
      <w:proofErr w:type="spellStart"/>
      <w:r w:rsidRPr="00AC789B">
        <w:t>Karakatsanis</w:t>
      </w:r>
      <w:proofErr w:type="spellEnd"/>
      <w:r w:rsidRPr="00AC789B">
        <w:t xml:space="preserve"> JJ.</w:t>
      </w:r>
      <w:proofErr w:type="gramEnd"/>
      <w:r w:rsidRPr="00AC789B">
        <w:t xml:space="preserve"> </w:t>
      </w:r>
      <w:proofErr w:type="gramStart"/>
      <w:r w:rsidRPr="00AC789B">
        <w:t>was</w:t>
      </w:r>
      <w:proofErr w:type="gramEnd"/>
      <w:r w:rsidRPr="00AC789B">
        <w:t xml:space="preserve"> delivered by</w:t>
      </w:r>
    </w:p>
    <w:p w:rsidR="00AC4C1F" w:rsidRPr="00AC789B" w:rsidRDefault="00FE106C" w:rsidP="00AC4C1F">
      <w:pPr>
        <w:pStyle w:val="ParaNoNdepar-AltN"/>
        <w:rPr>
          <w:rFonts w:cs="Times New Roman"/>
        </w:rPr>
      </w:pPr>
      <w:proofErr w:type="spellStart"/>
      <w:r w:rsidRPr="00AC789B">
        <w:rPr>
          <w:rFonts w:cs="Times New Roman"/>
          <w:smallCaps/>
        </w:rPr>
        <w:t>Moldaver</w:t>
      </w:r>
      <w:proofErr w:type="spellEnd"/>
      <w:r w:rsidRPr="00AC789B">
        <w:rPr>
          <w:rFonts w:cs="Times New Roman"/>
          <w:smallCaps/>
        </w:rPr>
        <w:t xml:space="preserve"> J.</w:t>
      </w:r>
      <w:r w:rsidRPr="00AC789B">
        <w:rPr>
          <w:rFonts w:cs="Times New Roman"/>
        </w:rPr>
        <w:t xml:space="preserve"> — </w:t>
      </w:r>
      <w:r w:rsidR="00AC4C1F" w:rsidRPr="00AC789B">
        <w:rPr>
          <w:rFonts w:cs="Times New Roman"/>
        </w:rPr>
        <w:t xml:space="preserve">I have had the privilege of reading Justice </w:t>
      </w:r>
      <w:proofErr w:type="spellStart"/>
      <w:r w:rsidR="00AC4C1F" w:rsidRPr="00AC789B">
        <w:rPr>
          <w:rFonts w:cs="Times New Roman"/>
        </w:rPr>
        <w:t>LeBel’s</w:t>
      </w:r>
      <w:proofErr w:type="spellEnd"/>
      <w:r w:rsidR="00AC4C1F" w:rsidRPr="00AC789B">
        <w:rPr>
          <w:rFonts w:cs="Times New Roman"/>
        </w:rPr>
        <w:t xml:space="preserve"> reasons for judgment and I agree with him on the issue of compulsion.  In particular, I accept his conclusion, at </w:t>
      </w:r>
      <w:proofErr w:type="spellStart"/>
      <w:r w:rsidR="00AC4C1F" w:rsidRPr="00AC789B">
        <w:rPr>
          <w:rFonts w:cs="Times New Roman"/>
        </w:rPr>
        <w:t>para</w:t>
      </w:r>
      <w:proofErr w:type="spellEnd"/>
      <w:r w:rsidR="00AC4C1F" w:rsidRPr="00AC789B">
        <w:rPr>
          <w:rFonts w:cs="Times New Roman"/>
        </w:rPr>
        <w:t xml:space="preserve">. 109, that Mr. </w:t>
      </w:r>
      <w:proofErr w:type="spellStart"/>
      <w:r w:rsidR="00AC4C1F" w:rsidRPr="00AC789B">
        <w:rPr>
          <w:rFonts w:cs="Times New Roman"/>
        </w:rPr>
        <w:t>Nedelcu</w:t>
      </w:r>
      <w:proofErr w:type="spellEnd"/>
      <w:r w:rsidR="00AC4C1F" w:rsidRPr="00AC789B">
        <w:rPr>
          <w:rFonts w:cs="Times New Roman"/>
        </w:rPr>
        <w:t xml:space="preserve"> “was statutorily compellable, and therefore ‘compelled’ . . . for the purposes of s. 13 [of the </w:t>
      </w:r>
      <w:r w:rsidR="00AC4C1F" w:rsidRPr="00AC789B">
        <w:rPr>
          <w:rFonts w:cs="Times New Roman"/>
          <w:i/>
        </w:rPr>
        <w:t>Canadian Charter of Rights and Freedoms</w:t>
      </w:r>
      <w:r w:rsidR="00AC4C1F" w:rsidRPr="00AC789B">
        <w:rPr>
          <w:rFonts w:cs="Times New Roman"/>
        </w:rPr>
        <w:t xml:space="preserve">]” to testify at his examination for discovery in the civil action. </w:t>
      </w:r>
    </w:p>
    <w:p w:rsidR="00AC4C1F" w:rsidRPr="00AC789B" w:rsidRDefault="00AC4C1F" w:rsidP="00AC4C1F">
      <w:pPr>
        <w:pStyle w:val="ParaNoNdepar-AltN"/>
        <w:rPr>
          <w:rFonts w:cs="Times New Roman"/>
        </w:rPr>
      </w:pPr>
      <w:r w:rsidRPr="00AC789B">
        <w:rPr>
          <w:rFonts w:cs="Times New Roman"/>
        </w:rPr>
        <w:t xml:space="preserve">Where I part company with my colleague is on the interpretation of s. 13 and in particular, its application to the facts of this case.  In my respectful view, s. 13 was never meant to apply to a case such as this — and I am convinced it does not.  This Court’s decision in </w:t>
      </w:r>
      <w:r w:rsidRPr="00AC789B">
        <w:rPr>
          <w:rFonts w:cs="Times New Roman"/>
          <w:i/>
        </w:rPr>
        <w:t>R. v. Henry</w:t>
      </w:r>
      <w:r w:rsidRPr="00AC789B">
        <w:rPr>
          <w:rFonts w:cs="Times New Roman"/>
        </w:rPr>
        <w:t xml:space="preserve">, 2005 SCC 76, [2005] 3 S.C.R. 609, does not provide otherwise. </w:t>
      </w:r>
    </w:p>
    <w:p w:rsidR="00AC4C1F" w:rsidRPr="00AC789B" w:rsidRDefault="00AC4C1F" w:rsidP="00AC4C1F">
      <w:pPr>
        <w:pStyle w:val="ParaNoNdepar-AltN"/>
        <w:rPr>
          <w:rFonts w:cs="Times New Roman"/>
        </w:rPr>
      </w:pPr>
      <w:r w:rsidRPr="00AC789B">
        <w:rPr>
          <w:rFonts w:cs="Times New Roman"/>
        </w:rPr>
        <w:t xml:space="preserve">My colleague has canvassed </w:t>
      </w:r>
      <w:r w:rsidRPr="00AC789B">
        <w:rPr>
          <w:rFonts w:cs="Times New Roman"/>
          <w:i/>
        </w:rPr>
        <w:t>Henry</w:t>
      </w:r>
      <w:r w:rsidRPr="00AC789B">
        <w:rPr>
          <w:rFonts w:cs="Times New Roman"/>
        </w:rPr>
        <w:t xml:space="preserve"> in detail and I see no need to retrace his steps.  Fundamentally, as he observes at </w:t>
      </w:r>
      <w:proofErr w:type="spellStart"/>
      <w:r w:rsidRPr="00AC789B">
        <w:rPr>
          <w:rFonts w:cs="Times New Roman"/>
        </w:rPr>
        <w:t>para</w:t>
      </w:r>
      <w:proofErr w:type="spellEnd"/>
      <w:r w:rsidRPr="00AC789B">
        <w:rPr>
          <w:rFonts w:cs="Times New Roman"/>
        </w:rPr>
        <w:t xml:space="preserve">. 81 of his reasons, the Court in </w:t>
      </w:r>
      <w:r w:rsidRPr="00AC789B">
        <w:rPr>
          <w:rFonts w:cs="Times New Roman"/>
          <w:i/>
        </w:rPr>
        <w:t>Henry</w:t>
      </w:r>
      <w:r w:rsidRPr="00AC789B">
        <w:rPr>
          <w:rFonts w:cs="Times New Roman"/>
        </w:rPr>
        <w:t xml:space="preserve"> outlined “a unified approach to s. 13, one based on the historical rationale underlying s. 13 — the </w:t>
      </w:r>
      <w:r w:rsidRPr="00AC789B">
        <w:rPr>
          <w:rFonts w:cs="Times New Roman"/>
          <w:i/>
        </w:rPr>
        <w:t>quid pro quo</w:t>
      </w:r>
      <w:r w:rsidRPr="00AC789B">
        <w:rPr>
          <w:rFonts w:cs="Times New Roman"/>
        </w:rPr>
        <w:t>”.  I take no issue with that observation.</w:t>
      </w:r>
    </w:p>
    <w:p w:rsidR="00AC4C1F" w:rsidRPr="00AC789B" w:rsidRDefault="00AC4C1F" w:rsidP="00AC4C1F">
      <w:pPr>
        <w:pStyle w:val="ParaNoNdepar-AltN"/>
        <w:tabs>
          <w:tab w:val="clear" w:pos="1152"/>
          <w:tab w:val="left" w:pos="1166"/>
        </w:tabs>
        <w:rPr>
          <w:rFonts w:cs="Times New Roman"/>
        </w:rPr>
      </w:pPr>
      <w:r w:rsidRPr="00AC789B">
        <w:rPr>
          <w:rFonts w:cs="Times New Roman"/>
        </w:rPr>
        <w:lastRenderedPageBreak/>
        <w:t>The difficulty I have with the present case is that there was no “</w:t>
      </w:r>
      <w:r w:rsidRPr="00AC789B">
        <w:rPr>
          <w:rFonts w:cs="Times New Roman"/>
          <w:i/>
        </w:rPr>
        <w:t>quid</w:t>
      </w:r>
      <w:r w:rsidRPr="00AC789B">
        <w:rPr>
          <w:rFonts w:cs="Times New Roman"/>
        </w:rPr>
        <w:t>” for there to be a “</w:t>
      </w:r>
      <w:r w:rsidRPr="00AC789B">
        <w:rPr>
          <w:rFonts w:cs="Times New Roman"/>
          <w:i/>
        </w:rPr>
        <w:t>quo</w:t>
      </w:r>
      <w:r w:rsidRPr="00AC789B">
        <w:rPr>
          <w:rFonts w:cs="Times New Roman"/>
        </w:rPr>
        <w:t>” — and hence, in my view, s. 13 was never engaged.  I would accordingly allow the appeal.</w:t>
      </w:r>
    </w:p>
    <w:p w:rsidR="00AC4C1F" w:rsidRPr="00AC789B" w:rsidRDefault="00AC4C1F" w:rsidP="00AC4C1F">
      <w:pPr>
        <w:pStyle w:val="ParaNoNdepar-AltN"/>
        <w:rPr>
          <w:rFonts w:cs="Times New Roman"/>
        </w:rPr>
      </w:pPr>
      <w:r w:rsidRPr="00AC789B">
        <w:rPr>
          <w:rFonts w:cs="Times New Roman"/>
        </w:rPr>
        <w:t xml:space="preserve">Section 13 of the </w:t>
      </w:r>
      <w:r w:rsidRPr="00AC789B">
        <w:rPr>
          <w:rFonts w:cs="Times New Roman"/>
          <w:i/>
        </w:rPr>
        <w:t xml:space="preserve">Charter </w:t>
      </w:r>
      <w:r w:rsidRPr="00AC789B">
        <w:rPr>
          <w:rFonts w:cs="Times New Roman"/>
        </w:rPr>
        <w:t>reads as follows:</w:t>
      </w:r>
    </w:p>
    <w:p w:rsidR="00AC4C1F" w:rsidRPr="00AC789B" w:rsidRDefault="00B9640A" w:rsidP="00B9640A">
      <w:pPr>
        <w:pStyle w:val="Citation-AltC"/>
        <w:tabs>
          <w:tab w:val="left" w:pos="1620"/>
        </w:tabs>
        <w:ind w:hanging="1166"/>
      </w:pPr>
      <w:r w:rsidRPr="00AC789B">
        <w:rPr>
          <w:rStyle w:val="Strong"/>
          <w:szCs w:val="24"/>
        </w:rPr>
        <w:tab/>
      </w:r>
      <w:r w:rsidRPr="00AC789B">
        <w:rPr>
          <w:rStyle w:val="Strong"/>
          <w:szCs w:val="24"/>
        </w:rPr>
        <w:tab/>
      </w:r>
      <w:r w:rsidR="00AC4C1F" w:rsidRPr="00AC789B">
        <w:rPr>
          <w:rStyle w:val="Strong"/>
          <w:szCs w:val="24"/>
        </w:rPr>
        <w:t>13.</w:t>
      </w:r>
      <w:r w:rsidRPr="00AC789B">
        <w:rPr>
          <w:rStyle w:val="Strong"/>
          <w:b w:val="0"/>
          <w:szCs w:val="24"/>
        </w:rPr>
        <w:tab/>
        <w:t>A</w:t>
      </w:r>
      <w:r w:rsidR="00AC4C1F" w:rsidRPr="00AC789B">
        <w:t xml:space="preserve"> witness who testifies in any proceedings has the right not to have any incriminating evidence so given used to incriminate that witness in any other proceedings, except in a prosecution for perjury or for the giving of contradictory evidence. </w:t>
      </w:r>
    </w:p>
    <w:p w:rsidR="00AC4C1F" w:rsidRPr="00AC789B" w:rsidRDefault="00AC4C1F" w:rsidP="00AC4C1F">
      <w:pPr>
        <w:pStyle w:val="ParaNoNdepar-AltN"/>
        <w:rPr>
          <w:rFonts w:cs="Times New Roman"/>
        </w:rPr>
      </w:pPr>
      <w:r w:rsidRPr="00AC789B">
        <w:rPr>
          <w:rFonts w:cs="Times New Roman"/>
        </w:rPr>
        <w:t>As I read the section, the “</w:t>
      </w:r>
      <w:r w:rsidRPr="00AC789B">
        <w:rPr>
          <w:rFonts w:cs="Times New Roman"/>
          <w:i/>
        </w:rPr>
        <w:t>quid</w:t>
      </w:r>
      <w:r w:rsidRPr="00AC789B">
        <w:rPr>
          <w:rFonts w:cs="Times New Roman"/>
        </w:rPr>
        <w:t xml:space="preserve">” that forms the critical first branch of the historical rationale, refers to “incriminating evidence” the witness has given at a prior proceeding in which the witness could not refuse to answer.  The section does not refer to all manner of evidence the witness has given at the prior proceeding.  It refers to “incriminating evidence” the witness has given under compulsion. </w:t>
      </w:r>
    </w:p>
    <w:p w:rsidR="00AC4C1F" w:rsidRPr="00AC789B" w:rsidRDefault="00AC4C1F" w:rsidP="00AC4C1F">
      <w:pPr>
        <w:pStyle w:val="ParaNoNdepar-AltN"/>
        <w:rPr>
          <w:rFonts w:cs="Times New Roman"/>
        </w:rPr>
      </w:pPr>
      <w:r w:rsidRPr="00AC789B">
        <w:rPr>
          <w:rFonts w:cs="Times New Roman"/>
        </w:rPr>
        <w:t>The “</w:t>
      </w:r>
      <w:r w:rsidRPr="00AC789B">
        <w:rPr>
          <w:rFonts w:cs="Times New Roman"/>
          <w:i/>
        </w:rPr>
        <w:t>quo</w:t>
      </w:r>
      <w:r w:rsidRPr="00AC789B">
        <w:rPr>
          <w:rFonts w:cs="Times New Roman"/>
        </w:rPr>
        <w:t xml:space="preserve">” refers to the state’s side of the bargain.  In return for having compelled the witness to testify, to the extent the witness has provided “incriminating evidence”, the state undertakes that it will not use </w:t>
      </w:r>
      <w:r w:rsidRPr="00AC789B">
        <w:rPr>
          <w:rFonts w:cs="Times New Roman"/>
          <w:i/>
        </w:rPr>
        <w:t>that</w:t>
      </w:r>
      <w:r w:rsidRPr="00AC789B">
        <w:rPr>
          <w:rFonts w:cs="Times New Roman"/>
        </w:rPr>
        <w:t xml:space="preserve"> evidence to incriminate the witness in any other proceeding, except in a prosecution for perjury or for the giving of contradictory evidence.</w:t>
      </w:r>
    </w:p>
    <w:p w:rsidR="00AC4C1F" w:rsidRPr="00AC789B" w:rsidRDefault="00AC4C1F" w:rsidP="00AC4C1F">
      <w:pPr>
        <w:pStyle w:val="ParaNoNdepar-AltN"/>
        <w:rPr>
          <w:rFonts w:cs="Times New Roman"/>
        </w:rPr>
      </w:pPr>
      <w:r w:rsidRPr="00AC789B">
        <w:rPr>
          <w:rFonts w:cs="Times New Roman"/>
        </w:rPr>
        <w:lastRenderedPageBreak/>
        <w:t>Thus, a party seeking to invoke s. 13 must first establish that he or she gave “incriminating evidence” under compulsion at the prior proceeding.  If the party fails to meet these twin requirements, s. 13 is not engaged and that ends the matter.</w:t>
      </w:r>
    </w:p>
    <w:p w:rsidR="00AC4C1F" w:rsidRPr="00AC789B" w:rsidRDefault="00AC4C1F" w:rsidP="00AC4C1F">
      <w:pPr>
        <w:pStyle w:val="ParaNoNdepar-AltN"/>
        <w:rPr>
          <w:rFonts w:cs="Times New Roman"/>
        </w:rPr>
      </w:pPr>
      <w:r w:rsidRPr="00AC789B">
        <w:rPr>
          <w:rFonts w:cs="Times New Roman"/>
        </w:rPr>
        <w:t>What then is “incriminating evidence”?  The answer, I believe, should be straightforward.  In my view, it can only mean evidence given by the witness at the prior proceeding that the Crown could use at the subsequent proceeding, if it were permitted to do so, to prove guilt, i.e.</w:t>
      </w:r>
      <w:r w:rsidR="000D27AE" w:rsidRPr="00AC789B">
        <w:rPr>
          <w:rFonts w:cs="Times New Roman"/>
        </w:rPr>
        <w:t>,</w:t>
      </w:r>
      <w:r w:rsidRPr="00AC789B">
        <w:rPr>
          <w:rFonts w:cs="Times New Roman"/>
        </w:rPr>
        <w:t xml:space="preserve"> to prove or assist in proving one or more of the essential elements of the offence for which the witness is being tried. </w:t>
      </w:r>
    </w:p>
    <w:p w:rsidR="00AC4C1F" w:rsidRPr="00AC789B" w:rsidRDefault="00AC4C1F" w:rsidP="00AC4C1F">
      <w:pPr>
        <w:pStyle w:val="ParaNoNdepar-AltN"/>
        <w:rPr>
          <w:rFonts w:cs="Times New Roman"/>
        </w:rPr>
      </w:pPr>
      <w:r w:rsidRPr="00AC789B">
        <w:rPr>
          <w:rFonts w:cs="Times New Roman"/>
        </w:rPr>
        <w:t xml:space="preserve">In </w:t>
      </w:r>
      <w:r w:rsidRPr="00AC789B">
        <w:rPr>
          <w:rFonts w:cs="Times New Roman"/>
          <w:i/>
        </w:rPr>
        <w:t>Henry</w:t>
      </w:r>
      <w:r w:rsidRPr="00AC789B">
        <w:rPr>
          <w:rFonts w:cs="Times New Roman"/>
        </w:rPr>
        <w:t xml:space="preserve">, at </w:t>
      </w:r>
      <w:proofErr w:type="spellStart"/>
      <w:r w:rsidRPr="00AC789B">
        <w:rPr>
          <w:rFonts w:cs="Times New Roman"/>
        </w:rPr>
        <w:t>para</w:t>
      </w:r>
      <w:proofErr w:type="spellEnd"/>
      <w:r w:rsidRPr="00AC789B">
        <w:rPr>
          <w:rFonts w:cs="Times New Roman"/>
        </w:rPr>
        <w:t xml:space="preserve">. 25, Justice Binnie adopted the following definition of “incriminating evidence” from this Court’s earlier decision in </w:t>
      </w:r>
      <w:r w:rsidRPr="00AC789B">
        <w:rPr>
          <w:rFonts w:cs="Times New Roman"/>
          <w:i/>
        </w:rPr>
        <w:t xml:space="preserve">R. v. </w:t>
      </w:r>
      <w:proofErr w:type="spellStart"/>
      <w:r w:rsidRPr="00AC789B">
        <w:rPr>
          <w:rFonts w:cs="Times New Roman"/>
          <w:i/>
        </w:rPr>
        <w:t>Kuldip</w:t>
      </w:r>
      <w:proofErr w:type="spellEnd"/>
      <w:r w:rsidRPr="00AC789B">
        <w:rPr>
          <w:rFonts w:cs="Times New Roman"/>
        </w:rPr>
        <w:t xml:space="preserve">, [1990] 3 S.C.R. 618, at p. 633:  “Incriminating evidence means ‘something “from which a </w:t>
      </w:r>
      <w:proofErr w:type="spellStart"/>
      <w:r w:rsidRPr="00AC789B">
        <w:rPr>
          <w:rFonts w:cs="Times New Roman"/>
        </w:rPr>
        <w:t>trier</w:t>
      </w:r>
      <w:proofErr w:type="spellEnd"/>
      <w:r w:rsidRPr="00AC789B">
        <w:rPr>
          <w:rFonts w:cs="Times New Roman"/>
        </w:rPr>
        <w:t xml:space="preserve"> of fact may infer that an accused is guilty of the crime charged”’”.</w:t>
      </w:r>
    </w:p>
    <w:p w:rsidR="00AC4C1F" w:rsidRPr="00AC789B" w:rsidRDefault="00AC4C1F" w:rsidP="00AC4C1F">
      <w:pPr>
        <w:pStyle w:val="ParaNoNdepar-AltN"/>
        <w:rPr>
          <w:rFonts w:cs="Times New Roman"/>
        </w:rPr>
      </w:pPr>
      <w:r w:rsidRPr="00AC789B">
        <w:rPr>
          <w:rFonts w:cs="Times New Roman"/>
        </w:rPr>
        <w:t xml:space="preserve">While that definition of “incriminating evidence” is framed somewhat differently than the definition I am proposing, one thing is clear — the </w:t>
      </w:r>
      <w:proofErr w:type="spellStart"/>
      <w:r w:rsidRPr="00AC789B">
        <w:rPr>
          <w:rFonts w:cs="Times New Roman"/>
          <w:i/>
        </w:rPr>
        <w:t>Kuldip</w:t>
      </w:r>
      <w:proofErr w:type="spellEnd"/>
      <w:r w:rsidRPr="00AC789B">
        <w:rPr>
          <w:rFonts w:cs="Times New Roman"/>
        </w:rPr>
        <w:t xml:space="preserve"> definition did not include evidence from the prior proceeding that the Crown wished to use for the sole purpose of impeaching the witness’s testimony at the subsequent proceeding.  Indeed, </w:t>
      </w:r>
      <w:proofErr w:type="spellStart"/>
      <w:r w:rsidRPr="00AC789B">
        <w:rPr>
          <w:rFonts w:cs="Times New Roman"/>
          <w:i/>
        </w:rPr>
        <w:t>Kuldip</w:t>
      </w:r>
      <w:proofErr w:type="spellEnd"/>
      <w:r w:rsidRPr="00AC789B">
        <w:rPr>
          <w:rFonts w:cs="Times New Roman"/>
        </w:rPr>
        <w:t xml:space="preserve"> affirmed, without qualification, that the witness’s evidence from the prior proceeding could be used for that purpose.  And that is how things stood for 12 years, until 2002, when this Court in </w:t>
      </w:r>
      <w:r w:rsidRPr="00AC789B">
        <w:rPr>
          <w:rFonts w:cs="Times New Roman"/>
          <w:i/>
        </w:rPr>
        <w:t>R. v. Noël</w:t>
      </w:r>
      <w:r w:rsidRPr="00AC789B">
        <w:rPr>
          <w:rFonts w:cs="Times New Roman"/>
        </w:rPr>
        <w:t>, 2002 SCC 67, [2002] 3 S.C.R. 433, qualified the rule — correctly in my view —</w:t>
      </w:r>
      <w:r w:rsidRPr="00AC789B">
        <w:rPr>
          <w:rFonts w:cs="Times New Roman"/>
          <w:lang w:val="en-US"/>
        </w:rPr>
        <w:t xml:space="preserve"> in a way that does </w:t>
      </w:r>
      <w:r w:rsidRPr="00AC789B">
        <w:rPr>
          <w:rFonts w:cs="Times New Roman"/>
          <w:lang w:val="en-US"/>
        </w:rPr>
        <w:lastRenderedPageBreak/>
        <w:t xml:space="preserve">not read the words “incriminating evidence” out of s. 13.  At </w:t>
      </w:r>
      <w:proofErr w:type="spellStart"/>
      <w:r w:rsidRPr="00AC789B">
        <w:rPr>
          <w:rFonts w:cs="Times New Roman"/>
          <w:lang w:val="en-US"/>
        </w:rPr>
        <w:t>para</w:t>
      </w:r>
      <w:proofErr w:type="spellEnd"/>
      <w:r w:rsidRPr="00AC789B">
        <w:rPr>
          <w:rFonts w:cs="Times New Roman"/>
          <w:lang w:val="en-US"/>
        </w:rPr>
        <w:t xml:space="preserve">. 47 of </w:t>
      </w:r>
      <w:r w:rsidRPr="00AC789B">
        <w:rPr>
          <w:rFonts w:cs="Times New Roman"/>
          <w:i/>
          <w:lang w:val="en-US"/>
        </w:rPr>
        <w:t>Noël</w:t>
      </w:r>
      <w:r w:rsidRPr="00AC789B">
        <w:rPr>
          <w:rFonts w:cs="Times New Roman"/>
          <w:lang w:val="en-US"/>
        </w:rPr>
        <w:t xml:space="preserve">, </w:t>
      </w:r>
      <w:proofErr w:type="spellStart"/>
      <w:r w:rsidRPr="00AC789B">
        <w:rPr>
          <w:rFonts w:cs="Times New Roman"/>
          <w:lang w:val="en-US"/>
        </w:rPr>
        <w:t>Arbour</w:t>
      </w:r>
      <w:proofErr w:type="spellEnd"/>
      <w:r w:rsidRPr="00AC789B">
        <w:rPr>
          <w:rFonts w:cs="Times New Roman"/>
          <w:lang w:val="en-US"/>
        </w:rPr>
        <w:t xml:space="preserve"> J. stated, for the majority:</w:t>
      </w:r>
    </w:p>
    <w:p w:rsidR="00AC4C1F" w:rsidRPr="00AC789B" w:rsidRDefault="006F4EE7" w:rsidP="006F4EE7">
      <w:pPr>
        <w:pStyle w:val="Citation-AltC"/>
        <w:tabs>
          <w:tab w:val="left" w:pos="1170"/>
        </w:tabs>
        <w:ind w:hanging="1166"/>
      </w:pPr>
      <w:r w:rsidRPr="00AC789B">
        <w:tab/>
      </w:r>
      <w:r w:rsidR="00AC4C1F" w:rsidRPr="00AC789B">
        <w:t xml:space="preserve">If the original evidence was not incriminating, the </w:t>
      </w:r>
      <w:r w:rsidR="00AC4C1F" w:rsidRPr="00AC789B">
        <w:rPr>
          <w:i/>
        </w:rPr>
        <w:t>quid pro quo</w:t>
      </w:r>
      <w:r w:rsidR="00AC4C1F" w:rsidRPr="00AC789B">
        <w:t xml:space="preserve"> was never engaged, and the witness cannot ask of the state that he be prevented from being cross-examined as to his credibility should he assert matters differently in a subsequent proceeding, even if the ultimate effect of that subsequent cross-examination may be adverse to his interest.  This is consistent with the language of s. 13 which grants to every witness the right not to have any “</w:t>
      </w:r>
      <w:r w:rsidR="00AC4C1F" w:rsidRPr="00AC789B">
        <w:rPr>
          <w:u w:val="single"/>
        </w:rPr>
        <w:t>incriminating evidence</w:t>
      </w:r>
      <w:r w:rsidR="00AC4C1F" w:rsidRPr="00AC789B">
        <w:t xml:space="preserve"> so given</w:t>
      </w:r>
      <w:r w:rsidR="00AC4C1F" w:rsidRPr="00AC789B">
        <w:rPr>
          <w:u w:val="single"/>
        </w:rPr>
        <w:t xml:space="preserve"> used to incriminate</w:t>
      </w:r>
      <w:r w:rsidR="00AC4C1F" w:rsidRPr="00AC789B">
        <w:t xml:space="preserve"> that witness in any other proceedings”.  </w:t>
      </w:r>
      <w:proofErr w:type="gramStart"/>
      <w:r w:rsidR="00AC4C1F" w:rsidRPr="00AC789B">
        <w:t>[Emphasis in original.]</w:t>
      </w:r>
      <w:proofErr w:type="gramEnd"/>
    </w:p>
    <w:p w:rsidR="00AC4C1F" w:rsidRPr="00AC789B" w:rsidRDefault="00AC4C1F" w:rsidP="00AC4C1F">
      <w:pPr>
        <w:pStyle w:val="ParaNoNdepar-AltN"/>
        <w:rPr>
          <w:rFonts w:cs="Times New Roman"/>
        </w:rPr>
      </w:pPr>
      <w:r w:rsidRPr="00AC789B">
        <w:rPr>
          <w:rFonts w:cs="Times New Roman"/>
        </w:rPr>
        <w:t xml:space="preserve">The pertinent facts in </w:t>
      </w:r>
      <w:r w:rsidRPr="00AC789B">
        <w:rPr>
          <w:rFonts w:cs="Times New Roman"/>
          <w:i/>
          <w:lang w:val="en-US"/>
        </w:rPr>
        <w:t>Noël</w:t>
      </w:r>
      <w:r w:rsidRPr="00AC789B">
        <w:rPr>
          <w:rFonts w:cs="Times New Roman"/>
          <w:lang w:val="en-US"/>
        </w:rPr>
        <w:t xml:space="preserve"> are straightforward.  Noël was called as a Crown witness at his brother’s trial for murder.  In his testimony at that trial, he admitted to being his brother’s accomplice in the murder of a little boy.  Noël was later charged with the same murder.  At his trial, he took the stand and denied any participation in the murder.  The Crown was then permitted to cross-examine him at length on the incriminating statements he had made during his brother’s trial. </w:t>
      </w:r>
    </w:p>
    <w:p w:rsidR="00AC4C1F" w:rsidRPr="00AC789B" w:rsidRDefault="00AC4C1F" w:rsidP="00AC4C1F">
      <w:pPr>
        <w:pStyle w:val="ParaNoNdepar-AltN"/>
        <w:rPr>
          <w:rFonts w:cs="Times New Roman"/>
        </w:rPr>
      </w:pPr>
      <w:proofErr w:type="spellStart"/>
      <w:r w:rsidRPr="00AC789B">
        <w:rPr>
          <w:rFonts w:cs="Times New Roman"/>
          <w:lang w:val="en-US"/>
        </w:rPr>
        <w:t>Arbour</w:t>
      </w:r>
      <w:proofErr w:type="spellEnd"/>
      <w:r w:rsidRPr="00AC789B">
        <w:rPr>
          <w:rFonts w:cs="Times New Roman"/>
          <w:lang w:val="en-US"/>
        </w:rPr>
        <w:t xml:space="preserve"> J., writing for the majority, ruled that the cross-examination was improper and in violation of Noël’s rights under s. 13 of the</w:t>
      </w:r>
      <w:r w:rsidRPr="00AC789B">
        <w:rPr>
          <w:rFonts w:cs="Times New Roman"/>
          <w:i/>
          <w:lang w:val="en-US"/>
        </w:rPr>
        <w:t xml:space="preserve"> Charter</w:t>
      </w:r>
      <w:r w:rsidRPr="00AC789B">
        <w:rPr>
          <w:rFonts w:cs="Times New Roman"/>
          <w:lang w:val="en-US"/>
        </w:rPr>
        <w:t xml:space="preserve"> because “the risk of misuse of the incriminating evidence given by [Noël] at his brother’s trial, [though] introduced . . . purportedly to challenge his credibility, was overwhelming and could not have been alleviated by any instructions” (</w:t>
      </w:r>
      <w:proofErr w:type="spellStart"/>
      <w:r w:rsidRPr="00AC789B">
        <w:rPr>
          <w:rFonts w:cs="Times New Roman"/>
          <w:lang w:val="en-US"/>
        </w:rPr>
        <w:t>para</w:t>
      </w:r>
      <w:proofErr w:type="spellEnd"/>
      <w:r w:rsidRPr="00AC789B">
        <w:rPr>
          <w:rFonts w:cs="Times New Roman"/>
          <w:lang w:val="en-US"/>
        </w:rPr>
        <w:t>. 20).</w:t>
      </w:r>
    </w:p>
    <w:p w:rsidR="00AC4C1F" w:rsidRPr="00AC789B" w:rsidRDefault="00AC4C1F" w:rsidP="00AC4C1F">
      <w:pPr>
        <w:pStyle w:val="ParaNoNdepar-AltN"/>
        <w:rPr>
          <w:rFonts w:cs="Times New Roman"/>
        </w:rPr>
      </w:pPr>
      <w:r w:rsidRPr="00AC789B">
        <w:rPr>
          <w:rFonts w:cs="Times New Roman"/>
          <w:lang w:val="en-US"/>
        </w:rPr>
        <w:t xml:space="preserve">The evidence given by Noël at his brother’s trial fits squarely within the meaning of “incriminating evidence” as I have defined it.  His admission that he </w:t>
      </w:r>
      <w:r w:rsidRPr="00AC789B">
        <w:rPr>
          <w:rFonts w:cs="Times New Roman"/>
          <w:lang w:val="en-US"/>
        </w:rPr>
        <w:lastRenderedPageBreak/>
        <w:t>participated with his brother in the murder of a young boy was clearly evidence that the Crown could have led at Noël’s trial, if permitted to do so, to prove his guilt on the charge of murder for which he was now being tried.  And it is because the evidence was “incriminating” that it passed the first step (the “</w:t>
      </w:r>
      <w:r w:rsidRPr="00AC789B">
        <w:rPr>
          <w:rFonts w:cs="Times New Roman"/>
          <w:i/>
          <w:lang w:val="en-US"/>
        </w:rPr>
        <w:t>quid</w:t>
      </w:r>
      <w:r w:rsidRPr="00AC789B">
        <w:rPr>
          <w:rFonts w:cs="Times New Roman"/>
          <w:lang w:val="en-US"/>
        </w:rPr>
        <w:t xml:space="preserve">”) required </w:t>
      </w:r>
      <w:proofErr w:type="gramStart"/>
      <w:r w:rsidRPr="00AC789B">
        <w:rPr>
          <w:rFonts w:cs="Times New Roman"/>
          <w:lang w:val="en-US"/>
        </w:rPr>
        <w:t>to trigger</w:t>
      </w:r>
      <w:proofErr w:type="gramEnd"/>
      <w:r w:rsidRPr="00AC789B">
        <w:rPr>
          <w:rFonts w:cs="Times New Roman"/>
          <w:lang w:val="en-US"/>
        </w:rPr>
        <w:t xml:space="preserve"> the application of s. 13.</w:t>
      </w:r>
    </w:p>
    <w:p w:rsidR="00AC4C1F" w:rsidRPr="00AC789B" w:rsidRDefault="00AC4C1F" w:rsidP="00AC4C1F">
      <w:pPr>
        <w:pStyle w:val="ParaNoNdepar-AltN"/>
        <w:rPr>
          <w:rFonts w:cs="Times New Roman"/>
        </w:rPr>
      </w:pPr>
      <w:r w:rsidRPr="00AC789B">
        <w:rPr>
          <w:rFonts w:cs="Times New Roman"/>
        </w:rPr>
        <w:t xml:space="preserve">There are two schools of thought as to whether the use of </w:t>
      </w:r>
      <w:r w:rsidRPr="00AC789B">
        <w:rPr>
          <w:rFonts w:cs="Times New Roman"/>
          <w:lang w:val="en-US"/>
        </w:rPr>
        <w:t xml:space="preserve">Noël’s testimony from his brother’s trial to impeach his testimony at his own trial can be distinguished from its use to incriminate him.  That is a debate upon which reasonable people can and do disagree.  I need not engage in it here.  For present purposes, suffice it to say that if the evidence used to impeach meets the test for “incriminating evidence” as I have defined it, then I am prepared to accept, </w:t>
      </w:r>
      <w:r w:rsidRPr="00AC789B">
        <w:rPr>
          <w:rFonts w:cs="Times New Roman"/>
          <w:i/>
          <w:lang w:val="en-US"/>
        </w:rPr>
        <w:t>per Henry</w:t>
      </w:r>
      <w:r w:rsidRPr="00AC789B">
        <w:rPr>
          <w:rFonts w:cs="Times New Roman"/>
          <w:lang w:val="en-US"/>
        </w:rPr>
        <w:t xml:space="preserve">, at </w:t>
      </w:r>
      <w:proofErr w:type="spellStart"/>
      <w:r w:rsidRPr="00AC789B">
        <w:rPr>
          <w:rFonts w:cs="Times New Roman"/>
          <w:lang w:val="en-US"/>
        </w:rPr>
        <w:t>para</w:t>
      </w:r>
      <w:proofErr w:type="spellEnd"/>
      <w:r w:rsidRPr="00AC789B">
        <w:rPr>
          <w:rFonts w:cs="Times New Roman"/>
          <w:lang w:val="en-US"/>
        </w:rPr>
        <w:t xml:space="preserve">. 50, that in practice it may be difficult for </w:t>
      </w:r>
      <w:proofErr w:type="spellStart"/>
      <w:r w:rsidRPr="00AC789B">
        <w:rPr>
          <w:rFonts w:cs="Times New Roman"/>
          <w:lang w:val="en-US"/>
        </w:rPr>
        <w:t>triers</w:t>
      </w:r>
      <w:proofErr w:type="spellEnd"/>
      <w:r w:rsidRPr="00AC789B">
        <w:rPr>
          <w:rFonts w:cs="Times New Roman"/>
          <w:lang w:val="en-US"/>
        </w:rPr>
        <w:t xml:space="preserve"> of fact to work with that distinction.  Hence, the Crown should not be able to use it for any purpose at the witness’s subsequent trial.  That in my view is the “</w:t>
      </w:r>
      <w:r w:rsidRPr="00AC789B">
        <w:rPr>
          <w:rFonts w:cs="Times New Roman"/>
          <w:i/>
          <w:lang w:val="en-US"/>
        </w:rPr>
        <w:t>quo</w:t>
      </w:r>
      <w:r w:rsidRPr="00AC789B">
        <w:rPr>
          <w:rFonts w:cs="Times New Roman"/>
          <w:lang w:val="en-US"/>
        </w:rPr>
        <w:t>” that forms the second half of s. 13.  Apart from using it in a prosecution for perjury or for giving contradictory evidence, it will be off limits to the Crown.</w:t>
      </w:r>
    </w:p>
    <w:p w:rsidR="00AC4C1F" w:rsidRPr="00AC789B" w:rsidRDefault="00AC4C1F" w:rsidP="00AC4C1F">
      <w:pPr>
        <w:pStyle w:val="ParaNoNdepar-AltN"/>
        <w:rPr>
          <w:rFonts w:cs="Times New Roman"/>
        </w:rPr>
      </w:pPr>
      <w:r w:rsidRPr="00AC789B">
        <w:rPr>
          <w:rFonts w:cs="Times New Roman"/>
        </w:rPr>
        <w:t xml:space="preserve">The law is clear and I accept it to be so, that the time for determining whether the evidence given at the prior proceeding may properly be characterized as “incriminating evidence” is the time when the Crown seeks to use it at the subsequent hearing.  (See </w:t>
      </w:r>
      <w:r w:rsidRPr="00AC789B">
        <w:rPr>
          <w:rFonts w:cs="Times New Roman"/>
          <w:i/>
        </w:rPr>
        <w:t>Dubois v. The Queen</w:t>
      </w:r>
      <w:r w:rsidRPr="00AC789B">
        <w:rPr>
          <w:rFonts w:cs="Times New Roman"/>
        </w:rPr>
        <w:t>, [1985] 2 S.C.R. 350, at pp. 363-64</w:t>
      </w:r>
      <w:r w:rsidR="006F4EE7" w:rsidRPr="00AC789B">
        <w:rPr>
          <w:rFonts w:cs="Times New Roman"/>
        </w:rPr>
        <w:t>.</w:t>
      </w:r>
      <w:r w:rsidRPr="00AC789B">
        <w:rPr>
          <w:rFonts w:cs="Times New Roman"/>
        </w:rPr>
        <w:t>)  That</w:t>
      </w:r>
      <w:r w:rsidR="006F4EE7" w:rsidRPr="00AC789B">
        <w:rPr>
          <w:rFonts w:cs="Times New Roman"/>
        </w:rPr>
        <w:t>,</w:t>
      </w:r>
      <w:r w:rsidRPr="00AC789B">
        <w:rPr>
          <w:rFonts w:cs="Times New Roman"/>
        </w:rPr>
        <w:t xml:space="preserve"> however, does not detract from my contention that the evidence to which s. 13 is </w:t>
      </w:r>
      <w:r w:rsidRPr="00AC789B">
        <w:rPr>
          <w:rFonts w:cs="Times New Roman"/>
        </w:rPr>
        <w:lastRenderedPageBreak/>
        <w:t>directed is not “any evidence” the witness may have been compelled to give at the prior proceeding, but evidence that the Crown could use at the subsequent proceeding, if permitted to do so, to prove the witness’s guilt on the charge for which he or she is being tried.</w:t>
      </w:r>
    </w:p>
    <w:p w:rsidR="00AC4C1F" w:rsidRPr="00AC789B" w:rsidRDefault="00AC4C1F" w:rsidP="00AC4C1F">
      <w:pPr>
        <w:pStyle w:val="ParaNoNdepar-AltN"/>
        <w:rPr>
          <w:rFonts w:cs="Times New Roman"/>
        </w:rPr>
      </w:pPr>
      <w:r w:rsidRPr="00AC789B">
        <w:rPr>
          <w:rFonts w:cs="Times New Roman"/>
        </w:rPr>
        <w:t>In so concluding, I recognize that there will be instances where evidence given at the prior proceeding, though seemingly innocuous or exculpatory at the time, may become “incriminating evidence” at the subsequent proceeding, thereby triggering the application of s. 13.</w:t>
      </w:r>
    </w:p>
    <w:p w:rsidR="00AC4C1F" w:rsidRPr="00AC789B" w:rsidRDefault="00AC4C1F" w:rsidP="00AC4C1F">
      <w:pPr>
        <w:pStyle w:val="ParaNoNdepar-AltN"/>
        <w:rPr>
          <w:rFonts w:cs="Times New Roman"/>
        </w:rPr>
      </w:pPr>
      <w:r w:rsidRPr="00AC789B">
        <w:rPr>
          <w:rFonts w:cs="Times New Roman"/>
        </w:rPr>
        <w:t>Take for example, the witness who, at the trial of a third party for robbery, admits to having been present at the scene of the crime but denies any involvement in it.  If the witness is subsequently charged with the same robbery and testifies that he was not present when the robbery occurred, his evidence from the prior proceeding, though innocuous at the time, will have taken on new meaning.  For purposes of s. 13, it would now be treated as “incriminating evidence” because it is evidence that the Crown could use at the witness’s robbery trial, if permitted to do so, to prove the essential element of identity.  And that is where s. 13 comes in.  It precludes the Crown from introducing it for any purpose, whether as part of its case to prove identity or as a means of impeaching the witness’s testimony.</w:t>
      </w:r>
    </w:p>
    <w:p w:rsidR="00AC4C1F" w:rsidRPr="00AC789B" w:rsidRDefault="00AC4C1F" w:rsidP="00AC4C1F">
      <w:pPr>
        <w:pStyle w:val="ParaNoNdepar-AltN"/>
        <w:rPr>
          <w:rFonts w:cs="Times New Roman"/>
        </w:rPr>
      </w:pPr>
      <w:r w:rsidRPr="00AC789B">
        <w:rPr>
          <w:rFonts w:cs="Times New Roman"/>
        </w:rPr>
        <w:t xml:space="preserve">Manifestly, I take a different view where the evidence given by the witness at the prior proceeding could not be used by the Crown at the subsequent proceeding to prove the witness’s guilt on the charge for which he or she is being </w:t>
      </w:r>
      <w:r w:rsidRPr="00AC789B">
        <w:rPr>
          <w:rFonts w:cs="Times New Roman"/>
        </w:rPr>
        <w:lastRenderedPageBreak/>
        <w:t>tried.  In such circumstances, because the prior evidence is not “incriminating evidence”, there can be no “</w:t>
      </w:r>
      <w:r w:rsidRPr="00AC789B">
        <w:rPr>
          <w:rFonts w:cs="Times New Roman"/>
          <w:i/>
        </w:rPr>
        <w:t>quid</w:t>
      </w:r>
      <w:r w:rsidRPr="00AC789B">
        <w:rPr>
          <w:rFonts w:cs="Times New Roman"/>
        </w:rPr>
        <w:t>” for purposes of s. 13 — and because there is no “</w:t>
      </w:r>
      <w:r w:rsidRPr="00AC789B">
        <w:rPr>
          <w:rFonts w:cs="Times New Roman"/>
          <w:i/>
        </w:rPr>
        <w:t>quid</w:t>
      </w:r>
      <w:r w:rsidRPr="00AC789B">
        <w:rPr>
          <w:rFonts w:cs="Times New Roman"/>
        </w:rPr>
        <w:t>”, no “</w:t>
      </w:r>
      <w:r w:rsidRPr="00AC789B">
        <w:rPr>
          <w:rFonts w:cs="Times New Roman"/>
          <w:i/>
        </w:rPr>
        <w:t>quo</w:t>
      </w:r>
      <w:r w:rsidRPr="00AC789B">
        <w:rPr>
          <w:rFonts w:cs="Times New Roman"/>
        </w:rPr>
        <w:t>” is owed in return.  The case at hand provides a classic example of this.</w:t>
      </w:r>
    </w:p>
    <w:p w:rsidR="00AC4C1F" w:rsidRPr="00AC789B" w:rsidRDefault="00AC4C1F" w:rsidP="00AC4C1F">
      <w:pPr>
        <w:pStyle w:val="ParaNoNdepar-AltN"/>
        <w:rPr>
          <w:rFonts w:cs="Times New Roman"/>
        </w:rPr>
      </w:pPr>
      <w:r w:rsidRPr="00AC789B">
        <w:rPr>
          <w:rFonts w:cs="Times New Roman"/>
        </w:rPr>
        <w:t xml:space="preserve">On its own, Mr. </w:t>
      </w:r>
      <w:proofErr w:type="spellStart"/>
      <w:r w:rsidRPr="00AC789B">
        <w:rPr>
          <w:rFonts w:cs="Times New Roman"/>
        </w:rPr>
        <w:t>Nedelcu’s</w:t>
      </w:r>
      <w:proofErr w:type="spellEnd"/>
      <w:r w:rsidRPr="00AC789B">
        <w:rPr>
          <w:rFonts w:cs="Times New Roman"/>
        </w:rPr>
        <w:t xml:space="preserve"> “I . . . remember nothing” testimony from his discovery could not have been used by the Crown to prove or assist in proving one or more of the essential elements of the criminal charges he was facing — dangerous driving causing bodily harm and impaired driving causing bodily harm.  I say “on its own” because in theory, if the Crown were able to prove that Mr. </w:t>
      </w:r>
      <w:proofErr w:type="spellStart"/>
      <w:r w:rsidRPr="00AC789B">
        <w:rPr>
          <w:rFonts w:cs="Times New Roman"/>
        </w:rPr>
        <w:t>Nedelcu</w:t>
      </w:r>
      <w:proofErr w:type="spellEnd"/>
      <w:r w:rsidRPr="00AC789B">
        <w:rPr>
          <w:rFonts w:cs="Times New Roman"/>
        </w:rPr>
        <w:t xml:space="preserve"> had concocted his discovery evidence with a view to deliberately misleading the court and obstructing the course of justice, that finding would constitute evidence of consciousness of guilt from which the </w:t>
      </w:r>
      <w:proofErr w:type="spellStart"/>
      <w:r w:rsidRPr="00AC789B">
        <w:rPr>
          <w:rFonts w:cs="Times New Roman"/>
        </w:rPr>
        <w:t>trier</w:t>
      </w:r>
      <w:proofErr w:type="spellEnd"/>
      <w:r w:rsidRPr="00AC789B">
        <w:rPr>
          <w:rFonts w:cs="Times New Roman"/>
        </w:rPr>
        <w:t xml:space="preserve"> of fact could, if it chose to, infer guilt.</w:t>
      </w:r>
    </w:p>
    <w:p w:rsidR="00AC4C1F" w:rsidRPr="00AC789B" w:rsidRDefault="00AC4C1F" w:rsidP="00AC4C1F">
      <w:pPr>
        <w:pStyle w:val="ParaNoNdepar-AltN"/>
        <w:rPr>
          <w:rFonts w:cs="Times New Roman"/>
        </w:rPr>
      </w:pPr>
      <w:r w:rsidRPr="00AC789B">
        <w:rPr>
          <w:rFonts w:cs="Times New Roman"/>
        </w:rPr>
        <w:t xml:space="preserve">But realistically, that scenario is one with which we need not be concerned.  Any attempt on the Crown’s part to convert Mr. </w:t>
      </w:r>
      <w:proofErr w:type="spellStart"/>
      <w:r w:rsidRPr="00AC789B">
        <w:rPr>
          <w:rFonts w:cs="Times New Roman"/>
        </w:rPr>
        <w:t>Nedelcu’s</w:t>
      </w:r>
      <w:proofErr w:type="spellEnd"/>
      <w:r w:rsidRPr="00AC789B">
        <w:rPr>
          <w:rFonts w:cs="Times New Roman"/>
        </w:rPr>
        <w:t xml:space="preserve"> “non-incriminating” evidence from the discovery into potentially “incriminating evidence” at his criminal trial would trigger the application of s. 13 and the protection afforded by it.  And that would be self-defeating.  It would disentitle the Crown from being able to use Mr. </w:t>
      </w:r>
      <w:proofErr w:type="spellStart"/>
      <w:r w:rsidRPr="00AC789B">
        <w:rPr>
          <w:rFonts w:cs="Times New Roman"/>
        </w:rPr>
        <w:t>Nedelcu’s</w:t>
      </w:r>
      <w:proofErr w:type="spellEnd"/>
      <w:r w:rsidRPr="00AC789B">
        <w:rPr>
          <w:rFonts w:cs="Times New Roman"/>
        </w:rPr>
        <w:t xml:space="preserve"> “non-incriminating” discovery evidence for impeachment purposes — the sole purpose of the exercise.  In short, the Crown would know that it could not suggest in cross-examination that the prior evidence had been concocted, nor could it lead any evidence to that effect.</w:t>
      </w:r>
    </w:p>
    <w:p w:rsidR="00AC4C1F" w:rsidRPr="00AC789B" w:rsidRDefault="00AC4C1F" w:rsidP="00AC4C1F">
      <w:pPr>
        <w:pStyle w:val="ParaNoNdepar-AltN"/>
        <w:rPr>
          <w:rFonts w:cs="Times New Roman"/>
        </w:rPr>
      </w:pPr>
      <w:r w:rsidRPr="00AC789B">
        <w:rPr>
          <w:rFonts w:cs="Times New Roman"/>
        </w:rPr>
        <w:lastRenderedPageBreak/>
        <w:t xml:space="preserve">The mere possibility that evidence, which is otherwise “non-incriminating”, can be converted into “incriminating” evidence if the Crown were to take the added steps needed to make it </w:t>
      </w:r>
      <w:proofErr w:type="gramStart"/>
      <w:r w:rsidRPr="00AC789B">
        <w:rPr>
          <w:rFonts w:cs="Times New Roman"/>
        </w:rPr>
        <w:t>so,</w:t>
      </w:r>
      <w:proofErr w:type="gramEnd"/>
      <w:r w:rsidRPr="00AC789B">
        <w:rPr>
          <w:rFonts w:cs="Times New Roman"/>
        </w:rPr>
        <w:t xml:space="preserve"> is not enough to trigger the application of s. 13.  The use of Mr. </w:t>
      </w:r>
      <w:proofErr w:type="spellStart"/>
      <w:r w:rsidRPr="00AC789B">
        <w:rPr>
          <w:rFonts w:cs="Times New Roman"/>
        </w:rPr>
        <w:t>Nedelcu’s</w:t>
      </w:r>
      <w:proofErr w:type="spellEnd"/>
      <w:r w:rsidRPr="00AC789B">
        <w:rPr>
          <w:rFonts w:cs="Times New Roman"/>
        </w:rPr>
        <w:t xml:space="preserve"> discovery evidence to test his credibility, and nothing else, could not convert his discovery evidence into incriminating evidence.  The discovery evidence would retain its original characteristics and it would not become evidence from which the </w:t>
      </w:r>
      <w:proofErr w:type="spellStart"/>
      <w:r w:rsidRPr="00AC789B">
        <w:rPr>
          <w:rFonts w:cs="Times New Roman"/>
        </w:rPr>
        <w:t>triers</w:t>
      </w:r>
      <w:proofErr w:type="spellEnd"/>
      <w:r w:rsidRPr="00AC789B">
        <w:rPr>
          <w:rFonts w:cs="Times New Roman"/>
        </w:rPr>
        <w:t xml:space="preserve"> of fact could infer guilt.  </w:t>
      </w:r>
    </w:p>
    <w:p w:rsidR="00AC4C1F" w:rsidRPr="00AC789B" w:rsidRDefault="00AC4C1F" w:rsidP="006F4EE7">
      <w:pPr>
        <w:pStyle w:val="ParaNoNdepar-AltN"/>
        <w:rPr>
          <w:rFonts w:cs="Times New Roman"/>
        </w:rPr>
      </w:pPr>
      <w:r w:rsidRPr="00AC789B">
        <w:rPr>
          <w:rFonts w:cs="Times New Roman"/>
        </w:rPr>
        <w:t xml:space="preserve">While it is true that Mr. </w:t>
      </w:r>
      <w:proofErr w:type="spellStart"/>
      <w:r w:rsidRPr="00AC789B">
        <w:rPr>
          <w:rFonts w:cs="Times New Roman"/>
        </w:rPr>
        <w:t>Nedelcu’s</w:t>
      </w:r>
      <w:proofErr w:type="spellEnd"/>
      <w:r w:rsidRPr="00AC789B">
        <w:rPr>
          <w:rFonts w:cs="Times New Roman"/>
        </w:rPr>
        <w:t xml:space="preserve"> inconsistent discovery evidence might lead the </w:t>
      </w:r>
      <w:proofErr w:type="spellStart"/>
      <w:r w:rsidRPr="00AC789B">
        <w:rPr>
          <w:rFonts w:cs="Times New Roman"/>
        </w:rPr>
        <w:t>triers</w:t>
      </w:r>
      <w:proofErr w:type="spellEnd"/>
      <w:r w:rsidRPr="00AC789B">
        <w:rPr>
          <w:rFonts w:cs="Times New Roman"/>
        </w:rPr>
        <w:t xml:space="preserve"> of fact to reject his trial testimony, rejection of an </w:t>
      </w:r>
      <w:proofErr w:type="spellStart"/>
      <w:r w:rsidRPr="00AC789B">
        <w:rPr>
          <w:rFonts w:cs="Times New Roman"/>
        </w:rPr>
        <w:t>accused’s</w:t>
      </w:r>
      <w:proofErr w:type="spellEnd"/>
      <w:r w:rsidRPr="00AC789B">
        <w:rPr>
          <w:rFonts w:cs="Times New Roman"/>
        </w:rPr>
        <w:t xml:space="preserve"> testimony does not create evidence for the Crown — any more than the rejection of an </w:t>
      </w:r>
      <w:proofErr w:type="spellStart"/>
      <w:r w:rsidRPr="00AC789B">
        <w:rPr>
          <w:rFonts w:cs="Times New Roman"/>
        </w:rPr>
        <w:t>accused’s</w:t>
      </w:r>
      <w:proofErr w:type="spellEnd"/>
      <w:r w:rsidRPr="00AC789B">
        <w:rPr>
          <w:rFonts w:cs="Times New Roman"/>
        </w:rPr>
        <w:t xml:space="preserve"> alibi evidence does, absent a finding on independent evidence, that the alibi has been concocted.  (See </w:t>
      </w:r>
      <w:r w:rsidRPr="00AC789B">
        <w:rPr>
          <w:rFonts w:cs="Times New Roman"/>
          <w:i/>
        </w:rPr>
        <w:t xml:space="preserve">R. v. </w:t>
      </w:r>
      <w:proofErr w:type="spellStart"/>
      <w:r w:rsidRPr="00AC789B">
        <w:rPr>
          <w:rFonts w:cs="Times New Roman"/>
          <w:i/>
        </w:rPr>
        <w:t>Hibbert</w:t>
      </w:r>
      <w:proofErr w:type="spellEnd"/>
      <w:r w:rsidRPr="00AC789B">
        <w:rPr>
          <w:rFonts w:cs="Times New Roman"/>
        </w:rPr>
        <w:t xml:space="preserve">, 2002 SCC 39, [2002] 2 S.C.R. 445, at </w:t>
      </w:r>
      <w:proofErr w:type="spellStart"/>
      <w:r w:rsidRPr="00AC789B">
        <w:rPr>
          <w:rFonts w:cs="Times New Roman"/>
        </w:rPr>
        <w:t>paras</w:t>
      </w:r>
      <w:proofErr w:type="spellEnd"/>
      <w:r w:rsidRPr="00AC789B">
        <w:rPr>
          <w:rFonts w:cs="Times New Roman"/>
        </w:rPr>
        <w:t>. 61-67.</w:t>
      </w:r>
      <w:proofErr w:type="gramStart"/>
      <w:r w:rsidRPr="00AC789B">
        <w:rPr>
          <w:rFonts w:cs="Times New Roman"/>
        </w:rPr>
        <w:t>)  As</w:t>
      </w:r>
      <w:proofErr w:type="gramEnd"/>
      <w:r w:rsidRPr="00AC789B">
        <w:rPr>
          <w:rFonts w:cs="Times New Roman"/>
        </w:rPr>
        <w:t xml:space="preserve"> Arbour J. observed at </w:t>
      </w:r>
      <w:proofErr w:type="spellStart"/>
      <w:r w:rsidRPr="00AC789B">
        <w:rPr>
          <w:rFonts w:cs="Times New Roman"/>
        </w:rPr>
        <w:t>para</w:t>
      </w:r>
      <w:proofErr w:type="spellEnd"/>
      <w:r w:rsidRPr="00AC789B">
        <w:rPr>
          <w:rFonts w:cs="Times New Roman"/>
        </w:rPr>
        <w:t xml:space="preserve">. 67 of </w:t>
      </w:r>
      <w:proofErr w:type="spellStart"/>
      <w:r w:rsidRPr="00AC789B">
        <w:rPr>
          <w:rFonts w:cs="Times New Roman"/>
          <w:i/>
        </w:rPr>
        <w:t>Hibbert</w:t>
      </w:r>
      <w:proofErr w:type="spellEnd"/>
      <w:r w:rsidRPr="00AC789B">
        <w:rPr>
          <w:rFonts w:cs="Times New Roman"/>
        </w:rPr>
        <w:t xml:space="preserve">: </w:t>
      </w:r>
    </w:p>
    <w:p w:rsidR="00AC4C1F" w:rsidRPr="00AC789B" w:rsidRDefault="006F4EE7" w:rsidP="006F4EE7">
      <w:pPr>
        <w:pStyle w:val="Citation-AltC"/>
        <w:tabs>
          <w:tab w:val="left" w:pos="1170"/>
        </w:tabs>
        <w:ind w:hanging="1166"/>
      </w:pPr>
      <w:r w:rsidRPr="00AC789B">
        <w:tab/>
      </w:r>
      <w:r w:rsidR="00AC4C1F" w:rsidRPr="00AC789B">
        <w:t xml:space="preserve">A disbelieved alibi is insufficient to support an inference of concoction or deliberate fabrication.  There must be other evidence from which a reasonable jury could conclude that the alibi was deliberately fabricated and that the accused was involved in that attempt to mislead the jury.  </w:t>
      </w:r>
    </w:p>
    <w:p w:rsidR="00AC4C1F" w:rsidRPr="00AC789B" w:rsidRDefault="00AC4C1F" w:rsidP="00AC4C1F">
      <w:pPr>
        <w:pStyle w:val="ParaNoNdepar-AltN"/>
        <w:rPr>
          <w:rFonts w:cs="Times New Roman"/>
        </w:rPr>
      </w:pPr>
      <w:r w:rsidRPr="00AC789B">
        <w:rPr>
          <w:rFonts w:cs="Times New Roman"/>
        </w:rPr>
        <w:t xml:space="preserve">In the present context, it would of course be incumbent on trial judges to provide juries with clear instructions as to the use they could make of the evidence given at the prior proceeding, similar to the instructions that trial judges have been providing in cases where an accused has given alibi evidence.  Thus, in Mr. </w:t>
      </w:r>
      <w:proofErr w:type="spellStart"/>
      <w:r w:rsidRPr="00AC789B">
        <w:rPr>
          <w:rFonts w:cs="Times New Roman"/>
        </w:rPr>
        <w:t>Nedelcu’s</w:t>
      </w:r>
      <w:proofErr w:type="spellEnd"/>
      <w:r w:rsidRPr="00AC789B">
        <w:rPr>
          <w:rFonts w:cs="Times New Roman"/>
        </w:rPr>
        <w:t xml:space="preserve"> case, unless he were to adopt his discovery evidence, the jury would be </w:t>
      </w:r>
      <w:r w:rsidRPr="00AC789B">
        <w:rPr>
          <w:rFonts w:cs="Times New Roman"/>
        </w:rPr>
        <w:lastRenderedPageBreak/>
        <w:t xml:space="preserve">told that they could not use his discovery evidence for its truth, but only to test his credibility and for no other purpose.  The jury would also be told that if they were to reject Mr. </w:t>
      </w:r>
      <w:proofErr w:type="spellStart"/>
      <w:r w:rsidRPr="00AC789B">
        <w:rPr>
          <w:rFonts w:cs="Times New Roman"/>
        </w:rPr>
        <w:t>Nedelcu’s</w:t>
      </w:r>
      <w:proofErr w:type="spellEnd"/>
      <w:r w:rsidRPr="00AC789B">
        <w:rPr>
          <w:rFonts w:cs="Times New Roman"/>
        </w:rPr>
        <w:t xml:space="preserve"> trial evidence, they could not use that rejection to bolster the Crown’s case.  They would simply remove Mr. </w:t>
      </w:r>
      <w:proofErr w:type="spellStart"/>
      <w:r w:rsidRPr="00AC789B">
        <w:rPr>
          <w:rFonts w:cs="Times New Roman"/>
        </w:rPr>
        <w:t>Nedelcu’s</w:t>
      </w:r>
      <w:proofErr w:type="spellEnd"/>
      <w:r w:rsidRPr="00AC789B">
        <w:rPr>
          <w:rFonts w:cs="Times New Roman"/>
        </w:rPr>
        <w:t xml:space="preserve"> evidence from their consideration.  To convict, the jury would have to be satisfied, on the basis of the remaining evidence, that the Crown had proved its case beyond a reasonable doubt.</w:t>
      </w:r>
    </w:p>
    <w:p w:rsidR="00AC4C1F" w:rsidRPr="00AC789B" w:rsidRDefault="00AC4C1F" w:rsidP="00AC4C1F">
      <w:pPr>
        <w:pStyle w:val="ParaNoNdepar-AltN"/>
        <w:rPr>
          <w:rFonts w:cs="Times New Roman"/>
        </w:rPr>
      </w:pPr>
      <w:r w:rsidRPr="00AC789B">
        <w:rPr>
          <w:rFonts w:cs="Times New Roman"/>
        </w:rPr>
        <w:t xml:space="preserve">In sum, I am satisfied that the use of Mr. </w:t>
      </w:r>
      <w:proofErr w:type="spellStart"/>
      <w:r w:rsidRPr="00AC789B">
        <w:rPr>
          <w:rFonts w:cs="Times New Roman"/>
        </w:rPr>
        <w:t>Nedelcu’s</w:t>
      </w:r>
      <w:proofErr w:type="spellEnd"/>
      <w:r w:rsidRPr="00AC789B">
        <w:rPr>
          <w:rFonts w:cs="Times New Roman"/>
        </w:rPr>
        <w:t xml:space="preserve"> non-incriminating discovery evidence for impeachment purposes, and nothing else, could not and did not trigger the application o</w:t>
      </w:r>
      <w:r w:rsidR="00AC789B" w:rsidRPr="00AC789B">
        <w:rPr>
          <w:rFonts w:cs="Times New Roman"/>
        </w:rPr>
        <w:t>f</w:t>
      </w:r>
      <w:r w:rsidR="00AC789B">
        <w:rPr>
          <w:rFonts w:cs="Times New Roman"/>
        </w:rPr>
        <w:t xml:space="preserve"> </w:t>
      </w:r>
      <w:r w:rsidR="00AC789B" w:rsidRPr="00AC789B">
        <w:rPr>
          <w:rFonts w:cs="Times New Roman"/>
        </w:rPr>
        <w:t>s</w:t>
      </w:r>
      <w:r w:rsidRPr="00AC789B">
        <w:rPr>
          <w:rFonts w:cs="Times New Roman"/>
        </w:rPr>
        <w:t>. 13.</w:t>
      </w:r>
    </w:p>
    <w:p w:rsidR="00AC4C1F" w:rsidRPr="00AC789B" w:rsidRDefault="00AC4C1F" w:rsidP="00AC4C1F">
      <w:pPr>
        <w:pStyle w:val="ParaNoNdepar-AltN"/>
        <w:rPr>
          <w:rFonts w:cs="Times New Roman"/>
        </w:rPr>
      </w:pPr>
      <w:r w:rsidRPr="00AC789B">
        <w:rPr>
          <w:rFonts w:cs="Times New Roman"/>
        </w:rPr>
        <w:t xml:space="preserve">In my respectful view, </w:t>
      </w:r>
      <w:r w:rsidRPr="00AC789B">
        <w:rPr>
          <w:rFonts w:cs="Times New Roman"/>
          <w:i/>
        </w:rPr>
        <w:t>Henry</w:t>
      </w:r>
      <w:r w:rsidRPr="00AC789B">
        <w:rPr>
          <w:rFonts w:cs="Times New Roman"/>
        </w:rPr>
        <w:t xml:space="preserve"> could not have meant something different.  In concluding that a witness’s testimony from a prior proceeding could not be used to impeach that witness in a subsequent proceeding, the Court must have been referring to “incriminating evidence” being used for that purpose; it could not have been referring to “non-incriminating” evidence since s. 13 does not concern itself with that type of evidence.</w:t>
      </w:r>
    </w:p>
    <w:p w:rsidR="00AC4C1F" w:rsidRPr="00AC789B" w:rsidRDefault="00AC4C1F" w:rsidP="00AC4C1F">
      <w:pPr>
        <w:pStyle w:val="ParaNoNdepar-AltN"/>
        <w:rPr>
          <w:rFonts w:cs="Times New Roman"/>
        </w:rPr>
      </w:pPr>
      <w:r w:rsidRPr="00AC789B">
        <w:rPr>
          <w:rFonts w:cs="Times New Roman"/>
        </w:rPr>
        <w:t xml:space="preserve">To take an obvious example, assume that at a prior proceeding, a witness has testified, as part of the </w:t>
      </w:r>
      <w:proofErr w:type="gramStart"/>
      <w:r w:rsidRPr="00AC789B">
        <w:rPr>
          <w:rFonts w:cs="Times New Roman"/>
        </w:rPr>
        <w:t>narrative, that she got up at 10:00 a.m.,</w:t>
      </w:r>
      <w:proofErr w:type="gramEnd"/>
      <w:r w:rsidRPr="00AC789B">
        <w:rPr>
          <w:rFonts w:cs="Times New Roman"/>
        </w:rPr>
        <w:t xml:space="preserve"> had breakfast, went to the corner store for a paper and then returned home.  Assume further that none of that information has any bearing on the crime of robbery she is alleged to have committed at 5:00 p.m. later that day.  At her subsequent robbery trial, some three years later, she states in chief that she awoke at noon, had nothing to eat and stayed </w:t>
      </w:r>
      <w:r w:rsidRPr="00AC789B">
        <w:rPr>
          <w:rFonts w:cs="Times New Roman"/>
        </w:rPr>
        <w:lastRenderedPageBreak/>
        <w:t>home until 3:00 p.m.  As for the robbery itself, she admits to having been at the robbery scene but claims that she could not have been the robber because she was wearing a pink coat that day and all of the witnesses have described the robber as wearing a black coat.</w:t>
      </w:r>
    </w:p>
    <w:p w:rsidR="00AC4C1F" w:rsidRPr="00AC789B" w:rsidRDefault="00AC4C1F" w:rsidP="00AC4C1F">
      <w:pPr>
        <w:pStyle w:val="ParaNoNdepar-AltN"/>
        <w:rPr>
          <w:rFonts w:cs="Times New Roman"/>
        </w:rPr>
      </w:pPr>
      <w:r w:rsidRPr="00AC789B">
        <w:rPr>
          <w:rFonts w:cs="Times New Roman"/>
        </w:rPr>
        <w:t xml:space="preserve">On that example, surely the Crown would not be precluded, on the basis of </w:t>
      </w:r>
      <w:r w:rsidRPr="00AC789B">
        <w:rPr>
          <w:rFonts w:cs="Times New Roman"/>
          <w:i/>
        </w:rPr>
        <w:t>Henry</w:t>
      </w:r>
      <w:r w:rsidRPr="00AC789B">
        <w:rPr>
          <w:rFonts w:cs="Times New Roman"/>
        </w:rPr>
        <w:t xml:space="preserve">, from cross-examining on the apparent inconsistencies relating to her morning activities, with a view to testing the witness’s powers of recollection and hence, the overall credibility and reliability of her testimony — particularly as to her ability to remember what she </w:t>
      </w:r>
      <w:r w:rsidR="00085B4F" w:rsidRPr="00AC789B">
        <w:rPr>
          <w:rFonts w:cs="Times New Roman"/>
        </w:rPr>
        <w:t xml:space="preserve">was </w:t>
      </w:r>
      <w:r w:rsidRPr="00AC789B">
        <w:rPr>
          <w:rFonts w:cs="Times New Roman"/>
        </w:rPr>
        <w:t xml:space="preserve">wearing at the time of the robbery.  Using non-incriminating evidence for impeachment purposes does not engage s. 13.  And I do not read </w:t>
      </w:r>
      <w:r w:rsidRPr="00AC789B">
        <w:rPr>
          <w:rFonts w:cs="Times New Roman"/>
          <w:i/>
        </w:rPr>
        <w:t>Henry</w:t>
      </w:r>
      <w:r w:rsidRPr="00AC789B">
        <w:rPr>
          <w:rFonts w:cs="Times New Roman"/>
        </w:rPr>
        <w:t xml:space="preserve"> as holding otherwise, even though some of the language us</w:t>
      </w:r>
      <w:r w:rsidR="00085B4F" w:rsidRPr="00AC789B">
        <w:rPr>
          <w:rFonts w:cs="Times New Roman"/>
        </w:rPr>
        <w:t>ed could leave that impression.</w:t>
      </w:r>
      <w:r w:rsidRPr="00AC789B">
        <w:rPr>
          <w:rFonts w:cs="Times New Roman"/>
        </w:rPr>
        <w:t xml:space="preserve">  At </w:t>
      </w:r>
      <w:proofErr w:type="spellStart"/>
      <w:r w:rsidRPr="00AC789B">
        <w:rPr>
          <w:rFonts w:cs="Times New Roman"/>
        </w:rPr>
        <w:t>para</w:t>
      </w:r>
      <w:proofErr w:type="spellEnd"/>
      <w:r w:rsidRPr="00AC789B">
        <w:rPr>
          <w:rFonts w:cs="Times New Roman"/>
        </w:rPr>
        <w:t xml:space="preserve">. 50, Binnie J. states:  “. . . the prior </w:t>
      </w:r>
      <w:r w:rsidRPr="00AC789B">
        <w:rPr>
          <w:rFonts w:cs="Times New Roman"/>
          <w:i/>
        </w:rPr>
        <w:t>compelled</w:t>
      </w:r>
      <w:r w:rsidRPr="00AC789B">
        <w:rPr>
          <w:rFonts w:cs="Times New Roman"/>
        </w:rPr>
        <w:t xml:space="preserve"> evidence [of the witness] should, under s. 13 . . ., be treated as inadmissible in evidence against the accused, even for the ostensible purpose of challenging his or her credibility, and be restricted (in the words of s. 13 itself) to ‘a prosecution for perjury or for the giving of contradictory evidence’” (</w:t>
      </w:r>
      <w:r w:rsidR="00085B4F" w:rsidRPr="00AC789B">
        <w:rPr>
          <w:rFonts w:cs="Times New Roman"/>
        </w:rPr>
        <w:t>italic</w:t>
      </w:r>
      <w:r w:rsidRPr="00AC789B">
        <w:rPr>
          <w:rFonts w:cs="Times New Roman"/>
        </w:rPr>
        <w:t xml:space="preserve">s in original). </w:t>
      </w:r>
    </w:p>
    <w:p w:rsidR="00AC4C1F" w:rsidRPr="00AC789B" w:rsidRDefault="00AC4C1F" w:rsidP="00AC4C1F">
      <w:pPr>
        <w:pStyle w:val="ParaNoNdepar-AltN"/>
        <w:rPr>
          <w:rFonts w:cs="Times New Roman"/>
        </w:rPr>
      </w:pPr>
      <w:r w:rsidRPr="00AC789B">
        <w:rPr>
          <w:rFonts w:cs="Times New Roman"/>
        </w:rPr>
        <w:t xml:space="preserve">While Justice Binnie speaks only of “prior compelled evidence”, s. 13 is concerned with prior “incriminating evidence” that has been compelled.  It should not be interpreted as referring to “compelled” evidence of </w:t>
      </w:r>
      <w:r w:rsidRPr="00AC789B">
        <w:rPr>
          <w:rFonts w:cs="Times New Roman"/>
          <w:i/>
        </w:rPr>
        <w:t>any</w:t>
      </w:r>
      <w:r w:rsidRPr="00AC789B">
        <w:rPr>
          <w:rFonts w:cs="Times New Roman"/>
        </w:rPr>
        <w:t xml:space="preserve"> kind — and certainly not compelled evidence that was neither incriminating at the time it was given nor incriminating at the witness’s subsequent trial.  Using Justice </w:t>
      </w:r>
      <w:proofErr w:type="spellStart"/>
      <w:r w:rsidRPr="00AC789B">
        <w:rPr>
          <w:rFonts w:cs="Times New Roman"/>
        </w:rPr>
        <w:t>Binnie’s</w:t>
      </w:r>
      <w:proofErr w:type="spellEnd"/>
      <w:r w:rsidRPr="00AC789B">
        <w:rPr>
          <w:rFonts w:cs="Times New Roman"/>
        </w:rPr>
        <w:t xml:space="preserve"> definition of </w:t>
      </w:r>
      <w:r w:rsidRPr="00AC789B">
        <w:rPr>
          <w:rFonts w:cs="Times New Roman"/>
        </w:rPr>
        <w:lastRenderedPageBreak/>
        <w:t xml:space="preserve">“incriminating evidence” as “something ‘from which a </w:t>
      </w:r>
      <w:proofErr w:type="spellStart"/>
      <w:r w:rsidRPr="00AC789B">
        <w:rPr>
          <w:rFonts w:cs="Times New Roman"/>
        </w:rPr>
        <w:t>trier</w:t>
      </w:r>
      <w:proofErr w:type="spellEnd"/>
      <w:r w:rsidRPr="00AC789B">
        <w:rPr>
          <w:rFonts w:cs="Times New Roman"/>
        </w:rPr>
        <w:t xml:space="preserve"> of fact may infer that an accused is guilty of the crime charged’”</w:t>
      </w:r>
      <w:r w:rsidR="00D371ED" w:rsidRPr="00AC789B">
        <w:rPr>
          <w:rFonts w:cs="Times New Roman"/>
        </w:rPr>
        <w:t xml:space="preserve"> (</w:t>
      </w:r>
      <w:r w:rsidR="00D371ED" w:rsidRPr="00AC789B">
        <w:rPr>
          <w:rFonts w:cs="Times New Roman"/>
          <w:i/>
        </w:rPr>
        <w:t>Henry</w:t>
      </w:r>
      <w:r w:rsidR="00D371ED" w:rsidRPr="00AC789B">
        <w:rPr>
          <w:rFonts w:cs="Times New Roman"/>
        </w:rPr>
        <w:t xml:space="preserve">, </w:t>
      </w:r>
      <w:proofErr w:type="spellStart"/>
      <w:r w:rsidR="00D371ED" w:rsidRPr="00AC789B">
        <w:rPr>
          <w:rFonts w:cs="Times New Roman"/>
        </w:rPr>
        <w:t>para</w:t>
      </w:r>
      <w:proofErr w:type="spellEnd"/>
      <w:r w:rsidR="00D371ED" w:rsidRPr="00AC789B">
        <w:rPr>
          <w:rFonts w:cs="Times New Roman"/>
        </w:rPr>
        <w:t>. 25)</w:t>
      </w:r>
      <w:r w:rsidRPr="00AC789B">
        <w:rPr>
          <w:rFonts w:cs="Times New Roman"/>
        </w:rPr>
        <w:t xml:space="preserve">, Mr. </w:t>
      </w:r>
      <w:proofErr w:type="spellStart"/>
      <w:r w:rsidRPr="00AC789B">
        <w:rPr>
          <w:rFonts w:cs="Times New Roman"/>
        </w:rPr>
        <w:t>Nedelcu’s</w:t>
      </w:r>
      <w:proofErr w:type="spellEnd"/>
      <w:r w:rsidRPr="00AC789B">
        <w:rPr>
          <w:rFonts w:cs="Times New Roman"/>
        </w:rPr>
        <w:t xml:space="preserve"> discovery evidence fails to meet that test. </w:t>
      </w:r>
    </w:p>
    <w:p w:rsidR="00AC4C1F" w:rsidRPr="00AC789B" w:rsidRDefault="00AC4C1F" w:rsidP="00AC4C1F">
      <w:pPr>
        <w:pStyle w:val="ParaNoNdepar-AltN"/>
        <w:rPr>
          <w:rFonts w:cs="Times New Roman"/>
        </w:rPr>
      </w:pPr>
      <w:r w:rsidRPr="00AC789B">
        <w:rPr>
          <w:rFonts w:cs="Times New Roman"/>
        </w:rPr>
        <w:t xml:space="preserve">In this case, the Crown sought to use Mr. </w:t>
      </w:r>
      <w:proofErr w:type="spellStart"/>
      <w:r w:rsidRPr="00AC789B">
        <w:rPr>
          <w:rFonts w:cs="Times New Roman"/>
        </w:rPr>
        <w:t>Nedelcu’s</w:t>
      </w:r>
      <w:proofErr w:type="spellEnd"/>
      <w:r w:rsidRPr="00AC789B">
        <w:rPr>
          <w:rFonts w:cs="Times New Roman"/>
        </w:rPr>
        <w:t xml:space="preserve"> “non-incriminating” prior discovery evidence to impeach him.  The use of his non-incriminating discovery evidence for that purpose did not convert it into incriminating evidence, i.e.</w:t>
      </w:r>
      <w:r w:rsidR="00B17820" w:rsidRPr="00AC789B">
        <w:rPr>
          <w:rFonts w:cs="Times New Roman"/>
        </w:rPr>
        <w:t>,</w:t>
      </w:r>
      <w:r w:rsidRPr="00AC789B">
        <w:rPr>
          <w:rFonts w:cs="Times New Roman"/>
        </w:rPr>
        <w:t xml:space="preserve"> evidence that the Crown could use, if permitted to do so, to prove or assist in proving one or more of the essential elements of the offences upon which Mr. </w:t>
      </w:r>
      <w:proofErr w:type="spellStart"/>
      <w:r w:rsidRPr="00AC789B">
        <w:rPr>
          <w:rFonts w:cs="Times New Roman"/>
        </w:rPr>
        <w:t>Nedelcu</w:t>
      </w:r>
      <w:proofErr w:type="spellEnd"/>
      <w:r w:rsidRPr="00AC789B">
        <w:rPr>
          <w:rFonts w:cs="Times New Roman"/>
        </w:rPr>
        <w:t xml:space="preserve"> was being tried.  As such, s. 13 was not engaged.  There was no “</w:t>
      </w:r>
      <w:r w:rsidRPr="00AC789B">
        <w:rPr>
          <w:rFonts w:cs="Times New Roman"/>
          <w:i/>
        </w:rPr>
        <w:t>quid</w:t>
      </w:r>
      <w:r w:rsidRPr="00AC789B">
        <w:rPr>
          <w:rFonts w:cs="Times New Roman"/>
        </w:rPr>
        <w:t>” and, therefore, no “</w:t>
      </w:r>
      <w:r w:rsidRPr="00AC789B">
        <w:rPr>
          <w:rFonts w:cs="Times New Roman"/>
          <w:i/>
        </w:rPr>
        <w:t>quo</w:t>
      </w:r>
      <w:r w:rsidRPr="00AC789B">
        <w:rPr>
          <w:rFonts w:cs="Times New Roman"/>
        </w:rPr>
        <w:t xml:space="preserve">” for the state to honour. </w:t>
      </w:r>
    </w:p>
    <w:p w:rsidR="00AC4C1F" w:rsidRPr="00AC789B" w:rsidRDefault="00AC4C1F" w:rsidP="00AC4C1F">
      <w:pPr>
        <w:pStyle w:val="ParaNoNdepar-AltN"/>
        <w:rPr>
          <w:rFonts w:cs="Times New Roman"/>
        </w:rPr>
      </w:pPr>
      <w:r w:rsidRPr="00AC789B">
        <w:rPr>
          <w:rFonts w:cs="Times New Roman"/>
        </w:rPr>
        <w:t xml:space="preserve">My colleague, Justice LeBel, takes issue with my conclusion that s. 13 </w:t>
      </w:r>
      <w:proofErr w:type="gramStart"/>
      <w:r w:rsidRPr="00AC789B">
        <w:rPr>
          <w:rFonts w:cs="Times New Roman"/>
        </w:rPr>
        <w:t>is</w:t>
      </w:r>
      <w:proofErr w:type="gramEnd"/>
      <w:r w:rsidRPr="00AC789B">
        <w:rPr>
          <w:rFonts w:cs="Times New Roman"/>
        </w:rPr>
        <w:t xml:space="preserve"> not engaged here.  He maintains that I have misconstrued </w:t>
      </w:r>
      <w:r w:rsidRPr="00AC789B">
        <w:rPr>
          <w:rFonts w:cs="Times New Roman"/>
          <w:i/>
        </w:rPr>
        <w:t>Henry</w:t>
      </w:r>
      <w:r w:rsidRPr="00AC789B">
        <w:rPr>
          <w:rFonts w:cs="Times New Roman"/>
        </w:rPr>
        <w:t xml:space="preserve"> and misinterpreted s. 13.  He predicts that the interpretation of s. 13 to which I ascribe will lead to confusion and unpredictability.  Courts will be inundated with time-consuming </w:t>
      </w:r>
      <w:proofErr w:type="spellStart"/>
      <w:r w:rsidRPr="00AC789B">
        <w:rPr>
          <w:rFonts w:cs="Times New Roman"/>
          <w:i/>
        </w:rPr>
        <w:t>voir</w:t>
      </w:r>
      <w:proofErr w:type="spellEnd"/>
      <w:r w:rsidRPr="00AC789B">
        <w:rPr>
          <w:rFonts w:cs="Times New Roman"/>
          <w:i/>
        </w:rPr>
        <w:t xml:space="preserve"> </w:t>
      </w:r>
      <w:proofErr w:type="spellStart"/>
      <w:r w:rsidRPr="00AC789B">
        <w:rPr>
          <w:rFonts w:cs="Times New Roman"/>
          <w:i/>
        </w:rPr>
        <w:t>dires</w:t>
      </w:r>
      <w:proofErr w:type="spellEnd"/>
      <w:r w:rsidRPr="00AC789B">
        <w:rPr>
          <w:rFonts w:cs="Times New Roman"/>
        </w:rPr>
        <w:t xml:space="preserve">; the scope of s. 13 will be rendered dubious in theory and uncertain in practice; and the objective of the </w:t>
      </w:r>
      <w:r w:rsidRPr="00AC789B">
        <w:rPr>
          <w:rFonts w:cs="Times New Roman"/>
          <w:i/>
        </w:rPr>
        <w:t>quid pro quo</w:t>
      </w:r>
      <w:r w:rsidRPr="00AC789B">
        <w:rPr>
          <w:rFonts w:cs="Times New Roman"/>
        </w:rPr>
        <w:t>, which is to encourage full and frank testimony, will be undermined.</w:t>
      </w:r>
    </w:p>
    <w:p w:rsidR="00AC4C1F" w:rsidRPr="00AC789B" w:rsidRDefault="00AC4C1F" w:rsidP="00AC4C1F">
      <w:pPr>
        <w:pStyle w:val="ParaNoNdepar-AltN"/>
        <w:rPr>
          <w:rFonts w:cs="Times New Roman"/>
        </w:rPr>
      </w:pPr>
      <w:r w:rsidRPr="00AC789B">
        <w:rPr>
          <w:rFonts w:cs="Times New Roman"/>
        </w:rPr>
        <w:t>I propose to address each of these concerns in brief compass.</w:t>
      </w:r>
    </w:p>
    <w:p w:rsidR="00AC4C1F" w:rsidRPr="00AC789B" w:rsidRDefault="00AC4C1F" w:rsidP="00AC4C1F">
      <w:pPr>
        <w:pStyle w:val="ParaNoNdepar-AltN"/>
        <w:rPr>
          <w:rFonts w:cs="Times New Roman"/>
        </w:rPr>
      </w:pPr>
      <w:r w:rsidRPr="00AC789B">
        <w:rPr>
          <w:rFonts w:cs="Times New Roman"/>
        </w:rPr>
        <w:lastRenderedPageBreak/>
        <w:t>But first, let me deal with the suggestion that the way in which I interpret s. 13 was not raised by any of the parties or interveners and that it is “entirely contrary to Crown counsel’s submissions before this Court” (</w:t>
      </w:r>
      <w:proofErr w:type="spellStart"/>
      <w:r w:rsidRPr="00AC789B">
        <w:rPr>
          <w:rFonts w:cs="Times New Roman"/>
        </w:rPr>
        <w:t>para</w:t>
      </w:r>
      <w:proofErr w:type="spellEnd"/>
      <w:r w:rsidRPr="00AC789B">
        <w:rPr>
          <w:rFonts w:cs="Times New Roman"/>
        </w:rPr>
        <w:t xml:space="preserve">. 127).  </w:t>
      </w:r>
    </w:p>
    <w:p w:rsidR="00AC4C1F" w:rsidRPr="00AC789B" w:rsidRDefault="00AC4C1F" w:rsidP="00AC4C1F">
      <w:pPr>
        <w:pStyle w:val="ParaNoNdepar-AltN"/>
        <w:rPr>
          <w:rFonts w:cs="Times New Roman"/>
        </w:rPr>
      </w:pPr>
      <w:r w:rsidRPr="00AC789B">
        <w:rPr>
          <w:rFonts w:cs="Times New Roman"/>
        </w:rPr>
        <w:t xml:space="preserve">At </w:t>
      </w:r>
      <w:proofErr w:type="spellStart"/>
      <w:r w:rsidRPr="00AC789B">
        <w:rPr>
          <w:rFonts w:cs="Times New Roman"/>
        </w:rPr>
        <w:t>para</w:t>
      </w:r>
      <w:proofErr w:type="spellEnd"/>
      <w:r w:rsidRPr="00AC789B">
        <w:rPr>
          <w:rFonts w:cs="Times New Roman"/>
        </w:rPr>
        <w:t>. 56 of their factum, Ms. Fairburn and Mr. Schwartz, on behalf of the Crown, wrote:</w:t>
      </w:r>
    </w:p>
    <w:p w:rsidR="00AC4C1F" w:rsidRPr="00AC789B" w:rsidRDefault="00A94848" w:rsidP="00A94848">
      <w:pPr>
        <w:pStyle w:val="Citation-AltC"/>
        <w:tabs>
          <w:tab w:val="left" w:pos="1170"/>
        </w:tabs>
        <w:ind w:left="1170" w:hanging="1170"/>
      </w:pPr>
      <w:r w:rsidRPr="00AC789B">
        <w:tab/>
      </w:r>
      <w:r w:rsidR="00AC4C1F" w:rsidRPr="00AC789B">
        <w:t xml:space="preserve">Mr. </w:t>
      </w:r>
      <w:proofErr w:type="spellStart"/>
      <w:r w:rsidR="00AC4C1F" w:rsidRPr="00AC789B">
        <w:t>Nedelcu’s</w:t>
      </w:r>
      <w:proofErr w:type="spellEnd"/>
      <w:r w:rsidR="00AC4C1F" w:rsidRPr="00AC789B">
        <w:t xml:space="preserve"> discovery evidence would not even have the potential to incriminate.  Properly conceptualized, his discovery evidence was non-evidence:  </w:t>
      </w:r>
      <w:r w:rsidR="00AC4C1F" w:rsidRPr="00AC789B">
        <w:rPr>
          <w:i/>
        </w:rPr>
        <w:t>I remember nothing</w:t>
      </w:r>
      <w:r w:rsidR="00AC4C1F" w:rsidRPr="00AC789B">
        <w:t xml:space="preserve">.  Query whether at common law he could have asserted his silence in relation to this non-evidence.  What is incriminating about remembering nothing?  </w:t>
      </w:r>
      <w:proofErr w:type="gramStart"/>
      <w:r w:rsidR="00AC4C1F" w:rsidRPr="00AC789B">
        <w:t>Nothing.</w:t>
      </w:r>
      <w:proofErr w:type="gramEnd"/>
      <w:r w:rsidR="00AC4C1F" w:rsidRPr="00AC789B">
        <w:t xml:space="preserve">  </w:t>
      </w:r>
      <w:r w:rsidR="00AC4C1F" w:rsidRPr="00AC789B">
        <w:rPr>
          <w:u w:val="single"/>
        </w:rPr>
        <w:t>If</w:t>
      </w:r>
      <w:r w:rsidR="00AC4C1F" w:rsidRPr="00AC789B">
        <w:t xml:space="preserve"> the </w:t>
      </w:r>
      <w:r w:rsidR="00AC4C1F" w:rsidRPr="00AC789B">
        <w:rPr>
          <w:i/>
        </w:rPr>
        <w:t>Henry</w:t>
      </w:r>
      <w:r w:rsidR="00AC4C1F" w:rsidRPr="00AC789B">
        <w:t xml:space="preserve"> interpretation of s. 13 extends even to non-evidence, through the conduit of compulsion, with great respect, this signals a need for change.  [Italics in original; underlining added; footnote omitted.]</w:t>
      </w:r>
    </w:p>
    <w:p w:rsidR="00AC4C1F" w:rsidRPr="00AC789B" w:rsidRDefault="00AC4C1F" w:rsidP="00AC4C1F">
      <w:pPr>
        <w:pStyle w:val="ParaNoNdepar-AltN"/>
        <w:rPr>
          <w:rFonts w:cs="Times New Roman"/>
        </w:rPr>
      </w:pPr>
      <w:r w:rsidRPr="00AC789B">
        <w:rPr>
          <w:rFonts w:cs="Times New Roman"/>
        </w:rPr>
        <w:t xml:space="preserve">My reasons address this very issue.  They make clear that </w:t>
      </w:r>
      <w:r w:rsidRPr="00AC789B">
        <w:rPr>
          <w:rFonts w:cs="Times New Roman"/>
          <w:i/>
        </w:rPr>
        <w:t>Henry</w:t>
      </w:r>
      <w:r w:rsidRPr="00AC789B">
        <w:rPr>
          <w:rFonts w:cs="Times New Roman"/>
        </w:rPr>
        <w:t xml:space="preserve"> did not extend the protection of s. 13 to non-incriminating evidence — and that those who believed it had </w:t>
      </w:r>
      <w:proofErr w:type="gramStart"/>
      <w:r w:rsidRPr="00AC789B">
        <w:rPr>
          <w:rFonts w:cs="Times New Roman"/>
        </w:rPr>
        <w:t>were</w:t>
      </w:r>
      <w:proofErr w:type="gramEnd"/>
      <w:r w:rsidRPr="00AC789B">
        <w:rPr>
          <w:rFonts w:cs="Times New Roman"/>
        </w:rPr>
        <w:t xml:space="preserve"> mistaken.  While some might like to read the words “incriminating evidence” out of s. 13, the Court in </w:t>
      </w:r>
      <w:r w:rsidRPr="00AC789B">
        <w:rPr>
          <w:rFonts w:cs="Times New Roman"/>
          <w:i/>
        </w:rPr>
        <w:t>Henry</w:t>
      </w:r>
      <w:r w:rsidRPr="00AC789B">
        <w:rPr>
          <w:rFonts w:cs="Times New Roman"/>
        </w:rPr>
        <w:t xml:space="preserve"> did no such thing.  </w:t>
      </w:r>
    </w:p>
    <w:p w:rsidR="00AC4C1F" w:rsidRPr="00AC789B" w:rsidRDefault="00AC4C1F" w:rsidP="00AC4C1F">
      <w:pPr>
        <w:pStyle w:val="ParaNoNdepar-AltN"/>
        <w:rPr>
          <w:rFonts w:cs="Times New Roman"/>
        </w:rPr>
      </w:pPr>
      <w:r w:rsidRPr="00AC789B">
        <w:rPr>
          <w:rFonts w:cs="Times New Roman"/>
        </w:rPr>
        <w:t xml:space="preserve">Turning to my colleague’s prediction that the construction I place on s. 13 will lead to uncertainty and time-consuming </w:t>
      </w:r>
      <w:proofErr w:type="spellStart"/>
      <w:r w:rsidRPr="00AC789B">
        <w:rPr>
          <w:rFonts w:cs="Times New Roman"/>
          <w:i/>
        </w:rPr>
        <w:t>voir</w:t>
      </w:r>
      <w:proofErr w:type="spellEnd"/>
      <w:r w:rsidRPr="00AC789B">
        <w:rPr>
          <w:rFonts w:cs="Times New Roman"/>
          <w:i/>
        </w:rPr>
        <w:t xml:space="preserve"> </w:t>
      </w:r>
      <w:proofErr w:type="spellStart"/>
      <w:r w:rsidRPr="00AC789B">
        <w:rPr>
          <w:rFonts w:cs="Times New Roman"/>
          <w:i/>
        </w:rPr>
        <w:t>dires</w:t>
      </w:r>
      <w:proofErr w:type="spellEnd"/>
      <w:r w:rsidRPr="00AC789B">
        <w:rPr>
          <w:rFonts w:cs="Times New Roman"/>
        </w:rPr>
        <w:t xml:space="preserve">, unlike my colleague, I expect that trial judges will have little trouble discerning whether evidence given by the accused as a witness in a prior proceeding is “incriminating” evidence — that is, evidence that the Crown could use, if permitted to do so, to prove guilt. </w:t>
      </w:r>
    </w:p>
    <w:p w:rsidR="00AC4C1F" w:rsidRPr="00AC789B" w:rsidRDefault="00AC4C1F" w:rsidP="00AC4C1F">
      <w:pPr>
        <w:pStyle w:val="ParaNoNdepar-AltN"/>
        <w:rPr>
          <w:rFonts w:cs="Times New Roman"/>
        </w:rPr>
      </w:pPr>
      <w:r w:rsidRPr="00AC789B">
        <w:rPr>
          <w:rFonts w:cs="Times New Roman"/>
        </w:rPr>
        <w:lastRenderedPageBreak/>
        <w:t xml:space="preserve">Under the test I have proposed, trial judges are not given </w:t>
      </w:r>
      <w:proofErr w:type="gramStart"/>
      <w:r w:rsidRPr="00AC789B">
        <w:rPr>
          <w:rFonts w:cs="Times New Roman"/>
        </w:rPr>
        <w:t>a discretion</w:t>
      </w:r>
      <w:proofErr w:type="gramEnd"/>
      <w:r w:rsidRPr="00AC789B">
        <w:rPr>
          <w:rFonts w:cs="Times New Roman"/>
        </w:rPr>
        <w:t xml:space="preserve">.  The only added burden on the court will be to qualify the evidence as incriminating or not — hardly a difficult or time-consuming task.  Where the evidence the Crown seeks to introduce could be used by the Crown, if it were permitted to do so, to prove guilt — i.e., to prove or assist in proving one or more of the essential elements of the offence for which the witness is being tried — it is not admissible under s. 13 for </w:t>
      </w:r>
      <w:r w:rsidRPr="00AC789B">
        <w:rPr>
          <w:rFonts w:cs="Times New Roman"/>
          <w:i/>
        </w:rPr>
        <w:t>any purpose</w:t>
      </w:r>
      <w:r w:rsidRPr="00AC789B">
        <w:rPr>
          <w:rFonts w:cs="Times New Roman"/>
        </w:rPr>
        <w:t xml:space="preserve"> (other than a prosecution for perjury or giving contradictory evidence).</w:t>
      </w:r>
    </w:p>
    <w:p w:rsidR="00AC4C1F" w:rsidRPr="00AC789B" w:rsidRDefault="00AC4C1F" w:rsidP="00AC4C1F">
      <w:pPr>
        <w:pStyle w:val="ParaNoNdepar-AltN"/>
        <w:rPr>
          <w:rFonts w:cs="Times New Roman"/>
        </w:rPr>
      </w:pPr>
      <w:r w:rsidRPr="00AC789B">
        <w:rPr>
          <w:rFonts w:cs="Times New Roman"/>
        </w:rPr>
        <w:t xml:space="preserve">In sum, far from opening the </w:t>
      </w:r>
      <w:proofErr w:type="spellStart"/>
      <w:r w:rsidRPr="00AC789B">
        <w:rPr>
          <w:rFonts w:cs="Times New Roman"/>
          <w:i/>
        </w:rPr>
        <w:t>voir</w:t>
      </w:r>
      <w:proofErr w:type="spellEnd"/>
      <w:r w:rsidRPr="00AC789B">
        <w:rPr>
          <w:rFonts w:cs="Times New Roman"/>
          <w:i/>
        </w:rPr>
        <w:t xml:space="preserve"> dire</w:t>
      </w:r>
      <w:r w:rsidRPr="00AC789B">
        <w:rPr>
          <w:rFonts w:cs="Times New Roman"/>
        </w:rPr>
        <w:t xml:space="preserve"> floodgates, I am confident that trial judges will have little difficulty deciding whether evidence put forward by the Crown meets the test for “incriminating” evidence as I have defined it. </w:t>
      </w:r>
    </w:p>
    <w:p w:rsidR="00AC4C1F" w:rsidRPr="00AC789B" w:rsidRDefault="00AC4C1F" w:rsidP="00AC4C1F">
      <w:pPr>
        <w:pStyle w:val="ParaNoNdepar-AltN"/>
        <w:rPr>
          <w:rFonts w:cs="Times New Roman"/>
        </w:rPr>
      </w:pPr>
      <w:r w:rsidRPr="00AC789B">
        <w:rPr>
          <w:rFonts w:cs="Times New Roman"/>
        </w:rPr>
        <w:t xml:space="preserve">That brings me to the last of my colleague’s concerns — that in construing s. 13 as I have, the objective of the </w:t>
      </w:r>
      <w:r w:rsidRPr="00AC789B">
        <w:rPr>
          <w:rFonts w:cs="Times New Roman"/>
          <w:i/>
        </w:rPr>
        <w:t>quid pro quo</w:t>
      </w:r>
      <w:r w:rsidRPr="00AC789B">
        <w:rPr>
          <w:rFonts w:cs="Times New Roman"/>
        </w:rPr>
        <w:t xml:space="preserve">, which is to encourage full and frank testimony, will be undermined.  </w:t>
      </w:r>
    </w:p>
    <w:p w:rsidR="00AC4C1F" w:rsidRPr="00AC789B" w:rsidRDefault="00AC4C1F" w:rsidP="00AC4C1F">
      <w:pPr>
        <w:pStyle w:val="ParaNoNdepar-AltN"/>
        <w:rPr>
          <w:rFonts w:cs="Times New Roman"/>
        </w:rPr>
      </w:pPr>
      <w:r w:rsidRPr="00AC789B">
        <w:rPr>
          <w:rFonts w:cs="Times New Roman"/>
        </w:rPr>
        <w:t>With respect, I do not agree.  Full and frank testimony presupposes a witness who wants to tell the truth but is afraid to do so lest the evidence be used to incriminate him at a subsequent proceeding.  It does not presuppose a witness who is bent on giving false testimony.</w:t>
      </w:r>
    </w:p>
    <w:p w:rsidR="00AC4C1F" w:rsidRPr="00AC789B" w:rsidRDefault="00AC4C1F" w:rsidP="00AC4C1F">
      <w:pPr>
        <w:pStyle w:val="ParaNoNdepar-AltN"/>
        <w:rPr>
          <w:rFonts w:cs="Times New Roman"/>
        </w:rPr>
      </w:pPr>
      <w:r w:rsidRPr="00AC789B">
        <w:rPr>
          <w:rFonts w:cs="Times New Roman"/>
        </w:rPr>
        <w:t xml:space="preserve">Be that as it may, on my construction of s. 13, neither the truthful witness nor the perjurer need be concerned that any incriminating evidence given by them at a prior proceeding will be used against them, for any purpose, at a subsequent </w:t>
      </w:r>
      <w:r w:rsidRPr="00AC789B">
        <w:rPr>
          <w:rFonts w:cs="Times New Roman"/>
        </w:rPr>
        <w:lastRenderedPageBreak/>
        <w:t xml:space="preserve">proceeding (the </w:t>
      </w:r>
      <w:proofErr w:type="gramStart"/>
      <w:r w:rsidRPr="00AC789B">
        <w:rPr>
          <w:rFonts w:cs="Times New Roman"/>
        </w:rPr>
        <w:t>perjurer need</w:t>
      </w:r>
      <w:proofErr w:type="gramEnd"/>
      <w:r w:rsidRPr="00AC789B">
        <w:rPr>
          <w:rFonts w:cs="Times New Roman"/>
        </w:rPr>
        <w:t xml:space="preserve"> only fear a prosecution for perjury or for giving contradictory evidence).  Thus, the witness who sincerely wants to tell the truth — that is, make full and frank disclosure — need not fear any repercussions.  He or she will gain the full protection of s. 13, and the bargain contemplated by s. 13 will have been fulfilled.  </w:t>
      </w:r>
    </w:p>
    <w:p w:rsidR="00AC4C1F" w:rsidRPr="00AC789B" w:rsidRDefault="00AC4C1F" w:rsidP="00AC4C1F">
      <w:pPr>
        <w:pStyle w:val="ParaNoNdepar-AltN"/>
        <w:rPr>
          <w:rFonts w:cs="Times New Roman"/>
        </w:rPr>
      </w:pPr>
      <w:r w:rsidRPr="00AC789B">
        <w:rPr>
          <w:rFonts w:cs="Times New Roman"/>
        </w:rPr>
        <w:t xml:space="preserve">I do not gainsay the possibility that construing s. 13 as I have may impinge ever so slightly on the clarity and predictability that my colleague considers all-important.  Clarity and predictability are laudable goals, to be sure — but they should not be pursued at the expense of rewriting s. 13 to remove critical words that alter the meaning of the section and impermissibly extend its protection beyond its intended purpose. </w:t>
      </w:r>
    </w:p>
    <w:p w:rsidR="00AC4C1F" w:rsidRPr="00AC789B" w:rsidRDefault="00AC4C1F" w:rsidP="00AC4C1F">
      <w:pPr>
        <w:pStyle w:val="ParaNoNdepar-AltN"/>
        <w:rPr>
          <w:rFonts w:cs="Times New Roman"/>
        </w:rPr>
      </w:pPr>
      <w:r w:rsidRPr="00AC789B">
        <w:rPr>
          <w:rFonts w:cs="Times New Roman"/>
        </w:rPr>
        <w:t>I would accordingly allow the appeal, set aside the order for a new trial and restore the guilty verdict on the charge of dangerous driving causing bodily harm.</w:t>
      </w:r>
    </w:p>
    <w:p w:rsidR="00AC4C1F" w:rsidRPr="00AC789B" w:rsidRDefault="00DA06C0" w:rsidP="00AC4C1F">
      <w:pPr>
        <w:pStyle w:val="JudgeJuge"/>
        <w:rPr>
          <w:smallCaps w:val="0"/>
        </w:rPr>
      </w:pPr>
      <w:r w:rsidRPr="00AC789B">
        <w:rPr>
          <w:smallCaps w:val="0"/>
        </w:rPr>
        <w:tab/>
      </w:r>
      <w:proofErr w:type="gramStart"/>
      <w:r w:rsidRPr="00AC789B">
        <w:rPr>
          <w:smallCaps w:val="0"/>
        </w:rPr>
        <w:t>The reasons of LeBel, Fish and Cromwell JJ.</w:t>
      </w:r>
      <w:proofErr w:type="gramEnd"/>
      <w:r w:rsidRPr="00AC789B">
        <w:rPr>
          <w:smallCaps w:val="0"/>
        </w:rPr>
        <w:t xml:space="preserve"> </w:t>
      </w:r>
      <w:proofErr w:type="gramStart"/>
      <w:r w:rsidRPr="00AC789B">
        <w:rPr>
          <w:smallCaps w:val="0"/>
        </w:rPr>
        <w:t>were</w:t>
      </w:r>
      <w:proofErr w:type="gramEnd"/>
      <w:r w:rsidRPr="00AC789B">
        <w:rPr>
          <w:smallCaps w:val="0"/>
        </w:rPr>
        <w:t xml:space="preserve"> delivered by</w:t>
      </w:r>
    </w:p>
    <w:p w:rsidR="00AC4C1F" w:rsidRPr="00AC789B" w:rsidRDefault="00DA06C0" w:rsidP="00AC4C1F">
      <w:pPr>
        <w:pStyle w:val="ParaNoNdepar-AltN"/>
        <w:rPr>
          <w:rFonts w:cs="Times New Roman"/>
        </w:rPr>
      </w:pPr>
      <w:r w:rsidRPr="00AC789B">
        <w:rPr>
          <w:rFonts w:cs="Times New Roman"/>
          <w:smallCaps/>
        </w:rPr>
        <w:t xml:space="preserve">LeBel J. </w:t>
      </w:r>
      <w:r w:rsidRPr="00AC789B">
        <w:rPr>
          <w:rFonts w:cs="Times New Roman"/>
        </w:rPr>
        <w:t>(dissenting)</w:t>
      </w:r>
      <w:r w:rsidRPr="00AC789B">
        <w:rPr>
          <w:rFonts w:cs="Times New Roman"/>
          <w:smallCaps/>
        </w:rPr>
        <w:t xml:space="preserve"> </w:t>
      </w:r>
      <w:r w:rsidRPr="00AC789B">
        <w:rPr>
          <w:rFonts w:cs="Times New Roman"/>
        </w:rPr>
        <w:t xml:space="preserve">— </w:t>
      </w:r>
      <w:proofErr w:type="gramStart"/>
      <w:r w:rsidR="00AC4C1F" w:rsidRPr="00AC789B">
        <w:rPr>
          <w:rFonts w:cs="Times New Roman"/>
        </w:rPr>
        <w:t>The</w:t>
      </w:r>
      <w:proofErr w:type="gramEnd"/>
      <w:r w:rsidR="00AC4C1F" w:rsidRPr="00AC789B">
        <w:rPr>
          <w:rFonts w:cs="Times New Roman"/>
        </w:rPr>
        <w:t xml:space="preserve"> right against self-incrimination is a principle that lies at the heart of our justice system and is enshrined in the </w:t>
      </w:r>
      <w:r w:rsidR="00AC4C1F" w:rsidRPr="00AC789B">
        <w:rPr>
          <w:rFonts w:cs="Times New Roman"/>
          <w:i/>
        </w:rPr>
        <w:t>Canadian Charter of Rights and Freedoms</w:t>
      </w:r>
      <w:r w:rsidR="00AC4C1F" w:rsidRPr="00AC789B">
        <w:rPr>
          <w:rFonts w:cs="Times New Roman"/>
        </w:rPr>
        <w:t xml:space="preserve">. A specific form of protection against self-incrimination is the right against testimonial self-incrimination provided for in s. 13 of the </w:t>
      </w:r>
      <w:r w:rsidR="00AC4C1F" w:rsidRPr="00AC789B">
        <w:rPr>
          <w:rFonts w:cs="Times New Roman"/>
          <w:i/>
        </w:rPr>
        <w:t>Charter</w:t>
      </w:r>
      <w:r w:rsidR="00AC4C1F" w:rsidRPr="00AC789B">
        <w:rPr>
          <w:rFonts w:cs="Times New Roman"/>
        </w:rPr>
        <w:t>. Section 13</w:t>
      </w:r>
      <w:r w:rsidR="00AC4C1F" w:rsidRPr="00AC789B">
        <w:rPr>
          <w:rFonts w:cs="Times New Roman"/>
          <w:i/>
        </w:rPr>
        <w:t xml:space="preserve"> </w:t>
      </w:r>
      <w:r w:rsidR="00AC4C1F" w:rsidRPr="00AC789B">
        <w:rPr>
          <w:rFonts w:cs="Times New Roman"/>
        </w:rPr>
        <w:t xml:space="preserve">protects a witness who gives evidence in any proceeding from having that evidence used against him or her in a subsequent proceeding. This </w:t>
      </w:r>
      <w:r w:rsidR="00AC4C1F" w:rsidRPr="00AC789B">
        <w:rPr>
          <w:rFonts w:cs="Times New Roman"/>
          <w:i/>
        </w:rPr>
        <w:t>Charter</w:t>
      </w:r>
      <w:r w:rsidR="00AC4C1F" w:rsidRPr="00AC789B">
        <w:rPr>
          <w:rFonts w:cs="Times New Roman"/>
        </w:rPr>
        <w:t xml:space="preserve"> guarantee </w:t>
      </w:r>
      <w:r w:rsidR="00AC4C1F" w:rsidRPr="00AC789B">
        <w:rPr>
          <w:rFonts w:cs="Times New Roman"/>
        </w:rPr>
        <w:lastRenderedPageBreak/>
        <w:t xml:space="preserve">has engendered many decisions of this Court, the latest significant pronouncement being </w:t>
      </w:r>
      <w:r w:rsidR="00AC4C1F" w:rsidRPr="00AC789B">
        <w:rPr>
          <w:rFonts w:cs="Times New Roman"/>
          <w:i/>
        </w:rPr>
        <w:t>R. v. Henry</w:t>
      </w:r>
      <w:r w:rsidR="00AC4C1F" w:rsidRPr="00AC789B">
        <w:rPr>
          <w:rFonts w:cs="Times New Roman"/>
        </w:rPr>
        <w:t>, 2005 SCC 76, [2005] 3 S.C.R. 609.</w:t>
      </w:r>
    </w:p>
    <w:p w:rsidR="00AC4C1F" w:rsidRPr="00AC789B" w:rsidRDefault="00AC4C1F" w:rsidP="00AC4C1F">
      <w:pPr>
        <w:pStyle w:val="ParaNoNdepar-AltN"/>
        <w:rPr>
          <w:rFonts w:cs="Times New Roman"/>
        </w:rPr>
      </w:pPr>
      <w:r w:rsidRPr="00AC789B">
        <w:rPr>
          <w:rFonts w:cs="Times New Roman"/>
        </w:rPr>
        <w:t xml:space="preserve">The Crown asks this Court to reconsider the s. 13 principles it unanimously espoused in </w:t>
      </w:r>
      <w:r w:rsidRPr="00AC789B">
        <w:rPr>
          <w:rFonts w:cs="Times New Roman"/>
          <w:i/>
        </w:rPr>
        <w:t>Henry</w:t>
      </w:r>
      <w:r w:rsidRPr="00AC789B">
        <w:rPr>
          <w:rFonts w:cs="Times New Roman"/>
        </w:rPr>
        <w:t>. For the reasons that follow, I would decline to do so. I would therefore dismiss the appeal.</w:t>
      </w:r>
    </w:p>
    <w:p w:rsidR="00AC4C1F" w:rsidRPr="00AC789B" w:rsidRDefault="00DA06C0" w:rsidP="00DA06C0">
      <w:pPr>
        <w:pStyle w:val="ParaNoNdepar-AltN"/>
        <w:numPr>
          <w:ilvl w:val="0"/>
          <w:numId w:val="0"/>
        </w:numPr>
        <w:tabs>
          <w:tab w:val="left" w:pos="540"/>
        </w:tabs>
        <w:rPr>
          <w:rFonts w:cs="Times New Roman"/>
        </w:rPr>
      </w:pPr>
      <w:r w:rsidRPr="00AC789B">
        <w:rPr>
          <w:rFonts w:cs="Times New Roman"/>
        </w:rPr>
        <w:t>I.</w:t>
      </w:r>
      <w:r w:rsidR="00AC4C1F" w:rsidRPr="00AC789B">
        <w:rPr>
          <w:rFonts w:cs="Times New Roman"/>
        </w:rPr>
        <w:tab/>
      </w:r>
      <w:r w:rsidR="00AC4C1F" w:rsidRPr="00AC789B">
        <w:rPr>
          <w:rFonts w:cs="Times New Roman"/>
          <w:u w:val="single"/>
        </w:rPr>
        <w:t>Introduction</w:t>
      </w:r>
    </w:p>
    <w:p w:rsidR="00AC4C1F" w:rsidRPr="00AC789B" w:rsidRDefault="00AC4C1F" w:rsidP="00AC4C1F">
      <w:pPr>
        <w:pStyle w:val="ParaNoNdepar-AltN"/>
        <w:rPr>
          <w:rFonts w:cs="Times New Roman"/>
        </w:rPr>
      </w:pPr>
      <w:r w:rsidRPr="00AC789B">
        <w:rPr>
          <w:rFonts w:cs="Times New Roman"/>
        </w:rPr>
        <w:t>This appeal arises out of a guilty verdict for dangerous driving causing bodily harm (</w:t>
      </w:r>
      <w:r w:rsidR="00DA06C0" w:rsidRPr="00AC789B">
        <w:rPr>
          <w:rFonts w:cs="Times New Roman"/>
        </w:rPr>
        <w:t xml:space="preserve">(2007), </w:t>
      </w:r>
      <w:r w:rsidRPr="00AC789B">
        <w:rPr>
          <w:rFonts w:cs="Times New Roman"/>
        </w:rPr>
        <w:t xml:space="preserve">60 M.V.R. (5th) 186). The Ontario Court of Appeal set aside the respondent’s guilty verdict and ordered a new trial on the basis of this Court’s decision in </w:t>
      </w:r>
      <w:r w:rsidRPr="00AC789B">
        <w:rPr>
          <w:rFonts w:cs="Times New Roman"/>
          <w:i/>
        </w:rPr>
        <w:t>Henry</w:t>
      </w:r>
      <w:r w:rsidRPr="00AC789B">
        <w:rPr>
          <w:rFonts w:cs="Times New Roman"/>
        </w:rPr>
        <w:t xml:space="preserve"> (2011 ONCA 143, 276 O.A.C. 106). </w:t>
      </w:r>
    </w:p>
    <w:p w:rsidR="00AC4C1F" w:rsidRPr="00AC789B" w:rsidRDefault="00AC4C1F" w:rsidP="00AC4C1F">
      <w:pPr>
        <w:pStyle w:val="ParaNoNdepar-AltN"/>
        <w:rPr>
          <w:rFonts w:cs="Times New Roman"/>
        </w:rPr>
      </w:pPr>
      <w:r w:rsidRPr="00AC789B">
        <w:rPr>
          <w:rFonts w:cs="Times New Roman"/>
        </w:rPr>
        <w:t xml:space="preserve">At his criminal trial, the respondent was cross-examined on inconsistent statements he had previously made during discovery in a tort action brought against him in relation to the same incident. After his cross-examination, it became clear to all the parties, including the respondent’s own counsel and the trial </w:t>
      </w:r>
      <w:proofErr w:type="gramStart"/>
      <w:r w:rsidRPr="00AC789B">
        <w:rPr>
          <w:rFonts w:cs="Times New Roman"/>
        </w:rPr>
        <w:t>judge, that</w:t>
      </w:r>
      <w:proofErr w:type="gramEnd"/>
      <w:r w:rsidRPr="00AC789B">
        <w:rPr>
          <w:rFonts w:cs="Times New Roman"/>
        </w:rPr>
        <w:t xml:space="preserve"> the respondent’s entire testimony was unreliable and had to be disregarded. He was found guilty on one count of dangerous driving.</w:t>
      </w:r>
    </w:p>
    <w:p w:rsidR="00AC4C1F" w:rsidRPr="00AC789B" w:rsidRDefault="00AC4C1F" w:rsidP="00AC4C1F">
      <w:pPr>
        <w:pStyle w:val="ParaNoNdepar-AltN"/>
        <w:rPr>
          <w:rFonts w:cs="Times New Roman"/>
        </w:rPr>
      </w:pPr>
      <w:r w:rsidRPr="00AC789B">
        <w:rPr>
          <w:rFonts w:cs="Times New Roman"/>
        </w:rPr>
        <w:t xml:space="preserve">The issue is whether, at his criminal trial, the Crown could cross-examine the respondent on statements he had made during discovery in a civil action without infringing his right against self-incrimination. In my view, the Court of Appeal </w:t>
      </w:r>
      <w:r w:rsidRPr="00AC789B">
        <w:rPr>
          <w:rFonts w:cs="Times New Roman"/>
        </w:rPr>
        <w:lastRenderedPageBreak/>
        <w:t xml:space="preserve">correctly applied </w:t>
      </w:r>
      <w:r w:rsidRPr="00AC789B">
        <w:rPr>
          <w:rFonts w:cs="Times New Roman"/>
          <w:i/>
        </w:rPr>
        <w:t xml:space="preserve">Henry </w:t>
      </w:r>
      <w:r w:rsidRPr="00AC789B">
        <w:rPr>
          <w:rFonts w:cs="Times New Roman"/>
        </w:rPr>
        <w:t xml:space="preserve">in holding that the respondent could not be cross-examined on these statements. Therefore, the appeal must be dismissed.  </w:t>
      </w:r>
    </w:p>
    <w:p w:rsidR="00AC4C1F" w:rsidRPr="00AC789B" w:rsidRDefault="00AC4C1F" w:rsidP="00DA06C0">
      <w:pPr>
        <w:pStyle w:val="ParaNoNdepar-AltN"/>
        <w:numPr>
          <w:ilvl w:val="0"/>
          <w:numId w:val="0"/>
        </w:numPr>
        <w:tabs>
          <w:tab w:val="left" w:pos="540"/>
        </w:tabs>
        <w:rPr>
          <w:rFonts w:cs="Times New Roman"/>
          <w:u w:val="single"/>
        </w:rPr>
      </w:pPr>
      <w:r w:rsidRPr="00AC789B">
        <w:rPr>
          <w:rFonts w:cs="Times New Roman"/>
        </w:rPr>
        <w:t>II.</w:t>
      </w:r>
      <w:r w:rsidRPr="00AC789B">
        <w:rPr>
          <w:rFonts w:cs="Times New Roman"/>
        </w:rPr>
        <w:tab/>
      </w:r>
      <w:r w:rsidRPr="00AC789B">
        <w:rPr>
          <w:rFonts w:cs="Times New Roman"/>
          <w:u w:val="single"/>
        </w:rPr>
        <w:t>Facts</w:t>
      </w:r>
    </w:p>
    <w:p w:rsidR="00AC4C1F" w:rsidRPr="00AC789B" w:rsidRDefault="00AC4C1F" w:rsidP="00AC4C1F">
      <w:pPr>
        <w:pStyle w:val="ParaNoNdepar-AltN"/>
        <w:rPr>
          <w:rFonts w:cs="Times New Roman"/>
        </w:rPr>
      </w:pPr>
      <w:r w:rsidRPr="00AC789B">
        <w:rPr>
          <w:rFonts w:cs="Times New Roman"/>
        </w:rPr>
        <w:t>The respondent and the victim worked together. After work one evening, at around 6:30 p.m., the respondent took the victim for a ride on his motorcycle on their employer’s property. The motorcycle crashed into a curb, and both the victim and the respondent were thrown from it. The victim was not wearing a helmet, and the accident caused him permanent brain damage. The respondent sustained minor injuries and was hospitalized overnight.</w:t>
      </w:r>
    </w:p>
    <w:p w:rsidR="00AC4C1F" w:rsidRPr="00AC789B" w:rsidRDefault="00AC4C1F" w:rsidP="00AC4C1F">
      <w:pPr>
        <w:pStyle w:val="ParaNoNdepar-AltN"/>
        <w:rPr>
          <w:rFonts w:cs="Times New Roman"/>
        </w:rPr>
      </w:pPr>
      <w:r w:rsidRPr="00AC789B">
        <w:rPr>
          <w:rFonts w:cs="Times New Roman"/>
        </w:rPr>
        <w:t xml:space="preserve">The respondent was charged with dangerous driving causing bodily harm and impaired driving causing bodily harm. The respondent was also sued in a civil action by the victim and his family. He was examined for discovery as part of the civil proceedings. During his examination for discovery, he testified that he had no memory of the events from 5:00 p.m. on the day of the accident to the following day at 11:00 a.m., when he woke up in the hospital. Fourteen months later, at his criminal trial, however, he gave a detailed account of the accident and the events leading up to it. </w:t>
      </w:r>
    </w:p>
    <w:p w:rsidR="00AC4C1F" w:rsidRPr="00AC789B" w:rsidRDefault="00AC4C1F" w:rsidP="00AC4C1F">
      <w:pPr>
        <w:pStyle w:val="ParaNoNdepar-AltN"/>
        <w:rPr>
          <w:rFonts w:cs="Times New Roman"/>
        </w:rPr>
      </w:pPr>
      <w:r w:rsidRPr="00AC789B">
        <w:rPr>
          <w:rFonts w:cs="Times New Roman"/>
        </w:rPr>
        <w:t xml:space="preserve">The Crown sought leave to cross-examine the respondent on his discovery evidence. After a </w:t>
      </w:r>
      <w:proofErr w:type="spellStart"/>
      <w:r w:rsidRPr="00AC789B">
        <w:rPr>
          <w:rFonts w:cs="Times New Roman"/>
          <w:i/>
        </w:rPr>
        <w:t>voir</w:t>
      </w:r>
      <w:proofErr w:type="spellEnd"/>
      <w:r w:rsidRPr="00AC789B">
        <w:rPr>
          <w:rFonts w:cs="Times New Roman"/>
          <w:i/>
        </w:rPr>
        <w:t xml:space="preserve"> dire</w:t>
      </w:r>
      <w:r w:rsidRPr="00AC789B">
        <w:rPr>
          <w:rFonts w:cs="Times New Roman"/>
        </w:rPr>
        <w:t xml:space="preserve">, the trial judge ruled that the discovery evidence could be put to the respondent in cross-examination for the purpose of impeaching his </w:t>
      </w:r>
      <w:r w:rsidRPr="00AC789B">
        <w:rPr>
          <w:rFonts w:cs="Times New Roman"/>
        </w:rPr>
        <w:lastRenderedPageBreak/>
        <w:t xml:space="preserve">credibility. The respondent was ultimately found guilty of dangerous driving causing bodily harm. On the basis of </w:t>
      </w:r>
      <w:r w:rsidRPr="00AC789B">
        <w:rPr>
          <w:rFonts w:cs="Times New Roman"/>
          <w:i/>
        </w:rPr>
        <w:t>Henry</w:t>
      </w:r>
      <w:r w:rsidRPr="00AC789B">
        <w:rPr>
          <w:rFonts w:cs="Times New Roman"/>
        </w:rPr>
        <w:t>, the Ontario Court of Appeal overturned the trial judge’s ruling, set aside the respondent’s conviction and ordered a new trial.</w:t>
      </w:r>
    </w:p>
    <w:p w:rsidR="00AC4C1F" w:rsidRPr="00AC789B" w:rsidRDefault="00AC4C1F" w:rsidP="00DA06C0">
      <w:pPr>
        <w:pStyle w:val="ParaNoNdepar-AltN"/>
        <w:numPr>
          <w:ilvl w:val="0"/>
          <w:numId w:val="0"/>
        </w:numPr>
        <w:tabs>
          <w:tab w:val="left" w:pos="540"/>
        </w:tabs>
        <w:rPr>
          <w:rFonts w:cs="Times New Roman"/>
          <w:u w:val="single"/>
        </w:rPr>
      </w:pPr>
      <w:r w:rsidRPr="00AC789B">
        <w:rPr>
          <w:rFonts w:cs="Times New Roman"/>
        </w:rPr>
        <w:t>III.</w:t>
      </w:r>
      <w:r w:rsidRPr="00AC789B">
        <w:rPr>
          <w:rFonts w:cs="Times New Roman"/>
        </w:rPr>
        <w:tab/>
      </w:r>
      <w:r w:rsidRPr="00AC789B">
        <w:rPr>
          <w:rFonts w:cs="Times New Roman"/>
          <w:u w:val="single"/>
        </w:rPr>
        <w:t>Judicial History</w:t>
      </w:r>
    </w:p>
    <w:p w:rsidR="00AC4C1F" w:rsidRPr="00AC789B" w:rsidRDefault="00AC4C1F" w:rsidP="00DA06C0">
      <w:pPr>
        <w:pStyle w:val="TitleTitre-AltT"/>
        <w:tabs>
          <w:tab w:val="clear" w:pos="360"/>
          <w:tab w:val="left" w:pos="540"/>
        </w:tabs>
        <w:ind w:left="540" w:hanging="540"/>
        <w:rPr>
          <w:rFonts w:cs="Times New Roman"/>
        </w:rPr>
      </w:pPr>
      <w:r w:rsidRPr="00AC789B">
        <w:rPr>
          <w:rFonts w:cs="Times New Roman"/>
        </w:rPr>
        <w:t>A.</w:t>
      </w:r>
      <w:r w:rsidRPr="00AC789B">
        <w:rPr>
          <w:rFonts w:cs="Times New Roman"/>
        </w:rPr>
        <w:tab/>
      </w:r>
      <w:r w:rsidRPr="00AC789B">
        <w:rPr>
          <w:rFonts w:cs="Times New Roman"/>
          <w:i/>
        </w:rPr>
        <w:t>Superior Court of Justice</w:t>
      </w:r>
    </w:p>
    <w:p w:rsidR="00AC4C1F" w:rsidRPr="00AC789B" w:rsidRDefault="00DA06C0" w:rsidP="00DA06C0">
      <w:pPr>
        <w:pStyle w:val="ParaNoNdepar-AltN"/>
        <w:numPr>
          <w:ilvl w:val="0"/>
          <w:numId w:val="0"/>
        </w:numPr>
        <w:tabs>
          <w:tab w:val="left" w:pos="540"/>
        </w:tabs>
        <w:ind w:left="1170" w:hanging="1170"/>
        <w:rPr>
          <w:rFonts w:cs="Times New Roman"/>
        </w:rPr>
      </w:pPr>
      <w:r w:rsidRPr="00AC789B">
        <w:rPr>
          <w:rFonts w:cs="Times New Roman"/>
        </w:rPr>
        <w:tab/>
      </w:r>
      <w:r w:rsidR="00AC4C1F" w:rsidRPr="00AC789B">
        <w:rPr>
          <w:rFonts w:cs="Times New Roman"/>
        </w:rPr>
        <w:t>(1)</w:t>
      </w:r>
      <w:r w:rsidR="00AC4C1F" w:rsidRPr="00AC789B">
        <w:rPr>
          <w:rFonts w:cs="Times New Roman"/>
        </w:rPr>
        <w:tab/>
      </w:r>
      <w:r w:rsidR="00AC4C1F" w:rsidRPr="00AC789B">
        <w:rPr>
          <w:rFonts w:cs="Times New Roman"/>
          <w:u w:val="single"/>
        </w:rPr>
        <w:t>The Charge</w:t>
      </w:r>
    </w:p>
    <w:p w:rsidR="00AC4C1F" w:rsidRPr="00AC789B" w:rsidRDefault="00AC4C1F" w:rsidP="00AC4C1F">
      <w:pPr>
        <w:pStyle w:val="ParaNoNdepar-AltN"/>
        <w:rPr>
          <w:rFonts w:cs="Times New Roman"/>
        </w:rPr>
      </w:pPr>
      <w:r w:rsidRPr="00AC789B">
        <w:rPr>
          <w:rFonts w:cs="Times New Roman"/>
        </w:rPr>
        <w:t xml:space="preserve">The respondent testified in his own defence. In his testimony, he gave a detailed account of the events of that day leading up to and during the accident. In cross-examination, on being asked about his memory of the events, he stated, “I have a recollection about 90, 95 percent” (A.R., vol. II, at p. 215). </w:t>
      </w:r>
    </w:p>
    <w:p w:rsidR="00AC4C1F" w:rsidRPr="00AC789B" w:rsidRDefault="00AC4C1F" w:rsidP="00AC4C1F">
      <w:pPr>
        <w:pStyle w:val="ParaNoNdepar-AltN"/>
        <w:rPr>
          <w:rFonts w:cs="Times New Roman"/>
        </w:rPr>
      </w:pPr>
      <w:r w:rsidRPr="00AC789B">
        <w:rPr>
          <w:rFonts w:cs="Times New Roman"/>
        </w:rPr>
        <w:t>Before Crown counsel began her cross-examination, a police officer handed her a transcript of the respondent’s examination for discovery from the civil proceeding, apparently provided by the victim’s counsel. The transcript indicated that the respondent had denied remembering anything about the accident in his discovery evidence:</w:t>
      </w:r>
    </w:p>
    <w:p w:rsidR="00AC4C1F" w:rsidRPr="00AC789B" w:rsidRDefault="00DA06C0" w:rsidP="00DA06C0">
      <w:pPr>
        <w:pStyle w:val="Citation-AltC"/>
        <w:tabs>
          <w:tab w:val="left" w:pos="1620"/>
        </w:tabs>
        <w:spacing w:after="240"/>
        <w:ind w:hanging="1166"/>
        <w:contextualSpacing w:val="0"/>
      </w:pPr>
      <w:r w:rsidRPr="00AC789B">
        <w:tab/>
      </w:r>
      <w:r w:rsidR="00AC4C1F" w:rsidRPr="00AC789B">
        <w:t>Q.</w:t>
      </w:r>
      <w:r w:rsidR="007F59CD" w:rsidRPr="00AC789B">
        <w:tab/>
        <w:t>A</w:t>
      </w:r>
      <w:r w:rsidR="00AC4C1F" w:rsidRPr="00AC789B">
        <w:t>nd when did you first see Victor on July 30th, 2004?</w:t>
      </w:r>
    </w:p>
    <w:p w:rsidR="00AC4C1F" w:rsidRPr="00AC789B" w:rsidRDefault="007F59CD" w:rsidP="007F59CD">
      <w:pPr>
        <w:pStyle w:val="Citation-AltC"/>
        <w:tabs>
          <w:tab w:val="left" w:pos="1620"/>
        </w:tabs>
        <w:spacing w:after="240"/>
        <w:ind w:hanging="1166"/>
        <w:contextualSpacing w:val="0"/>
      </w:pPr>
      <w:r w:rsidRPr="00AC789B">
        <w:tab/>
        <w:t>A.</w:t>
      </w:r>
      <w:r w:rsidRPr="00AC789B">
        <w:tab/>
      </w:r>
      <w:r w:rsidR="00AC4C1F" w:rsidRPr="00AC789B">
        <w:t>When I see him?</w:t>
      </w:r>
    </w:p>
    <w:p w:rsidR="00AC4C1F" w:rsidRPr="00AC789B" w:rsidRDefault="007F59CD" w:rsidP="007F59CD">
      <w:pPr>
        <w:pStyle w:val="Citation-AltC"/>
        <w:tabs>
          <w:tab w:val="left" w:pos="1620"/>
        </w:tabs>
        <w:spacing w:after="240"/>
        <w:ind w:hanging="1166"/>
        <w:contextualSpacing w:val="0"/>
      </w:pPr>
      <w:r w:rsidRPr="00AC789B">
        <w:tab/>
        <w:t>Q.</w:t>
      </w:r>
      <w:r w:rsidRPr="00AC789B">
        <w:tab/>
      </w:r>
      <w:r w:rsidR="00AC4C1F" w:rsidRPr="00AC789B">
        <w:t>The first time.</w:t>
      </w:r>
    </w:p>
    <w:p w:rsidR="00AC4C1F" w:rsidRPr="00AC789B" w:rsidRDefault="007F59CD" w:rsidP="007F59CD">
      <w:pPr>
        <w:pStyle w:val="Citation-AltC"/>
        <w:tabs>
          <w:tab w:val="left" w:pos="1620"/>
        </w:tabs>
        <w:spacing w:after="240"/>
        <w:ind w:hanging="1166"/>
        <w:contextualSpacing w:val="0"/>
      </w:pPr>
      <w:r w:rsidRPr="00AC789B">
        <w:lastRenderedPageBreak/>
        <w:tab/>
      </w:r>
      <w:r w:rsidR="00AC4C1F" w:rsidRPr="00AC789B">
        <w:t>A.</w:t>
      </w:r>
      <w:r w:rsidRPr="00AC789B">
        <w:tab/>
      </w:r>
      <w:r w:rsidR="00AC4C1F" w:rsidRPr="00AC789B">
        <w:t xml:space="preserve">I don’t see him in that night. He </w:t>
      </w:r>
      <w:proofErr w:type="gramStart"/>
      <w:r w:rsidR="00AC4C1F" w:rsidRPr="00AC789B">
        <w:t>come</w:t>
      </w:r>
      <w:proofErr w:type="gramEnd"/>
      <w:r w:rsidR="00AC4C1F" w:rsidRPr="00AC789B">
        <w:t xml:space="preserve"> around 5 o’clock, but I don’t remember nothing from before that, so I--last things I remember was 5 o’clock when I finish one job on the line. I don’t remember when I was going to the shop. I don’t--don’t remember when I was putting my tools away. I don’t remember when we’re drinking after.</w:t>
      </w:r>
    </w:p>
    <w:p w:rsidR="00AC4C1F" w:rsidRPr="00AC789B" w:rsidRDefault="007F59CD" w:rsidP="007F59CD">
      <w:pPr>
        <w:pStyle w:val="Citation-AltC"/>
        <w:tabs>
          <w:tab w:val="left" w:pos="1620"/>
        </w:tabs>
        <w:spacing w:after="240"/>
        <w:ind w:hanging="1166"/>
        <w:contextualSpacing w:val="0"/>
      </w:pPr>
      <w:r w:rsidRPr="00AC789B">
        <w:tab/>
        <w:t>Q.</w:t>
      </w:r>
      <w:r w:rsidRPr="00AC789B">
        <w:tab/>
      </w:r>
      <w:r w:rsidR="00AC4C1F" w:rsidRPr="00AC789B">
        <w:t xml:space="preserve">Do you have any memory after 5--or, </w:t>
      </w:r>
      <w:proofErr w:type="gramStart"/>
      <w:r w:rsidR="00AC4C1F" w:rsidRPr="00AC789B">
        <w:t>sorry.</w:t>
      </w:r>
      <w:proofErr w:type="gramEnd"/>
      <w:r w:rsidR="00AC4C1F" w:rsidRPr="00AC789B">
        <w:t xml:space="preserve"> What is your first memory after 5 o’clock p.m. on July 30th?</w:t>
      </w:r>
    </w:p>
    <w:p w:rsidR="00AC4C1F" w:rsidRPr="00AC789B" w:rsidRDefault="007F59CD" w:rsidP="007F59CD">
      <w:pPr>
        <w:pStyle w:val="Citation-AltC"/>
        <w:tabs>
          <w:tab w:val="left" w:pos="1620"/>
        </w:tabs>
        <w:spacing w:after="240"/>
        <w:ind w:hanging="1166"/>
        <w:contextualSpacing w:val="0"/>
      </w:pPr>
      <w:r w:rsidRPr="00AC789B">
        <w:tab/>
      </w:r>
      <w:r w:rsidR="00AC4C1F" w:rsidRPr="00AC789B">
        <w:t>A.</w:t>
      </w:r>
      <w:r w:rsidRPr="00AC789B">
        <w:tab/>
      </w:r>
      <w:r w:rsidR="00AC4C1F" w:rsidRPr="00AC789B">
        <w:t>Eleven o’clock next day when I was in the hospital.</w:t>
      </w:r>
    </w:p>
    <w:p w:rsidR="00AC4C1F" w:rsidRPr="00AC789B" w:rsidRDefault="007F59CD" w:rsidP="007F59CD">
      <w:pPr>
        <w:pStyle w:val="Citation-AltC"/>
        <w:tabs>
          <w:tab w:val="left" w:pos="1620"/>
        </w:tabs>
        <w:spacing w:after="240"/>
        <w:ind w:hanging="1166"/>
        <w:contextualSpacing w:val="0"/>
      </w:pPr>
      <w:r w:rsidRPr="00AC789B">
        <w:tab/>
        <w:t>Q.</w:t>
      </w:r>
      <w:r w:rsidRPr="00AC789B">
        <w:tab/>
      </w:r>
      <w:r w:rsidR="00AC4C1F" w:rsidRPr="00AC789B">
        <w:t>So, July 31st?</w:t>
      </w:r>
    </w:p>
    <w:p w:rsidR="00AC4C1F" w:rsidRPr="00AC789B" w:rsidRDefault="007F59CD" w:rsidP="007F59CD">
      <w:pPr>
        <w:pStyle w:val="Citation-AltC"/>
        <w:tabs>
          <w:tab w:val="left" w:pos="1620"/>
        </w:tabs>
        <w:spacing w:after="240"/>
        <w:ind w:hanging="1166"/>
        <w:contextualSpacing w:val="0"/>
      </w:pPr>
      <w:r w:rsidRPr="00AC789B">
        <w:tab/>
        <w:t>A.</w:t>
      </w:r>
      <w:r w:rsidRPr="00AC789B">
        <w:tab/>
      </w:r>
      <w:r w:rsidR="00AC4C1F" w:rsidRPr="00AC789B">
        <w:t>Exact.</w:t>
      </w:r>
    </w:p>
    <w:p w:rsidR="00AC4C1F" w:rsidRPr="00AC789B" w:rsidRDefault="007F59CD" w:rsidP="007F59CD">
      <w:pPr>
        <w:pStyle w:val="Citation-AltC"/>
        <w:tabs>
          <w:tab w:val="left" w:pos="1620"/>
        </w:tabs>
        <w:spacing w:after="240"/>
        <w:ind w:hanging="1166"/>
        <w:contextualSpacing w:val="0"/>
      </w:pPr>
      <w:r w:rsidRPr="00AC789B">
        <w:tab/>
        <w:t>Q.</w:t>
      </w:r>
      <w:r w:rsidRPr="00AC789B">
        <w:tab/>
      </w:r>
      <w:r w:rsidR="00AC4C1F" w:rsidRPr="00AC789B">
        <w:t>Eleven o’clock in the morning or the evening?</w:t>
      </w:r>
    </w:p>
    <w:p w:rsidR="00AC4C1F" w:rsidRPr="00AC789B" w:rsidRDefault="007F59CD" w:rsidP="007F59CD">
      <w:pPr>
        <w:pStyle w:val="Citation-AltC"/>
        <w:tabs>
          <w:tab w:val="left" w:pos="1620"/>
        </w:tabs>
        <w:ind w:hanging="1166"/>
        <w:contextualSpacing w:val="0"/>
      </w:pPr>
      <w:r w:rsidRPr="00AC789B">
        <w:tab/>
      </w:r>
      <w:r w:rsidR="00AC4C1F" w:rsidRPr="00AC789B">
        <w:t>A.</w:t>
      </w:r>
      <w:r w:rsidRPr="00AC789B">
        <w:tab/>
      </w:r>
      <w:r w:rsidR="00AC4C1F" w:rsidRPr="00AC789B">
        <w:t xml:space="preserve">In the morning when I get out from the ER. Shortly after that, they take me out of--from the--10:30, 11. I’m not sure. </w:t>
      </w:r>
      <w:proofErr w:type="gramStart"/>
      <w:r w:rsidR="00AC4C1F" w:rsidRPr="00AC789B">
        <w:t>[A.R., vol.</w:t>
      </w:r>
      <w:proofErr w:type="gramEnd"/>
      <w:r w:rsidR="00AC4C1F" w:rsidRPr="00AC789B">
        <w:t xml:space="preserve"> I, at p. 99]</w:t>
      </w:r>
    </w:p>
    <w:p w:rsidR="00AC4C1F" w:rsidRPr="00AC789B" w:rsidRDefault="00AC4C1F" w:rsidP="00AC4C1F">
      <w:pPr>
        <w:pStyle w:val="ParaNoNdepar-AltN"/>
        <w:rPr>
          <w:rFonts w:cs="Times New Roman"/>
        </w:rPr>
      </w:pPr>
      <w:r w:rsidRPr="00AC789B">
        <w:rPr>
          <w:rFonts w:cs="Times New Roman"/>
        </w:rPr>
        <w:t xml:space="preserve">At the conclusion of her cross-examination, and based on the inconsistent evidence regarding the respondent’s memory of the events, Crown counsel sought leave to cross-examine the respondent on his discovery evidence. </w:t>
      </w:r>
    </w:p>
    <w:p w:rsidR="00AC4C1F" w:rsidRPr="00AC789B" w:rsidRDefault="007F59CD" w:rsidP="006B2422">
      <w:pPr>
        <w:pStyle w:val="ParaNoNdepar-AltN"/>
        <w:numPr>
          <w:ilvl w:val="0"/>
          <w:numId w:val="0"/>
        </w:numPr>
        <w:tabs>
          <w:tab w:val="left" w:pos="540"/>
        </w:tabs>
        <w:spacing w:line="240" w:lineRule="auto"/>
        <w:ind w:left="1170" w:hanging="1170"/>
        <w:rPr>
          <w:rFonts w:cs="Times New Roman"/>
        </w:rPr>
      </w:pPr>
      <w:r w:rsidRPr="00AC789B">
        <w:rPr>
          <w:rFonts w:cs="Times New Roman"/>
        </w:rPr>
        <w:tab/>
      </w:r>
      <w:r w:rsidR="00AC4C1F" w:rsidRPr="00AC789B">
        <w:rPr>
          <w:rFonts w:cs="Times New Roman"/>
        </w:rPr>
        <w:t>(2)</w:t>
      </w:r>
      <w:r w:rsidR="00AC4C1F" w:rsidRPr="00AC789B">
        <w:rPr>
          <w:rFonts w:cs="Times New Roman"/>
        </w:rPr>
        <w:tab/>
      </w:r>
      <w:r w:rsidR="00AC4C1F" w:rsidRPr="00AC789B">
        <w:rPr>
          <w:rFonts w:cs="Times New Roman"/>
          <w:u w:val="single"/>
        </w:rPr>
        <w:t xml:space="preserve">Ruling on the </w:t>
      </w:r>
      <w:proofErr w:type="spellStart"/>
      <w:r w:rsidR="00AC4C1F" w:rsidRPr="00AC789B">
        <w:rPr>
          <w:rFonts w:cs="Times New Roman"/>
          <w:i/>
          <w:u w:val="single"/>
        </w:rPr>
        <w:t>Voir</w:t>
      </w:r>
      <w:proofErr w:type="spellEnd"/>
      <w:r w:rsidR="00AC4C1F" w:rsidRPr="00AC789B">
        <w:rPr>
          <w:rFonts w:cs="Times New Roman"/>
          <w:i/>
          <w:u w:val="single"/>
        </w:rPr>
        <w:t xml:space="preserve"> Dire </w:t>
      </w:r>
      <w:r w:rsidR="00AC4C1F" w:rsidRPr="00AC789B">
        <w:rPr>
          <w:rFonts w:cs="Times New Roman"/>
          <w:u w:val="single"/>
        </w:rPr>
        <w:t>(</w:t>
      </w:r>
      <w:r w:rsidR="008665FA" w:rsidRPr="00AC789B">
        <w:rPr>
          <w:rFonts w:cs="Times New Roman"/>
          <w:u w:val="single"/>
        </w:rPr>
        <w:t xml:space="preserve">Ontario Superior </w:t>
      </w:r>
      <w:r w:rsidRPr="00AC789B">
        <w:rPr>
          <w:rFonts w:cs="Times New Roman"/>
          <w:u w:val="single"/>
        </w:rPr>
        <w:t>Court</w:t>
      </w:r>
      <w:r w:rsidR="006B2422" w:rsidRPr="00AC789B">
        <w:rPr>
          <w:rFonts w:cs="Times New Roman"/>
          <w:u w:val="single"/>
        </w:rPr>
        <w:t xml:space="preserve"> </w:t>
      </w:r>
      <w:r w:rsidR="00667487" w:rsidRPr="00AC789B">
        <w:rPr>
          <w:rFonts w:cs="Times New Roman"/>
          <w:u w:val="single"/>
        </w:rPr>
        <w:t xml:space="preserve">of Justice </w:t>
      </w:r>
      <w:r w:rsidR="00AC4C1F" w:rsidRPr="00AC789B">
        <w:rPr>
          <w:rFonts w:cs="Times New Roman"/>
          <w:u w:val="single"/>
        </w:rPr>
        <w:t>(2007), 41 C.P.C. (6th) 357)</w:t>
      </w:r>
    </w:p>
    <w:p w:rsidR="00AC4C1F" w:rsidRPr="00AC789B" w:rsidRDefault="00AC4C1F" w:rsidP="00AC4C1F">
      <w:pPr>
        <w:pStyle w:val="ParaNoNdepar-AltN"/>
        <w:rPr>
          <w:rFonts w:cs="Times New Roman"/>
        </w:rPr>
      </w:pPr>
      <w:r w:rsidRPr="00AC789B">
        <w:rPr>
          <w:rFonts w:cs="Times New Roman"/>
        </w:rPr>
        <w:t xml:space="preserve">After reviewing this Court’s decision in </w:t>
      </w:r>
      <w:r w:rsidRPr="00AC789B">
        <w:rPr>
          <w:rFonts w:cs="Times New Roman"/>
          <w:i/>
        </w:rPr>
        <w:t>Henry</w:t>
      </w:r>
      <w:r w:rsidRPr="00AC789B">
        <w:rPr>
          <w:rFonts w:cs="Times New Roman"/>
        </w:rPr>
        <w:t xml:space="preserve">, the trial judge found that s. 13 </w:t>
      </w:r>
      <w:proofErr w:type="gramStart"/>
      <w:r w:rsidRPr="00AC789B">
        <w:rPr>
          <w:rFonts w:cs="Times New Roman"/>
        </w:rPr>
        <w:t>protection</w:t>
      </w:r>
      <w:proofErr w:type="gramEnd"/>
      <w:r w:rsidRPr="00AC789B">
        <w:rPr>
          <w:rFonts w:cs="Times New Roman"/>
        </w:rPr>
        <w:t xml:space="preserve"> applies only in relation to prior compelled testimony and cannot be invoked if the prior testimony was given voluntarily. </w:t>
      </w:r>
    </w:p>
    <w:p w:rsidR="00AC4C1F" w:rsidRPr="00AC789B" w:rsidRDefault="00AC4C1F" w:rsidP="00AC4C1F">
      <w:pPr>
        <w:pStyle w:val="ParaNoNdepar-AltN"/>
        <w:rPr>
          <w:rFonts w:cs="Times New Roman"/>
        </w:rPr>
      </w:pPr>
      <w:r w:rsidRPr="00AC789B">
        <w:rPr>
          <w:rFonts w:cs="Times New Roman"/>
        </w:rPr>
        <w:t xml:space="preserve">In determining whether the respondent’s discovery evidence was compelled, he noted that parties to a civil action in Ontario are obligated to attend examinations for discovery and provide answers under oath, and that discovery </w:t>
      </w:r>
      <w:r w:rsidRPr="00AC789B">
        <w:rPr>
          <w:rFonts w:cs="Times New Roman"/>
        </w:rPr>
        <w:lastRenderedPageBreak/>
        <w:t xml:space="preserve">evidence is therefore statutorily compelled evidence under the </w:t>
      </w:r>
      <w:r w:rsidRPr="00AC789B">
        <w:rPr>
          <w:rFonts w:cs="Times New Roman"/>
          <w:i/>
        </w:rPr>
        <w:t>Rules of Civil Procedure</w:t>
      </w:r>
      <w:r w:rsidRPr="00AC789B">
        <w:rPr>
          <w:rFonts w:cs="Times New Roman"/>
        </w:rPr>
        <w:t xml:space="preserve">, R.R.O. 1990, </w:t>
      </w:r>
      <w:proofErr w:type="gramStart"/>
      <w:r w:rsidRPr="00AC789B">
        <w:rPr>
          <w:rFonts w:cs="Times New Roman"/>
        </w:rPr>
        <w:t>Reg</w:t>
      </w:r>
      <w:proofErr w:type="gramEnd"/>
      <w:r w:rsidRPr="00AC789B">
        <w:rPr>
          <w:rFonts w:cs="Times New Roman"/>
        </w:rPr>
        <w:t xml:space="preserve">. 194. However, in his view there was a difference between evidence given in a civil proceeding and in a criminal proceeding. </w:t>
      </w:r>
    </w:p>
    <w:p w:rsidR="00AC4C1F" w:rsidRPr="00AC789B" w:rsidRDefault="00AC4C1F" w:rsidP="00AC4C1F">
      <w:pPr>
        <w:pStyle w:val="ParaNoNdepar-AltN"/>
        <w:rPr>
          <w:rFonts w:cs="Times New Roman"/>
        </w:rPr>
      </w:pPr>
      <w:r w:rsidRPr="00AC789B">
        <w:rPr>
          <w:rFonts w:cs="Times New Roman"/>
        </w:rPr>
        <w:t xml:space="preserve">According to the trial judge, the differences in character, purpose and philosophy between civil and criminal proceedings must be taken into account when applying the </w:t>
      </w:r>
      <w:r w:rsidRPr="00AC789B">
        <w:rPr>
          <w:rFonts w:cs="Times New Roman"/>
          <w:i/>
        </w:rPr>
        <w:t>Charter</w:t>
      </w:r>
      <w:r w:rsidRPr="00AC789B">
        <w:rPr>
          <w:rFonts w:cs="Times New Roman"/>
        </w:rPr>
        <w:t xml:space="preserve"> to exclude evidence obtained in a civil action. While civil discovery is meant to eliminate issues not seriously contested, to ensure that all relevant evidence is disclosed and to expose groundless claims, criminal investigations have “a public, justice-oriented purpose” (</w:t>
      </w:r>
      <w:proofErr w:type="spellStart"/>
      <w:r w:rsidRPr="00AC789B">
        <w:rPr>
          <w:rFonts w:cs="Times New Roman"/>
        </w:rPr>
        <w:t>para</w:t>
      </w:r>
      <w:proofErr w:type="spellEnd"/>
      <w:r w:rsidRPr="00AC789B">
        <w:rPr>
          <w:rFonts w:cs="Times New Roman"/>
        </w:rPr>
        <w:t>. 24).</w:t>
      </w:r>
    </w:p>
    <w:p w:rsidR="00AC4C1F" w:rsidRPr="00AC789B" w:rsidRDefault="00AC4C1F" w:rsidP="00AC4C1F">
      <w:pPr>
        <w:pStyle w:val="ParaNoNdepar-AltN"/>
        <w:rPr>
          <w:rFonts w:cs="Times New Roman"/>
        </w:rPr>
      </w:pPr>
      <w:r w:rsidRPr="00AC789B">
        <w:rPr>
          <w:rFonts w:cs="Times New Roman"/>
        </w:rPr>
        <w:t xml:space="preserve">The trial judge quoted with approval a passage from </w:t>
      </w:r>
      <w:r w:rsidRPr="00AC789B">
        <w:rPr>
          <w:rFonts w:cs="Times New Roman"/>
          <w:i/>
        </w:rPr>
        <w:t>British Columbia Securities Commission v. Branch</w:t>
      </w:r>
      <w:r w:rsidRPr="00AC789B">
        <w:rPr>
          <w:rFonts w:cs="Times New Roman"/>
        </w:rPr>
        <w:t>, [1995] 2 S.C.R. 3, in which this Court had stated that, to qualify as having a “valid public purpose”, compelled testimony in a criminal context must be aimed at obtaining evidence in furtherance of the prosecution (</w:t>
      </w:r>
      <w:proofErr w:type="spellStart"/>
      <w:r w:rsidRPr="00AC789B">
        <w:rPr>
          <w:rFonts w:cs="Times New Roman"/>
        </w:rPr>
        <w:t>para</w:t>
      </w:r>
      <w:proofErr w:type="spellEnd"/>
      <w:r w:rsidRPr="00AC789B">
        <w:rPr>
          <w:rFonts w:cs="Times New Roman"/>
        </w:rPr>
        <w:t xml:space="preserve">. 24). Referring to this Court’s decision in </w:t>
      </w:r>
      <w:r w:rsidRPr="00AC789B">
        <w:rPr>
          <w:rFonts w:cs="Times New Roman"/>
          <w:i/>
        </w:rPr>
        <w:t>Henry</w:t>
      </w:r>
      <w:r w:rsidRPr="00AC789B">
        <w:rPr>
          <w:rFonts w:cs="Times New Roman"/>
        </w:rPr>
        <w:t>, he stated that s. 13 must be analyzed purposefully, within the context of the “bargain” at its heart, known as the “</w:t>
      </w:r>
      <w:r w:rsidRPr="00AC789B">
        <w:rPr>
          <w:rFonts w:cs="Times New Roman"/>
          <w:i/>
        </w:rPr>
        <w:t>quid pro quo</w:t>
      </w:r>
      <w:r w:rsidRPr="00AC789B">
        <w:rPr>
          <w:rFonts w:cs="Times New Roman"/>
        </w:rPr>
        <w:t xml:space="preserve">”, which protects a witness who is compelled to testify. He explained the </w:t>
      </w:r>
      <w:r w:rsidRPr="00AC789B">
        <w:rPr>
          <w:rFonts w:cs="Times New Roman"/>
          <w:i/>
        </w:rPr>
        <w:t>quid pro quo</w:t>
      </w:r>
      <w:r w:rsidRPr="00AC789B">
        <w:rPr>
          <w:rFonts w:cs="Times New Roman"/>
        </w:rPr>
        <w:t xml:space="preserve"> as follows: “. . . when a person is compelled to testify in a court proceeding and exposes himself to the risk of self-incrimination, the section provides protection against the subsequent use of his evidence against him</w:t>
      </w:r>
      <w:r w:rsidR="004E2829" w:rsidRPr="00AC789B">
        <w:rPr>
          <w:rFonts w:cs="Times New Roman"/>
        </w:rPr>
        <w:t>”</w:t>
      </w:r>
      <w:r w:rsidR="008665FA" w:rsidRPr="00AC789B">
        <w:rPr>
          <w:rFonts w:cs="Times New Roman"/>
        </w:rPr>
        <w:t xml:space="preserve"> (</w:t>
      </w:r>
      <w:proofErr w:type="spellStart"/>
      <w:r w:rsidR="008665FA" w:rsidRPr="00AC789B">
        <w:rPr>
          <w:rFonts w:cs="Times New Roman"/>
        </w:rPr>
        <w:t>para</w:t>
      </w:r>
      <w:proofErr w:type="spellEnd"/>
      <w:r w:rsidR="008665FA" w:rsidRPr="00AC789B">
        <w:rPr>
          <w:rFonts w:cs="Times New Roman"/>
        </w:rPr>
        <w:t xml:space="preserve">. 13). </w:t>
      </w:r>
      <w:r w:rsidRPr="00AC789B">
        <w:rPr>
          <w:rFonts w:cs="Times New Roman"/>
        </w:rPr>
        <w:t xml:space="preserve"> In his view, however, “</w:t>
      </w:r>
      <w:r w:rsidR="00B17820" w:rsidRPr="00AC789B">
        <w:rPr>
          <w:rFonts w:cs="Times New Roman"/>
        </w:rPr>
        <w:t>[</w:t>
      </w:r>
      <w:r w:rsidRPr="00AC789B">
        <w:rPr>
          <w:rFonts w:cs="Times New Roman"/>
        </w:rPr>
        <w:t>t</w:t>
      </w:r>
      <w:r w:rsidR="00B17820" w:rsidRPr="00AC789B">
        <w:rPr>
          <w:rFonts w:cs="Times New Roman"/>
        </w:rPr>
        <w:t>]</w:t>
      </w:r>
      <w:r w:rsidRPr="00AC789B">
        <w:rPr>
          <w:rFonts w:cs="Times New Roman"/>
        </w:rPr>
        <w:t>he fact-gathering discovery exercise, although statutorily compelled, lacks the State-compelled incriminatory features discussed in [</w:t>
      </w:r>
      <w:r w:rsidRPr="00AC789B">
        <w:rPr>
          <w:rFonts w:cs="Times New Roman"/>
          <w:i/>
        </w:rPr>
        <w:t>Henry</w:t>
      </w:r>
      <w:r w:rsidRPr="00AC789B">
        <w:rPr>
          <w:rFonts w:cs="Times New Roman"/>
        </w:rPr>
        <w:t xml:space="preserve">]” </w:t>
      </w:r>
      <w:r w:rsidRPr="00AC789B">
        <w:rPr>
          <w:rFonts w:cs="Times New Roman"/>
        </w:rPr>
        <w:lastRenderedPageBreak/>
        <w:t>(</w:t>
      </w:r>
      <w:proofErr w:type="spellStart"/>
      <w:r w:rsidRPr="00AC789B">
        <w:rPr>
          <w:rFonts w:cs="Times New Roman"/>
        </w:rPr>
        <w:t>para</w:t>
      </w:r>
      <w:proofErr w:type="spellEnd"/>
      <w:r w:rsidRPr="00AC789B">
        <w:rPr>
          <w:rFonts w:cs="Times New Roman"/>
        </w:rPr>
        <w:t xml:space="preserve">. 26). He therefore concluded that s. 13 of the </w:t>
      </w:r>
      <w:r w:rsidRPr="00AC789B">
        <w:rPr>
          <w:rFonts w:cs="Times New Roman"/>
          <w:i/>
        </w:rPr>
        <w:t>Charter</w:t>
      </w:r>
      <w:r w:rsidRPr="00AC789B">
        <w:rPr>
          <w:rFonts w:cs="Times New Roman"/>
        </w:rPr>
        <w:t xml:space="preserve"> did not protect the accused from the use of discovery testimony to impeach his credibility, as there was no </w:t>
      </w:r>
      <w:r w:rsidRPr="00AC789B">
        <w:rPr>
          <w:rFonts w:cs="Times New Roman"/>
          <w:i/>
        </w:rPr>
        <w:t>quid pro quo</w:t>
      </w:r>
      <w:r w:rsidRPr="00AC789B">
        <w:rPr>
          <w:rFonts w:cs="Times New Roman"/>
        </w:rPr>
        <w:t xml:space="preserve"> with the state:</w:t>
      </w:r>
    </w:p>
    <w:p w:rsidR="00AC4C1F" w:rsidRPr="00AC789B" w:rsidRDefault="00A7203F" w:rsidP="00A7203F">
      <w:pPr>
        <w:pStyle w:val="Citation-AltC"/>
        <w:tabs>
          <w:tab w:val="left" w:pos="1170"/>
        </w:tabs>
        <w:ind w:hanging="1166"/>
      </w:pPr>
      <w:r w:rsidRPr="00AC789B">
        <w:tab/>
      </w:r>
      <w:r w:rsidR="00AC4C1F" w:rsidRPr="00AC789B">
        <w:t xml:space="preserve">Mr. </w:t>
      </w:r>
      <w:proofErr w:type="spellStart"/>
      <w:r w:rsidR="00AC4C1F" w:rsidRPr="00AC789B">
        <w:t>Nedelcu’s</w:t>
      </w:r>
      <w:proofErr w:type="spellEnd"/>
      <w:r w:rsidR="00AC4C1F" w:rsidRPr="00AC789B">
        <w:t xml:space="preserve"> prior discovery testimony is potentially relevant to the issue of his credibility as it seems to contradict his testimony at trial. It is deemed to be a verbatim account of what he said at his examination for discovery, in that it is certified by a qualified court reporter to be an accurate transcription of his words. He has not taken the position that transcription of his testimony on discovery is inaccurate. The use the Crown seeks to make of the evidence is the permitted one of assessing credibility only and not the prohibited purpose of incrimination. Accordingly, I have found its use is not prohibited by s. 13 of the </w:t>
      </w:r>
      <w:r w:rsidR="00AC4C1F" w:rsidRPr="00AC789B">
        <w:rPr>
          <w:i/>
        </w:rPr>
        <w:t>Charter</w:t>
      </w:r>
      <w:r w:rsidR="00AC4C1F" w:rsidRPr="00AC789B">
        <w:t>. [</w:t>
      </w:r>
      <w:proofErr w:type="spellStart"/>
      <w:r w:rsidR="00AC4C1F" w:rsidRPr="00AC789B">
        <w:t>para</w:t>
      </w:r>
      <w:proofErr w:type="spellEnd"/>
      <w:r w:rsidR="00AC4C1F" w:rsidRPr="00AC789B">
        <w:t>. 49]</w:t>
      </w:r>
    </w:p>
    <w:p w:rsidR="00AC4C1F" w:rsidRPr="00AC789B" w:rsidRDefault="00AC4C1F" w:rsidP="00AC4C1F">
      <w:pPr>
        <w:pStyle w:val="ContinueParaSuitedupar-AltP"/>
        <w:rPr>
          <w:rFonts w:cs="Times New Roman"/>
        </w:rPr>
      </w:pPr>
      <w:r w:rsidRPr="00AC789B">
        <w:rPr>
          <w:rFonts w:cs="Times New Roman"/>
        </w:rPr>
        <w:t xml:space="preserve">In the trial judge’s view, therefore, the use of the respondent’s prior evidence to assess credibility was permissible under s. 13. I note that the Crown concedes that the trial judge erred in his approach to s. 13.  The parties agree that s. 13 is engaged when evidence is compelled in </w:t>
      </w:r>
      <w:r w:rsidRPr="00AC789B">
        <w:rPr>
          <w:rFonts w:cs="Times New Roman"/>
          <w:i/>
        </w:rPr>
        <w:t>any</w:t>
      </w:r>
      <w:r w:rsidRPr="00AC789B">
        <w:rPr>
          <w:rFonts w:cs="Times New Roman"/>
        </w:rPr>
        <w:t xml:space="preserve"> proceeding, regardless of whether the evidence elicited in the first proceeding assists the Crown: see A.F., at </w:t>
      </w:r>
      <w:proofErr w:type="spellStart"/>
      <w:r w:rsidRPr="00AC789B">
        <w:rPr>
          <w:rFonts w:cs="Times New Roman"/>
        </w:rPr>
        <w:t>paras</w:t>
      </w:r>
      <w:proofErr w:type="spellEnd"/>
      <w:r w:rsidRPr="00AC789B">
        <w:rPr>
          <w:rFonts w:cs="Times New Roman"/>
        </w:rPr>
        <w:t xml:space="preserve">. </w:t>
      </w:r>
      <w:proofErr w:type="gramStart"/>
      <w:r w:rsidRPr="00AC789B">
        <w:rPr>
          <w:rFonts w:cs="Times New Roman"/>
        </w:rPr>
        <w:t xml:space="preserve">44-47, and R.F., at </w:t>
      </w:r>
      <w:proofErr w:type="spellStart"/>
      <w:r w:rsidRPr="00AC789B">
        <w:rPr>
          <w:rFonts w:cs="Times New Roman"/>
        </w:rPr>
        <w:t>para</w:t>
      </w:r>
      <w:proofErr w:type="spellEnd"/>
      <w:r w:rsidRPr="00AC789B">
        <w:rPr>
          <w:rFonts w:cs="Times New Roman"/>
        </w:rPr>
        <w:t>.</w:t>
      </w:r>
      <w:proofErr w:type="gramEnd"/>
      <w:r w:rsidRPr="00AC789B">
        <w:rPr>
          <w:rFonts w:cs="Times New Roman"/>
        </w:rPr>
        <w:t xml:space="preserve"> 30.  </w:t>
      </w:r>
    </w:p>
    <w:p w:rsidR="00AC4C1F" w:rsidRPr="00AC789B" w:rsidRDefault="00AC4C1F" w:rsidP="00AC4C1F">
      <w:pPr>
        <w:pStyle w:val="ParaNoNdepar-AltN"/>
        <w:rPr>
          <w:rFonts w:cs="Times New Roman"/>
        </w:rPr>
      </w:pPr>
      <w:r w:rsidRPr="00AC789B">
        <w:rPr>
          <w:rFonts w:cs="Times New Roman"/>
        </w:rPr>
        <w:t>Finally, the trial judge noted that excluding the evidence of a prior inconsistent statement in this case could lead to “significant mischief” (</w:t>
      </w:r>
      <w:proofErr w:type="spellStart"/>
      <w:r w:rsidRPr="00AC789B">
        <w:rPr>
          <w:rFonts w:cs="Times New Roman"/>
        </w:rPr>
        <w:t>para</w:t>
      </w:r>
      <w:proofErr w:type="spellEnd"/>
      <w:r w:rsidRPr="00AC789B">
        <w:rPr>
          <w:rFonts w:cs="Times New Roman"/>
        </w:rPr>
        <w:t>. 50). It would allow the accused to tender different evidence in his civil and criminal trials: “With impunity, he could tailor his evidence to suit his needs in each particular proceeding” (</w:t>
      </w:r>
      <w:proofErr w:type="spellStart"/>
      <w:r w:rsidRPr="00AC789B">
        <w:rPr>
          <w:rFonts w:cs="Times New Roman"/>
        </w:rPr>
        <w:t>para</w:t>
      </w:r>
      <w:proofErr w:type="spellEnd"/>
      <w:r w:rsidRPr="00AC789B">
        <w:rPr>
          <w:rFonts w:cs="Times New Roman"/>
        </w:rPr>
        <w:t xml:space="preserve">. 50). </w:t>
      </w:r>
    </w:p>
    <w:p w:rsidR="00AC4C1F" w:rsidRPr="00AC789B" w:rsidRDefault="00AC4C1F" w:rsidP="00AC4C1F">
      <w:pPr>
        <w:pStyle w:val="ParaNoNdepar-AltN"/>
        <w:rPr>
          <w:rFonts w:cs="Times New Roman"/>
        </w:rPr>
      </w:pPr>
      <w:r w:rsidRPr="00AC789B">
        <w:rPr>
          <w:rFonts w:cs="Times New Roman"/>
        </w:rPr>
        <w:lastRenderedPageBreak/>
        <w:t>Accordingly, the trial judge granted the Crown’s application to cross-examine the respondent on his civil discovery evidence.</w:t>
      </w:r>
    </w:p>
    <w:p w:rsidR="00AC4C1F" w:rsidRPr="00AC789B" w:rsidRDefault="00A7203F" w:rsidP="00A7203F">
      <w:pPr>
        <w:pStyle w:val="ParaNoNdepar-AltN"/>
        <w:numPr>
          <w:ilvl w:val="0"/>
          <w:numId w:val="0"/>
        </w:numPr>
        <w:tabs>
          <w:tab w:val="left" w:pos="1170"/>
        </w:tabs>
        <w:ind w:left="540" w:hanging="540"/>
        <w:rPr>
          <w:rFonts w:cs="Times New Roman"/>
        </w:rPr>
      </w:pPr>
      <w:r w:rsidRPr="00AC789B">
        <w:rPr>
          <w:rFonts w:cs="Times New Roman"/>
        </w:rPr>
        <w:tab/>
      </w:r>
      <w:r w:rsidR="00AC4C1F" w:rsidRPr="00AC789B">
        <w:rPr>
          <w:rFonts w:cs="Times New Roman"/>
        </w:rPr>
        <w:t>(3)</w:t>
      </w:r>
      <w:r w:rsidR="00AC4C1F" w:rsidRPr="00AC789B">
        <w:rPr>
          <w:rFonts w:cs="Times New Roman"/>
        </w:rPr>
        <w:tab/>
      </w:r>
      <w:r w:rsidR="00AC4C1F" w:rsidRPr="00AC789B">
        <w:rPr>
          <w:rFonts w:cs="Times New Roman"/>
          <w:u w:val="single"/>
        </w:rPr>
        <w:t>Verdict ((2007), 60 M.V.R. (5th) 186)</w:t>
      </w:r>
    </w:p>
    <w:p w:rsidR="00AC4C1F" w:rsidRPr="00AC789B" w:rsidRDefault="00AC4C1F" w:rsidP="00AC4C1F">
      <w:pPr>
        <w:pStyle w:val="ParaNoNdepar-AltN"/>
        <w:rPr>
          <w:rFonts w:cs="Times New Roman"/>
        </w:rPr>
      </w:pPr>
      <w:r w:rsidRPr="00AC789B">
        <w:rPr>
          <w:rFonts w:cs="Times New Roman"/>
        </w:rPr>
        <w:t>The trial judge acquitted the respondent on the impaired driving charge but found him guilty of dangerous driving causing bodily harm. With respect to the effect of the Crown’s cross-examination on the respondent’s credibility, the trial judge said,</w:t>
      </w:r>
    </w:p>
    <w:p w:rsidR="00AC4C1F" w:rsidRPr="00AC789B" w:rsidRDefault="00AC4C1F" w:rsidP="00A7203F">
      <w:pPr>
        <w:pStyle w:val="Citation-AltC"/>
        <w:tabs>
          <w:tab w:val="left" w:pos="1710"/>
        </w:tabs>
        <w:spacing w:after="240"/>
        <w:ind w:hanging="1166"/>
        <w:contextualSpacing w:val="0"/>
      </w:pPr>
      <w:r w:rsidRPr="00AC789B">
        <w:tab/>
      </w:r>
      <w:r w:rsidR="00A7203F" w:rsidRPr="00AC789B">
        <w:tab/>
      </w:r>
      <w:r w:rsidRPr="00AC789B">
        <w:t xml:space="preserve">Counsel for Mr. </w:t>
      </w:r>
      <w:proofErr w:type="spellStart"/>
      <w:r w:rsidRPr="00AC789B">
        <w:t>Nedelcu</w:t>
      </w:r>
      <w:proofErr w:type="spellEnd"/>
      <w:r w:rsidRPr="00AC789B">
        <w:t xml:space="preserve"> concedes the obvious about his client’s credibility. At trial, Mr. </w:t>
      </w:r>
      <w:proofErr w:type="spellStart"/>
      <w:r w:rsidRPr="00AC789B">
        <w:t>Nedelcu</w:t>
      </w:r>
      <w:proofErr w:type="spellEnd"/>
      <w:r w:rsidRPr="00AC789B">
        <w:t xml:space="preserve"> recited a second by second account of the motorcycle ride, the route they took, their speeds at several locations, when and where he changed gears, when he applied the brakes and the manoeuvres he undertook when he felt the bike going down. He attributed the cause of the accident to Mr. </w:t>
      </w:r>
      <w:proofErr w:type="spellStart"/>
      <w:r w:rsidRPr="00AC789B">
        <w:t>Perdon</w:t>
      </w:r>
      <w:proofErr w:type="spellEnd"/>
      <w:r w:rsidRPr="00AC789B">
        <w:t>, whom he said grabbed his shoulder, and leaned in the wrong direction. However, upon his examination for discovery in the related civil action brought by Mr. </w:t>
      </w:r>
      <w:proofErr w:type="spellStart"/>
      <w:r w:rsidRPr="00AC789B">
        <w:t>Perdon</w:t>
      </w:r>
      <w:proofErr w:type="spellEnd"/>
      <w:r w:rsidRPr="00AC789B">
        <w:t xml:space="preserve">, Mr. </w:t>
      </w:r>
      <w:proofErr w:type="spellStart"/>
      <w:r w:rsidRPr="00AC789B">
        <w:t>Nedelcu</w:t>
      </w:r>
      <w:proofErr w:type="spellEnd"/>
      <w:r w:rsidRPr="00AC789B">
        <w:t xml:space="preserve"> testified he had no recollection of anything whatsoever about the ride between when they got on the bike and his waking up the next morning in the hospital.</w:t>
      </w:r>
    </w:p>
    <w:p w:rsidR="00AC4C1F" w:rsidRPr="00AC789B" w:rsidRDefault="00AC4C1F" w:rsidP="00A7203F">
      <w:pPr>
        <w:pStyle w:val="Citation-AltC"/>
        <w:spacing w:after="240"/>
        <w:contextualSpacing w:val="0"/>
        <w:jc w:val="center"/>
      </w:pPr>
      <w:r w:rsidRPr="00AC789B">
        <w:t>. . .</w:t>
      </w:r>
    </w:p>
    <w:p w:rsidR="00AC4C1F" w:rsidRPr="00AC789B" w:rsidRDefault="00AC4C1F" w:rsidP="00A7203F">
      <w:pPr>
        <w:pStyle w:val="Citation-AltC"/>
        <w:tabs>
          <w:tab w:val="left" w:pos="1800"/>
        </w:tabs>
        <w:ind w:hanging="1166"/>
        <w:contextualSpacing w:val="0"/>
      </w:pPr>
      <w:r w:rsidRPr="00AC789B">
        <w:tab/>
      </w:r>
      <w:r w:rsidR="00A7203F" w:rsidRPr="00AC789B">
        <w:tab/>
      </w:r>
      <w:r w:rsidRPr="00AC789B">
        <w:t xml:space="preserve">Thus, I have no difficulty acceding to his counsel’s position that Mr. </w:t>
      </w:r>
      <w:proofErr w:type="spellStart"/>
      <w:r w:rsidRPr="00AC789B">
        <w:t>Nedelcu’s</w:t>
      </w:r>
      <w:proofErr w:type="spellEnd"/>
      <w:r w:rsidRPr="00AC789B">
        <w:t xml:space="preserve"> entire testimony should be considered unreliable. I disbelieve his evidence of the events before and during the motorcycle ride and his evidence </w:t>
      </w:r>
      <w:proofErr w:type="gramStart"/>
      <w:r w:rsidRPr="00AC789B">
        <w:t>does</w:t>
      </w:r>
      <w:proofErr w:type="gramEnd"/>
      <w:r w:rsidRPr="00AC789B">
        <w:t xml:space="preserve"> not leave me with a reasonable doubt about his guilt on either charge . . . . [</w:t>
      </w:r>
      <w:proofErr w:type="spellStart"/>
      <w:r w:rsidRPr="00AC789B">
        <w:t>paras</w:t>
      </w:r>
      <w:proofErr w:type="spellEnd"/>
      <w:r w:rsidRPr="00AC789B">
        <w:t>. 13 and 15]</w:t>
      </w:r>
    </w:p>
    <w:p w:rsidR="00AC4C1F" w:rsidRPr="00AC789B" w:rsidRDefault="00AC4C1F" w:rsidP="00A7203F">
      <w:pPr>
        <w:pStyle w:val="TitleTitre-AltT"/>
        <w:tabs>
          <w:tab w:val="clear" w:pos="360"/>
          <w:tab w:val="left" w:pos="540"/>
        </w:tabs>
        <w:ind w:left="540" w:hanging="540"/>
        <w:rPr>
          <w:rFonts w:cs="Times New Roman"/>
        </w:rPr>
      </w:pPr>
      <w:r w:rsidRPr="00AC789B">
        <w:rPr>
          <w:rFonts w:cs="Times New Roman"/>
        </w:rPr>
        <w:t>B.</w:t>
      </w:r>
      <w:r w:rsidRPr="00AC789B">
        <w:rPr>
          <w:rFonts w:cs="Times New Roman"/>
        </w:rPr>
        <w:tab/>
      </w:r>
      <w:r w:rsidRPr="00AC789B">
        <w:rPr>
          <w:rFonts w:cs="Times New Roman"/>
          <w:i/>
        </w:rPr>
        <w:t>Ontario Court of Appeal</w:t>
      </w:r>
      <w:r w:rsidRPr="00AC789B">
        <w:rPr>
          <w:rFonts w:cs="Times New Roman"/>
        </w:rPr>
        <w:t xml:space="preserve"> </w:t>
      </w:r>
      <w:r w:rsidRPr="00AC789B">
        <w:rPr>
          <w:rFonts w:cs="Times New Roman"/>
          <w:i/>
        </w:rPr>
        <w:t>(2011 ONCA 143, 276 O.A.C. 106)</w:t>
      </w:r>
    </w:p>
    <w:p w:rsidR="00AC4C1F" w:rsidRPr="00AC789B" w:rsidRDefault="00AC4C1F" w:rsidP="00AC4C1F">
      <w:pPr>
        <w:pStyle w:val="ParaNoNdepar-AltN"/>
        <w:rPr>
          <w:rFonts w:cs="Times New Roman"/>
        </w:rPr>
      </w:pPr>
      <w:r w:rsidRPr="00AC789B">
        <w:rPr>
          <w:rFonts w:cs="Times New Roman"/>
        </w:rPr>
        <w:lastRenderedPageBreak/>
        <w:t xml:space="preserve">The Court of Appeal began its analysis by noting that the latest guidance on s. 13 from this Court was in </w:t>
      </w:r>
      <w:r w:rsidRPr="00AC789B">
        <w:rPr>
          <w:rFonts w:cs="Times New Roman"/>
          <w:i/>
        </w:rPr>
        <w:t>Henry</w:t>
      </w:r>
      <w:r w:rsidRPr="00AC789B">
        <w:rPr>
          <w:rFonts w:cs="Times New Roman"/>
        </w:rPr>
        <w:t xml:space="preserve">, in which the Court had reviewed its s. </w:t>
      </w:r>
      <w:proofErr w:type="gramStart"/>
      <w:r w:rsidRPr="00AC789B">
        <w:rPr>
          <w:rFonts w:cs="Times New Roman"/>
        </w:rPr>
        <w:t>13 jurisprudence</w:t>
      </w:r>
      <w:proofErr w:type="gramEnd"/>
      <w:r w:rsidRPr="00AC789B">
        <w:rPr>
          <w:rFonts w:cs="Times New Roman"/>
        </w:rPr>
        <w:t xml:space="preserve">. It noted that, in </w:t>
      </w:r>
      <w:r w:rsidRPr="00AC789B">
        <w:rPr>
          <w:rFonts w:cs="Times New Roman"/>
          <w:i/>
        </w:rPr>
        <w:t>Henry</w:t>
      </w:r>
      <w:r w:rsidRPr="00AC789B">
        <w:rPr>
          <w:rFonts w:cs="Times New Roman"/>
        </w:rPr>
        <w:t xml:space="preserve">, the Court had quoted a passage from </w:t>
      </w:r>
      <w:r w:rsidRPr="00AC789B">
        <w:rPr>
          <w:rFonts w:cs="Times New Roman"/>
          <w:i/>
        </w:rPr>
        <w:t>Dubois v. The Queen</w:t>
      </w:r>
      <w:r w:rsidRPr="00AC789B">
        <w:rPr>
          <w:rFonts w:cs="Times New Roman"/>
        </w:rPr>
        <w:t>, [1985] 2 S.C.R. 350, at p. 358, to the effect that the purpose of s. 13 is to protect individuals from being indirectly compelled to incriminate themselves, therefore ensuring that the Crown will not be able to do indirectly what s. 11(</w:t>
      </w:r>
      <w:r w:rsidRPr="00AC789B">
        <w:rPr>
          <w:rFonts w:cs="Times New Roman"/>
          <w:i/>
        </w:rPr>
        <w:t>c</w:t>
      </w:r>
      <w:r w:rsidRPr="00AC789B">
        <w:rPr>
          <w:rFonts w:cs="Times New Roman"/>
        </w:rPr>
        <w:t xml:space="preserve">) of the </w:t>
      </w:r>
      <w:r w:rsidRPr="00AC789B">
        <w:rPr>
          <w:rFonts w:cs="Times New Roman"/>
          <w:i/>
        </w:rPr>
        <w:t xml:space="preserve">Charter </w:t>
      </w:r>
      <w:r w:rsidRPr="00AC789B">
        <w:rPr>
          <w:rFonts w:cs="Times New Roman"/>
        </w:rPr>
        <w:t xml:space="preserve">prohibits. </w:t>
      </w:r>
    </w:p>
    <w:p w:rsidR="00AC4C1F" w:rsidRPr="00AC789B" w:rsidRDefault="00AC4C1F" w:rsidP="00AC4C1F">
      <w:pPr>
        <w:pStyle w:val="ParaNoNdepar-AltN"/>
        <w:rPr>
          <w:rFonts w:cs="Times New Roman"/>
        </w:rPr>
      </w:pPr>
      <w:r w:rsidRPr="00AC789B">
        <w:rPr>
          <w:rFonts w:cs="Times New Roman"/>
        </w:rPr>
        <w:t xml:space="preserve">Armstrong J.A., writing for the Court of Appeal, noted that, in </w:t>
      </w:r>
      <w:r w:rsidRPr="00AC789B">
        <w:rPr>
          <w:rFonts w:cs="Times New Roman"/>
          <w:i/>
        </w:rPr>
        <w:t>Henry</w:t>
      </w:r>
      <w:r w:rsidRPr="00AC789B">
        <w:rPr>
          <w:rFonts w:cs="Times New Roman"/>
        </w:rPr>
        <w:t xml:space="preserve">, this Court had abandoned the distinction made in the earlier cases between prior testimony used to incriminate an accused and prior testimony used to impeach the credibility of an accused because that distinction was unrealistic. Further, according to </w:t>
      </w:r>
      <w:r w:rsidRPr="00AC789B">
        <w:rPr>
          <w:rFonts w:cs="Times New Roman"/>
          <w:i/>
        </w:rPr>
        <w:t>Henry</w:t>
      </w:r>
      <w:r w:rsidRPr="00AC789B">
        <w:rPr>
          <w:rFonts w:cs="Times New Roman"/>
        </w:rPr>
        <w:t>, only compelled evidence is protected by s. 13.</w:t>
      </w:r>
    </w:p>
    <w:p w:rsidR="00AC4C1F" w:rsidRPr="00AC789B" w:rsidRDefault="00AC4C1F" w:rsidP="00AC4C1F">
      <w:pPr>
        <w:pStyle w:val="ParaNoNdepar-AltN"/>
        <w:rPr>
          <w:rFonts w:cs="Times New Roman"/>
        </w:rPr>
      </w:pPr>
      <w:r w:rsidRPr="00AC789B">
        <w:rPr>
          <w:rFonts w:cs="Times New Roman"/>
        </w:rPr>
        <w:t>As to whether the respondent had been “compelled” to testify on his examination for discovery, Armstrong J.A. concluded that he had been. Although the respondent could have taken steps to avoid testifying by seeking a stay of the civil action or an adjournment of the examination for discovery until the conclusion of the criminal prosecution, the Court of Appeal noted that such requests are granted only in exceptional circumstances, none of which existed in the present case.</w:t>
      </w:r>
    </w:p>
    <w:p w:rsidR="00AC4C1F" w:rsidRPr="00AC789B" w:rsidRDefault="00AC4C1F" w:rsidP="00AC4C1F">
      <w:pPr>
        <w:pStyle w:val="ParaNoNdepar-AltN"/>
        <w:rPr>
          <w:rFonts w:cs="Times New Roman"/>
        </w:rPr>
      </w:pPr>
      <w:r w:rsidRPr="00AC789B">
        <w:rPr>
          <w:rFonts w:cs="Times New Roman"/>
        </w:rPr>
        <w:t xml:space="preserve">In the Court of Appeal’s view, the trial judge had erred in his analysis of the </w:t>
      </w:r>
      <w:r w:rsidRPr="00AC789B">
        <w:rPr>
          <w:rFonts w:cs="Times New Roman"/>
          <w:i/>
        </w:rPr>
        <w:t>quid pro quo</w:t>
      </w:r>
      <w:r w:rsidRPr="00AC789B">
        <w:rPr>
          <w:rFonts w:cs="Times New Roman"/>
        </w:rPr>
        <w:t xml:space="preserve">. Armstrong J.A. stated that there is nothing in the jurisprudence to suggest that s. 13 protection is only engaged when a witness’s prior testimony </w:t>
      </w:r>
      <w:r w:rsidRPr="00AC789B">
        <w:rPr>
          <w:rFonts w:cs="Times New Roman"/>
        </w:rPr>
        <w:lastRenderedPageBreak/>
        <w:t>“assisted the Crown” (</w:t>
      </w:r>
      <w:proofErr w:type="spellStart"/>
      <w:r w:rsidRPr="00AC789B">
        <w:rPr>
          <w:rFonts w:cs="Times New Roman"/>
        </w:rPr>
        <w:t>para</w:t>
      </w:r>
      <w:proofErr w:type="spellEnd"/>
      <w:r w:rsidRPr="00AC789B">
        <w:rPr>
          <w:rFonts w:cs="Times New Roman"/>
        </w:rPr>
        <w:t xml:space="preserve">. 31). If that were the case, the section would apply only to proceedings in which the Crown was a party. However, s. 13 specifically states that protection is afforded to “[a] witness who testifies in any proceedings”. </w:t>
      </w:r>
    </w:p>
    <w:p w:rsidR="00AC4C1F" w:rsidRPr="00AC789B" w:rsidRDefault="00AC4C1F" w:rsidP="00AC4C1F">
      <w:pPr>
        <w:pStyle w:val="ParaNoNdepar-AltN"/>
        <w:rPr>
          <w:rFonts w:cs="Times New Roman"/>
        </w:rPr>
      </w:pPr>
      <w:r w:rsidRPr="00AC789B">
        <w:rPr>
          <w:rFonts w:cs="Times New Roman"/>
        </w:rPr>
        <w:t>The Court of Appeal also found that the respondent had not given his discovery evidence “to further his own private interest in a civil action against him”, as the trial judge had characterized it. The respondent was a defendant in a civil suit against him and, as such, he “was compelled to testify on the examination for discovery solely for the benefit of the plaintiffs” (</w:t>
      </w:r>
      <w:proofErr w:type="spellStart"/>
      <w:r w:rsidRPr="00AC789B">
        <w:rPr>
          <w:rFonts w:cs="Times New Roman"/>
        </w:rPr>
        <w:t>para</w:t>
      </w:r>
      <w:proofErr w:type="spellEnd"/>
      <w:r w:rsidRPr="00AC789B">
        <w:rPr>
          <w:rFonts w:cs="Times New Roman"/>
        </w:rPr>
        <w:t>. 32).</w:t>
      </w:r>
    </w:p>
    <w:p w:rsidR="00AC4C1F" w:rsidRPr="00AC789B" w:rsidRDefault="00AC4C1F" w:rsidP="00AC4C1F">
      <w:pPr>
        <w:pStyle w:val="ParaNoNdepar-AltN"/>
        <w:rPr>
          <w:rFonts w:cs="Times New Roman"/>
        </w:rPr>
      </w:pPr>
      <w:r w:rsidRPr="00AC789B">
        <w:rPr>
          <w:rFonts w:cs="Times New Roman"/>
        </w:rPr>
        <w:t xml:space="preserve">Relying on statements made by the majority in </w:t>
      </w:r>
      <w:r w:rsidRPr="00AC789B">
        <w:rPr>
          <w:rFonts w:cs="Times New Roman"/>
          <w:i/>
        </w:rPr>
        <w:t>R. v. Noël</w:t>
      </w:r>
      <w:r w:rsidRPr="00AC789B">
        <w:rPr>
          <w:rFonts w:cs="Times New Roman"/>
        </w:rPr>
        <w:t xml:space="preserve">, 2002 SCC 67, [2002] 3 S.C.R. 433, and by the dissent in </w:t>
      </w:r>
      <w:r w:rsidRPr="00AC789B">
        <w:rPr>
          <w:rFonts w:cs="Times New Roman"/>
          <w:i/>
        </w:rPr>
        <w:t>Dubois</w:t>
      </w:r>
      <w:r w:rsidRPr="00AC789B">
        <w:rPr>
          <w:rFonts w:cs="Times New Roman"/>
        </w:rPr>
        <w:t>, the Court of Appeal held that the distinction between criminal and non-criminal interrogatories was not relevant to the appeal and that it was unnecessary to consider whether such a distinction was supported by the cases referred to by the trial judge.</w:t>
      </w:r>
    </w:p>
    <w:p w:rsidR="00AC4C1F" w:rsidRPr="00AC789B" w:rsidRDefault="00AC4C1F" w:rsidP="00AC4C1F">
      <w:pPr>
        <w:pStyle w:val="ParaNoNdepar-AltN"/>
        <w:rPr>
          <w:rFonts w:cs="Times New Roman"/>
        </w:rPr>
      </w:pPr>
      <w:r w:rsidRPr="00AC789B">
        <w:rPr>
          <w:rFonts w:cs="Times New Roman"/>
        </w:rPr>
        <w:t xml:space="preserve">Finally, the Court of Appeal rejected the Crown’s argument that the observations made by Binnie J. in </w:t>
      </w:r>
      <w:proofErr w:type="spellStart"/>
      <w:r w:rsidRPr="00AC789B">
        <w:rPr>
          <w:rFonts w:cs="Times New Roman"/>
          <w:i/>
        </w:rPr>
        <w:t>Juman</w:t>
      </w:r>
      <w:proofErr w:type="spellEnd"/>
      <w:r w:rsidRPr="00AC789B">
        <w:rPr>
          <w:rFonts w:cs="Times New Roman"/>
          <w:i/>
        </w:rPr>
        <w:t xml:space="preserve"> v. Doucette</w:t>
      </w:r>
      <w:r w:rsidRPr="00AC789B">
        <w:rPr>
          <w:rFonts w:cs="Times New Roman"/>
        </w:rPr>
        <w:t xml:space="preserve">, 2008 SCC 8, [2008] 1 S.C.R. 157, at </w:t>
      </w:r>
      <w:proofErr w:type="spellStart"/>
      <w:r w:rsidRPr="00AC789B">
        <w:rPr>
          <w:rFonts w:cs="Times New Roman"/>
        </w:rPr>
        <w:t>para</w:t>
      </w:r>
      <w:proofErr w:type="spellEnd"/>
      <w:r w:rsidRPr="00AC789B">
        <w:rPr>
          <w:rFonts w:cs="Times New Roman"/>
        </w:rPr>
        <w:t xml:space="preserve">. </w:t>
      </w:r>
      <w:proofErr w:type="gramStart"/>
      <w:r w:rsidRPr="00AC789B">
        <w:rPr>
          <w:rFonts w:cs="Times New Roman"/>
        </w:rPr>
        <w:t>41,</w:t>
      </w:r>
      <w:proofErr w:type="gramEnd"/>
      <w:r w:rsidRPr="00AC789B">
        <w:rPr>
          <w:rFonts w:cs="Times New Roman"/>
        </w:rPr>
        <w:t xml:space="preserve"> were determinative of the appeal. Although, in </w:t>
      </w:r>
      <w:proofErr w:type="spellStart"/>
      <w:r w:rsidRPr="00AC789B">
        <w:rPr>
          <w:rFonts w:cs="Times New Roman"/>
          <w:i/>
        </w:rPr>
        <w:t>Juman</w:t>
      </w:r>
      <w:proofErr w:type="spellEnd"/>
      <w:r w:rsidRPr="00AC789B">
        <w:rPr>
          <w:rFonts w:cs="Times New Roman"/>
        </w:rPr>
        <w:t xml:space="preserve">, this Court had quoted the </w:t>
      </w:r>
      <w:proofErr w:type="spellStart"/>
      <w:r w:rsidRPr="00AC789B">
        <w:rPr>
          <w:rFonts w:cs="Times New Roman"/>
          <w:i/>
        </w:rPr>
        <w:t>voir</w:t>
      </w:r>
      <w:proofErr w:type="spellEnd"/>
      <w:r w:rsidRPr="00AC789B">
        <w:rPr>
          <w:rFonts w:cs="Times New Roman"/>
          <w:i/>
        </w:rPr>
        <w:t xml:space="preserve"> dire</w:t>
      </w:r>
      <w:r w:rsidRPr="00AC789B">
        <w:rPr>
          <w:rFonts w:cs="Times New Roman"/>
        </w:rPr>
        <w:t xml:space="preserve"> reasons of the trial judge in the case at bar, Armstrong J.A. noted that </w:t>
      </w:r>
      <w:proofErr w:type="spellStart"/>
      <w:r w:rsidRPr="00AC789B">
        <w:rPr>
          <w:rFonts w:cs="Times New Roman"/>
          <w:i/>
        </w:rPr>
        <w:t>Juman</w:t>
      </w:r>
      <w:proofErr w:type="spellEnd"/>
      <w:r w:rsidRPr="00AC789B">
        <w:rPr>
          <w:rFonts w:cs="Times New Roman"/>
        </w:rPr>
        <w:t xml:space="preserve"> was decided in the context of determining the scope of the implied undertaking rule in British Columbia. Armstrong J.A. pointed out that this Court was discussing general categories of exceptions to the implied undertaking rule. The fourth category, under which this trial decision was quoted, was entitled “Impeaching </w:t>
      </w:r>
      <w:r w:rsidRPr="00AC789B">
        <w:rPr>
          <w:rFonts w:cs="Times New Roman"/>
        </w:rPr>
        <w:lastRenderedPageBreak/>
        <w:t xml:space="preserve">Inconsistent Testimony”. There was no reference to the </w:t>
      </w:r>
      <w:r w:rsidRPr="00AC789B">
        <w:rPr>
          <w:rFonts w:cs="Times New Roman"/>
          <w:i/>
        </w:rPr>
        <w:t>Charter</w:t>
      </w:r>
      <w:r w:rsidRPr="00AC789B">
        <w:rPr>
          <w:rFonts w:cs="Times New Roman"/>
        </w:rPr>
        <w:t xml:space="preserve"> at this point in the judgment, and in fact, he noted, there was no </w:t>
      </w:r>
      <w:r w:rsidRPr="00AC789B">
        <w:rPr>
          <w:rFonts w:cs="Times New Roman"/>
          <w:i/>
        </w:rPr>
        <w:t>Charter</w:t>
      </w:r>
      <w:r w:rsidRPr="00AC789B">
        <w:rPr>
          <w:rFonts w:cs="Times New Roman"/>
        </w:rPr>
        <w:t xml:space="preserve"> issue before this Court in </w:t>
      </w:r>
      <w:proofErr w:type="spellStart"/>
      <w:r w:rsidRPr="00AC789B">
        <w:rPr>
          <w:rFonts w:cs="Times New Roman"/>
          <w:i/>
        </w:rPr>
        <w:t>Juman</w:t>
      </w:r>
      <w:proofErr w:type="spellEnd"/>
      <w:r w:rsidRPr="00AC789B">
        <w:rPr>
          <w:rFonts w:cs="Times New Roman"/>
        </w:rPr>
        <w:t xml:space="preserve"> at all. The Court of Appeal concluded that, since this Court did not address s. 13 in </w:t>
      </w:r>
      <w:proofErr w:type="spellStart"/>
      <w:r w:rsidRPr="00AC789B">
        <w:rPr>
          <w:rFonts w:cs="Times New Roman"/>
          <w:i/>
        </w:rPr>
        <w:t>Juman</w:t>
      </w:r>
      <w:proofErr w:type="spellEnd"/>
      <w:r w:rsidRPr="00AC789B">
        <w:rPr>
          <w:rFonts w:cs="Times New Roman"/>
        </w:rPr>
        <w:t xml:space="preserve">, “[t]here is nothing in </w:t>
      </w:r>
      <w:proofErr w:type="spellStart"/>
      <w:r w:rsidRPr="00AC789B">
        <w:rPr>
          <w:rFonts w:cs="Times New Roman"/>
          <w:i/>
        </w:rPr>
        <w:t>Juman</w:t>
      </w:r>
      <w:proofErr w:type="spellEnd"/>
      <w:r w:rsidRPr="00AC789B">
        <w:rPr>
          <w:rFonts w:cs="Times New Roman"/>
        </w:rPr>
        <w:t xml:space="preserve"> which alters the ratio in </w:t>
      </w:r>
      <w:r w:rsidRPr="00AC789B">
        <w:rPr>
          <w:rFonts w:cs="Times New Roman"/>
          <w:i/>
        </w:rPr>
        <w:t>Henry</w:t>
      </w:r>
      <w:r w:rsidRPr="00AC789B">
        <w:rPr>
          <w:rFonts w:cs="Times New Roman"/>
        </w:rPr>
        <w:t xml:space="preserve"> and therefore there is nothing that alters its application to this case” (</w:t>
      </w:r>
      <w:proofErr w:type="spellStart"/>
      <w:r w:rsidRPr="00AC789B">
        <w:rPr>
          <w:rFonts w:cs="Times New Roman"/>
        </w:rPr>
        <w:t>para</w:t>
      </w:r>
      <w:proofErr w:type="spellEnd"/>
      <w:r w:rsidRPr="00AC789B">
        <w:rPr>
          <w:rFonts w:cs="Times New Roman"/>
        </w:rPr>
        <w:t>. 45).</w:t>
      </w:r>
    </w:p>
    <w:p w:rsidR="00AC4C1F" w:rsidRPr="00AC789B" w:rsidRDefault="00AC4C1F" w:rsidP="00AC4C1F">
      <w:pPr>
        <w:pStyle w:val="ParaNoNdepar-AltN"/>
        <w:rPr>
          <w:rFonts w:cs="Times New Roman"/>
        </w:rPr>
      </w:pPr>
      <w:r w:rsidRPr="00AC789B">
        <w:rPr>
          <w:rFonts w:cs="Times New Roman"/>
        </w:rPr>
        <w:t>The Court of Appeal allowed the appeal, set aside the respondent’s conviction and ordered a new trial.</w:t>
      </w:r>
    </w:p>
    <w:p w:rsidR="00AC4C1F" w:rsidRPr="00AC789B" w:rsidRDefault="009C1A61" w:rsidP="009C1A61">
      <w:pPr>
        <w:pStyle w:val="ParaNoNdepar-AltN"/>
        <w:numPr>
          <w:ilvl w:val="0"/>
          <w:numId w:val="0"/>
        </w:numPr>
        <w:ind w:left="540" w:hanging="540"/>
        <w:rPr>
          <w:rFonts w:cs="Times New Roman"/>
        </w:rPr>
      </w:pPr>
      <w:r w:rsidRPr="00AC789B">
        <w:rPr>
          <w:rFonts w:cs="Times New Roman"/>
        </w:rPr>
        <w:t>IV.</w:t>
      </w:r>
      <w:r w:rsidR="00AC4C1F" w:rsidRPr="00AC789B">
        <w:rPr>
          <w:rFonts w:cs="Times New Roman"/>
        </w:rPr>
        <w:tab/>
      </w:r>
      <w:r w:rsidR="00AC4C1F" w:rsidRPr="00AC789B">
        <w:rPr>
          <w:rFonts w:cs="Times New Roman"/>
          <w:u w:val="single"/>
        </w:rPr>
        <w:t>Analysis</w:t>
      </w:r>
    </w:p>
    <w:p w:rsidR="00AC4C1F" w:rsidRPr="00AC789B" w:rsidRDefault="00AC4C1F" w:rsidP="009C1A61">
      <w:pPr>
        <w:pStyle w:val="TitleTitre-AltT"/>
        <w:tabs>
          <w:tab w:val="clear" w:pos="360"/>
          <w:tab w:val="left" w:pos="540"/>
        </w:tabs>
        <w:ind w:left="540" w:hanging="540"/>
        <w:rPr>
          <w:rFonts w:cs="Times New Roman"/>
        </w:rPr>
      </w:pPr>
      <w:r w:rsidRPr="00AC789B">
        <w:rPr>
          <w:rFonts w:cs="Times New Roman"/>
        </w:rPr>
        <w:t>A.</w:t>
      </w:r>
      <w:r w:rsidRPr="00AC789B">
        <w:rPr>
          <w:rFonts w:cs="Times New Roman"/>
        </w:rPr>
        <w:tab/>
      </w:r>
      <w:r w:rsidRPr="00AC789B">
        <w:rPr>
          <w:rFonts w:cs="Times New Roman"/>
          <w:i/>
        </w:rPr>
        <w:t>Issues and Positions of the Parties</w:t>
      </w:r>
    </w:p>
    <w:p w:rsidR="00AC4C1F" w:rsidRPr="00AC789B" w:rsidRDefault="00AC4C1F" w:rsidP="00AC4C1F">
      <w:pPr>
        <w:pStyle w:val="ParaNoNdepar-AltN"/>
        <w:rPr>
          <w:rFonts w:cs="Times New Roman"/>
        </w:rPr>
      </w:pPr>
      <w:r w:rsidRPr="00AC789B">
        <w:rPr>
          <w:rFonts w:cs="Times New Roman"/>
        </w:rPr>
        <w:t xml:space="preserve">The Crown makes two main submissions. First, the Crown contends that </w:t>
      </w:r>
      <w:r w:rsidRPr="00AC789B">
        <w:rPr>
          <w:rFonts w:cs="Times New Roman"/>
          <w:i/>
        </w:rPr>
        <w:t xml:space="preserve">Henry </w:t>
      </w:r>
      <w:r w:rsidRPr="00AC789B">
        <w:rPr>
          <w:rFonts w:cs="Times New Roman"/>
        </w:rPr>
        <w:t xml:space="preserve">should not apply to this </w:t>
      </w:r>
      <w:proofErr w:type="gramStart"/>
      <w:r w:rsidRPr="00AC789B">
        <w:rPr>
          <w:rFonts w:cs="Times New Roman"/>
        </w:rPr>
        <w:t>case,</w:t>
      </w:r>
      <w:proofErr w:type="gramEnd"/>
      <w:r w:rsidRPr="00AC789B">
        <w:rPr>
          <w:rFonts w:cs="Times New Roman"/>
        </w:rPr>
        <w:t xml:space="preserve"> because the respondent’s civil discovery evidence was not “compelled” within the meaning of </w:t>
      </w:r>
      <w:r w:rsidRPr="00AC789B">
        <w:rPr>
          <w:rFonts w:cs="Times New Roman"/>
          <w:i/>
        </w:rPr>
        <w:t>Henry</w:t>
      </w:r>
      <w:r w:rsidRPr="00AC789B">
        <w:rPr>
          <w:rFonts w:cs="Times New Roman"/>
        </w:rPr>
        <w:t xml:space="preserve">. In the alternative, it submits that </w:t>
      </w:r>
      <w:r w:rsidRPr="00AC789B">
        <w:rPr>
          <w:rFonts w:cs="Times New Roman"/>
          <w:i/>
        </w:rPr>
        <w:t>Henry</w:t>
      </w:r>
      <w:r w:rsidRPr="00AC789B">
        <w:rPr>
          <w:rFonts w:cs="Times New Roman"/>
        </w:rPr>
        <w:t xml:space="preserve"> should be overturned and that this Court should restore the distinction between using prior testimony to impeach credibility and using it to incriminate. </w:t>
      </w:r>
    </w:p>
    <w:p w:rsidR="00AC4C1F" w:rsidRPr="00AC789B" w:rsidRDefault="00AC4C1F" w:rsidP="00AC4C1F">
      <w:pPr>
        <w:pStyle w:val="ParaNoNdepar-AltN"/>
        <w:rPr>
          <w:rFonts w:cs="Times New Roman"/>
        </w:rPr>
      </w:pPr>
      <w:r w:rsidRPr="00AC789B">
        <w:rPr>
          <w:rFonts w:cs="Times New Roman"/>
        </w:rPr>
        <w:t xml:space="preserve">The respondent, not surprisingly, maintains that the approach in </w:t>
      </w:r>
      <w:r w:rsidRPr="00AC789B">
        <w:rPr>
          <w:rFonts w:cs="Times New Roman"/>
          <w:i/>
        </w:rPr>
        <w:t xml:space="preserve">Henry </w:t>
      </w:r>
      <w:r w:rsidRPr="00AC789B">
        <w:rPr>
          <w:rFonts w:cs="Times New Roman"/>
        </w:rPr>
        <w:t xml:space="preserve">applies to this case, because he was compelled to give evidence on discovery. He also submits that </w:t>
      </w:r>
      <w:r w:rsidRPr="00AC789B">
        <w:rPr>
          <w:rFonts w:cs="Times New Roman"/>
          <w:i/>
        </w:rPr>
        <w:t>Henry</w:t>
      </w:r>
      <w:r w:rsidRPr="00AC789B">
        <w:rPr>
          <w:rFonts w:cs="Times New Roman"/>
        </w:rPr>
        <w:t xml:space="preserve"> should not be revisited. </w:t>
      </w:r>
    </w:p>
    <w:p w:rsidR="00AC4C1F" w:rsidRPr="00AC789B" w:rsidRDefault="00AC4C1F" w:rsidP="00AC4C1F">
      <w:pPr>
        <w:pStyle w:val="ParaNoNdepar-AltN"/>
        <w:rPr>
          <w:rFonts w:cs="Times New Roman"/>
        </w:rPr>
      </w:pPr>
      <w:r w:rsidRPr="00AC789B">
        <w:rPr>
          <w:rFonts w:cs="Times New Roman"/>
        </w:rPr>
        <w:lastRenderedPageBreak/>
        <w:t xml:space="preserve">Therefore the two issues for this Court to decide are whether the respondent was “compelled” within the meaning of </w:t>
      </w:r>
      <w:r w:rsidRPr="00AC789B">
        <w:rPr>
          <w:rFonts w:cs="Times New Roman"/>
          <w:i/>
        </w:rPr>
        <w:t>Henry</w:t>
      </w:r>
      <w:r w:rsidRPr="00AC789B">
        <w:rPr>
          <w:rFonts w:cs="Times New Roman"/>
        </w:rPr>
        <w:t xml:space="preserve"> to give discovery evidence in relation to his civil case, and whether this Court should overturn </w:t>
      </w:r>
      <w:r w:rsidRPr="00AC789B">
        <w:rPr>
          <w:rFonts w:cs="Times New Roman"/>
          <w:i/>
        </w:rPr>
        <w:t>Henry</w:t>
      </w:r>
      <w:r w:rsidRPr="00AC789B">
        <w:rPr>
          <w:rFonts w:cs="Times New Roman"/>
        </w:rPr>
        <w:t xml:space="preserve"> or somehow revisit the principles laid out in that case. </w:t>
      </w:r>
    </w:p>
    <w:p w:rsidR="00AC4C1F" w:rsidRPr="00AC789B" w:rsidRDefault="00AC4C1F" w:rsidP="002214C5">
      <w:pPr>
        <w:pStyle w:val="ParaNoNdepar-AltN"/>
        <w:rPr>
          <w:rFonts w:cs="Times New Roman"/>
        </w:rPr>
      </w:pPr>
      <w:r w:rsidRPr="00AC789B">
        <w:rPr>
          <w:rFonts w:cs="Times New Roman"/>
        </w:rPr>
        <w:t xml:space="preserve">For the reasons that follow, I conclude that the respondent was compelled to give evidence at his civil discovery within the meaning of </w:t>
      </w:r>
      <w:r w:rsidRPr="00AC789B">
        <w:rPr>
          <w:rFonts w:cs="Times New Roman"/>
          <w:i/>
        </w:rPr>
        <w:t xml:space="preserve">Henry </w:t>
      </w:r>
      <w:r w:rsidRPr="00AC789B">
        <w:rPr>
          <w:rFonts w:cs="Times New Roman"/>
        </w:rPr>
        <w:t xml:space="preserve">and that </w:t>
      </w:r>
      <w:r w:rsidRPr="00AC789B">
        <w:rPr>
          <w:rFonts w:cs="Times New Roman"/>
          <w:i/>
        </w:rPr>
        <w:t xml:space="preserve">Henry </w:t>
      </w:r>
      <w:r w:rsidRPr="00AC789B">
        <w:rPr>
          <w:rFonts w:cs="Times New Roman"/>
        </w:rPr>
        <w:t xml:space="preserve">ought not to be altered or overturned. I would therefore dismiss the appeal.  </w:t>
      </w:r>
    </w:p>
    <w:p w:rsidR="00AC4C1F" w:rsidRPr="00AC789B" w:rsidRDefault="00AC4C1F" w:rsidP="002214C5">
      <w:pPr>
        <w:pStyle w:val="TitleTitre-AltT"/>
        <w:tabs>
          <w:tab w:val="clear" w:pos="360"/>
          <w:tab w:val="left" w:pos="540"/>
        </w:tabs>
        <w:ind w:left="540" w:hanging="540"/>
        <w:rPr>
          <w:rFonts w:cs="Times New Roman"/>
        </w:rPr>
      </w:pPr>
      <w:r w:rsidRPr="00AC789B">
        <w:rPr>
          <w:rFonts w:cs="Times New Roman"/>
        </w:rPr>
        <w:t>B.</w:t>
      </w:r>
      <w:r w:rsidRPr="00AC789B">
        <w:rPr>
          <w:rFonts w:cs="Times New Roman"/>
        </w:rPr>
        <w:tab/>
      </w:r>
      <w:r w:rsidRPr="00AC789B">
        <w:rPr>
          <w:rFonts w:cs="Times New Roman"/>
          <w:i/>
        </w:rPr>
        <w:t xml:space="preserve">Constitutional Guarantee </w:t>
      </w:r>
      <w:proofErr w:type="gramStart"/>
      <w:r w:rsidRPr="00AC789B">
        <w:rPr>
          <w:rFonts w:cs="Times New Roman"/>
          <w:i/>
        </w:rPr>
        <w:t>Against</w:t>
      </w:r>
      <w:proofErr w:type="gramEnd"/>
      <w:r w:rsidRPr="00AC789B">
        <w:rPr>
          <w:rFonts w:cs="Times New Roman"/>
          <w:i/>
        </w:rPr>
        <w:t xml:space="preserve"> Self-Incrimination</w:t>
      </w:r>
    </w:p>
    <w:p w:rsidR="00AC4C1F" w:rsidRPr="00AC789B" w:rsidRDefault="00AC4C1F" w:rsidP="00AC4C1F">
      <w:pPr>
        <w:pStyle w:val="ParaNoNdepar-AltN"/>
        <w:rPr>
          <w:rFonts w:cs="Times New Roman"/>
        </w:rPr>
      </w:pPr>
      <w:r w:rsidRPr="00AC789B">
        <w:rPr>
          <w:rFonts w:cs="Times New Roman"/>
        </w:rPr>
        <w:t xml:space="preserve">The guarantee against self-incrimination is one of the fundamental principles of our criminal justice system. As Binnie J. noted in </w:t>
      </w:r>
      <w:r w:rsidRPr="00AC789B">
        <w:rPr>
          <w:rFonts w:cs="Times New Roman"/>
          <w:i/>
        </w:rPr>
        <w:t>Henry</w:t>
      </w:r>
      <w:r w:rsidRPr="00AC789B">
        <w:rPr>
          <w:rFonts w:cs="Times New Roman"/>
        </w:rPr>
        <w:t xml:space="preserve">, at </w:t>
      </w:r>
      <w:proofErr w:type="spellStart"/>
      <w:r w:rsidRPr="00AC789B">
        <w:rPr>
          <w:rFonts w:cs="Times New Roman"/>
        </w:rPr>
        <w:t>para</w:t>
      </w:r>
      <w:proofErr w:type="spellEnd"/>
      <w:r w:rsidRPr="00AC789B">
        <w:rPr>
          <w:rFonts w:cs="Times New Roman"/>
        </w:rPr>
        <w:t xml:space="preserve">. 2, it has its historical roots in “the revulsion that was felt over the </w:t>
      </w:r>
      <w:r w:rsidR="002214C5" w:rsidRPr="00AC789B">
        <w:rPr>
          <w:rFonts w:cs="Times New Roman"/>
        </w:rPr>
        <w:t xml:space="preserve">ancient courts of </w:t>
      </w:r>
      <w:r w:rsidRPr="00AC789B">
        <w:rPr>
          <w:rFonts w:cs="Times New Roman"/>
        </w:rPr>
        <w:t>Star Chamber, which would detain suspected enemies of the state on mere suspicion, compel them to swear an oath, and then require them on pain of punishment to answer questions”: see D. M. </w:t>
      </w:r>
      <w:proofErr w:type="spellStart"/>
      <w:r w:rsidRPr="00AC789B">
        <w:rPr>
          <w:rFonts w:cs="Times New Roman"/>
        </w:rPr>
        <w:t>Paciocco</w:t>
      </w:r>
      <w:proofErr w:type="spellEnd"/>
      <w:r w:rsidRPr="00AC789B">
        <w:rPr>
          <w:rFonts w:cs="Times New Roman"/>
        </w:rPr>
        <w:t xml:space="preserve"> and L. </w:t>
      </w:r>
      <w:proofErr w:type="spellStart"/>
      <w:r w:rsidRPr="00AC789B">
        <w:rPr>
          <w:rFonts w:cs="Times New Roman"/>
        </w:rPr>
        <w:t>Stuesser</w:t>
      </w:r>
      <w:proofErr w:type="spellEnd"/>
      <w:r w:rsidRPr="00AC789B">
        <w:rPr>
          <w:rFonts w:cs="Times New Roman"/>
        </w:rPr>
        <w:t xml:space="preserve">, </w:t>
      </w:r>
      <w:r w:rsidRPr="00AC789B">
        <w:rPr>
          <w:rFonts w:cs="Times New Roman"/>
          <w:i/>
        </w:rPr>
        <w:t>The Law of Evidence</w:t>
      </w:r>
      <w:r w:rsidRPr="00AC789B">
        <w:rPr>
          <w:rFonts w:cs="Times New Roman"/>
        </w:rPr>
        <w:t xml:space="preserve"> (6th ed. 2011), at p. 283. Today, the right against self-incrimination is intimately linked to the right to stand silent in the face of one’s accuser, to the presumption of innocence and to the notion that the Crown must prove its case beyond a reasonable doubt without any assistance from the accused. </w:t>
      </w:r>
    </w:p>
    <w:p w:rsidR="00AC4C1F" w:rsidRPr="00AC789B" w:rsidRDefault="00AC4C1F" w:rsidP="00AC4C1F">
      <w:pPr>
        <w:pStyle w:val="ParaNoNdepar-AltN"/>
        <w:rPr>
          <w:rFonts w:cs="Times New Roman"/>
        </w:rPr>
      </w:pPr>
      <w:r w:rsidRPr="00AC789B">
        <w:rPr>
          <w:rFonts w:cs="Times New Roman"/>
        </w:rPr>
        <w:t xml:space="preserve">Self-incrimination can be of two types: testimonial and non-testimonial. Testimonial self-incrimination refers to using oral evidence of the accused against the </w:t>
      </w:r>
      <w:r w:rsidRPr="00AC789B">
        <w:rPr>
          <w:rFonts w:cs="Times New Roman"/>
        </w:rPr>
        <w:lastRenderedPageBreak/>
        <w:t>accused, either by forcing the accused to testify at his or her own trial (covered by s. 11(</w:t>
      </w:r>
      <w:r w:rsidRPr="00AC789B">
        <w:rPr>
          <w:rFonts w:cs="Times New Roman"/>
          <w:i/>
        </w:rPr>
        <w:t>c</w:t>
      </w:r>
      <w:r w:rsidRPr="00AC789B">
        <w:rPr>
          <w:rFonts w:cs="Times New Roman"/>
        </w:rPr>
        <w:t xml:space="preserve">) of the </w:t>
      </w:r>
      <w:r w:rsidRPr="00AC789B">
        <w:rPr>
          <w:rFonts w:cs="Times New Roman"/>
          <w:i/>
        </w:rPr>
        <w:t>Charter</w:t>
      </w:r>
      <w:r w:rsidRPr="00AC789B">
        <w:rPr>
          <w:rFonts w:cs="Times New Roman"/>
        </w:rPr>
        <w:t xml:space="preserve">), or by using prior testimony of the accused in another proceeding (embodied in s. 13 of the </w:t>
      </w:r>
      <w:r w:rsidRPr="00AC789B">
        <w:rPr>
          <w:rFonts w:cs="Times New Roman"/>
          <w:i/>
        </w:rPr>
        <w:t>Charter</w:t>
      </w:r>
      <w:r w:rsidRPr="00AC789B">
        <w:rPr>
          <w:rFonts w:cs="Times New Roman"/>
        </w:rPr>
        <w:t xml:space="preserve">). Non-testimonial self-incrimination refers to the proffering of other types of incriminating evidence by the accused, such as blood or </w:t>
      </w:r>
      <w:proofErr w:type="spellStart"/>
      <w:r w:rsidRPr="00AC789B">
        <w:rPr>
          <w:rFonts w:cs="Times New Roman"/>
        </w:rPr>
        <w:t>breathalyzer</w:t>
      </w:r>
      <w:proofErr w:type="spellEnd"/>
      <w:r w:rsidRPr="00AC789B">
        <w:rPr>
          <w:rFonts w:cs="Times New Roman"/>
        </w:rPr>
        <w:t xml:space="preserve"> samples: see</w:t>
      </w:r>
      <w:r w:rsidR="009A5D8F" w:rsidRPr="00AC789B">
        <w:rPr>
          <w:rFonts w:cs="Times New Roman"/>
        </w:rPr>
        <w:t>,</w:t>
      </w:r>
      <w:r w:rsidRPr="00AC789B">
        <w:rPr>
          <w:rFonts w:cs="Times New Roman"/>
        </w:rPr>
        <w:t xml:space="preserve"> e.g.</w:t>
      </w:r>
      <w:r w:rsidR="009A5D8F" w:rsidRPr="00AC789B">
        <w:rPr>
          <w:rFonts w:cs="Times New Roman"/>
        </w:rPr>
        <w:t>,</w:t>
      </w:r>
      <w:r w:rsidRPr="00AC789B">
        <w:rPr>
          <w:rFonts w:cs="Times New Roman"/>
        </w:rPr>
        <w:t xml:space="preserve"> </w:t>
      </w:r>
      <w:r w:rsidRPr="00AC789B">
        <w:rPr>
          <w:rFonts w:cs="Times New Roman"/>
          <w:i/>
        </w:rPr>
        <w:t xml:space="preserve">Attorney General </w:t>
      </w:r>
      <w:r w:rsidR="009A5D8F" w:rsidRPr="00AC789B">
        <w:rPr>
          <w:rFonts w:cs="Times New Roman"/>
          <w:i/>
        </w:rPr>
        <w:t>for</w:t>
      </w:r>
      <w:r w:rsidRPr="00AC789B">
        <w:rPr>
          <w:rFonts w:cs="Times New Roman"/>
        </w:rPr>
        <w:t xml:space="preserve"> </w:t>
      </w:r>
      <w:r w:rsidRPr="00AC789B">
        <w:rPr>
          <w:rFonts w:cs="Times New Roman"/>
          <w:i/>
        </w:rPr>
        <w:t>Quebec v. Begin</w:t>
      </w:r>
      <w:r w:rsidRPr="00AC789B">
        <w:rPr>
          <w:rFonts w:cs="Times New Roman"/>
        </w:rPr>
        <w:t xml:space="preserve">, [1955] S.C.R. 593; </w:t>
      </w:r>
      <w:proofErr w:type="spellStart"/>
      <w:r w:rsidRPr="00AC789B">
        <w:rPr>
          <w:rFonts w:cs="Times New Roman"/>
          <w:i/>
        </w:rPr>
        <w:t>Curr</w:t>
      </w:r>
      <w:proofErr w:type="spellEnd"/>
      <w:r w:rsidRPr="00AC789B">
        <w:rPr>
          <w:rFonts w:cs="Times New Roman"/>
          <w:i/>
        </w:rPr>
        <w:t xml:space="preserve"> v. The Queen</w:t>
      </w:r>
      <w:r w:rsidRPr="00AC789B">
        <w:rPr>
          <w:rFonts w:cs="Times New Roman"/>
        </w:rPr>
        <w:t xml:space="preserve">, [1972] S.C.R. 889. In the instant case, we are concerned with testimonial self-incrimination, specifically the right enshrined in s. 13. </w:t>
      </w:r>
    </w:p>
    <w:p w:rsidR="00AC4C1F" w:rsidRPr="00AC789B" w:rsidRDefault="00AC4C1F" w:rsidP="00AC4C1F">
      <w:pPr>
        <w:pStyle w:val="ParaNoNdepar-AltN"/>
        <w:rPr>
          <w:rFonts w:cs="Times New Roman"/>
        </w:rPr>
      </w:pPr>
      <w:r w:rsidRPr="00AC789B">
        <w:rPr>
          <w:rFonts w:cs="Times New Roman"/>
        </w:rPr>
        <w:t xml:space="preserve">Before the </w:t>
      </w:r>
      <w:r w:rsidRPr="00AC789B">
        <w:rPr>
          <w:rFonts w:cs="Times New Roman"/>
          <w:i/>
        </w:rPr>
        <w:t>Charter</w:t>
      </w:r>
      <w:r w:rsidRPr="00AC789B">
        <w:rPr>
          <w:rFonts w:cs="Times New Roman"/>
        </w:rPr>
        <w:t xml:space="preserve"> came into force, the protection against testimonial self-incrimination was provided for in s. 5 of the </w:t>
      </w:r>
      <w:r w:rsidRPr="00AC789B">
        <w:rPr>
          <w:rFonts w:cs="Times New Roman"/>
          <w:i/>
        </w:rPr>
        <w:t>Canada Evidence Act</w:t>
      </w:r>
      <w:r w:rsidRPr="00AC789B">
        <w:rPr>
          <w:rFonts w:cs="Times New Roman"/>
        </w:rPr>
        <w:t xml:space="preserve">, R.S.C. 1985, </w:t>
      </w:r>
      <w:proofErr w:type="gramStart"/>
      <w:r w:rsidRPr="00AC789B">
        <w:rPr>
          <w:rFonts w:cs="Times New Roman"/>
        </w:rPr>
        <w:t>c</w:t>
      </w:r>
      <w:proofErr w:type="gramEnd"/>
      <w:r w:rsidRPr="00AC789B">
        <w:rPr>
          <w:rFonts w:cs="Times New Roman"/>
        </w:rPr>
        <w:t>. C-5. Section 5 currently states:</w:t>
      </w:r>
    </w:p>
    <w:p w:rsidR="00AC4C1F" w:rsidRPr="00AC789B" w:rsidRDefault="005B276D" w:rsidP="005B276D">
      <w:pPr>
        <w:pStyle w:val="Citation-AltC"/>
        <w:tabs>
          <w:tab w:val="left" w:pos="1620"/>
        </w:tabs>
        <w:spacing w:after="240"/>
        <w:ind w:hanging="1166"/>
        <w:contextualSpacing w:val="0"/>
      </w:pPr>
      <w:r w:rsidRPr="00AC789B">
        <w:rPr>
          <w:b/>
        </w:rPr>
        <w:tab/>
      </w:r>
      <w:r w:rsidRPr="00AC789B">
        <w:rPr>
          <w:b/>
        </w:rPr>
        <w:tab/>
      </w:r>
      <w:r w:rsidR="00AC4C1F" w:rsidRPr="00AC789B">
        <w:rPr>
          <w:b/>
        </w:rPr>
        <w:t>5.</w:t>
      </w:r>
      <w:r w:rsidR="00AC4C1F" w:rsidRPr="00AC789B">
        <w:t xml:space="preserve"> (1) No witness shall be excused from answering any question on the ground that the answer to the question may tend to criminate him, or may tend to establish his liability to a civil proceeding at the instance of the Crown or of any person.</w:t>
      </w:r>
    </w:p>
    <w:p w:rsidR="00AC4C1F" w:rsidRPr="00AC789B" w:rsidRDefault="005B276D" w:rsidP="00F73FD4">
      <w:pPr>
        <w:pStyle w:val="Citation-AltC"/>
        <w:tabs>
          <w:tab w:val="left" w:pos="1620"/>
          <w:tab w:val="left" w:pos="1890"/>
        </w:tabs>
        <w:ind w:hanging="1166"/>
        <w:contextualSpacing w:val="0"/>
      </w:pPr>
      <w:r w:rsidRPr="00AC789B">
        <w:tab/>
      </w:r>
      <w:r w:rsidRPr="00AC789B">
        <w:tab/>
      </w:r>
      <w:r w:rsidR="008325B6" w:rsidRPr="00AC789B">
        <w:t>(2)</w:t>
      </w:r>
      <w:r w:rsidR="008325B6" w:rsidRPr="00AC789B">
        <w:tab/>
      </w:r>
      <w:r w:rsidR="00AC4C1F" w:rsidRPr="00AC789B">
        <w:t xml:space="preserve">Where with respect to any question a witness objects to answer on the ground that his answer may tend to criminate him, or may tend to establish his liability to a civil proceeding at the instance of the Crown or of any person, and if but for this Act, or the Act of any provincial legislature, the witness would therefore have been excused from answering the question, then although the witness is by reason of this Act or the provincial Act compelled to answer, the answer so given shall not be used or admissible in evidence against him in any criminal trial or other criminal proceeding against him thereafter taking place, other than a prosecution for perjury in the giving of that evidence or for the giving of contradictory evidence. </w:t>
      </w:r>
    </w:p>
    <w:p w:rsidR="00AC4C1F" w:rsidRPr="00AC789B" w:rsidRDefault="00AC4C1F" w:rsidP="00AC4C1F">
      <w:pPr>
        <w:pStyle w:val="ParaNoNdepar-AltN"/>
        <w:rPr>
          <w:rFonts w:cs="Times New Roman"/>
        </w:rPr>
      </w:pPr>
      <w:r w:rsidRPr="00AC789B">
        <w:rPr>
          <w:rFonts w:cs="Times New Roman"/>
        </w:rPr>
        <w:lastRenderedPageBreak/>
        <w:t xml:space="preserve">Therefore, s. 5(1) obliges a witness to answer any question put to him or her, regardless of whether the answer will be incriminating or give rise to civil liability. In exchange, however, s. 5(2) offers protection against the subsequent use of that evidence to incriminate the witness. This “bargain” is what has become known as the </w:t>
      </w:r>
      <w:r w:rsidRPr="00AC789B">
        <w:rPr>
          <w:rFonts w:cs="Times New Roman"/>
          <w:i/>
        </w:rPr>
        <w:t>quid pro quo</w:t>
      </w:r>
      <w:r w:rsidRPr="00AC789B">
        <w:rPr>
          <w:rFonts w:cs="Times New Roman"/>
        </w:rPr>
        <w:t xml:space="preserve">. </w:t>
      </w:r>
    </w:p>
    <w:p w:rsidR="00AC4C1F" w:rsidRPr="00AC789B" w:rsidRDefault="00AC4C1F" w:rsidP="00AC4C1F">
      <w:pPr>
        <w:pStyle w:val="ParaNoNdepar-AltN"/>
        <w:rPr>
          <w:rFonts w:cs="Times New Roman"/>
        </w:rPr>
      </w:pPr>
      <w:r w:rsidRPr="00AC789B">
        <w:rPr>
          <w:rFonts w:cs="Times New Roman"/>
        </w:rPr>
        <w:t xml:space="preserve">It is clear that the drafters of the </w:t>
      </w:r>
      <w:r w:rsidRPr="00AC789B">
        <w:rPr>
          <w:rFonts w:cs="Times New Roman"/>
          <w:i/>
        </w:rPr>
        <w:t xml:space="preserve">Charter </w:t>
      </w:r>
      <w:r w:rsidRPr="00AC789B">
        <w:rPr>
          <w:rFonts w:cs="Times New Roman"/>
        </w:rPr>
        <w:t xml:space="preserve">considered s. 5 of the </w:t>
      </w:r>
      <w:r w:rsidRPr="00AC789B">
        <w:rPr>
          <w:rFonts w:cs="Times New Roman"/>
          <w:i/>
        </w:rPr>
        <w:t>Canada Evidence Act</w:t>
      </w:r>
      <w:r w:rsidRPr="00AC789B">
        <w:rPr>
          <w:rFonts w:cs="Times New Roman"/>
        </w:rPr>
        <w:t xml:space="preserve"> when crafting s. 13. As Binnie J. noted in </w:t>
      </w:r>
      <w:r w:rsidRPr="00AC789B">
        <w:rPr>
          <w:rFonts w:cs="Times New Roman"/>
          <w:i/>
        </w:rPr>
        <w:t>Henry</w:t>
      </w:r>
      <w:r w:rsidRPr="00AC789B">
        <w:rPr>
          <w:rFonts w:cs="Times New Roman"/>
        </w:rPr>
        <w:t xml:space="preserve">, there is “a consensus that s. 13 was intended to extend s. 5 of the </w:t>
      </w:r>
      <w:r w:rsidRPr="00AC789B">
        <w:rPr>
          <w:rFonts w:cs="Times New Roman"/>
          <w:i/>
        </w:rPr>
        <w:t>Canada Evidence Act</w:t>
      </w:r>
      <w:r w:rsidRPr="00AC789B">
        <w:rPr>
          <w:rFonts w:cs="Times New Roman"/>
        </w:rPr>
        <w:t>” (</w:t>
      </w:r>
      <w:proofErr w:type="spellStart"/>
      <w:r w:rsidRPr="00AC789B">
        <w:rPr>
          <w:rFonts w:cs="Times New Roman"/>
        </w:rPr>
        <w:t>para</w:t>
      </w:r>
      <w:proofErr w:type="spellEnd"/>
      <w:r w:rsidRPr="00AC789B">
        <w:rPr>
          <w:rFonts w:cs="Times New Roman"/>
        </w:rPr>
        <w:t xml:space="preserve">. 23). Binnie J., relying on statements in </w:t>
      </w:r>
      <w:r w:rsidRPr="00AC789B">
        <w:rPr>
          <w:rFonts w:cs="Times New Roman"/>
          <w:i/>
        </w:rPr>
        <w:t xml:space="preserve">Dubois </w:t>
      </w:r>
      <w:r w:rsidRPr="00AC789B">
        <w:rPr>
          <w:rFonts w:cs="Times New Roman"/>
        </w:rPr>
        <w:t xml:space="preserve">and </w:t>
      </w:r>
      <w:r w:rsidRPr="00AC789B">
        <w:rPr>
          <w:rFonts w:cs="Times New Roman"/>
          <w:i/>
        </w:rPr>
        <w:t>Noël</w:t>
      </w:r>
      <w:r w:rsidRPr="00AC789B">
        <w:rPr>
          <w:rFonts w:cs="Times New Roman"/>
        </w:rPr>
        <w:t xml:space="preserve">, also confirmed that s. 13 is not limited to questions a witness might have been entitled to refuse to answer at common law and that s. 13 is intimately linked, although not necessarily limited to, the traditional role and function of s. 5 of the </w:t>
      </w:r>
      <w:r w:rsidRPr="00AC789B">
        <w:rPr>
          <w:rFonts w:cs="Times New Roman"/>
          <w:i/>
        </w:rPr>
        <w:t>Canada Evidence Act</w:t>
      </w:r>
      <w:r w:rsidRPr="00AC789B">
        <w:rPr>
          <w:rFonts w:cs="Times New Roman"/>
        </w:rPr>
        <w:t xml:space="preserve">. Although s. 5(2) requires the witness to specifically invoke its protection, s. 13 contains no such requirement. Therefore, s. 13 of the </w:t>
      </w:r>
      <w:r w:rsidRPr="00AC789B">
        <w:rPr>
          <w:rFonts w:cs="Times New Roman"/>
          <w:i/>
        </w:rPr>
        <w:t>Charter</w:t>
      </w:r>
      <w:r w:rsidRPr="00AC789B">
        <w:rPr>
          <w:rFonts w:cs="Times New Roman"/>
        </w:rPr>
        <w:t xml:space="preserve"> is broader in application than s. 5 of the </w:t>
      </w:r>
      <w:r w:rsidRPr="00AC789B">
        <w:rPr>
          <w:rFonts w:cs="Times New Roman"/>
          <w:i/>
        </w:rPr>
        <w:t>Canada Evidence Act</w:t>
      </w:r>
      <w:r w:rsidRPr="00AC789B">
        <w:rPr>
          <w:rFonts w:cs="Times New Roman"/>
        </w:rPr>
        <w:t xml:space="preserve">, as Arbour J. noted in </w:t>
      </w:r>
      <w:r w:rsidRPr="00AC789B">
        <w:rPr>
          <w:rFonts w:cs="Times New Roman"/>
          <w:i/>
        </w:rPr>
        <w:t>Noël</w:t>
      </w:r>
      <w:r w:rsidRPr="00AC789B">
        <w:rPr>
          <w:rFonts w:cs="Times New Roman"/>
        </w:rPr>
        <w:t xml:space="preserve">, at </w:t>
      </w:r>
      <w:proofErr w:type="spellStart"/>
      <w:r w:rsidRPr="00AC789B">
        <w:rPr>
          <w:rFonts w:cs="Times New Roman"/>
        </w:rPr>
        <w:t>para</w:t>
      </w:r>
      <w:proofErr w:type="spellEnd"/>
      <w:r w:rsidRPr="00AC789B">
        <w:rPr>
          <w:rFonts w:cs="Times New Roman"/>
        </w:rPr>
        <w:t xml:space="preserve">. 53: </w:t>
      </w:r>
    </w:p>
    <w:p w:rsidR="00AC4C1F" w:rsidRPr="00AC789B" w:rsidRDefault="005B276D" w:rsidP="005B276D">
      <w:pPr>
        <w:pStyle w:val="Citation-AltC"/>
        <w:tabs>
          <w:tab w:val="left" w:pos="1170"/>
        </w:tabs>
        <w:ind w:hanging="1166"/>
      </w:pPr>
      <w:r w:rsidRPr="00AC789B">
        <w:tab/>
      </w:r>
      <w:r w:rsidR="00AC4C1F" w:rsidRPr="00AC789B">
        <w:t>[</w:t>
      </w:r>
      <w:r w:rsidR="00AC4C1F" w:rsidRPr="00AC789B">
        <w:rPr>
          <w:i/>
        </w:rPr>
        <w:t xml:space="preserve">R. v. </w:t>
      </w:r>
      <w:proofErr w:type="spellStart"/>
      <w:r w:rsidR="00AC4C1F" w:rsidRPr="00AC789B">
        <w:rPr>
          <w:i/>
        </w:rPr>
        <w:t>Mannion</w:t>
      </w:r>
      <w:proofErr w:type="spellEnd"/>
      <w:r w:rsidR="00AC4C1F" w:rsidRPr="00AC789B">
        <w:t xml:space="preserve">, [1986] 2 S.C.R. 272,] is a case where it is unlikely that the accused would have sought the protection of the </w:t>
      </w:r>
      <w:r w:rsidR="00AC4C1F" w:rsidRPr="00AC789B">
        <w:rPr>
          <w:i/>
        </w:rPr>
        <w:t>Canada Evidence Act</w:t>
      </w:r>
      <w:r w:rsidR="00AC4C1F" w:rsidRPr="00AC789B">
        <w:t xml:space="preserve"> when he gave his original evidence since that evidence did not “tend to criminate” him when it was given.  </w:t>
      </w:r>
      <w:r w:rsidR="00AC4C1F" w:rsidRPr="00AC789B">
        <w:rPr>
          <w:u w:val="single"/>
        </w:rPr>
        <w:t>In that sense s. 13 is an expansion of the statutory protection, and one fully in line with the broad constitutional protection against compulsory self-incrimination.</w:t>
      </w:r>
      <w:r w:rsidR="00AC4C1F" w:rsidRPr="00AC789B">
        <w:t xml:space="preserve"> [Emphasis added.]</w:t>
      </w:r>
    </w:p>
    <w:p w:rsidR="00AC4C1F" w:rsidRPr="00AC789B" w:rsidRDefault="00AC4C1F" w:rsidP="00AC4C1F">
      <w:pPr>
        <w:pStyle w:val="ParaNoNdepar-AltN"/>
        <w:rPr>
          <w:rFonts w:cs="Times New Roman"/>
        </w:rPr>
      </w:pPr>
      <w:r w:rsidRPr="00AC789B">
        <w:rPr>
          <w:rFonts w:cs="Times New Roman"/>
        </w:rPr>
        <w:t xml:space="preserve">Section 13 of the </w:t>
      </w:r>
      <w:r w:rsidRPr="00AC789B">
        <w:rPr>
          <w:rFonts w:cs="Times New Roman"/>
          <w:i/>
        </w:rPr>
        <w:t xml:space="preserve">Charter </w:t>
      </w:r>
      <w:r w:rsidRPr="00AC789B">
        <w:rPr>
          <w:rFonts w:cs="Times New Roman"/>
        </w:rPr>
        <w:t>states:</w:t>
      </w:r>
    </w:p>
    <w:p w:rsidR="00AC4C1F" w:rsidRPr="00AC789B" w:rsidRDefault="005B276D" w:rsidP="005B276D">
      <w:pPr>
        <w:pStyle w:val="Citation-AltC"/>
        <w:tabs>
          <w:tab w:val="left" w:pos="1620"/>
        </w:tabs>
        <w:ind w:hanging="1166"/>
      </w:pPr>
      <w:r w:rsidRPr="00AC789B">
        <w:rPr>
          <w:b/>
        </w:rPr>
        <w:lastRenderedPageBreak/>
        <w:tab/>
      </w:r>
      <w:r w:rsidRPr="00AC789B">
        <w:rPr>
          <w:b/>
        </w:rPr>
        <w:tab/>
      </w:r>
      <w:r w:rsidR="00AC4C1F" w:rsidRPr="00AC789B">
        <w:rPr>
          <w:b/>
        </w:rPr>
        <w:t>13.</w:t>
      </w:r>
      <w:r w:rsidR="00AC4C1F" w:rsidRPr="00AC789B">
        <w:tab/>
        <w:t>A witness who testifies in any proceedings has the right not to have any incriminating evidence so given used to incriminate that witness in any other proceedings, except in a prosecution for perjury or for the giving of contradictory evidence.</w:t>
      </w:r>
    </w:p>
    <w:p w:rsidR="00AC4C1F" w:rsidRPr="00AC789B" w:rsidRDefault="00AC4C1F" w:rsidP="00AC4C1F">
      <w:pPr>
        <w:pStyle w:val="ParaNoNdepar-AltN"/>
        <w:rPr>
          <w:rFonts w:cs="Times New Roman"/>
        </w:rPr>
      </w:pPr>
      <w:r w:rsidRPr="00AC789B">
        <w:rPr>
          <w:rFonts w:cs="Times New Roman"/>
          <w:i/>
        </w:rPr>
        <w:t xml:space="preserve">Henry </w:t>
      </w:r>
      <w:r w:rsidRPr="00AC789B">
        <w:rPr>
          <w:rFonts w:cs="Times New Roman"/>
        </w:rPr>
        <w:t>is this Court’s most recent significant pronouncement on s. 13. To determine whether we should revisit its approach requires a closer look at what the Court actually decided in that case.</w:t>
      </w:r>
    </w:p>
    <w:p w:rsidR="00AC4C1F" w:rsidRPr="00AC789B" w:rsidRDefault="00AC4C1F" w:rsidP="005B276D">
      <w:pPr>
        <w:pStyle w:val="TitleTitre-AltT"/>
        <w:tabs>
          <w:tab w:val="clear" w:pos="360"/>
          <w:tab w:val="left" w:pos="540"/>
        </w:tabs>
        <w:ind w:left="540" w:hanging="540"/>
        <w:rPr>
          <w:rFonts w:cs="Times New Roman"/>
        </w:rPr>
      </w:pPr>
      <w:r w:rsidRPr="00AC789B">
        <w:rPr>
          <w:rFonts w:cs="Times New Roman"/>
        </w:rPr>
        <w:t>C.</w:t>
      </w:r>
      <w:r w:rsidRPr="00AC789B">
        <w:rPr>
          <w:rFonts w:cs="Times New Roman"/>
        </w:rPr>
        <w:tab/>
      </w:r>
      <w:r w:rsidRPr="00AC789B">
        <w:rPr>
          <w:rFonts w:cs="Times New Roman"/>
          <w:i/>
        </w:rPr>
        <w:t>Henry</w:t>
      </w:r>
    </w:p>
    <w:p w:rsidR="00AC4C1F" w:rsidRPr="00AC789B" w:rsidRDefault="00AC4C1F" w:rsidP="00AC4C1F">
      <w:pPr>
        <w:pStyle w:val="ParaNoNdepar-AltN"/>
        <w:rPr>
          <w:rFonts w:cs="Times New Roman"/>
        </w:rPr>
      </w:pPr>
      <w:r w:rsidRPr="00AC789B">
        <w:rPr>
          <w:rFonts w:cs="Times New Roman"/>
        </w:rPr>
        <w:t xml:space="preserve">As I stated at the outset, s. 13 of the </w:t>
      </w:r>
      <w:r w:rsidRPr="00AC789B">
        <w:rPr>
          <w:rFonts w:cs="Times New Roman"/>
          <w:i/>
        </w:rPr>
        <w:t>Charter</w:t>
      </w:r>
      <w:r w:rsidRPr="00AC789B">
        <w:rPr>
          <w:rFonts w:cs="Times New Roman"/>
        </w:rPr>
        <w:t xml:space="preserve"> has proven difficult for courts to apply, and even this Court has struggled to define its contours consistently. In the face of inconsistent jurisprudence, this Court decided </w:t>
      </w:r>
      <w:r w:rsidRPr="00AC789B">
        <w:rPr>
          <w:rFonts w:cs="Times New Roman"/>
          <w:i/>
        </w:rPr>
        <w:t>Henry</w:t>
      </w:r>
      <w:r w:rsidRPr="00AC789B">
        <w:rPr>
          <w:rFonts w:cs="Times New Roman"/>
        </w:rPr>
        <w:t xml:space="preserve"> in 2005. It was a unanimous decision and was intended to outline a unified approach to s. 13, one based on the historical rationale underlying s. 13 — the </w:t>
      </w:r>
      <w:r w:rsidRPr="00AC789B">
        <w:rPr>
          <w:rFonts w:cs="Times New Roman"/>
          <w:i/>
        </w:rPr>
        <w:t>quid pro quo</w:t>
      </w:r>
      <w:r w:rsidRPr="00AC789B">
        <w:rPr>
          <w:rFonts w:cs="Times New Roman"/>
        </w:rPr>
        <w:t xml:space="preserve">.    </w:t>
      </w:r>
    </w:p>
    <w:p w:rsidR="00AC4C1F" w:rsidRPr="00AC789B" w:rsidRDefault="00AC4C1F" w:rsidP="00AC4C1F">
      <w:pPr>
        <w:pStyle w:val="ParaNoNdepar-AltN"/>
        <w:rPr>
          <w:rFonts w:cs="Times New Roman"/>
        </w:rPr>
      </w:pPr>
      <w:r w:rsidRPr="00AC789B">
        <w:rPr>
          <w:rFonts w:cs="Times New Roman"/>
        </w:rPr>
        <w:t xml:space="preserve">In </w:t>
      </w:r>
      <w:r w:rsidRPr="00AC789B">
        <w:rPr>
          <w:rFonts w:cs="Times New Roman"/>
          <w:i/>
        </w:rPr>
        <w:t>Henry</w:t>
      </w:r>
      <w:r w:rsidRPr="00AC789B">
        <w:rPr>
          <w:rFonts w:cs="Times New Roman"/>
        </w:rPr>
        <w:t>, the appellants had told a different story under oath in their retrial on a charge of first degree murder than at their first trial five years earlier. They were cross-examined on these prior inconsistent statements at the retrial and were again convicted of first degree murder. They appealed, claiming that this use of prior statements violated their s. 13 rights.</w:t>
      </w:r>
    </w:p>
    <w:p w:rsidR="00AC4C1F" w:rsidRPr="00AC789B" w:rsidRDefault="00AC4C1F" w:rsidP="00AC4C1F">
      <w:pPr>
        <w:pStyle w:val="ParaNoNdepar-AltN"/>
        <w:rPr>
          <w:rFonts w:cs="Times New Roman"/>
        </w:rPr>
      </w:pPr>
      <w:r w:rsidRPr="00AC789B">
        <w:rPr>
          <w:rFonts w:cs="Times New Roman"/>
        </w:rPr>
        <w:t xml:space="preserve">Binnie J., writing for the Court, began his analysis by noting that “[t]he consistent theme in the s. 13 jurisprudence is that ‘the purpose of s. 13 . . . is to </w:t>
      </w:r>
      <w:r w:rsidRPr="00AC789B">
        <w:rPr>
          <w:rFonts w:cs="Times New Roman"/>
        </w:rPr>
        <w:lastRenderedPageBreak/>
        <w:t>protect individuals from being indirectly compelled to incriminate themselves’” (</w:t>
      </w:r>
      <w:proofErr w:type="spellStart"/>
      <w:r w:rsidRPr="00AC789B">
        <w:rPr>
          <w:rFonts w:cs="Times New Roman"/>
        </w:rPr>
        <w:t>para</w:t>
      </w:r>
      <w:proofErr w:type="spellEnd"/>
      <w:r w:rsidRPr="00AC789B">
        <w:rPr>
          <w:rFonts w:cs="Times New Roman"/>
        </w:rPr>
        <w:t xml:space="preserve">. 22, citing </w:t>
      </w:r>
      <w:r w:rsidRPr="00AC789B">
        <w:rPr>
          <w:rFonts w:cs="Times New Roman"/>
          <w:i/>
        </w:rPr>
        <w:t>Dubois</w:t>
      </w:r>
      <w:r w:rsidRPr="00AC789B">
        <w:rPr>
          <w:rFonts w:cs="Times New Roman"/>
        </w:rPr>
        <w:t xml:space="preserve">, at p. 358). In setting the tone for the analysis that followed, he quoted Arbour J. in </w:t>
      </w:r>
      <w:r w:rsidRPr="00AC789B">
        <w:rPr>
          <w:rFonts w:cs="Times New Roman"/>
          <w:i/>
        </w:rPr>
        <w:t>Noël</w:t>
      </w:r>
      <w:r w:rsidRPr="00AC789B">
        <w:rPr>
          <w:rFonts w:cs="Times New Roman"/>
        </w:rPr>
        <w:t xml:space="preserve">: </w:t>
      </w:r>
    </w:p>
    <w:p w:rsidR="00AC4C1F" w:rsidRPr="00AC789B" w:rsidRDefault="005B276D" w:rsidP="005B276D">
      <w:pPr>
        <w:pStyle w:val="Citation-AltC"/>
        <w:tabs>
          <w:tab w:val="left" w:pos="1620"/>
        </w:tabs>
        <w:ind w:hanging="1166"/>
        <w:contextualSpacing w:val="0"/>
      </w:pPr>
      <w:r w:rsidRPr="00AC789B">
        <w:tab/>
      </w:r>
      <w:r w:rsidRPr="00AC789B">
        <w:tab/>
      </w:r>
      <w:r w:rsidR="00AC4C1F" w:rsidRPr="00AC789B">
        <w:t xml:space="preserve">Section 13 reflects a long-standing form of statutory protection against </w:t>
      </w:r>
      <w:r w:rsidR="00AC4C1F" w:rsidRPr="00AC789B">
        <w:rPr>
          <w:u w:val="single"/>
        </w:rPr>
        <w:t>compulsory</w:t>
      </w:r>
      <w:r w:rsidR="00AC4C1F" w:rsidRPr="00AC789B">
        <w:t xml:space="preserve"> self-incrimination in Canadian law, and is best understood by reference to s. 5 of the </w:t>
      </w:r>
      <w:r w:rsidR="00AC4C1F" w:rsidRPr="00AC789B">
        <w:rPr>
          <w:i/>
        </w:rPr>
        <w:t>Canada Evidence Act</w:t>
      </w:r>
      <w:r w:rsidR="00AC4C1F" w:rsidRPr="00AC789B">
        <w:t xml:space="preserve">. Like the statutory protection, the constitutional one represents what Fish J.A. called a </w:t>
      </w:r>
      <w:r w:rsidR="00AC4C1F" w:rsidRPr="00AC789B">
        <w:rPr>
          <w:i/>
        </w:rPr>
        <w:t>quid pro quo</w:t>
      </w:r>
      <w:r w:rsidR="00AC4C1F" w:rsidRPr="00AC789B">
        <w:t xml:space="preserve">: when a witness </w:t>
      </w:r>
      <w:r w:rsidR="00AC4C1F" w:rsidRPr="00AC789B">
        <w:rPr>
          <w:u w:val="single"/>
        </w:rPr>
        <w:t>who is compelled</w:t>
      </w:r>
      <w:r w:rsidR="00AC4C1F" w:rsidRPr="00AC789B">
        <w:t xml:space="preserve"> to give evidence in a court proceeding is exposed to the risk of self-incrimination, the state offers protection against the subsequent use of that evidence against the witness in exchange for his or her full and frank testimony. [Emphasis added by Binnie J.; </w:t>
      </w:r>
      <w:proofErr w:type="spellStart"/>
      <w:r w:rsidR="00AC4C1F" w:rsidRPr="00AC789B">
        <w:t>para</w:t>
      </w:r>
      <w:proofErr w:type="spellEnd"/>
      <w:r w:rsidR="00AC4C1F" w:rsidRPr="00AC789B">
        <w:t>. 21.]</w:t>
      </w:r>
    </w:p>
    <w:p w:rsidR="00AC4C1F" w:rsidRPr="00AC789B" w:rsidRDefault="00AC4C1F" w:rsidP="00AC4C1F">
      <w:pPr>
        <w:pStyle w:val="ParaNoNdepar-AltN"/>
        <w:rPr>
          <w:rFonts w:cs="Times New Roman"/>
        </w:rPr>
      </w:pPr>
      <w:r w:rsidRPr="00AC789B">
        <w:rPr>
          <w:rFonts w:cs="Times New Roman"/>
        </w:rPr>
        <w:t xml:space="preserve">With respect to its scope, Binnie J. noted that s. 13 precludes the use of “incriminating evidence” given in one proceeding to “incriminate that witness” in a subsequent proceeding. He explained the meaning of “incriminating evidence” by quoting from </w:t>
      </w:r>
      <w:r w:rsidRPr="00AC789B">
        <w:rPr>
          <w:rFonts w:cs="Times New Roman"/>
          <w:i/>
        </w:rPr>
        <w:t xml:space="preserve">R. v. </w:t>
      </w:r>
      <w:proofErr w:type="spellStart"/>
      <w:r w:rsidRPr="00AC789B">
        <w:rPr>
          <w:rFonts w:cs="Times New Roman"/>
          <w:i/>
        </w:rPr>
        <w:t>Kuldip</w:t>
      </w:r>
      <w:proofErr w:type="spellEnd"/>
      <w:r w:rsidRPr="00AC789B">
        <w:rPr>
          <w:rFonts w:cs="Times New Roman"/>
        </w:rPr>
        <w:t xml:space="preserve">, [1990] 3 S.C.R. 618, at p. 633, in which the Court had described it as “something ‘from which a </w:t>
      </w:r>
      <w:proofErr w:type="spellStart"/>
      <w:r w:rsidRPr="00AC789B">
        <w:rPr>
          <w:rFonts w:cs="Times New Roman"/>
        </w:rPr>
        <w:t>trier</w:t>
      </w:r>
      <w:proofErr w:type="spellEnd"/>
      <w:r w:rsidRPr="00AC789B">
        <w:rPr>
          <w:rFonts w:cs="Times New Roman"/>
        </w:rPr>
        <w:t xml:space="preserve"> of fact may infer that an accused is guilty of the crime charged’” (</w:t>
      </w:r>
      <w:proofErr w:type="spellStart"/>
      <w:r w:rsidRPr="00AC789B">
        <w:rPr>
          <w:rFonts w:cs="Times New Roman"/>
        </w:rPr>
        <w:t>para</w:t>
      </w:r>
      <w:proofErr w:type="spellEnd"/>
      <w:r w:rsidRPr="00AC789B">
        <w:rPr>
          <w:rFonts w:cs="Times New Roman"/>
        </w:rPr>
        <w:t>. 25).</w:t>
      </w:r>
    </w:p>
    <w:p w:rsidR="00AC4C1F" w:rsidRPr="00AC789B" w:rsidRDefault="00AC4C1F" w:rsidP="00AC4C1F">
      <w:pPr>
        <w:pStyle w:val="ParaNoNdepar-AltN"/>
        <w:rPr>
          <w:rFonts w:cs="Times New Roman"/>
        </w:rPr>
      </w:pPr>
      <w:r w:rsidRPr="00AC789B">
        <w:rPr>
          <w:rFonts w:cs="Times New Roman"/>
        </w:rPr>
        <w:t xml:space="preserve">Given the lack of clarity in the s. 13 cases at the time, Binnie J. carefully reviewed this Court’s s. 13 jurisprudence. He discussed each case’s </w:t>
      </w:r>
      <w:r w:rsidRPr="00AC789B">
        <w:rPr>
          <w:rFonts w:cs="Times New Roman"/>
          <w:i/>
        </w:rPr>
        <w:t>ratio</w:t>
      </w:r>
      <w:r w:rsidRPr="00AC789B">
        <w:rPr>
          <w:rFonts w:cs="Times New Roman"/>
        </w:rPr>
        <w:t xml:space="preserve"> and considered whether it was in line with the fundamental </w:t>
      </w:r>
      <w:r w:rsidRPr="00AC789B">
        <w:rPr>
          <w:rFonts w:cs="Times New Roman"/>
          <w:i/>
        </w:rPr>
        <w:t>quid pro quo</w:t>
      </w:r>
      <w:r w:rsidRPr="00AC789B">
        <w:rPr>
          <w:rFonts w:cs="Times New Roman"/>
        </w:rPr>
        <w:t xml:space="preserve"> principle underlying s. 13. </w:t>
      </w:r>
    </w:p>
    <w:p w:rsidR="00AC4C1F" w:rsidRPr="00AC789B" w:rsidRDefault="00AC4C1F" w:rsidP="00AC4C1F">
      <w:pPr>
        <w:pStyle w:val="ParaNoNdepar-AltN"/>
        <w:rPr>
          <w:rFonts w:cs="Times New Roman"/>
        </w:rPr>
      </w:pPr>
      <w:r w:rsidRPr="00AC789B">
        <w:rPr>
          <w:rFonts w:cs="Times New Roman"/>
        </w:rPr>
        <w:t xml:space="preserve">He first considered </w:t>
      </w:r>
      <w:r w:rsidRPr="00AC789B">
        <w:rPr>
          <w:rFonts w:cs="Times New Roman"/>
          <w:i/>
        </w:rPr>
        <w:t>Dubois</w:t>
      </w:r>
      <w:r w:rsidRPr="00AC789B">
        <w:rPr>
          <w:rFonts w:cs="Times New Roman"/>
        </w:rPr>
        <w:t xml:space="preserve">. In that case, the accused had testified at his first trial and made certain admissions. On a retrial for the same offence, he chose not </w:t>
      </w:r>
      <w:r w:rsidRPr="00AC789B">
        <w:rPr>
          <w:rFonts w:cs="Times New Roman"/>
        </w:rPr>
        <w:lastRenderedPageBreak/>
        <w:t xml:space="preserve">to testify or to call any evidence. The Crown sought to enter the testimony of the accused from his first trial as evidence in the retrial. This Court concluded that to use the prior testimony of the accused as evidence against him in his retrial would be a violation of his s. 13 right. </w:t>
      </w:r>
    </w:p>
    <w:p w:rsidR="00AC4C1F" w:rsidRPr="00AC789B" w:rsidRDefault="00AC4C1F" w:rsidP="00AC4C1F">
      <w:pPr>
        <w:pStyle w:val="ParaNoNdepar-AltN"/>
        <w:rPr>
          <w:rFonts w:cs="Times New Roman"/>
        </w:rPr>
      </w:pPr>
      <w:r w:rsidRPr="00AC789B">
        <w:rPr>
          <w:rFonts w:cs="Times New Roman"/>
        </w:rPr>
        <w:t xml:space="preserve">Two main holdings came out of </w:t>
      </w:r>
      <w:r w:rsidRPr="00AC789B">
        <w:rPr>
          <w:rFonts w:cs="Times New Roman"/>
          <w:i/>
        </w:rPr>
        <w:t>Dubois</w:t>
      </w:r>
      <w:r w:rsidRPr="00AC789B">
        <w:rPr>
          <w:rFonts w:cs="Times New Roman"/>
        </w:rPr>
        <w:t xml:space="preserve">. The first is that a retrial of the same offence is considered “other proceedings” within the meaning of s. 13. The second — and the one most relevant to this appeal — is that “[t]he focus of the right is on the second proceedings, the time at which the previous testimony is sought to be used, rather than the time at which it is given” (p. 361).  Therefore, the Court noted, although s. 13 refers to the notion of incrimination, the evidence in issue need not be incriminating at the time it is given. In light of the purpose of the section, the incriminating nature of the evidence must be evaluated only in the context of the second proceeding. For the purposes of s. 13, incriminating evidence is any evidence the Crown tenders as part of its case against the accused. </w:t>
      </w:r>
    </w:p>
    <w:p w:rsidR="00AC4C1F" w:rsidRPr="00AC789B" w:rsidRDefault="00AC4C1F" w:rsidP="00AC4C1F">
      <w:pPr>
        <w:pStyle w:val="ParaNoNdepar-AltN"/>
        <w:rPr>
          <w:rFonts w:cs="Times New Roman"/>
        </w:rPr>
      </w:pPr>
      <w:r w:rsidRPr="00AC789B">
        <w:rPr>
          <w:rFonts w:cs="Times New Roman"/>
        </w:rPr>
        <w:t xml:space="preserve">Binnie J. noted that the outcome in </w:t>
      </w:r>
      <w:r w:rsidRPr="00AC789B">
        <w:rPr>
          <w:rFonts w:cs="Times New Roman"/>
          <w:i/>
        </w:rPr>
        <w:t>Dubois</w:t>
      </w:r>
      <w:r w:rsidRPr="00AC789B">
        <w:rPr>
          <w:rFonts w:cs="Times New Roman"/>
        </w:rPr>
        <w:t xml:space="preserve"> was correct, and declined to revisit it. </w:t>
      </w:r>
    </w:p>
    <w:p w:rsidR="00AC4C1F" w:rsidRPr="00AC789B" w:rsidRDefault="00AC4C1F" w:rsidP="00AC4C1F">
      <w:pPr>
        <w:pStyle w:val="ParaNoNdepar-AltN"/>
        <w:rPr>
          <w:rFonts w:cs="Times New Roman"/>
        </w:rPr>
      </w:pPr>
      <w:r w:rsidRPr="00AC789B">
        <w:rPr>
          <w:rFonts w:cs="Times New Roman"/>
        </w:rPr>
        <w:t xml:space="preserve">Binnie J. then considered </w:t>
      </w:r>
      <w:r w:rsidRPr="00AC789B">
        <w:rPr>
          <w:rFonts w:cs="Times New Roman"/>
          <w:i/>
        </w:rPr>
        <w:t xml:space="preserve">R. v. </w:t>
      </w:r>
      <w:proofErr w:type="spellStart"/>
      <w:r w:rsidRPr="00AC789B">
        <w:rPr>
          <w:rFonts w:cs="Times New Roman"/>
          <w:i/>
        </w:rPr>
        <w:t>Mannion</w:t>
      </w:r>
      <w:proofErr w:type="spellEnd"/>
      <w:r w:rsidRPr="00AC789B">
        <w:rPr>
          <w:rFonts w:cs="Times New Roman"/>
        </w:rPr>
        <w:t xml:space="preserve">, [1986] 2 S.C.R. 272, in which the Crown had attempted to use the </w:t>
      </w:r>
      <w:proofErr w:type="spellStart"/>
      <w:r w:rsidRPr="00AC789B">
        <w:rPr>
          <w:rFonts w:cs="Times New Roman"/>
        </w:rPr>
        <w:t>accused’s</w:t>
      </w:r>
      <w:proofErr w:type="spellEnd"/>
      <w:r w:rsidRPr="00AC789B">
        <w:rPr>
          <w:rFonts w:cs="Times New Roman"/>
        </w:rPr>
        <w:t xml:space="preserve"> prior inconsistent testimony from the first trial in the cross-examination of an accused at a retrial. The accused had chosen to testify twice and had changed his evidence from the first trial to the second. In </w:t>
      </w:r>
      <w:proofErr w:type="spellStart"/>
      <w:r w:rsidRPr="00AC789B">
        <w:rPr>
          <w:rFonts w:cs="Times New Roman"/>
          <w:i/>
        </w:rPr>
        <w:lastRenderedPageBreak/>
        <w:t>Mannion</w:t>
      </w:r>
      <w:proofErr w:type="spellEnd"/>
      <w:r w:rsidRPr="00AC789B">
        <w:rPr>
          <w:rFonts w:cs="Times New Roman"/>
        </w:rPr>
        <w:t>,</w:t>
      </w:r>
      <w:r w:rsidRPr="00AC789B">
        <w:rPr>
          <w:rFonts w:cs="Times New Roman"/>
          <w:i/>
        </w:rPr>
        <w:t xml:space="preserve"> </w:t>
      </w:r>
      <w:r w:rsidRPr="00AC789B">
        <w:rPr>
          <w:rFonts w:cs="Times New Roman"/>
        </w:rPr>
        <w:t>the Court had held that the cross-examination on his prior evidence was improper.</w:t>
      </w:r>
    </w:p>
    <w:p w:rsidR="00AC4C1F" w:rsidRPr="00AC789B" w:rsidRDefault="00AC4C1F" w:rsidP="00AC4C1F">
      <w:pPr>
        <w:pStyle w:val="ParaNoNdepar-AltN"/>
        <w:rPr>
          <w:rFonts w:cs="Times New Roman"/>
        </w:rPr>
      </w:pPr>
      <w:r w:rsidRPr="00AC789B">
        <w:rPr>
          <w:rFonts w:cs="Times New Roman"/>
        </w:rPr>
        <w:t xml:space="preserve">Binnie J. noted that, in </w:t>
      </w:r>
      <w:proofErr w:type="spellStart"/>
      <w:r w:rsidRPr="00AC789B">
        <w:rPr>
          <w:rFonts w:cs="Times New Roman"/>
          <w:i/>
        </w:rPr>
        <w:t>Mannion</w:t>
      </w:r>
      <w:proofErr w:type="spellEnd"/>
      <w:r w:rsidRPr="00AC789B">
        <w:rPr>
          <w:rFonts w:cs="Times New Roman"/>
        </w:rPr>
        <w:t xml:space="preserve">, the Court had focused on the purpose of the cross-examination (incrimination) rather than on the purpose of s. 13 (protection against </w:t>
      </w:r>
      <w:r w:rsidRPr="00AC789B">
        <w:rPr>
          <w:rFonts w:cs="Times New Roman"/>
          <w:i/>
        </w:rPr>
        <w:t>compelled</w:t>
      </w:r>
      <w:r w:rsidRPr="00AC789B">
        <w:rPr>
          <w:rFonts w:cs="Times New Roman"/>
        </w:rPr>
        <w:t xml:space="preserve"> self-incrimination). He stated that, although the Court had concluded that </w:t>
      </w:r>
      <w:r w:rsidRPr="00AC789B">
        <w:rPr>
          <w:rFonts w:cs="Times New Roman"/>
          <w:i/>
        </w:rPr>
        <w:t>Dubois</w:t>
      </w:r>
      <w:r w:rsidRPr="00AC789B">
        <w:rPr>
          <w:rFonts w:cs="Times New Roman"/>
        </w:rPr>
        <w:t xml:space="preserve"> dictated the outcome in </w:t>
      </w:r>
      <w:proofErr w:type="spellStart"/>
      <w:r w:rsidRPr="00AC789B">
        <w:rPr>
          <w:rFonts w:cs="Times New Roman"/>
          <w:i/>
        </w:rPr>
        <w:t>Mannion</w:t>
      </w:r>
      <w:proofErr w:type="spellEnd"/>
      <w:r w:rsidRPr="00AC789B">
        <w:rPr>
          <w:rFonts w:cs="Times New Roman"/>
        </w:rPr>
        <w:t xml:space="preserve">, the Court had not commented on a key distinction: Dubois was a compelled witness at the second trial (since he had chosen not to testify), while </w:t>
      </w:r>
      <w:proofErr w:type="spellStart"/>
      <w:r w:rsidRPr="00AC789B">
        <w:rPr>
          <w:rFonts w:cs="Times New Roman"/>
        </w:rPr>
        <w:t>Mannion</w:t>
      </w:r>
      <w:proofErr w:type="spellEnd"/>
      <w:r w:rsidRPr="00AC789B">
        <w:rPr>
          <w:rFonts w:cs="Times New Roman"/>
        </w:rPr>
        <w:t xml:space="preserve"> had testified voluntarily at both trials. </w:t>
      </w:r>
    </w:p>
    <w:p w:rsidR="00AC4C1F" w:rsidRPr="00AC789B" w:rsidRDefault="00AC4C1F" w:rsidP="00AC4C1F">
      <w:pPr>
        <w:pStyle w:val="ParaNoNdepar-AltN"/>
        <w:rPr>
          <w:rFonts w:cs="Times New Roman"/>
        </w:rPr>
      </w:pPr>
      <w:r w:rsidRPr="00AC789B">
        <w:rPr>
          <w:rFonts w:cs="Times New Roman"/>
        </w:rPr>
        <w:t xml:space="preserve">This distinction was key to understanding the </w:t>
      </w:r>
      <w:r w:rsidRPr="00AC789B">
        <w:rPr>
          <w:rFonts w:cs="Times New Roman"/>
          <w:i/>
        </w:rPr>
        <w:t>quid pro quo</w:t>
      </w:r>
      <w:r w:rsidRPr="00AC789B">
        <w:rPr>
          <w:rFonts w:cs="Times New Roman"/>
        </w:rPr>
        <w:t xml:space="preserve"> principle underlying s. 13, and therefore to understanding s. 13’s proper application.  Binnie J. explained it in this way, at </w:t>
      </w:r>
      <w:proofErr w:type="spellStart"/>
      <w:r w:rsidRPr="00AC789B">
        <w:rPr>
          <w:rFonts w:cs="Times New Roman"/>
        </w:rPr>
        <w:t>para</w:t>
      </w:r>
      <w:proofErr w:type="spellEnd"/>
      <w:r w:rsidRPr="00AC789B">
        <w:rPr>
          <w:rFonts w:cs="Times New Roman"/>
        </w:rPr>
        <w:t>. 42:</w:t>
      </w:r>
    </w:p>
    <w:p w:rsidR="00AC4C1F" w:rsidRPr="00AC789B" w:rsidRDefault="005B276D" w:rsidP="005B276D">
      <w:pPr>
        <w:pStyle w:val="Citation-AltC"/>
        <w:tabs>
          <w:tab w:val="left" w:pos="1170"/>
        </w:tabs>
        <w:ind w:hanging="1166"/>
      </w:pPr>
      <w:r w:rsidRPr="00AC789B">
        <w:tab/>
      </w:r>
      <w:r w:rsidR="00AC4C1F" w:rsidRPr="00AC789B">
        <w:t xml:space="preserve">In </w:t>
      </w:r>
      <w:r w:rsidR="00AC4C1F" w:rsidRPr="00AC789B">
        <w:rPr>
          <w:i/>
        </w:rPr>
        <w:t>Dubois</w:t>
      </w:r>
      <w:r w:rsidR="00AC4C1F" w:rsidRPr="00AC789B">
        <w:t xml:space="preserve">, the prosecution sought to pre-empt the right of the accused not to testify. The filing of the earlier testimony was compelled self-incrimination. In </w:t>
      </w:r>
      <w:proofErr w:type="spellStart"/>
      <w:r w:rsidR="00AC4C1F" w:rsidRPr="00AC789B">
        <w:rPr>
          <w:i/>
        </w:rPr>
        <w:t>Mannion</w:t>
      </w:r>
      <w:proofErr w:type="spellEnd"/>
      <w:r w:rsidR="00AC4C1F" w:rsidRPr="00AC789B">
        <w:t xml:space="preserve">, there was no such compulsion. The accused freely testified at his first trial and freely testified at his second trial. The compulsion, which lies at the root of the </w:t>
      </w:r>
      <w:r w:rsidR="00AC4C1F" w:rsidRPr="00AC789B">
        <w:rPr>
          <w:i/>
        </w:rPr>
        <w:t>quid pro quo</w:t>
      </w:r>
      <w:r w:rsidR="00AC4C1F" w:rsidRPr="00AC789B">
        <w:t xml:space="preserve"> which in turn lies at the root of s. 13, was missing. Experience in the 20 years since </w:t>
      </w:r>
      <w:r w:rsidR="00AC4C1F" w:rsidRPr="00AC789B">
        <w:rPr>
          <w:i/>
        </w:rPr>
        <w:t>Dubois</w:t>
      </w:r>
      <w:r w:rsidR="00AC4C1F" w:rsidRPr="00AC789B">
        <w:t xml:space="preserve"> and </w:t>
      </w:r>
      <w:proofErr w:type="spellStart"/>
      <w:r w:rsidR="00AC4C1F" w:rsidRPr="00AC789B">
        <w:rPr>
          <w:i/>
        </w:rPr>
        <w:t>Mannion</w:t>
      </w:r>
      <w:proofErr w:type="spellEnd"/>
      <w:r w:rsidR="00AC4C1F" w:rsidRPr="00AC789B">
        <w:t xml:space="preserve"> were decided shows that taking our eye off the underlying purpose of s. 13 has given rise to a number of distinctions and sub-distinctions that in the end have proven unworkable.</w:t>
      </w:r>
    </w:p>
    <w:p w:rsidR="00AC4C1F" w:rsidRPr="00AC789B" w:rsidRDefault="00AC4C1F" w:rsidP="00AC4C1F">
      <w:pPr>
        <w:pStyle w:val="ContinueParaSuitedupar-AltP"/>
        <w:rPr>
          <w:rFonts w:cs="Times New Roman"/>
        </w:rPr>
      </w:pPr>
      <w:r w:rsidRPr="00AC789B">
        <w:rPr>
          <w:rFonts w:cs="Times New Roman"/>
        </w:rPr>
        <w:t>One such unworkable distinction was the one “between use of prior statements for the impeachment of credibility and use of prior statements for the purpose of incrimination” (</w:t>
      </w:r>
      <w:proofErr w:type="spellStart"/>
      <w:r w:rsidRPr="00AC789B">
        <w:rPr>
          <w:rFonts w:cs="Times New Roman"/>
        </w:rPr>
        <w:t>para</w:t>
      </w:r>
      <w:proofErr w:type="spellEnd"/>
      <w:r w:rsidRPr="00AC789B">
        <w:rPr>
          <w:rFonts w:cs="Times New Roman"/>
        </w:rPr>
        <w:t>. 42).</w:t>
      </w:r>
    </w:p>
    <w:p w:rsidR="00AC4C1F" w:rsidRPr="00AC789B" w:rsidRDefault="00AC4C1F" w:rsidP="00AC4C1F">
      <w:pPr>
        <w:pStyle w:val="ParaNoNdepar-AltN"/>
        <w:rPr>
          <w:rFonts w:cs="Times New Roman"/>
        </w:rPr>
      </w:pPr>
      <w:r w:rsidRPr="00AC789B">
        <w:rPr>
          <w:rFonts w:cs="Times New Roman"/>
        </w:rPr>
        <w:lastRenderedPageBreak/>
        <w:t xml:space="preserve">In </w:t>
      </w:r>
      <w:r w:rsidRPr="00AC789B">
        <w:rPr>
          <w:rFonts w:cs="Times New Roman"/>
          <w:i/>
        </w:rPr>
        <w:t>Henry</w:t>
      </w:r>
      <w:r w:rsidRPr="00AC789B">
        <w:rPr>
          <w:rFonts w:cs="Times New Roman"/>
        </w:rPr>
        <w:t>, the Court</w:t>
      </w:r>
      <w:r w:rsidRPr="00AC789B">
        <w:rPr>
          <w:rFonts w:cs="Times New Roman"/>
          <w:i/>
        </w:rPr>
        <w:t xml:space="preserve"> </w:t>
      </w:r>
      <w:r w:rsidRPr="00AC789B">
        <w:rPr>
          <w:rFonts w:cs="Times New Roman"/>
        </w:rPr>
        <w:t xml:space="preserve">overruled </w:t>
      </w:r>
      <w:proofErr w:type="spellStart"/>
      <w:r w:rsidRPr="00AC789B">
        <w:rPr>
          <w:rFonts w:cs="Times New Roman"/>
          <w:i/>
        </w:rPr>
        <w:t>Mannion</w:t>
      </w:r>
      <w:proofErr w:type="spellEnd"/>
      <w:r w:rsidRPr="00AC789B">
        <w:rPr>
          <w:rFonts w:cs="Times New Roman"/>
          <w:i/>
        </w:rPr>
        <w:t xml:space="preserve"> </w:t>
      </w:r>
      <w:r w:rsidRPr="00AC789B">
        <w:rPr>
          <w:rFonts w:cs="Times New Roman"/>
        </w:rPr>
        <w:t xml:space="preserve">for three main reasons. First, it had not been guided by the </w:t>
      </w:r>
      <w:r w:rsidRPr="00AC789B">
        <w:rPr>
          <w:rFonts w:cs="Times New Roman"/>
          <w:i/>
        </w:rPr>
        <w:t>quid pro quo</w:t>
      </w:r>
      <w:r w:rsidRPr="00AC789B">
        <w:rPr>
          <w:rFonts w:cs="Times New Roman"/>
        </w:rPr>
        <w:t xml:space="preserve"> principle underlying s. 13. Second, failing to adhere to s. 13’s purpose had created distinctions between impeachment of credibility and incrimination that were unworkable in practice. In </w:t>
      </w:r>
      <w:r w:rsidRPr="00AC789B">
        <w:rPr>
          <w:rFonts w:cs="Times New Roman"/>
          <w:i/>
        </w:rPr>
        <w:t>Henry</w:t>
      </w:r>
      <w:r w:rsidRPr="00AC789B">
        <w:rPr>
          <w:rFonts w:cs="Times New Roman"/>
        </w:rPr>
        <w:t>, the Court</w:t>
      </w:r>
      <w:r w:rsidRPr="00AC789B">
        <w:rPr>
          <w:rFonts w:cs="Times New Roman"/>
          <w:i/>
        </w:rPr>
        <w:t xml:space="preserve"> </w:t>
      </w:r>
      <w:r w:rsidRPr="00AC789B">
        <w:rPr>
          <w:rFonts w:cs="Times New Roman"/>
        </w:rPr>
        <w:t xml:space="preserve">did away with those distinctions and properly returned the focus to the </w:t>
      </w:r>
      <w:r w:rsidRPr="00AC789B">
        <w:rPr>
          <w:rFonts w:cs="Times New Roman"/>
          <w:i/>
        </w:rPr>
        <w:t>quid pro quo</w:t>
      </w:r>
      <w:r w:rsidRPr="00AC789B">
        <w:rPr>
          <w:rFonts w:cs="Times New Roman"/>
        </w:rPr>
        <w:t xml:space="preserve">: compelled testimony in exchange for s. 13 protection against subsequent use of that testimony against the accused. Third, </w:t>
      </w:r>
      <w:proofErr w:type="spellStart"/>
      <w:r w:rsidRPr="00AC789B">
        <w:rPr>
          <w:rFonts w:cs="Times New Roman"/>
          <w:i/>
        </w:rPr>
        <w:t>Mannion</w:t>
      </w:r>
      <w:proofErr w:type="spellEnd"/>
      <w:r w:rsidRPr="00AC789B">
        <w:rPr>
          <w:rFonts w:cs="Times New Roman"/>
        </w:rPr>
        <w:t xml:space="preserve"> had led to an unprincipled distinction between an accused who voluntarily testified at his or her trial and retrial and an accused who was not an accused but a compellable witness in the first proceeding. By returning to the </w:t>
      </w:r>
      <w:r w:rsidRPr="00AC789B">
        <w:rPr>
          <w:rFonts w:cs="Times New Roman"/>
          <w:i/>
        </w:rPr>
        <w:t xml:space="preserve">quid pro quo </w:t>
      </w:r>
      <w:r w:rsidRPr="00AC789B">
        <w:rPr>
          <w:rFonts w:cs="Times New Roman"/>
        </w:rPr>
        <w:t xml:space="preserve">in </w:t>
      </w:r>
      <w:r w:rsidRPr="00AC789B">
        <w:rPr>
          <w:rFonts w:cs="Times New Roman"/>
          <w:i/>
        </w:rPr>
        <w:t>Henry</w:t>
      </w:r>
      <w:r w:rsidRPr="00AC789B">
        <w:rPr>
          <w:rFonts w:cs="Times New Roman"/>
        </w:rPr>
        <w:t xml:space="preserve">, the Court restored the balance: it strengthened a </w:t>
      </w:r>
      <w:r w:rsidRPr="00AC789B">
        <w:rPr>
          <w:rFonts w:cs="Times New Roman"/>
          <w:i/>
        </w:rPr>
        <w:t>compellable</w:t>
      </w:r>
      <w:r w:rsidRPr="00AC789B">
        <w:rPr>
          <w:rFonts w:cs="Times New Roman"/>
        </w:rPr>
        <w:t xml:space="preserve"> witness’s s. 13 </w:t>
      </w:r>
      <w:proofErr w:type="gramStart"/>
      <w:r w:rsidRPr="00AC789B">
        <w:rPr>
          <w:rFonts w:cs="Times New Roman"/>
        </w:rPr>
        <w:t>protection</w:t>
      </w:r>
      <w:proofErr w:type="gramEnd"/>
      <w:r w:rsidRPr="00AC789B">
        <w:rPr>
          <w:rFonts w:cs="Times New Roman"/>
        </w:rPr>
        <w:t xml:space="preserve"> while taking s. 13 protection away from an accused who has volunteered evidence in his or her own defence (</w:t>
      </w:r>
      <w:proofErr w:type="spellStart"/>
      <w:r w:rsidRPr="00AC789B">
        <w:rPr>
          <w:rFonts w:cs="Times New Roman"/>
        </w:rPr>
        <w:t>para</w:t>
      </w:r>
      <w:proofErr w:type="spellEnd"/>
      <w:r w:rsidRPr="00AC789B">
        <w:rPr>
          <w:rFonts w:cs="Times New Roman"/>
        </w:rPr>
        <w:t xml:space="preserve">. 60). This was justified because, as Binnie J. noted, </w:t>
      </w:r>
    </w:p>
    <w:p w:rsidR="00AC4C1F" w:rsidRPr="00AC789B" w:rsidRDefault="005B276D" w:rsidP="005B276D">
      <w:pPr>
        <w:pStyle w:val="Citation-AltC"/>
        <w:tabs>
          <w:tab w:val="left" w:pos="1170"/>
        </w:tabs>
        <w:ind w:hanging="1166"/>
      </w:pPr>
      <w:r w:rsidRPr="00AC789B">
        <w:tab/>
      </w:r>
      <w:r w:rsidR="00AC4C1F" w:rsidRPr="00AC789B">
        <w:t>[a]</w:t>
      </w:r>
      <w:proofErr w:type="spellStart"/>
      <w:r w:rsidR="00AC4C1F" w:rsidRPr="00AC789B">
        <w:t>ccused</w:t>
      </w:r>
      <w:proofErr w:type="spellEnd"/>
      <w:r w:rsidR="00AC4C1F" w:rsidRPr="00AC789B">
        <w:t xml:space="preserve"> persons who testify at their first trial and then volunteer inconsistent testimony at the retrial on the same charge are in no need of protection “from being indirectly compelled to incriminate themselves” in any relevant sense of the word, and s. 13 protection should not be available to them. [Emphasis deleted; </w:t>
      </w:r>
      <w:proofErr w:type="spellStart"/>
      <w:r w:rsidR="00AC4C1F" w:rsidRPr="00AC789B">
        <w:t>para</w:t>
      </w:r>
      <w:proofErr w:type="spellEnd"/>
      <w:r w:rsidR="00AC4C1F" w:rsidRPr="00AC789B">
        <w:t xml:space="preserve">. 47.] </w:t>
      </w:r>
    </w:p>
    <w:p w:rsidR="00AC4C1F" w:rsidRPr="00AC789B" w:rsidRDefault="00AC4C1F" w:rsidP="00AC4C1F">
      <w:pPr>
        <w:pStyle w:val="ParaNoNdepar-AltN"/>
        <w:rPr>
          <w:rFonts w:cs="Times New Roman"/>
        </w:rPr>
      </w:pPr>
      <w:r w:rsidRPr="00AC789B">
        <w:rPr>
          <w:rFonts w:cs="Times New Roman"/>
        </w:rPr>
        <w:t xml:space="preserve">Next, Binnie J. considered </w:t>
      </w:r>
      <w:proofErr w:type="spellStart"/>
      <w:r w:rsidRPr="00AC789B">
        <w:rPr>
          <w:rFonts w:cs="Times New Roman"/>
          <w:i/>
        </w:rPr>
        <w:t>Kuldip</w:t>
      </w:r>
      <w:proofErr w:type="spellEnd"/>
      <w:r w:rsidRPr="00AC789B">
        <w:rPr>
          <w:rFonts w:cs="Times New Roman"/>
        </w:rPr>
        <w:t xml:space="preserve">, in which the accused, as in </w:t>
      </w:r>
      <w:proofErr w:type="spellStart"/>
      <w:r w:rsidRPr="00AC789B">
        <w:rPr>
          <w:rFonts w:cs="Times New Roman"/>
          <w:i/>
        </w:rPr>
        <w:t>Mannion</w:t>
      </w:r>
      <w:proofErr w:type="spellEnd"/>
      <w:r w:rsidRPr="00AC789B">
        <w:rPr>
          <w:rFonts w:cs="Times New Roman"/>
        </w:rPr>
        <w:t xml:space="preserve">, had volunteered inconsistent testimony at his trial and at his retrial. In </w:t>
      </w:r>
      <w:proofErr w:type="spellStart"/>
      <w:r w:rsidRPr="00AC789B">
        <w:rPr>
          <w:rFonts w:cs="Times New Roman"/>
          <w:i/>
        </w:rPr>
        <w:t>Kuldip</w:t>
      </w:r>
      <w:proofErr w:type="spellEnd"/>
      <w:r w:rsidRPr="00AC789B">
        <w:rPr>
          <w:rFonts w:cs="Times New Roman"/>
        </w:rPr>
        <w:t xml:space="preserve">, however, the Court had distinguished </w:t>
      </w:r>
      <w:proofErr w:type="spellStart"/>
      <w:r w:rsidRPr="00AC789B">
        <w:rPr>
          <w:rFonts w:cs="Times New Roman"/>
          <w:i/>
        </w:rPr>
        <w:t>Mannion</w:t>
      </w:r>
      <w:proofErr w:type="spellEnd"/>
      <w:r w:rsidRPr="00AC789B">
        <w:rPr>
          <w:rFonts w:cs="Times New Roman"/>
        </w:rPr>
        <w:t xml:space="preserve"> on the basis that the Crown was seeking to cross-examine the accused on his prior evidence for the purpose of </w:t>
      </w:r>
      <w:r w:rsidRPr="00AC789B">
        <w:rPr>
          <w:rFonts w:cs="Times New Roman"/>
        </w:rPr>
        <w:lastRenderedPageBreak/>
        <w:t xml:space="preserve">impeachment and not for the purpose of incrimination. On the basis of this distinction, the Court held in </w:t>
      </w:r>
      <w:proofErr w:type="spellStart"/>
      <w:r w:rsidRPr="00AC789B">
        <w:rPr>
          <w:rFonts w:cs="Times New Roman"/>
          <w:i/>
        </w:rPr>
        <w:t>Kuldip</w:t>
      </w:r>
      <w:proofErr w:type="spellEnd"/>
      <w:r w:rsidRPr="00AC789B">
        <w:rPr>
          <w:rFonts w:cs="Times New Roman"/>
        </w:rPr>
        <w:t xml:space="preserve"> that the cross-examination was proper.  </w:t>
      </w:r>
    </w:p>
    <w:p w:rsidR="00AC4C1F" w:rsidRPr="00AC789B" w:rsidRDefault="00AC4C1F" w:rsidP="00AC4C1F">
      <w:pPr>
        <w:pStyle w:val="ParaNoNdepar-AltN"/>
        <w:rPr>
          <w:rFonts w:cs="Times New Roman"/>
        </w:rPr>
      </w:pPr>
      <w:r w:rsidRPr="00AC789B">
        <w:rPr>
          <w:rFonts w:cs="Times New Roman"/>
        </w:rPr>
        <w:t xml:space="preserve">Binnie J. noted that the result in </w:t>
      </w:r>
      <w:proofErr w:type="spellStart"/>
      <w:r w:rsidRPr="00AC789B">
        <w:rPr>
          <w:rFonts w:cs="Times New Roman"/>
          <w:i/>
        </w:rPr>
        <w:t>Kuldip</w:t>
      </w:r>
      <w:proofErr w:type="spellEnd"/>
      <w:r w:rsidRPr="00AC789B">
        <w:rPr>
          <w:rFonts w:cs="Times New Roman"/>
          <w:i/>
        </w:rPr>
        <w:t xml:space="preserve"> </w:t>
      </w:r>
      <w:r w:rsidRPr="00AC789B">
        <w:rPr>
          <w:rFonts w:cs="Times New Roman"/>
        </w:rPr>
        <w:t xml:space="preserve">was correct, although not for the reasons stated by the Court. It was correct, rather, because the </w:t>
      </w:r>
      <w:r w:rsidRPr="00AC789B">
        <w:rPr>
          <w:rFonts w:cs="Times New Roman"/>
          <w:i/>
        </w:rPr>
        <w:t>quid pro quo</w:t>
      </w:r>
      <w:r w:rsidRPr="00AC789B">
        <w:rPr>
          <w:rFonts w:cs="Times New Roman"/>
        </w:rPr>
        <w:t xml:space="preserve"> was not engaged. He reiterated that the distinction between using prior evidence to impeach credibility and using it to incriminate posed problems in practice. In making the point, he quoted Martin J.A. from the Court of Appeal’s decision in </w:t>
      </w:r>
      <w:r w:rsidRPr="00AC789B">
        <w:rPr>
          <w:rFonts w:cs="Times New Roman"/>
          <w:i/>
        </w:rPr>
        <w:t>R. v.</w:t>
      </w:r>
      <w:r w:rsidRPr="00AC789B">
        <w:rPr>
          <w:rFonts w:cs="Times New Roman"/>
        </w:rPr>
        <w:t xml:space="preserve"> </w:t>
      </w:r>
      <w:proofErr w:type="spellStart"/>
      <w:r w:rsidRPr="00AC789B">
        <w:rPr>
          <w:rFonts w:cs="Times New Roman"/>
          <w:i/>
        </w:rPr>
        <w:t>Kuldip</w:t>
      </w:r>
      <w:proofErr w:type="spellEnd"/>
      <w:r w:rsidRPr="00AC789B">
        <w:rPr>
          <w:rFonts w:cs="Times New Roman"/>
          <w:i/>
        </w:rPr>
        <w:t xml:space="preserve"> </w:t>
      </w:r>
      <w:r w:rsidRPr="00AC789B">
        <w:rPr>
          <w:rFonts w:cs="Times New Roman"/>
        </w:rPr>
        <w:t>(19</w:t>
      </w:r>
      <w:r w:rsidR="005B276D" w:rsidRPr="00AC789B">
        <w:rPr>
          <w:rFonts w:cs="Times New Roman"/>
        </w:rPr>
        <w:t>8</w:t>
      </w:r>
      <w:r w:rsidRPr="00AC789B">
        <w:rPr>
          <w:rFonts w:cs="Times New Roman"/>
        </w:rPr>
        <w:t>8), 40 C.C.C. (3d) 11</w:t>
      </w:r>
      <w:r w:rsidR="005B276D" w:rsidRPr="00AC789B">
        <w:rPr>
          <w:rFonts w:cs="Times New Roman"/>
        </w:rPr>
        <w:t xml:space="preserve">, at </w:t>
      </w:r>
      <w:proofErr w:type="spellStart"/>
      <w:r w:rsidR="005B276D" w:rsidRPr="00AC789B">
        <w:rPr>
          <w:rFonts w:cs="Times New Roman"/>
        </w:rPr>
        <w:t>para</w:t>
      </w:r>
      <w:proofErr w:type="spellEnd"/>
      <w:r w:rsidR="005B276D" w:rsidRPr="00AC789B">
        <w:rPr>
          <w:rFonts w:cs="Times New Roman"/>
        </w:rPr>
        <w:t>. 35</w:t>
      </w:r>
      <w:r w:rsidRPr="00AC789B">
        <w:rPr>
          <w:rFonts w:cs="Times New Roman"/>
        </w:rPr>
        <w:t>:</w:t>
      </w:r>
    </w:p>
    <w:p w:rsidR="00AC4C1F" w:rsidRPr="00AC789B" w:rsidRDefault="005B276D" w:rsidP="005B276D">
      <w:pPr>
        <w:pStyle w:val="Citation-AltC"/>
        <w:tabs>
          <w:tab w:val="left" w:pos="1620"/>
        </w:tabs>
        <w:ind w:hanging="1166"/>
      </w:pPr>
      <w:r w:rsidRPr="00AC789B">
        <w:tab/>
      </w:r>
      <w:r w:rsidRPr="00AC789B">
        <w:tab/>
      </w:r>
      <w:r w:rsidR="00AC4C1F" w:rsidRPr="00AC789B">
        <w:t xml:space="preserve">Furthermore, in my view, where the prior evidence is used ostensibly to impeach the </w:t>
      </w:r>
      <w:proofErr w:type="spellStart"/>
      <w:r w:rsidR="00AC4C1F" w:rsidRPr="00AC789B">
        <w:t>accused’s</w:t>
      </w:r>
      <w:proofErr w:type="spellEnd"/>
      <w:r w:rsidR="00AC4C1F" w:rsidRPr="00AC789B">
        <w:t xml:space="preserve"> credibility only, it nevertheless does assist the Crown in its case and, in a broad sense, may help to prove guilt. It is often difficult to draw a clear line between cross-examination on the </w:t>
      </w:r>
      <w:proofErr w:type="spellStart"/>
      <w:r w:rsidR="00AC4C1F" w:rsidRPr="00AC789B">
        <w:t>accused’s</w:t>
      </w:r>
      <w:proofErr w:type="spellEnd"/>
      <w:r w:rsidR="00AC4C1F" w:rsidRPr="00AC789B">
        <w:t xml:space="preserve"> prior testimony for the purpose of incriminating him and such cross-examination for the purpose of impeaching his credibility. If the court concludes on the basis of the </w:t>
      </w:r>
      <w:proofErr w:type="spellStart"/>
      <w:r w:rsidR="00AC4C1F" w:rsidRPr="00AC789B">
        <w:t>accused’s</w:t>
      </w:r>
      <w:proofErr w:type="spellEnd"/>
      <w:r w:rsidR="00AC4C1F" w:rsidRPr="00AC789B">
        <w:t xml:space="preserve"> contradictory statements that he deliberately lied on a material matter, that lie could give rise to an inference of guilt. </w:t>
      </w:r>
      <w:proofErr w:type="gramStart"/>
      <w:r w:rsidR="00AC4C1F" w:rsidRPr="00AC789B">
        <w:t>[</w:t>
      </w:r>
      <w:r w:rsidRPr="00AC789B">
        <w:t>Q</w:t>
      </w:r>
      <w:r w:rsidR="00AC4C1F" w:rsidRPr="00AC789B">
        <w:t xml:space="preserve">uoting </w:t>
      </w:r>
      <w:r w:rsidRPr="00AC789B">
        <w:t xml:space="preserve">the </w:t>
      </w:r>
      <w:r w:rsidR="00AC4C1F" w:rsidRPr="00AC789B">
        <w:t>Court of Appeal</w:t>
      </w:r>
      <w:r w:rsidRPr="00AC789B">
        <w:t xml:space="preserve"> decision</w:t>
      </w:r>
      <w:r w:rsidR="00AC4C1F" w:rsidRPr="00AC789B">
        <w:t>, at p. 23.]</w:t>
      </w:r>
      <w:proofErr w:type="gramEnd"/>
      <w:r w:rsidRPr="00AC789B">
        <w:t xml:space="preserve"> </w:t>
      </w:r>
    </w:p>
    <w:p w:rsidR="00AC4C1F" w:rsidRPr="00AC789B" w:rsidRDefault="00AC4C1F" w:rsidP="00AC4C1F">
      <w:pPr>
        <w:pStyle w:val="ParaNoNdepar-AltN"/>
        <w:rPr>
          <w:rFonts w:cs="Times New Roman"/>
        </w:rPr>
      </w:pPr>
      <w:r w:rsidRPr="00AC789B">
        <w:rPr>
          <w:rFonts w:cs="Times New Roman"/>
        </w:rPr>
        <w:t xml:space="preserve">Indeed, in the instant case, the Crown submits that a prosecution for perjury or the giving of contradictory evidence would be </w:t>
      </w:r>
      <w:r w:rsidR="005B276D" w:rsidRPr="00AC789B">
        <w:rPr>
          <w:rFonts w:cs="Times New Roman"/>
        </w:rPr>
        <w:t>“</w:t>
      </w:r>
      <w:r w:rsidRPr="00AC789B">
        <w:rPr>
          <w:rFonts w:cs="Times New Roman"/>
        </w:rPr>
        <w:t xml:space="preserve">an inadequate remedy for an </w:t>
      </w:r>
      <w:r w:rsidRPr="00AC789B">
        <w:rPr>
          <w:rFonts w:cs="Times New Roman"/>
          <w:u w:val="single"/>
        </w:rPr>
        <w:t>acquittal</w:t>
      </w:r>
      <w:r w:rsidRPr="00AC789B">
        <w:rPr>
          <w:rFonts w:cs="Times New Roman"/>
        </w:rPr>
        <w:t xml:space="preserve">” (A.F., at </w:t>
      </w:r>
      <w:proofErr w:type="spellStart"/>
      <w:r w:rsidRPr="00AC789B">
        <w:rPr>
          <w:rFonts w:cs="Times New Roman"/>
        </w:rPr>
        <w:t>para</w:t>
      </w:r>
      <w:proofErr w:type="spellEnd"/>
      <w:r w:rsidRPr="00AC789B">
        <w:rPr>
          <w:rFonts w:cs="Times New Roman"/>
        </w:rPr>
        <w:t xml:space="preserve">. 75 </w:t>
      </w:r>
      <w:r w:rsidR="005B276D" w:rsidRPr="00AC789B">
        <w:rPr>
          <w:rFonts w:cs="Times New Roman"/>
        </w:rPr>
        <w:t>(</w:t>
      </w:r>
      <w:r w:rsidRPr="00AC789B">
        <w:rPr>
          <w:rFonts w:cs="Times New Roman"/>
        </w:rPr>
        <w:t>emphasis added</w:t>
      </w:r>
      <w:r w:rsidR="005B276D" w:rsidRPr="00AC789B">
        <w:rPr>
          <w:rFonts w:cs="Times New Roman"/>
        </w:rPr>
        <w:t>)</w:t>
      </w:r>
      <w:r w:rsidRPr="00AC789B">
        <w:rPr>
          <w:rFonts w:cs="Times New Roman"/>
        </w:rPr>
        <w:t xml:space="preserve">).  In other words, if a </w:t>
      </w:r>
      <w:proofErr w:type="spellStart"/>
      <w:r w:rsidRPr="00AC789B">
        <w:rPr>
          <w:rFonts w:cs="Times New Roman"/>
        </w:rPr>
        <w:t>trier</w:t>
      </w:r>
      <w:proofErr w:type="spellEnd"/>
      <w:r w:rsidRPr="00AC789B">
        <w:rPr>
          <w:rFonts w:cs="Times New Roman"/>
        </w:rPr>
        <w:t xml:space="preserve"> of fact were deprived of hearing prior inconsistent evidence given by an accused, an acquittal could result.  The Crown therefore acknowledges that even evidence used solely for impeachment purposes can make the difference between a conviction and an acquittal.  How, then, can one say that such evidence is not “incriminating” within the meaning of s. 13? </w:t>
      </w:r>
    </w:p>
    <w:p w:rsidR="00AC4C1F" w:rsidRPr="00AC789B" w:rsidRDefault="00AC4C1F" w:rsidP="00AC4C1F">
      <w:pPr>
        <w:pStyle w:val="ParaNoNdepar-AltN"/>
        <w:rPr>
          <w:rFonts w:cs="Times New Roman"/>
        </w:rPr>
      </w:pPr>
      <w:r w:rsidRPr="00AC789B">
        <w:rPr>
          <w:rFonts w:cs="Times New Roman"/>
        </w:rPr>
        <w:lastRenderedPageBreak/>
        <w:t xml:space="preserve">Binnie J. then considered </w:t>
      </w:r>
      <w:r w:rsidRPr="00AC789B">
        <w:rPr>
          <w:rFonts w:cs="Times New Roman"/>
          <w:i/>
        </w:rPr>
        <w:t>Noël</w:t>
      </w:r>
      <w:r w:rsidRPr="00AC789B">
        <w:rPr>
          <w:rFonts w:cs="Times New Roman"/>
        </w:rPr>
        <w:t xml:space="preserve">. In that case, the accused had been a compellable witness at his brother’s murder trial and had given evidence that implicated </w:t>
      </w:r>
      <w:proofErr w:type="gramStart"/>
      <w:r w:rsidRPr="00AC789B">
        <w:rPr>
          <w:rFonts w:cs="Times New Roman"/>
        </w:rPr>
        <w:t>himself</w:t>
      </w:r>
      <w:proofErr w:type="gramEnd"/>
      <w:r w:rsidRPr="00AC789B">
        <w:rPr>
          <w:rFonts w:cs="Times New Roman"/>
        </w:rPr>
        <w:t xml:space="preserve"> in the offence. When he was subsequently charged, he testified in his own defence and denied any involvement in the murder.</w:t>
      </w:r>
    </w:p>
    <w:p w:rsidR="00AC4C1F" w:rsidRPr="00AC789B" w:rsidRDefault="00AC4C1F" w:rsidP="00AC4C1F">
      <w:pPr>
        <w:pStyle w:val="ParaNoNdepar-AltN"/>
        <w:rPr>
          <w:rFonts w:cs="Times New Roman"/>
        </w:rPr>
      </w:pPr>
      <w:r w:rsidRPr="00AC789B">
        <w:rPr>
          <w:rFonts w:cs="Times New Roman"/>
        </w:rPr>
        <w:t xml:space="preserve">Arbour J., writing for the majority in </w:t>
      </w:r>
      <w:r w:rsidRPr="00AC789B">
        <w:rPr>
          <w:rFonts w:cs="Times New Roman"/>
          <w:i/>
        </w:rPr>
        <w:t>Noël</w:t>
      </w:r>
      <w:r w:rsidRPr="00AC789B">
        <w:rPr>
          <w:rFonts w:cs="Times New Roman"/>
        </w:rPr>
        <w:t xml:space="preserve">, held that the cross-examination on the earlier evidence of the accused was impermissible. In doing so, she put the emphasis of the analysis back on the </w:t>
      </w:r>
      <w:r w:rsidRPr="00AC789B">
        <w:rPr>
          <w:rFonts w:cs="Times New Roman"/>
          <w:i/>
        </w:rPr>
        <w:t>quid pro quo</w:t>
      </w:r>
      <w:r w:rsidRPr="00AC789B">
        <w:rPr>
          <w:rFonts w:cs="Times New Roman"/>
        </w:rPr>
        <w:t xml:space="preserve">: </w:t>
      </w:r>
    </w:p>
    <w:p w:rsidR="00AC4C1F" w:rsidRPr="00AC789B" w:rsidRDefault="005B276D" w:rsidP="005B276D">
      <w:pPr>
        <w:pStyle w:val="Citation-AltC"/>
        <w:tabs>
          <w:tab w:val="left" w:pos="1170"/>
        </w:tabs>
        <w:ind w:hanging="1166"/>
      </w:pPr>
      <w:r w:rsidRPr="00AC789B">
        <w:tab/>
      </w:r>
      <w:r w:rsidR="00AC4C1F" w:rsidRPr="00AC789B">
        <w:t xml:space="preserve">. . . when a witness who is </w:t>
      </w:r>
      <w:r w:rsidR="00AC4C1F" w:rsidRPr="00AC789B">
        <w:rPr>
          <w:u w:val="single"/>
        </w:rPr>
        <w:t>compelled</w:t>
      </w:r>
      <w:r w:rsidR="00AC4C1F" w:rsidRPr="00AC789B">
        <w:t xml:space="preserve"> to give evidence in a court proceeding is exposed to the risk of self-incrimination, the state offers protection against the subsequent use of that evidence against the witness in exchange for his or her full and frank testimony. If the evidence proffered is less than full and frank, the witness is subject to prosecution for perjury or for the related offence of giving contradictory testimony. [Emphasis added; </w:t>
      </w:r>
      <w:proofErr w:type="spellStart"/>
      <w:r w:rsidR="00AC4C1F" w:rsidRPr="00AC789B">
        <w:t>para</w:t>
      </w:r>
      <w:proofErr w:type="spellEnd"/>
      <w:r w:rsidR="00AC4C1F" w:rsidRPr="00AC789B">
        <w:t>. 21.]</w:t>
      </w:r>
    </w:p>
    <w:p w:rsidR="00AC4C1F" w:rsidRPr="00AC789B" w:rsidRDefault="00AC4C1F" w:rsidP="00AC4C1F">
      <w:pPr>
        <w:pStyle w:val="ParaNoNdepar-AltN"/>
        <w:rPr>
          <w:rFonts w:cs="Times New Roman"/>
        </w:rPr>
      </w:pPr>
      <w:r w:rsidRPr="00AC789B">
        <w:rPr>
          <w:rFonts w:cs="Times New Roman"/>
        </w:rPr>
        <w:t xml:space="preserve">Binnie J. affirmed </w:t>
      </w:r>
      <w:bookmarkStart w:id="0" w:name="OLE_LINK1"/>
      <w:bookmarkStart w:id="1" w:name="OLE_LINK2"/>
      <w:r w:rsidRPr="00AC789B">
        <w:rPr>
          <w:rFonts w:cs="Times New Roman"/>
          <w:i/>
        </w:rPr>
        <w:t>Noël</w:t>
      </w:r>
      <w:bookmarkEnd w:id="0"/>
      <w:bookmarkEnd w:id="1"/>
      <w:r w:rsidRPr="00AC789B">
        <w:rPr>
          <w:rFonts w:cs="Times New Roman"/>
        </w:rPr>
        <w:t>. However, he distanced himself from Arbour J.’s comment that the Crown could be permitted to cross-examine an accused on prior testimony only “when there is no possibility that the jury could use the content of the prior testimony to draw an inference of guilt, except to the limited extent that a finding that the accused has been untruthful under oath could be damaging to his defence” (</w:t>
      </w:r>
      <w:r w:rsidRPr="00AC789B">
        <w:rPr>
          <w:rFonts w:cs="Times New Roman"/>
          <w:i/>
        </w:rPr>
        <w:t>Noël</w:t>
      </w:r>
      <w:r w:rsidRPr="00AC789B">
        <w:rPr>
          <w:rFonts w:cs="Times New Roman"/>
        </w:rPr>
        <w:t xml:space="preserve">, at </w:t>
      </w:r>
      <w:proofErr w:type="spellStart"/>
      <w:r w:rsidRPr="00AC789B">
        <w:rPr>
          <w:rFonts w:cs="Times New Roman"/>
        </w:rPr>
        <w:t>para</w:t>
      </w:r>
      <w:proofErr w:type="spellEnd"/>
      <w:r w:rsidRPr="00AC789B">
        <w:rPr>
          <w:rFonts w:cs="Times New Roman"/>
        </w:rPr>
        <w:t>. 54). Instead, Binnie J. concluded that, for the purposes of s. 13, prior compelled testimony should “be treated as inadmissible in evidence against the accused, even for the ostensible purpose of challenging his or her credibility, and be restricted (in the words of s. 13 itself) to ‘a prosecution for perjury or for the giving of contradictory evidence’” (</w:t>
      </w:r>
      <w:proofErr w:type="spellStart"/>
      <w:r w:rsidRPr="00AC789B">
        <w:rPr>
          <w:rFonts w:cs="Times New Roman"/>
        </w:rPr>
        <w:t>para</w:t>
      </w:r>
      <w:proofErr w:type="spellEnd"/>
      <w:r w:rsidRPr="00AC789B">
        <w:rPr>
          <w:rFonts w:cs="Times New Roman"/>
        </w:rPr>
        <w:t>. 50).</w:t>
      </w:r>
    </w:p>
    <w:p w:rsidR="00AC4C1F" w:rsidRPr="00AC789B" w:rsidRDefault="00AC4C1F" w:rsidP="00AC4C1F">
      <w:pPr>
        <w:pStyle w:val="ParaNoNdepar-AltN"/>
        <w:rPr>
          <w:rFonts w:cs="Times New Roman"/>
        </w:rPr>
      </w:pPr>
      <w:r w:rsidRPr="00AC789B">
        <w:rPr>
          <w:rFonts w:cs="Times New Roman"/>
        </w:rPr>
        <w:lastRenderedPageBreak/>
        <w:t xml:space="preserve">Finally, Binnie J. considered </w:t>
      </w:r>
      <w:r w:rsidRPr="00AC789B">
        <w:rPr>
          <w:rFonts w:cs="Times New Roman"/>
          <w:i/>
        </w:rPr>
        <w:t>R. v. Allen</w:t>
      </w:r>
      <w:r w:rsidRPr="00AC789B">
        <w:rPr>
          <w:rFonts w:cs="Times New Roman"/>
        </w:rPr>
        <w:t xml:space="preserve">, 2003 SCC 18, [2003] 1 S.C.R. 223, a case with facts similar to those of </w:t>
      </w:r>
      <w:r w:rsidRPr="00AC789B">
        <w:rPr>
          <w:rFonts w:cs="Times New Roman"/>
          <w:i/>
        </w:rPr>
        <w:t>Noël</w:t>
      </w:r>
      <w:r w:rsidRPr="00AC789B">
        <w:rPr>
          <w:rFonts w:cs="Times New Roman"/>
        </w:rPr>
        <w:t xml:space="preserve">. The Court had applied </w:t>
      </w:r>
      <w:r w:rsidRPr="00AC789B">
        <w:rPr>
          <w:rFonts w:cs="Times New Roman"/>
          <w:i/>
        </w:rPr>
        <w:t xml:space="preserve">Noël </w:t>
      </w:r>
      <w:r w:rsidRPr="00AC789B">
        <w:rPr>
          <w:rFonts w:cs="Times New Roman"/>
        </w:rPr>
        <w:t xml:space="preserve">in an oral decision without much discussion. Like </w:t>
      </w:r>
      <w:r w:rsidRPr="00AC789B">
        <w:rPr>
          <w:rFonts w:cs="Times New Roman"/>
          <w:i/>
        </w:rPr>
        <w:t>Noël</w:t>
      </w:r>
      <w:r w:rsidRPr="00AC789B">
        <w:rPr>
          <w:rFonts w:cs="Times New Roman"/>
        </w:rPr>
        <w:t xml:space="preserve">, the decision was based on the </w:t>
      </w:r>
      <w:r w:rsidRPr="00AC789B">
        <w:rPr>
          <w:rFonts w:cs="Times New Roman"/>
          <w:i/>
        </w:rPr>
        <w:t>quid pro quo</w:t>
      </w:r>
      <w:r w:rsidRPr="00AC789B">
        <w:rPr>
          <w:rFonts w:cs="Times New Roman"/>
        </w:rPr>
        <w:t xml:space="preserve"> and was affirmed in </w:t>
      </w:r>
      <w:r w:rsidRPr="00AC789B">
        <w:rPr>
          <w:rFonts w:cs="Times New Roman"/>
          <w:i/>
        </w:rPr>
        <w:t>Henry</w:t>
      </w:r>
      <w:r w:rsidRPr="00AC789B">
        <w:rPr>
          <w:rFonts w:cs="Times New Roman"/>
        </w:rPr>
        <w:t xml:space="preserve">.  </w:t>
      </w:r>
    </w:p>
    <w:p w:rsidR="00AC4C1F" w:rsidRPr="00AC789B" w:rsidRDefault="00AC4C1F" w:rsidP="00AC4C1F">
      <w:pPr>
        <w:pStyle w:val="ParaNoNdepar-AltN"/>
        <w:rPr>
          <w:rFonts w:cs="Times New Roman"/>
        </w:rPr>
      </w:pPr>
      <w:r w:rsidRPr="00AC789B">
        <w:rPr>
          <w:rFonts w:cs="Times New Roman"/>
        </w:rPr>
        <w:t xml:space="preserve">As can be seen, two major themes that are directly relevant to this appeal emerge from </w:t>
      </w:r>
      <w:r w:rsidRPr="00AC789B">
        <w:rPr>
          <w:rFonts w:cs="Times New Roman"/>
          <w:i/>
        </w:rPr>
        <w:t>Henry</w:t>
      </w:r>
      <w:r w:rsidRPr="00AC789B">
        <w:rPr>
          <w:rFonts w:cs="Times New Roman"/>
        </w:rPr>
        <w:t xml:space="preserve">. The first is that s. 13 only applies in situations in which the </w:t>
      </w:r>
      <w:r w:rsidRPr="00AC789B">
        <w:rPr>
          <w:rFonts w:cs="Times New Roman"/>
          <w:i/>
        </w:rPr>
        <w:t xml:space="preserve">quid pro quo </w:t>
      </w:r>
      <w:r w:rsidRPr="00AC789B">
        <w:rPr>
          <w:rFonts w:cs="Times New Roman"/>
        </w:rPr>
        <w:t xml:space="preserve">is engaged. Under s. 13, the </w:t>
      </w:r>
      <w:r w:rsidRPr="00AC789B">
        <w:rPr>
          <w:rFonts w:cs="Times New Roman"/>
          <w:i/>
        </w:rPr>
        <w:t xml:space="preserve">quid pro quo </w:t>
      </w:r>
      <w:r w:rsidRPr="00AC789B">
        <w:rPr>
          <w:rFonts w:cs="Times New Roman"/>
        </w:rPr>
        <w:t xml:space="preserve">refers to a witness’s </w:t>
      </w:r>
      <w:r w:rsidRPr="00AC789B">
        <w:rPr>
          <w:rFonts w:cs="Times New Roman"/>
          <w:i/>
        </w:rPr>
        <w:t>compelled</w:t>
      </w:r>
      <w:r w:rsidRPr="00AC789B">
        <w:rPr>
          <w:rFonts w:cs="Times New Roman"/>
        </w:rPr>
        <w:t xml:space="preserve"> evidence in exchange for a guarantee that the Crown will not use that evidence against that person in another proceeding. The second theme is that the distinction between using prior testimony to impeach credibility and using it to incriminate the accused should be abolished. I will comment briefly on these two points and how they apply to the case before the Court. </w:t>
      </w:r>
    </w:p>
    <w:p w:rsidR="00AC4C1F" w:rsidRPr="00AC789B" w:rsidRDefault="00AC4C1F" w:rsidP="005B276D">
      <w:pPr>
        <w:pStyle w:val="TitleTitre-AltT"/>
        <w:tabs>
          <w:tab w:val="clear" w:pos="360"/>
          <w:tab w:val="left" w:pos="540"/>
        </w:tabs>
        <w:ind w:left="540" w:hanging="540"/>
        <w:rPr>
          <w:rFonts w:cs="Times New Roman"/>
        </w:rPr>
      </w:pPr>
      <w:r w:rsidRPr="00AC789B">
        <w:rPr>
          <w:rFonts w:cs="Times New Roman"/>
        </w:rPr>
        <w:t>D.</w:t>
      </w:r>
      <w:r w:rsidRPr="00AC789B">
        <w:rPr>
          <w:rFonts w:cs="Times New Roman"/>
        </w:rPr>
        <w:tab/>
      </w:r>
      <w:r w:rsidRPr="00AC789B">
        <w:rPr>
          <w:rFonts w:cs="Times New Roman"/>
          <w:i/>
        </w:rPr>
        <w:t>Compelled Testimony</w:t>
      </w:r>
    </w:p>
    <w:p w:rsidR="00AC4C1F" w:rsidRPr="00AC789B" w:rsidRDefault="00AC4C1F" w:rsidP="00AC4C1F">
      <w:pPr>
        <w:pStyle w:val="ParaNoNdepar-AltN"/>
        <w:rPr>
          <w:rFonts w:cs="Times New Roman"/>
        </w:rPr>
      </w:pPr>
      <w:r w:rsidRPr="00AC789B">
        <w:rPr>
          <w:rFonts w:cs="Times New Roman"/>
        </w:rPr>
        <w:t xml:space="preserve">One of the Crown’s main submissions is that the respondent was not “compelled” to testify at his examination for discovery in the civil action against him in the sense described in </w:t>
      </w:r>
      <w:r w:rsidRPr="00AC789B">
        <w:rPr>
          <w:rFonts w:cs="Times New Roman"/>
          <w:i/>
        </w:rPr>
        <w:t>Henry</w:t>
      </w:r>
      <w:r w:rsidRPr="00AC789B">
        <w:rPr>
          <w:rFonts w:cs="Times New Roman"/>
        </w:rPr>
        <w:t>. The Crown argues that the respondent was not subjectively compelled, because he freely decided to attend the discovery proceeding [</w:t>
      </w:r>
      <w:r w:rsidR="005B276D" w:rsidRPr="00AC789B">
        <w:rPr>
          <w:rFonts w:cs="Times New Roman"/>
        </w:rPr>
        <w:t xml:space="preserve">A.F., at </w:t>
      </w:r>
      <w:proofErr w:type="spellStart"/>
      <w:r w:rsidR="005B276D" w:rsidRPr="00AC789B">
        <w:rPr>
          <w:rFonts w:cs="Times New Roman"/>
        </w:rPr>
        <w:t>para</w:t>
      </w:r>
      <w:proofErr w:type="spellEnd"/>
      <w:r w:rsidR="005B276D" w:rsidRPr="00AC789B">
        <w:rPr>
          <w:rFonts w:cs="Times New Roman"/>
        </w:rPr>
        <w:t>.</w:t>
      </w:r>
      <w:r w:rsidRPr="00AC789B">
        <w:rPr>
          <w:rFonts w:cs="Times New Roman"/>
        </w:rPr>
        <w:t xml:space="preserve"> 36], and that he was not objectively compelled, because he chose to file a statement of defence and to therefore put himself “within the grasp of </w:t>
      </w:r>
      <w:r w:rsidR="005B276D" w:rsidRPr="00AC789B">
        <w:rPr>
          <w:rFonts w:cs="Times New Roman"/>
        </w:rPr>
        <w:t xml:space="preserve">the </w:t>
      </w:r>
      <w:r w:rsidRPr="00AC789B">
        <w:rPr>
          <w:rFonts w:cs="Times New Roman"/>
        </w:rPr>
        <w:t xml:space="preserve">procedural rules . . . that would, only then, compel his evidence” (A.F., at </w:t>
      </w:r>
      <w:proofErr w:type="spellStart"/>
      <w:r w:rsidRPr="00AC789B">
        <w:rPr>
          <w:rFonts w:cs="Times New Roman"/>
        </w:rPr>
        <w:t>para</w:t>
      </w:r>
      <w:proofErr w:type="spellEnd"/>
      <w:r w:rsidRPr="00AC789B">
        <w:rPr>
          <w:rFonts w:cs="Times New Roman"/>
        </w:rPr>
        <w:t>. 37).</w:t>
      </w:r>
    </w:p>
    <w:p w:rsidR="00AC4C1F" w:rsidRPr="00AC789B" w:rsidRDefault="00AC4C1F" w:rsidP="00AC4C1F">
      <w:pPr>
        <w:pStyle w:val="ParaNoNdepar-AltN"/>
        <w:rPr>
          <w:rFonts w:cs="Times New Roman"/>
        </w:rPr>
      </w:pPr>
      <w:r w:rsidRPr="00AC789B">
        <w:rPr>
          <w:rFonts w:cs="Times New Roman"/>
        </w:rPr>
        <w:lastRenderedPageBreak/>
        <w:t xml:space="preserve">Although Binnie J. did not fully canvass what constitutes “compelled” evidence in the </w:t>
      </w:r>
      <w:r w:rsidRPr="00AC789B">
        <w:rPr>
          <w:rFonts w:cs="Times New Roman"/>
          <w:i/>
        </w:rPr>
        <w:t xml:space="preserve">Henry </w:t>
      </w:r>
      <w:r w:rsidRPr="00AC789B">
        <w:rPr>
          <w:rFonts w:cs="Times New Roman"/>
        </w:rPr>
        <w:t xml:space="preserve">sense, he did note that an accused </w:t>
      </w:r>
      <w:proofErr w:type="gramStart"/>
      <w:r w:rsidRPr="00AC789B">
        <w:rPr>
          <w:rFonts w:cs="Times New Roman"/>
        </w:rPr>
        <w:t>who</w:t>
      </w:r>
      <w:proofErr w:type="gramEnd"/>
      <w:r w:rsidRPr="00AC789B">
        <w:rPr>
          <w:rFonts w:cs="Times New Roman"/>
        </w:rPr>
        <w:t xml:space="preserve"> chooses to testify freely at his or her first trial and then at a retrial is not “compelled” and so does not qualify for s. 13 protection (</w:t>
      </w:r>
      <w:proofErr w:type="spellStart"/>
      <w:r w:rsidRPr="00AC789B">
        <w:rPr>
          <w:rFonts w:cs="Times New Roman"/>
        </w:rPr>
        <w:t>para</w:t>
      </w:r>
      <w:proofErr w:type="spellEnd"/>
      <w:r w:rsidRPr="00AC789B">
        <w:rPr>
          <w:rFonts w:cs="Times New Roman"/>
        </w:rPr>
        <w:t xml:space="preserve">. 43). He also stated parenthetically that “[f]or present purposes, evidence of compellable witnesses should be treated as compelled </w:t>
      </w:r>
      <w:r w:rsidRPr="00AC789B">
        <w:rPr>
          <w:rFonts w:cs="Times New Roman"/>
          <w:u w:val="single"/>
        </w:rPr>
        <w:t>even if their attendance was not enforced by a subpoena</w:t>
      </w:r>
      <w:r w:rsidR="00E526AA" w:rsidRPr="00AC789B">
        <w:rPr>
          <w:rFonts w:cs="Times New Roman"/>
        </w:rPr>
        <w:t>” (</w:t>
      </w:r>
      <w:proofErr w:type="spellStart"/>
      <w:r w:rsidR="00E526AA" w:rsidRPr="00AC789B">
        <w:rPr>
          <w:rFonts w:cs="Times New Roman"/>
        </w:rPr>
        <w:t>para</w:t>
      </w:r>
      <w:proofErr w:type="spellEnd"/>
      <w:r w:rsidR="00E526AA" w:rsidRPr="00AC789B">
        <w:rPr>
          <w:rFonts w:cs="Times New Roman"/>
        </w:rPr>
        <w:t>. 34</w:t>
      </w:r>
      <w:r w:rsidRPr="00AC789B">
        <w:rPr>
          <w:rFonts w:cs="Times New Roman"/>
        </w:rPr>
        <w:t xml:space="preserve"> </w:t>
      </w:r>
      <w:r w:rsidR="00E526AA" w:rsidRPr="00AC789B">
        <w:rPr>
          <w:rFonts w:cs="Times New Roman"/>
        </w:rPr>
        <w:t>(</w:t>
      </w:r>
      <w:r w:rsidRPr="00AC789B">
        <w:rPr>
          <w:rFonts w:cs="Times New Roman"/>
        </w:rPr>
        <w:t>emphasis added)</w:t>
      </w:r>
      <w:r w:rsidR="00E526AA" w:rsidRPr="00AC789B">
        <w:rPr>
          <w:rFonts w:cs="Times New Roman"/>
        </w:rPr>
        <w:t>)</w:t>
      </w:r>
      <w:r w:rsidRPr="00AC789B">
        <w:rPr>
          <w:rFonts w:cs="Times New Roman"/>
        </w:rPr>
        <w:t>.</w:t>
      </w:r>
    </w:p>
    <w:p w:rsidR="00AC4C1F" w:rsidRPr="00AC789B" w:rsidRDefault="00AC4C1F" w:rsidP="00AC4C1F">
      <w:pPr>
        <w:pStyle w:val="ParaNoNdepar-AltN"/>
        <w:rPr>
          <w:rFonts w:cs="Times New Roman"/>
        </w:rPr>
      </w:pPr>
      <w:r w:rsidRPr="00AC789B">
        <w:rPr>
          <w:rFonts w:cs="Times New Roman"/>
        </w:rPr>
        <w:t>Binnie J.’s observation that evidence from an accused who decides to testify is “voluntary” simply means that, because accused persons have a right not to be called to testify in their own defence under s. 11(</w:t>
      </w:r>
      <w:r w:rsidRPr="00AC789B">
        <w:rPr>
          <w:rFonts w:cs="Times New Roman"/>
          <w:i/>
        </w:rPr>
        <w:t>c</w:t>
      </w:r>
      <w:r w:rsidRPr="00AC789B">
        <w:rPr>
          <w:rFonts w:cs="Times New Roman"/>
        </w:rPr>
        <w:t xml:space="preserve">) of the </w:t>
      </w:r>
      <w:r w:rsidRPr="00AC789B">
        <w:rPr>
          <w:rFonts w:cs="Times New Roman"/>
          <w:i/>
        </w:rPr>
        <w:t>Charter</w:t>
      </w:r>
      <w:r w:rsidRPr="00AC789B">
        <w:rPr>
          <w:rFonts w:cs="Times New Roman"/>
        </w:rPr>
        <w:t xml:space="preserve">, any accused who chooses to testify waives his or her right not to be compellable. In contrast, a witness who voluntarily gives evidence at someone else’s trial is not giving evidence “voluntarily” within the meaning of </w:t>
      </w:r>
      <w:r w:rsidRPr="00AC789B">
        <w:rPr>
          <w:rFonts w:cs="Times New Roman"/>
          <w:i/>
        </w:rPr>
        <w:t xml:space="preserve">Henry </w:t>
      </w:r>
      <w:r w:rsidRPr="00AC789B">
        <w:rPr>
          <w:rFonts w:cs="Times New Roman"/>
        </w:rPr>
        <w:t xml:space="preserve">even if the witness decides to testify on his or her own volition, for example, to assist the accused. The difference is this: An accused who testifies voluntarily is waiving a constitutional right by choosing to testify. Any other witness can otherwise be compelled, meaning the witness is statutorily compellable regardless of whether he or she “volunteers” to take the stand. This view is confirmed by Binnie J.’s observation that “evidence of compellable witnesses should be treated as compelled even if their attendance </w:t>
      </w:r>
      <w:r w:rsidR="005C6E0B" w:rsidRPr="00AC789B">
        <w:rPr>
          <w:rFonts w:cs="Times New Roman"/>
        </w:rPr>
        <w:t>was not enforced by a subpoena.”</w:t>
      </w:r>
    </w:p>
    <w:p w:rsidR="00AC4C1F" w:rsidRPr="00AC789B" w:rsidRDefault="00AC4C1F" w:rsidP="00AC4C1F">
      <w:pPr>
        <w:pStyle w:val="ParaNoNdepar-AltN"/>
        <w:rPr>
          <w:rFonts w:cs="Times New Roman"/>
        </w:rPr>
      </w:pPr>
      <w:r w:rsidRPr="00AC789B">
        <w:rPr>
          <w:rFonts w:cs="Times New Roman"/>
        </w:rPr>
        <w:t xml:space="preserve">Therefore, whether the respondent freely decided to attend the discovery proceeding is irrelevant. Whether a witness was compelled should not be determined </w:t>
      </w:r>
      <w:r w:rsidRPr="00AC789B">
        <w:rPr>
          <w:rFonts w:cs="Times New Roman"/>
        </w:rPr>
        <w:lastRenderedPageBreak/>
        <w:t xml:space="preserve">on a subjective standard. It would be unprincipled to give a lesser degree of </w:t>
      </w:r>
      <w:r w:rsidRPr="00AC789B">
        <w:rPr>
          <w:rFonts w:cs="Times New Roman"/>
          <w:i/>
        </w:rPr>
        <w:t>Charter</w:t>
      </w:r>
      <w:r w:rsidRPr="00AC789B">
        <w:rPr>
          <w:rFonts w:cs="Times New Roman"/>
        </w:rPr>
        <w:t xml:space="preserve"> protection to a witness who testifies willingly than to a witness who must be subpoenaed or otherwise forced to give evidence, if both could have been statutorily compelled to testify in any event. Therefore, to determine whether the </w:t>
      </w:r>
      <w:r w:rsidRPr="00AC789B">
        <w:rPr>
          <w:rFonts w:cs="Times New Roman"/>
          <w:i/>
        </w:rPr>
        <w:t>quid pro quo</w:t>
      </w:r>
      <w:r w:rsidRPr="00AC789B">
        <w:rPr>
          <w:rFonts w:cs="Times New Roman"/>
        </w:rPr>
        <w:t xml:space="preserve"> is engaged in a particular case, the court should consider whether the witness was statutorily compellable and not whether the witness felt subjectively compelled to testify. The relevant question is this: Was the respondent statutorily compelled to give evidence in the proceeding? </w:t>
      </w:r>
    </w:p>
    <w:p w:rsidR="00AC4C1F" w:rsidRPr="00AC789B" w:rsidRDefault="00AC4C1F" w:rsidP="00AC4C1F">
      <w:pPr>
        <w:pStyle w:val="ParaNoNdepar-AltN"/>
        <w:rPr>
          <w:rFonts w:cs="Times New Roman"/>
        </w:rPr>
      </w:pPr>
      <w:r w:rsidRPr="00AC789B">
        <w:rPr>
          <w:rFonts w:cs="Times New Roman"/>
        </w:rPr>
        <w:t xml:space="preserve">The Crown’s second argument on compulsion is that the respondent was not objectively compelled because he chose to file a statement of defence, and therefore that he voluntarily put himself within the grasp of the powers of civil discovery. </w:t>
      </w:r>
    </w:p>
    <w:p w:rsidR="00AC4C1F" w:rsidRPr="00AC789B" w:rsidRDefault="00AC4C1F" w:rsidP="00AC4C1F">
      <w:pPr>
        <w:pStyle w:val="ParaNoNdepar-AltN"/>
        <w:rPr>
          <w:rFonts w:cs="Times New Roman"/>
        </w:rPr>
      </w:pPr>
      <w:r w:rsidRPr="00AC789B">
        <w:rPr>
          <w:rFonts w:cs="Times New Roman"/>
        </w:rPr>
        <w:t xml:space="preserve">This argument must also fail. First, as noted by the intervener Advocates’ Society, the </w:t>
      </w:r>
      <w:r w:rsidRPr="00AC789B">
        <w:rPr>
          <w:rFonts w:cs="Times New Roman"/>
          <w:szCs w:val="24"/>
        </w:rPr>
        <w:t>integrity of the civil discovery process could be undermined if courts considered that those who defend civil actions are not “compelled” for the purposes of s. 13. Parties facing criminal proceedings might then find it advantageous not to co-operate in any civil action, thereby forcing the other party to obtain a court order compelling their testimony on discovery.</w:t>
      </w:r>
    </w:p>
    <w:p w:rsidR="00AC4C1F" w:rsidRPr="00AC789B" w:rsidRDefault="00AC4C1F" w:rsidP="00AC4C1F">
      <w:pPr>
        <w:pStyle w:val="ParaNoNdepar-AltN"/>
        <w:rPr>
          <w:rFonts w:cs="Times New Roman"/>
        </w:rPr>
      </w:pPr>
      <w:r w:rsidRPr="00AC789B">
        <w:rPr>
          <w:rFonts w:cs="Times New Roman"/>
          <w:szCs w:val="24"/>
        </w:rPr>
        <w:t xml:space="preserve">More importantly, however, there is a principled reason why a defendant who gives evidence in a civil discovery proceeding is “compelled” for the purpose of s. 13. Again, the relevant question to ask is: </w:t>
      </w:r>
      <w:r w:rsidRPr="00AC789B">
        <w:rPr>
          <w:rFonts w:cs="Times New Roman"/>
        </w:rPr>
        <w:t xml:space="preserve">Was the respondent </w:t>
      </w:r>
      <w:r w:rsidRPr="00AC789B">
        <w:rPr>
          <w:rFonts w:cs="Times New Roman"/>
          <w:i/>
        </w:rPr>
        <w:t>statutorily compelled</w:t>
      </w:r>
      <w:r w:rsidRPr="00AC789B">
        <w:rPr>
          <w:rFonts w:cs="Times New Roman"/>
        </w:rPr>
        <w:t xml:space="preserve"> </w:t>
      </w:r>
      <w:r w:rsidRPr="00AC789B">
        <w:rPr>
          <w:rFonts w:cs="Times New Roman"/>
        </w:rPr>
        <w:lastRenderedPageBreak/>
        <w:t xml:space="preserve">to give evidence in the proceeding? </w:t>
      </w:r>
      <w:r w:rsidR="005C6E0B" w:rsidRPr="00AC789B">
        <w:rPr>
          <w:rFonts w:cs="Times New Roman"/>
          <w:szCs w:val="24"/>
        </w:rPr>
        <w:t>In this case, r</w:t>
      </w:r>
      <w:r w:rsidRPr="00AC789B">
        <w:rPr>
          <w:rFonts w:cs="Times New Roman"/>
          <w:szCs w:val="24"/>
        </w:rPr>
        <w:t xml:space="preserve">ule 31.04(2) of the </w:t>
      </w:r>
      <w:r w:rsidRPr="00AC789B">
        <w:rPr>
          <w:rFonts w:cs="Times New Roman"/>
          <w:i/>
          <w:szCs w:val="24"/>
        </w:rPr>
        <w:t xml:space="preserve">Rules of Civil Procedure </w:t>
      </w:r>
      <w:r w:rsidRPr="00AC789B">
        <w:rPr>
          <w:rFonts w:cs="Times New Roman"/>
          <w:szCs w:val="24"/>
        </w:rPr>
        <w:t xml:space="preserve">is the statutory authority that compels a defendant in a civil action to be examined for discovery </w:t>
      </w:r>
      <w:r w:rsidRPr="00AC789B">
        <w:rPr>
          <w:rFonts w:cs="Times New Roman"/>
          <w:i/>
          <w:szCs w:val="24"/>
        </w:rPr>
        <w:t>whether or not the defendant files a statement of defence</w:t>
      </w:r>
      <w:r w:rsidRPr="00AC789B">
        <w:rPr>
          <w:rFonts w:cs="Times New Roman"/>
          <w:szCs w:val="24"/>
        </w:rPr>
        <w:t>:</w:t>
      </w:r>
    </w:p>
    <w:p w:rsidR="00E1063D" w:rsidRPr="00AC789B" w:rsidRDefault="00E1063D" w:rsidP="005C6E0B">
      <w:pPr>
        <w:pStyle w:val="Citation-AltC"/>
        <w:tabs>
          <w:tab w:val="left" w:pos="1620"/>
          <w:tab w:val="left" w:pos="2160"/>
        </w:tabs>
        <w:spacing w:after="240"/>
        <w:ind w:hanging="1166"/>
        <w:contextualSpacing w:val="0"/>
      </w:pPr>
      <w:r w:rsidRPr="00AC789B">
        <w:tab/>
      </w:r>
      <w:r w:rsidRPr="00AC789B">
        <w:tab/>
      </w:r>
      <w:r w:rsidRPr="00AC789B">
        <w:rPr>
          <w:b/>
        </w:rPr>
        <w:t>31.04</w:t>
      </w:r>
      <w:r w:rsidRPr="00AC789B">
        <w:t xml:space="preserve"> . . . </w:t>
      </w:r>
    </w:p>
    <w:p w:rsidR="00AC4C1F" w:rsidRPr="00AC789B" w:rsidRDefault="005C6E0B" w:rsidP="005C6E0B">
      <w:pPr>
        <w:pStyle w:val="Citation-AltC"/>
        <w:tabs>
          <w:tab w:val="left" w:pos="1620"/>
          <w:tab w:val="left" w:pos="2160"/>
        </w:tabs>
        <w:spacing w:after="240"/>
        <w:ind w:hanging="1166"/>
        <w:contextualSpacing w:val="0"/>
      </w:pPr>
      <w:r w:rsidRPr="00AC789B">
        <w:tab/>
      </w:r>
      <w:r w:rsidRPr="00AC789B">
        <w:tab/>
        <w:t>(2)</w:t>
      </w:r>
      <w:r w:rsidRPr="00AC789B">
        <w:tab/>
      </w:r>
      <w:r w:rsidR="00AC4C1F" w:rsidRPr="00AC789B">
        <w:t>A party who seeks to examine a defendant for discovery may serve a notice of examination under rule 34.04 or written questions under rule 35.01 only after,</w:t>
      </w:r>
    </w:p>
    <w:p w:rsidR="00AC4C1F" w:rsidRPr="00AC789B" w:rsidRDefault="005C6E0B" w:rsidP="009E5122">
      <w:pPr>
        <w:pStyle w:val="Citation-AltC"/>
        <w:tabs>
          <w:tab w:val="left" w:pos="1620"/>
        </w:tabs>
        <w:spacing w:after="240"/>
        <w:ind w:left="2160" w:hanging="2160"/>
        <w:contextualSpacing w:val="0"/>
      </w:pPr>
      <w:r w:rsidRPr="00AC789B">
        <w:tab/>
        <w:t>(a)</w:t>
      </w:r>
      <w:r w:rsidRPr="00AC789B">
        <w:tab/>
      </w:r>
      <w:proofErr w:type="gramStart"/>
      <w:r w:rsidR="00AC4C1F" w:rsidRPr="00AC789B">
        <w:t>the</w:t>
      </w:r>
      <w:proofErr w:type="gramEnd"/>
      <w:r w:rsidR="00AC4C1F" w:rsidRPr="00AC789B">
        <w:t xml:space="preserve"> defendant has delivered a statement of defence and, unless the parties agree otherwise, the examining party has served an affidavit of documents; or</w:t>
      </w:r>
    </w:p>
    <w:p w:rsidR="00AC4C1F" w:rsidRPr="00AC789B" w:rsidRDefault="005C6E0B" w:rsidP="009E5122">
      <w:pPr>
        <w:pStyle w:val="Citation-AltC"/>
        <w:tabs>
          <w:tab w:val="left" w:pos="1620"/>
        </w:tabs>
        <w:ind w:left="2160" w:hanging="2160"/>
        <w:contextualSpacing w:val="0"/>
      </w:pPr>
      <w:r w:rsidRPr="00AC789B">
        <w:tab/>
        <w:t>(b)</w:t>
      </w:r>
      <w:r w:rsidRPr="00AC789B">
        <w:tab/>
      </w:r>
      <w:proofErr w:type="gramStart"/>
      <w:r w:rsidR="00AC4C1F" w:rsidRPr="00AC789B">
        <w:rPr>
          <w:u w:val="single"/>
        </w:rPr>
        <w:t>the</w:t>
      </w:r>
      <w:proofErr w:type="gramEnd"/>
      <w:r w:rsidR="00AC4C1F" w:rsidRPr="00AC789B">
        <w:rPr>
          <w:u w:val="single"/>
        </w:rPr>
        <w:t xml:space="preserve"> defendant has been noted in default</w:t>
      </w:r>
      <w:r w:rsidR="00AC4C1F" w:rsidRPr="00AC789B">
        <w:t xml:space="preserve">. </w:t>
      </w:r>
    </w:p>
    <w:p w:rsidR="00AC4C1F" w:rsidRPr="00AC789B" w:rsidRDefault="00AC4C1F" w:rsidP="00AC4C1F">
      <w:pPr>
        <w:pStyle w:val="ParaNoNdepar-AltN"/>
        <w:rPr>
          <w:rFonts w:cs="Times New Roman"/>
        </w:rPr>
      </w:pPr>
      <w:r w:rsidRPr="00AC789B">
        <w:rPr>
          <w:rFonts w:cs="Times New Roman"/>
        </w:rPr>
        <w:t xml:space="preserve">Therefore, failing to file a statement of defence does not allow the respondent to “avoid coming within the grasp of the procedural rules . . . that would, only then, compel his evidence”, as the Crown asserts (A.F., at </w:t>
      </w:r>
      <w:proofErr w:type="spellStart"/>
      <w:r w:rsidRPr="00AC789B">
        <w:rPr>
          <w:rFonts w:cs="Times New Roman"/>
        </w:rPr>
        <w:t>para</w:t>
      </w:r>
      <w:proofErr w:type="spellEnd"/>
      <w:r w:rsidRPr="00AC789B">
        <w:rPr>
          <w:rFonts w:cs="Times New Roman"/>
        </w:rPr>
        <w:t>. 37). Had the respondent failed to file a statement of defence, the plaintiff could have noted him in default a</w:t>
      </w:r>
      <w:r w:rsidR="00E1063D" w:rsidRPr="00AC789B">
        <w:rPr>
          <w:rFonts w:cs="Times New Roman"/>
        </w:rPr>
        <w:t>nd then, under r</w:t>
      </w:r>
      <w:r w:rsidRPr="00AC789B">
        <w:rPr>
          <w:rFonts w:cs="Times New Roman"/>
        </w:rPr>
        <w:t xml:space="preserve">ule </w:t>
      </w:r>
      <w:r w:rsidRPr="00AC789B">
        <w:rPr>
          <w:rFonts w:cs="Times New Roman"/>
          <w:szCs w:val="24"/>
        </w:rPr>
        <w:t>31.04(2</w:t>
      </w:r>
      <w:proofErr w:type="gramStart"/>
      <w:r w:rsidRPr="00AC789B">
        <w:rPr>
          <w:rFonts w:cs="Times New Roman"/>
          <w:szCs w:val="24"/>
        </w:rPr>
        <w:t>)(</w:t>
      </w:r>
      <w:proofErr w:type="gramEnd"/>
      <w:r w:rsidRPr="00AC789B">
        <w:rPr>
          <w:rFonts w:cs="Times New Roman"/>
          <w:szCs w:val="24"/>
        </w:rPr>
        <w:t>b), obliged him to be examined for discovery. I note that w</w:t>
      </w:r>
      <w:r w:rsidRPr="00AC789B">
        <w:rPr>
          <w:rFonts w:cs="Times New Roman"/>
        </w:rPr>
        <w:t xml:space="preserve">hether the plaintiff actually took the step of noting the respondent in default is irrelevant. Just as it does not matter for the purposes of s. 13 that a witness who can be statutorily compelled to testify chooses to testify </w:t>
      </w:r>
      <w:proofErr w:type="spellStart"/>
      <w:r w:rsidRPr="00AC789B">
        <w:rPr>
          <w:rFonts w:cs="Times New Roman"/>
        </w:rPr>
        <w:t>uncoerced</w:t>
      </w:r>
      <w:proofErr w:type="spellEnd"/>
      <w:r w:rsidRPr="00AC789B">
        <w:rPr>
          <w:rFonts w:cs="Times New Roman"/>
        </w:rPr>
        <w:t xml:space="preserve">, it does not matter that a plaintiff does not resort to the available statutory powers to compel a defendant to be examined for discovery. In either case, there is a statutory route by which to compel the witness to give evidence. This is what makes a witness compellable. Whether or not that route is actually taken does not change the fact that it was available and </w:t>
      </w:r>
      <w:r w:rsidRPr="00AC789B">
        <w:rPr>
          <w:rFonts w:cs="Times New Roman"/>
          <w:i/>
        </w:rPr>
        <w:t>could have been taken</w:t>
      </w:r>
      <w:r w:rsidRPr="00AC789B">
        <w:rPr>
          <w:rFonts w:cs="Times New Roman"/>
        </w:rPr>
        <w:t>.</w:t>
      </w:r>
    </w:p>
    <w:p w:rsidR="00AC4C1F" w:rsidRPr="00AC789B" w:rsidRDefault="00AC4C1F" w:rsidP="00AC4C1F">
      <w:pPr>
        <w:pStyle w:val="ParaNoNdepar-AltN"/>
        <w:rPr>
          <w:rFonts w:cs="Times New Roman"/>
        </w:rPr>
      </w:pPr>
      <w:r w:rsidRPr="00AC789B">
        <w:rPr>
          <w:rFonts w:cs="Times New Roman"/>
        </w:rPr>
        <w:lastRenderedPageBreak/>
        <w:t xml:space="preserve">I conclude, therefore, that the respondent was statutorily compellable, and therefore “compelled” within the meaning of </w:t>
      </w:r>
      <w:r w:rsidRPr="00AC789B">
        <w:rPr>
          <w:rFonts w:cs="Times New Roman"/>
          <w:i/>
        </w:rPr>
        <w:t xml:space="preserve">Henry </w:t>
      </w:r>
      <w:r w:rsidRPr="00AC789B">
        <w:rPr>
          <w:rFonts w:cs="Times New Roman"/>
        </w:rPr>
        <w:t>and for the purposes of s. 13.</w:t>
      </w:r>
    </w:p>
    <w:p w:rsidR="00AC4C1F" w:rsidRPr="00AC789B" w:rsidRDefault="00AC4C1F" w:rsidP="00E1063D">
      <w:pPr>
        <w:pStyle w:val="TitleTitre-AltT"/>
        <w:tabs>
          <w:tab w:val="clear" w:pos="360"/>
          <w:tab w:val="left" w:pos="540"/>
        </w:tabs>
        <w:ind w:left="540" w:hanging="540"/>
        <w:rPr>
          <w:rFonts w:cs="Times New Roman"/>
        </w:rPr>
      </w:pPr>
      <w:r w:rsidRPr="00AC789B">
        <w:rPr>
          <w:rFonts w:cs="Times New Roman"/>
        </w:rPr>
        <w:t>E.</w:t>
      </w:r>
      <w:r w:rsidRPr="00AC789B">
        <w:rPr>
          <w:rFonts w:cs="Times New Roman"/>
        </w:rPr>
        <w:tab/>
      </w:r>
      <w:r w:rsidRPr="00AC789B">
        <w:rPr>
          <w:rFonts w:cs="Times New Roman"/>
          <w:i/>
        </w:rPr>
        <w:t>Should the Court Revisit Henry?</w:t>
      </w:r>
    </w:p>
    <w:p w:rsidR="00AC4C1F" w:rsidRPr="00AC789B" w:rsidRDefault="00AC4C1F" w:rsidP="00AC4C1F">
      <w:pPr>
        <w:pStyle w:val="ParaNoNdepar-AltN"/>
        <w:rPr>
          <w:rFonts w:cs="Times New Roman"/>
        </w:rPr>
      </w:pPr>
      <w:r w:rsidRPr="00AC789B">
        <w:rPr>
          <w:rFonts w:cs="Times New Roman"/>
          <w:i/>
        </w:rPr>
        <w:t xml:space="preserve">Henry </w:t>
      </w:r>
      <w:r w:rsidRPr="00AC789B">
        <w:rPr>
          <w:rFonts w:cs="Times New Roman"/>
        </w:rPr>
        <w:t xml:space="preserve">makes it quite clear that the distinction between using prior compelled testimony to impeach credibility and using it to incriminate the accused is unworkable. Even using so-called “innocent statements” to expose inconsistencies in the testimony of an accused will, as Martin J.A. said in </w:t>
      </w:r>
      <w:proofErr w:type="spellStart"/>
      <w:r w:rsidRPr="00AC789B">
        <w:rPr>
          <w:rFonts w:cs="Times New Roman"/>
          <w:i/>
        </w:rPr>
        <w:t>Kuldip</w:t>
      </w:r>
      <w:proofErr w:type="spellEnd"/>
      <w:r w:rsidRPr="00AC789B">
        <w:rPr>
          <w:rFonts w:cs="Times New Roman"/>
        </w:rPr>
        <w:t xml:space="preserve">, “assist the Crown in its case and, in a broad sense, may help to prove guilt” (p. 23). Counsel for the respondent summarized this concern in oral argument before this Court: “. . . the distinction doesn’t really exist between incriminating and impeaching. If you are impeaching, you are advancing the Crown’s case. There may be an inference of consciousness of guilt” (transcript, at p. 52). </w:t>
      </w:r>
    </w:p>
    <w:p w:rsidR="00AC4C1F" w:rsidRPr="00AC789B" w:rsidRDefault="00AC4C1F" w:rsidP="00AC4C1F">
      <w:pPr>
        <w:pStyle w:val="ParaNoNdepar-AltN"/>
        <w:rPr>
          <w:rFonts w:cs="Times New Roman"/>
        </w:rPr>
      </w:pPr>
      <w:r w:rsidRPr="00AC789B">
        <w:rPr>
          <w:rFonts w:cs="Times New Roman"/>
        </w:rPr>
        <w:t xml:space="preserve">I agree that, in the context of s. 13, there can be no such distinction in practice. Any evidence that may assist the Crown in proving its case, including evidence impeaching the credibility of the accused, will have an incriminating effect and must therefore </w:t>
      </w:r>
      <w:proofErr w:type="gramStart"/>
      <w:r w:rsidRPr="00AC789B">
        <w:rPr>
          <w:rFonts w:cs="Times New Roman"/>
        </w:rPr>
        <w:t>be</w:t>
      </w:r>
      <w:proofErr w:type="gramEnd"/>
      <w:r w:rsidRPr="00AC789B">
        <w:rPr>
          <w:rFonts w:cs="Times New Roman"/>
        </w:rPr>
        <w:t xml:space="preserve"> subject to s. 13 protection. </w:t>
      </w:r>
    </w:p>
    <w:p w:rsidR="00AC4C1F" w:rsidRPr="00AC789B" w:rsidRDefault="00AC4C1F" w:rsidP="00AC4C1F">
      <w:pPr>
        <w:pStyle w:val="ParaNoNdepar-AltN"/>
        <w:rPr>
          <w:rFonts w:cs="Times New Roman"/>
        </w:rPr>
      </w:pPr>
      <w:r w:rsidRPr="00AC789B">
        <w:rPr>
          <w:rFonts w:cs="Times New Roman"/>
        </w:rPr>
        <w:t xml:space="preserve">It seems evident, therefore, that this distinction is not compatible with the underlying purpose of s. 13. One need only go back to the cases in which the distinction was maintained to see just how inconsistently — and at times arbitrarily — it was applied in practice. There were undoubtedly accused persons whose s. 13 </w:t>
      </w:r>
      <w:r w:rsidRPr="00AC789B">
        <w:rPr>
          <w:rFonts w:cs="Times New Roman"/>
          <w:i/>
        </w:rPr>
        <w:lastRenderedPageBreak/>
        <w:t xml:space="preserve">Charter </w:t>
      </w:r>
      <w:r w:rsidRPr="00AC789B">
        <w:rPr>
          <w:rFonts w:cs="Times New Roman"/>
        </w:rPr>
        <w:t xml:space="preserve">rights were unduly diminished under this approach. It is for this reason that the Court abolished this problematic distinction in </w:t>
      </w:r>
      <w:r w:rsidRPr="00AC789B">
        <w:rPr>
          <w:rFonts w:cs="Times New Roman"/>
          <w:i/>
        </w:rPr>
        <w:t>Henry</w:t>
      </w:r>
      <w:r w:rsidRPr="00AC789B">
        <w:rPr>
          <w:rFonts w:cs="Times New Roman"/>
        </w:rPr>
        <w:t xml:space="preserve">. </w:t>
      </w:r>
    </w:p>
    <w:p w:rsidR="00AC4C1F" w:rsidRPr="00AC789B" w:rsidRDefault="00AC4C1F" w:rsidP="00AC4C1F">
      <w:pPr>
        <w:pStyle w:val="ParaNoNdepar-AltN"/>
        <w:rPr>
          <w:rFonts w:cs="Times New Roman"/>
        </w:rPr>
      </w:pPr>
      <w:r w:rsidRPr="00AC789B">
        <w:rPr>
          <w:rFonts w:cs="Times New Roman"/>
        </w:rPr>
        <w:t xml:space="preserve">The concerns expressed in </w:t>
      </w:r>
      <w:r w:rsidRPr="00AC789B">
        <w:rPr>
          <w:rFonts w:cs="Times New Roman"/>
          <w:i/>
        </w:rPr>
        <w:t xml:space="preserve">Henry </w:t>
      </w:r>
      <w:r w:rsidRPr="00AC789B">
        <w:rPr>
          <w:rFonts w:cs="Times New Roman"/>
        </w:rPr>
        <w:t xml:space="preserve">with respect to the difference between using prior compelled </w:t>
      </w:r>
      <w:proofErr w:type="gramStart"/>
      <w:r w:rsidRPr="00AC789B">
        <w:rPr>
          <w:rFonts w:cs="Times New Roman"/>
        </w:rPr>
        <w:t>testimony</w:t>
      </w:r>
      <w:proofErr w:type="gramEnd"/>
      <w:r w:rsidRPr="00AC789B">
        <w:rPr>
          <w:rFonts w:cs="Times New Roman"/>
        </w:rPr>
        <w:t xml:space="preserve"> to impeach credibility and using it to incriminate still exist. Should this Court nevertheless revisit </w:t>
      </w:r>
      <w:r w:rsidRPr="00AC789B">
        <w:rPr>
          <w:rFonts w:cs="Times New Roman"/>
          <w:i/>
        </w:rPr>
        <w:t xml:space="preserve">Henry </w:t>
      </w:r>
      <w:r w:rsidRPr="00AC789B">
        <w:rPr>
          <w:rFonts w:cs="Times New Roman"/>
        </w:rPr>
        <w:t>on this point?</w:t>
      </w:r>
    </w:p>
    <w:p w:rsidR="00AC4C1F" w:rsidRPr="00AC789B" w:rsidRDefault="00AC4C1F" w:rsidP="00AC4C1F">
      <w:pPr>
        <w:pStyle w:val="ParaNoNdepar-AltN"/>
        <w:rPr>
          <w:rFonts w:cs="Times New Roman"/>
        </w:rPr>
      </w:pPr>
      <w:r w:rsidRPr="00AC789B">
        <w:rPr>
          <w:rFonts w:cs="Times New Roman"/>
        </w:rPr>
        <w:t xml:space="preserve">In </w:t>
      </w:r>
      <w:r w:rsidRPr="00AC789B">
        <w:rPr>
          <w:rFonts w:cs="Times New Roman"/>
          <w:i/>
        </w:rPr>
        <w:t>Ontario (Attorney General) v. Fraser</w:t>
      </w:r>
      <w:r w:rsidRPr="00AC789B">
        <w:rPr>
          <w:rFonts w:cs="Times New Roman"/>
        </w:rPr>
        <w:t xml:space="preserve">, 2011 SCC 20, [2011] 2 S.C.R. 3, at </w:t>
      </w:r>
      <w:proofErr w:type="spellStart"/>
      <w:r w:rsidRPr="00AC789B">
        <w:rPr>
          <w:rFonts w:cs="Times New Roman"/>
        </w:rPr>
        <w:t>para</w:t>
      </w:r>
      <w:proofErr w:type="spellEnd"/>
      <w:r w:rsidRPr="00AC789B">
        <w:rPr>
          <w:rFonts w:cs="Times New Roman"/>
        </w:rPr>
        <w:t xml:space="preserve">. 58, a majority of this Court endorsed Binnie J.’s observation in </w:t>
      </w:r>
      <w:r w:rsidRPr="00AC789B">
        <w:rPr>
          <w:rFonts w:cs="Times New Roman"/>
          <w:i/>
        </w:rPr>
        <w:t>Henry</w:t>
      </w:r>
      <w:r w:rsidRPr="00AC789B">
        <w:rPr>
          <w:rFonts w:cs="Times New Roman"/>
        </w:rPr>
        <w:t xml:space="preserve">, at </w:t>
      </w:r>
      <w:proofErr w:type="spellStart"/>
      <w:r w:rsidRPr="00AC789B">
        <w:rPr>
          <w:rFonts w:cs="Times New Roman"/>
        </w:rPr>
        <w:t>para</w:t>
      </w:r>
      <w:proofErr w:type="spellEnd"/>
      <w:r w:rsidRPr="00AC789B">
        <w:rPr>
          <w:rFonts w:cs="Times New Roman"/>
        </w:rPr>
        <w:t xml:space="preserve">. 44, that “[t]he Court should be particularly careful before reversing a precedent where the effect is to diminish </w:t>
      </w:r>
      <w:r w:rsidRPr="00AC789B">
        <w:rPr>
          <w:rFonts w:cs="Times New Roman"/>
          <w:i/>
        </w:rPr>
        <w:t>Charter</w:t>
      </w:r>
      <w:r w:rsidRPr="00AC789B">
        <w:rPr>
          <w:rFonts w:cs="Times New Roman"/>
        </w:rPr>
        <w:t xml:space="preserve"> protection</w:t>
      </w:r>
      <w:r w:rsidR="00E1063D" w:rsidRPr="00AC789B">
        <w:rPr>
          <w:rFonts w:cs="Times New Roman"/>
        </w:rPr>
        <w:t>.</w:t>
      </w:r>
      <w:r w:rsidRPr="00AC789B">
        <w:rPr>
          <w:rFonts w:cs="Times New Roman"/>
        </w:rPr>
        <w:t xml:space="preserve">” Further, the majority in </w:t>
      </w:r>
      <w:r w:rsidRPr="00AC789B">
        <w:rPr>
          <w:rFonts w:cs="Times New Roman"/>
          <w:i/>
        </w:rPr>
        <w:t xml:space="preserve">Fraser </w:t>
      </w:r>
      <w:r w:rsidRPr="00AC789B">
        <w:rPr>
          <w:rFonts w:cs="Times New Roman"/>
        </w:rPr>
        <w:t>noted that this Court should not overturn one of its own decisions lightly, especially if the decision represents the considered views of a firm majority and is of “recent vintage” (</w:t>
      </w:r>
      <w:proofErr w:type="spellStart"/>
      <w:r w:rsidRPr="00AC789B">
        <w:rPr>
          <w:rFonts w:cs="Times New Roman"/>
        </w:rPr>
        <w:t>para</w:t>
      </w:r>
      <w:proofErr w:type="spellEnd"/>
      <w:r w:rsidRPr="00AC789B">
        <w:rPr>
          <w:rFonts w:cs="Times New Roman"/>
        </w:rPr>
        <w:t xml:space="preserve">. 57).  In </w:t>
      </w:r>
      <w:proofErr w:type="spellStart"/>
      <w:r w:rsidRPr="00AC789B">
        <w:rPr>
          <w:rFonts w:cs="Times New Roman"/>
          <w:i/>
        </w:rPr>
        <w:t>Copthorne</w:t>
      </w:r>
      <w:proofErr w:type="spellEnd"/>
      <w:r w:rsidRPr="00AC789B">
        <w:rPr>
          <w:rFonts w:cs="Times New Roman"/>
          <w:i/>
        </w:rPr>
        <w:t xml:space="preserve"> Holdings Ltd. v. Canada</w:t>
      </w:r>
      <w:r w:rsidRPr="00AC789B">
        <w:rPr>
          <w:rFonts w:cs="Times New Roman"/>
        </w:rPr>
        <w:t xml:space="preserve">, 2011 SCC 63, [2011] 3 S.C.R. 721, Rothstein J., writing for the Court, cited </w:t>
      </w:r>
      <w:r w:rsidRPr="00AC789B">
        <w:rPr>
          <w:rFonts w:cs="Times New Roman"/>
          <w:i/>
        </w:rPr>
        <w:t>Fraser</w:t>
      </w:r>
      <w:r w:rsidRPr="00AC789B">
        <w:rPr>
          <w:rFonts w:cs="Times New Roman"/>
        </w:rPr>
        <w:t xml:space="preserve"> with approval and stated that “[b]</w:t>
      </w:r>
      <w:proofErr w:type="spellStart"/>
      <w:r w:rsidRPr="00AC789B">
        <w:rPr>
          <w:rFonts w:cs="Times New Roman"/>
        </w:rPr>
        <w:t>efore</w:t>
      </w:r>
      <w:proofErr w:type="spellEnd"/>
      <w:r w:rsidRPr="00AC789B">
        <w:rPr>
          <w:rFonts w:cs="Times New Roman"/>
        </w:rPr>
        <w:t xml:space="preserve"> a court will entertain reversing a recently decided decision, there must be substantial reasons to believe the precedent was wrongly decided” (</w:t>
      </w:r>
      <w:proofErr w:type="spellStart"/>
      <w:r w:rsidRPr="00AC789B">
        <w:rPr>
          <w:rFonts w:cs="Times New Roman"/>
        </w:rPr>
        <w:t>para</w:t>
      </w:r>
      <w:proofErr w:type="spellEnd"/>
      <w:r w:rsidRPr="00AC789B">
        <w:rPr>
          <w:rFonts w:cs="Times New Roman"/>
        </w:rPr>
        <w:t xml:space="preserve">. 57). </w:t>
      </w:r>
    </w:p>
    <w:p w:rsidR="00AC4C1F" w:rsidRPr="00AC789B" w:rsidRDefault="00AC4C1F" w:rsidP="00AC4C1F">
      <w:pPr>
        <w:pStyle w:val="ParaNoNdepar-AltN"/>
        <w:rPr>
          <w:rFonts w:cs="Times New Roman"/>
        </w:rPr>
      </w:pPr>
      <w:r w:rsidRPr="00AC789B">
        <w:rPr>
          <w:rFonts w:cs="Times New Roman"/>
        </w:rPr>
        <w:t xml:space="preserve">In my view, there are no substantial reasons to believe </w:t>
      </w:r>
      <w:r w:rsidRPr="00AC789B">
        <w:rPr>
          <w:rFonts w:cs="Times New Roman"/>
          <w:i/>
        </w:rPr>
        <w:t>Henry</w:t>
      </w:r>
      <w:r w:rsidRPr="00AC789B">
        <w:rPr>
          <w:rFonts w:cs="Times New Roman"/>
        </w:rPr>
        <w:t xml:space="preserve"> was wrongly decided. Nor are there any compelling or principled reasons to reintroduce the distinction between impeachment and incrimination, thereby reducing the scope of s. 13 of the </w:t>
      </w:r>
      <w:r w:rsidRPr="00AC789B">
        <w:rPr>
          <w:rFonts w:cs="Times New Roman"/>
          <w:i/>
        </w:rPr>
        <w:t>Charter</w:t>
      </w:r>
      <w:r w:rsidRPr="00AC789B">
        <w:rPr>
          <w:rFonts w:cs="Times New Roman"/>
        </w:rPr>
        <w:t xml:space="preserve">. </w:t>
      </w:r>
      <w:r w:rsidRPr="00AC789B">
        <w:rPr>
          <w:rFonts w:cs="Times New Roman"/>
          <w:i/>
        </w:rPr>
        <w:t>Henry</w:t>
      </w:r>
      <w:r w:rsidRPr="00AC789B">
        <w:rPr>
          <w:rFonts w:cs="Times New Roman"/>
        </w:rPr>
        <w:t xml:space="preserve"> is a fairly recent, unanimous decision of this Court, which has largely been welcomed by the profession for providing predictability and simplifying the law in this area: see</w:t>
      </w:r>
      <w:r w:rsidR="00E1063D" w:rsidRPr="00AC789B">
        <w:rPr>
          <w:rFonts w:cs="Times New Roman"/>
        </w:rPr>
        <w:t>,</w:t>
      </w:r>
      <w:r w:rsidRPr="00AC789B">
        <w:rPr>
          <w:rFonts w:cs="Times New Roman"/>
        </w:rPr>
        <w:t xml:space="preserve"> e.g.</w:t>
      </w:r>
      <w:r w:rsidR="00E1063D" w:rsidRPr="00AC789B">
        <w:rPr>
          <w:rFonts w:cs="Times New Roman"/>
        </w:rPr>
        <w:t>,</w:t>
      </w:r>
      <w:r w:rsidRPr="00AC789B">
        <w:rPr>
          <w:rFonts w:cs="Times New Roman"/>
        </w:rPr>
        <w:t xml:space="preserve"> H. Stewart, “</w:t>
      </w:r>
      <w:r w:rsidRPr="00AC789B">
        <w:rPr>
          <w:rFonts w:cs="Times New Roman"/>
          <w:i/>
        </w:rPr>
        <w:t>Henry</w:t>
      </w:r>
      <w:r w:rsidRPr="00AC789B">
        <w:rPr>
          <w:rFonts w:cs="Times New Roman"/>
        </w:rPr>
        <w:t xml:space="preserve"> in the Supreme Court of </w:t>
      </w:r>
      <w:r w:rsidRPr="00AC789B">
        <w:rPr>
          <w:rFonts w:cs="Times New Roman"/>
        </w:rPr>
        <w:lastRenderedPageBreak/>
        <w:t xml:space="preserve">Canada: Reorienting the s. 13 Right against Self-incrimination” (2006), 34 C.R. (6th) 112; P. </w:t>
      </w:r>
      <w:proofErr w:type="spellStart"/>
      <w:r w:rsidRPr="00AC789B">
        <w:rPr>
          <w:rFonts w:cs="Times New Roman"/>
        </w:rPr>
        <w:t>Sankoff</w:t>
      </w:r>
      <w:proofErr w:type="spellEnd"/>
      <w:r w:rsidRPr="00AC789B">
        <w:rPr>
          <w:rFonts w:cs="Times New Roman"/>
        </w:rPr>
        <w:t>, “</w:t>
      </w:r>
      <w:r w:rsidRPr="00AC789B">
        <w:rPr>
          <w:rFonts w:cs="Times New Roman"/>
          <w:i/>
        </w:rPr>
        <w:t xml:space="preserve">R. v. </w:t>
      </w:r>
      <w:proofErr w:type="spellStart"/>
      <w:r w:rsidRPr="00AC789B">
        <w:rPr>
          <w:rFonts w:cs="Times New Roman"/>
          <w:i/>
        </w:rPr>
        <w:t>Nedelcu</w:t>
      </w:r>
      <w:proofErr w:type="spellEnd"/>
      <w:r w:rsidRPr="00AC789B">
        <w:rPr>
          <w:rFonts w:cs="Times New Roman"/>
        </w:rPr>
        <w:t xml:space="preserve">: The Role of Compulsion in Excluding Incriminating Prior Testimony under Section 13 of the </w:t>
      </w:r>
      <w:r w:rsidRPr="00AC789B">
        <w:rPr>
          <w:rFonts w:cs="Times New Roman"/>
          <w:i/>
        </w:rPr>
        <w:t>Charter</w:t>
      </w:r>
      <w:r w:rsidRPr="00AC789B">
        <w:rPr>
          <w:rFonts w:cs="Times New Roman"/>
        </w:rPr>
        <w:t xml:space="preserve">” (2011), 83 C.R. (6th) 55. </w:t>
      </w:r>
    </w:p>
    <w:p w:rsidR="00AC4C1F" w:rsidRPr="00AC789B" w:rsidRDefault="00AC4C1F" w:rsidP="00AC4C1F">
      <w:pPr>
        <w:pStyle w:val="ParaNoNdepar-AltN"/>
        <w:rPr>
          <w:rFonts w:cs="Times New Roman"/>
        </w:rPr>
      </w:pPr>
      <w:r w:rsidRPr="00AC789B">
        <w:rPr>
          <w:rFonts w:cs="Times New Roman"/>
        </w:rPr>
        <w:t xml:space="preserve">Nothing has changed since </w:t>
      </w:r>
      <w:r w:rsidRPr="00AC789B">
        <w:rPr>
          <w:rFonts w:cs="Times New Roman"/>
          <w:i/>
        </w:rPr>
        <w:t>Henry</w:t>
      </w:r>
      <w:r w:rsidRPr="00AC789B">
        <w:rPr>
          <w:rFonts w:cs="Times New Roman"/>
        </w:rPr>
        <w:t xml:space="preserve">, and it should not be revisited. </w:t>
      </w:r>
    </w:p>
    <w:p w:rsidR="00AC4C1F" w:rsidRPr="00AC789B" w:rsidRDefault="00AC4C1F" w:rsidP="00E1063D">
      <w:pPr>
        <w:pStyle w:val="TitleTitre-AltT"/>
        <w:tabs>
          <w:tab w:val="clear" w:pos="360"/>
          <w:tab w:val="left" w:pos="540"/>
        </w:tabs>
        <w:ind w:left="540" w:hanging="540"/>
        <w:rPr>
          <w:rFonts w:cs="Times New Roman"/>
        </w:rPr>
      </w:pPr>
      <w:r w:rsidRPr="00AC789B">
        <w:rPr>
          <w:rFonts w:cs="Times New Roman"/>
        </w:rPr>
        <w:t>F.</w:t>
      </w:r>
      <w:r w:rsidRPr="00AC789B">
        <w:rPr>
          <w:rFonts w:cs="Times New Roman"/>
        </w:rPr>
        <w:tab/>
      </w:r>
      <w:r w:rsidRPr="00AC789B">
        <w:rPr>
          <w:rFonts w:cs="Times New Roman"/>
          <w:i/>
        </w:rPr>
        <w:t>Problem of Conflicting Testimony: Does Henry Apply?</w:t>
      </w:r>
    </w:p>
    <w:p w:rsidR="00AC4C1F" w:rsidRPr="00AC789B" w:rsidRDefault="00AC4C1F" w:rsidP="00AC4C1F">
      <w:pPr>
        <w:pStyle w:val="ParaNoNdepar-AltN"/>
        <w:rPr>
          <w:rFonts w:cs="Times New Roman"/>
        </w:rPr>
      </w:pPr>
      <w:r w:rsidRPr="00AC789B">
        <w:rPr>
          <w:rFonts w:cs="Times New Roman"/>
        </w:rPr>
        <w:t xml:space="preserve">The soundness of the </w:t>
      </w:r>
      <w:r w:rsidRPr="00AC789B">
        <w:rPr>
          <w:rFonts w:cs="Times New Roman"/>
          <w:i/>
        </w:rPr>
        <w:t xml:space="preserve">Henry </w:t>
      </w:r>
      <w:r w:rsidRPr="00AC789B">
        <w:rPr>
          <w:rFonts w:cs="Times New Roman"/>
        </w:rPr>
        <w:t xml:space="preserve">decision has now been reaffirmed. There seems to be an argument, however, that the case at bar is an unforeseen consequence of </w:t>
      </w:r>
      <w:r w:rsidRPr="00AC789B">
        <w:rPr>
          <w:rFonts w:cs="Times New Roman"/>
          <w:i/>
        </w:rPr>
        <w:t>Henry</w:t>
      </w:r>
      <w:r w:rsidRPr="00AC789B">
        <w:rPr>
          <w:rFonts w:cs="Times New Roman"/>
        </w:rPr>
        <w:t xml:space="preserve"> and that </w:t>
      </w:r>
      <w:r w:rsidRPr="00AC789B">
        <w:rPr>
          <w:rFonts w:cs="Times New Roman"/>
          <w:i/>
        </w:rPr>
        <w:t>Henry</w:t>
      </w:r>
      <w:r w:rsidRPr="00AC789B">
        <w:rPr>
          <w:rFonts w:cs="Times New Roman"/>
        </w:rPr>
        <w:t xml:space="preserve"> cannot possibly apply given the rather blatant inconsistencies in the respondent’s testimony. </w:t>
      </w:r>
    </w:p>
    <w:p w:rsidR="00AC4C1F" w:rsidRPr="00AC789B" w:rsidRDefault="00AC4C1F" w:rsidP="00AC4C1F">
      <w:pPr>
        <w:pStyle w:val="ParaNoNdepar-AltN"/>
        <w:rPr>
          <w:rFonts w:cs="Times New Roman"/>
        </w:rPr>
      </w:pPr>
      <w:r w:rsidRPr="00AC789B">
        <w:rPr>
          <w:rFonts w:cs="Times New Roman"/>
        </w:rPr>
        <w:t xml:space="preserve">The Crown submits that providing s. 13 protection for compelled testimony for all purposes allows accused persons to tailor their evidence as they see fit and therefore impedes the truth-seeking function of a criminal trial. </w:t>
      </w:r>
    </w:p>
    <w:p w:rsidR="00AC4C1F" w:rsidRPr="00AC789B" w:rsidRDefault="00AC4C1F" w:rsidP="00AC4C1F">
      <w:pPr>
        <w:pStyle w:val="ParaNoNdepar-AltN"/>
        <w:rPr>
          <w:rFonts w:cs="Times New Roman"/>
        </w:rPr>
      </w:pPr>
      <w:r w:rsidRPr="00AC789B">
        <w:rPr>
          <w:rFonts w:cs="Times New Roman"/>
        </w:rPr>
        <w:t xml:space="preserve">The response to this argument is that, in adopting the </w:t>
      </w:r>
      <w:r w:rsidRPr="00AC789B">
        <w:rPr>
          <w:rFonts w:cs="Times New Roman"/>
          <w:i/>
        </w:rPr>
        <w:t>Charter</w:t>
      </w:r>
      <w:r w:rsidRPr="00AC789B">
        <w:rPr>
          <w:rFonts w:cs="Times New Roman"/>
        </w:rPr>
        <w:t xml:space="preserve">, we chose as a society to balance the truth-seeking function of a criminal trial against the rights of the accused. Every day, this function is balanced against other important objectives, such as preserving the repute of the administration of justice by excluding unconstitutionally obtained evidence. </w:t>
      </w:r>
    </w:p>
    <w:p w:rsidR="00AC4C1F" w:rsidRPr="00AC789B" w:rsidRDefault="00AC4C1F" w:rsidP="00AC4C1F">
      <w:pPr>
        <w:pStyle w:val="ParaNoNdepar-AltN"/>
        <w:rPr>
          <w:rFonts w:cs="Times New Roman"/>
        </w:rPr>
      </w:pPr>
      <w:r w:rsidRPr="00AC789B">
        <w:rPr>
          <w:rFonts w:cs="Times New Roman"/>
        </w:rPr>
        <w:lastRenderedPageBreak/>
        <w:t xml:space="preserve">The point here is that s. 13 is but one example of how the truth-seeking function of a criminal trial is not pursued at all costs.  In this case, s. 13 dictates that the truth-seeking function of the trial give way to the right of the accused against self-incrimination. This limitation must be considered in light of the greater balancing of interests embodied in the </w:t>
      </w:r>
      <w:r w:rsidRPr="00AC789B">
        <w:rPr>
          <w:rFonts w:cs="Times New Roman"/>
          <w:i/>
        </w:rPr>
        <w:t>Charter</w:t>
      </w:r>
      <w:r w:rsidRPr="00AC789B">
        <w:rPr>
          <w:rFonts w:cs="Times New Roman"/>
        </w:rPr>
        <w:t>.</w:t>
      </w:r>
    </w:p>
    <w:p w:rsidR="00AC4C1F" w:rsidRPr="00AC789B" w:rsidRDefault="00AC4C1F" w:rsidP="00AC4C1F">
      <w:pPr>
        <w:pStyle w:val="ParaNoNdepar-AltN"/>
        <w:rPr>
          <w:rFonts w:cs="Times New Roman"/>
        </w:rPr>
      </w:pPr>
      <w:r w:rsidRPr="00AC789B">
        <w:rPr>
          <w:rFonts w:cs="Times New Roman"/>
        </w:rPr>
        <w:t xml:space="preserve">The intervener Attorney General of Quebec also expresses concerns about the truth-seeking function of a trial and puts forward an alternative approach for determining whether an accused can be cross-examined on prior evidence. In the intervener’s view, a </w:t>
      </w:r>
      <w:proofErr w:type="spellStart"/>
      <w:r w:rsidRPr="00AC789B">
        <w:rPr>
          <w:rFonts w:cs="Times New Roman"/>
          <w:i/>
        </w:rPr>
        <w:t>voir</w:t>
      </w:r>
      <w:proofErr w:type="spellEnd"/>
      <w:r w:rsidRPr="00AC789B">
        <w:rPr>
          <w:rFonts w:cs="Times New Roman"/>
          <w:i/>
        </w:rPr>
        <w:t xml:space="preserve"> dire</w:t>
      </w:r>
      <w:r w:rsidRPr="00AC789B">
        <w:rPr>
          <w:rFonts w:cs="Times New Roman"/>
        </w:rPr>
        <w:t xml:space="preserve"> should be conducted in every case to determine whether the probative value of the prior evidence outweighs its prejudicial effects. </w:t>
      </w:r>
    </w:p>
    <w:p w:rsidR="00AC4C1F" w:rsidRPr="00AC789B" w:rsidRDefault="00AC4C1F" w:rsidP="00AC4C1F">
      <w:pPr>
        <w:pStyle w:val="ParaNoNdepar-AltN"/>
        <w:rPr>
          <w:rFonts w:cs="Times New Roman"/>
        </w:rPr>
      </w:pPr>
      <w:r w:rsidRPr="00AC789B">
        <w:rPr>
          <w:rFonts w:cs="Times New Roman"/>
        </w:rPr>
        <w:t xml:space="preserve">This approach raises at least three problems. First, it adds a layer of complexity to an already complicated trial process. Second, such an approach is not required by the </w:t>
      </w:r>
      <w:r w:rsidRPr="00AC789B">
        <w:rPr>
          <w:rFonts w:cs="Times New Roman"/>
          <w:i/>
        </w:rPr>
        <w:t>Charter</w:t>
      </w:r>
      <w:r w:rsidRPr="00AC789B">
        <w:rPr>
          <w:rFonts w:cs="Times New Roman"/>
        </w:rPr>
        <w:t xml:space="preserve">. Third, and most importantly, the weighing proposed by the intervener would have the effect of compromising the s. 13 rights of the accused in some cases. The approach proposed by the Attorney General of Quebec is therefore incompatible with </w:t>
      </w:r>
      <w:r w:rsidRPr="00AC789B">
        <w:rPr>
          <w:rFonts w:cs="Times New Roman"/>
          <w:i/>
        </w:rPr>
        <w:t>Henry</w:t>
      </w:r>
      <w:r w:rsidRPr="00AC789B">
        <w:rPr>
          <w:rFonts w:cs="Times New Roman"/>
        </w:rPr>
        <w:t xml:space="preserve">. </w:t>
      </w:r>
    </w:p>
    <w:p w:rsidR="00AC4C1F" w:rsidRPr="00AC789B" w:rsidRDefault="00AC4C1F" w:rsidP="00AC4C1F">
      <w:pPr>
        <w:pStyle w:val="ParaNoNdepar-AltN"/>
        <w:rPr>
          <w:rFonts w:cs="Times New Roman"/>
        </w:rPr>
      </w:pPr>
      <w:r w:rsidRPr="00AC789B">
        <w:rPr>
          <w:rFonts w:cs="Times New Roman"/>
        </w:rPr>
        <w:t xml:space="preserve">A further point is what I would describe as the trial judge’s desire to avoid an unpalatable result. At </w:t>
      </w:r>
      <w:proofErr w:type="spellStart"/>
      <w:r w:rsidRPr="00AC789B">
        <w:rPr>
          <w:rFonts w:cs="Times New Roman"/>
        </w:rPr>
        <w:t>para</w:t>
      </w:r>
      <w:proofErr w:type="spellEnd"/>
      <w:r w:rsidRPr="00AC789B">
        <w:rPr>
          <w:rFonts w:cs="Times New Roman"/>
        </w:rPr>
        <w:t xml:space="preserve">. 18 of his </w:t>
      </w:r>
      <w:proofErr w:type="spellStart"/>
      <w:r w:rsidRPr="00AC789B">
        <w:rPr>
          <w:rFonts w:cs="Times New Roman"/>
          <w:i/>
        </w:rPr>
        <w:t>voir</w:t>
      </w:r>
      <w:proofErr w:type="spellEnd"/>
      <w:r w:rsidRPr="00AC789B">
        <w:rPr>
          <w:rFonts w:cs="Times New Roman"/>
          <w:i/>
        </w:rPr>
        <w:t xml:space="preserve"> dire</w:t>
      </w:r>
      <w:r w:rsidRPr="00AC789B">
        <w:rPr>
          <w:rFonts w:cs="Times New Roman"/>
        </w:rPr>
        <w:t xml:space="preserve"> reasons, he acknowledged that the respondent’s evidence seemed to meet the </w:t>
      </w:r>
      <w:r w:rsidRPr="00AC789B">
        <w:rPr>
          <w:rFonts w:cs="Times New Roman"/>
          <w:i/>
        </w:rPr>
        <w:t>Henry</w:t>
      </w:r>
      <w:r w:rsidRPr="00AC789B">
        <w:rPr>
          <w:rFonts w:cs="Times New Roman"/>
        </w:rPr>
        <w:t xml:space="preserve"> requirement of compellability; however, in his view, to apply </w:t>
      </w:r>
      <w:r w:rsidRPr="00AC789B">
        <w:rPr>
          <w:rFonts w:cs="Times New Roman"/>
          <w:i/>
        </w:rPr>
        <w:t>Henry</w:t>
      </w:r>
      <w:r w:rsidRPr="00AC789B">
        <w:rPr>
          <w:rFonts w:cs="Times New Roman"/>
        </w:rPr>
        <w:t xml:space="preserve"> without considering the context “could easily give rise to a form of philosophical and practical dissonance that seems rather </w:t>
      </w:r>
      <w:r w:rsidRPr="00AC789B">
        <w:rPr>
          <w:rFonts w:cs="Times New Roman"/>
        </w:rPr>
        <w:lastRenderedPageBreak/>
        <w:t xml:space="preserve">awkward, and perhaps even perverse, in the result”. And he made the following observation at </w:t>
      </w:r>
      <w:proofErr w:type="spellStart"/>
      <w:r w:rsidRPr="00AC789B">
        <w:rPr>
          <w:rFonts w:cs="Times New Roman"/>
        </w:rPr>
        <w:t>para</w:t>
      </w:r>
      <w:proofErr w:type="spellEnd"/>
      <w:r w:rsidRPr="00AC789B">
        <w:rPr>
          <w:rFonts w:cs="Times New Roman"/>
        </w:rPr>
        <w:t xml:space="preserve">. 50: “. . . if the introduction of the evidence is denied, a significant mischief could ensue. . . . With impunity, [the accused] could tailor his evidence to suit his needs in each particular proceeding.” Similarly, the Crown asks in its factum, “Why would s. 13 of the </w:t>
      </w:r>
      <w:r w:rsidRPr="00AC789B">
        <w:rPr>
          <w:rFonts w:cs="Times New Roman"/>
          <w:i/>
        </w:rPr>
        <w:t>Charter</w:t>
      </w:r>
      <w:r w:rsidRPr="00AC789B">
        <w:rPr>
          <w:rFonts w:cs="Times New Roman"/>
        </w:rPr>
        <w:t xml:space="preserve"> . . . protect [the respondent] from impeachment in circumstances where there is clear evidence that he has lied under oath?” (</w:t>
      </w:r>
      <w:proofErr w:type="spellStart"/>
      <w:r w:rsidRPr="00AC789B">
        <w:rPr>
          <w:rFonts w:cs="Times New Roman"/>
        </w:rPr>
        <w:t>para</w:t>
      </w:r>
      <w:proofErr w:type="spellEnd"/>
      <w:r w:rsidRPr="00AC789B">
        <w:rPr>
          <w:rFonts w:cs="Times New Roman"/>
        </w:rPr>
        <w:t>. 48).</w:t>
      </w:r>
    </w:p>
    <w:p w:rsidR="00AC4C1F" w:rsidRPr="00AC789B" w:rsidRDefault="00AC4C1F" w:rsidP="00AC4C1F">
      <w:pPr>
        <w:pStyle w:val="ParaNoNdepar-AltN"/>
        <w:rPr>
          <w:rFonts w:cs="Times New Roman"/>
        </w:rPr>
      </w:pPr>
      <w:r w:rsidRPr="00AC789B">
        <w:rPr>
          <w:rFonts w:cs="Times New Roman"/>
        </w:rPr>
        <w:t xml:space="preserve">This Court was fully alive to this issue in </w:t>
      </w:r>
      <w:r w:rsidRPr="00AC789B">
        <w:rPr>
          <w:rFonts w:cs="Times New Roman"/>
          <w:i/>
        </w:rPr>
        <w:t>Henry</w:t>
      </w:r>
      <w:r w:rsidRPr="00AC789B">
        <w:rPr>
          <w:rFonts w:cs="Times New Roman"/>
        </w:rPr>
        <w:t xml:space="preserve">. By eliminating the distinction between impeachment and incrimination, the Court explicitly opened the door to this kind of result: </w:t>
      </w:r>
    </w:p>
    <w:p w:rsidR="00AC4C1F" w:rsidRPr="00AC789B" w:rsidRDefault="00E1063D" w:rsidP="00E1063D">
      <w:pPr>
        <w:pStyle w:val="Citation-AltC"/>
        <w:tabs>
          <w:tab w:val="left" w:pos="1170"/>
        </w:tabs>
        <w:ind w:hanging="1256"/>
      </w:pPr>
      <w:r w:rsidRPr="00AC789B">
        <w:tab/>
      </w:r>
      <w:r w:rsidR="00AC4C1F" w:rsidRPr="00AC789B">
        <w:t xml:space="preserve">. . . prior </w:t>
      </w:r>
      <w:r w:rsidR="00AC4C1F" w:rsidRPr="00AC789B">
        <w:rPr>
          <w:i/>
        </w:rPr>
        <w:t>compelled</w:t>
      </w:r>
      <w:r w:rsidR="00AC4C1F" w:rsidRPr="00AC789B">
        <w:t xml:space="preserve"> evidence should, under s. 13 . . ., be treated as inadmissible in evidence against the accused, </w:t>
      </w:r>
      <w:r w:rsidR="00AC4C1F" w:rsidRPr="00AC789B">
        <w:rPr>
          <w:u w:val="single"/>
        </w:rPr>
        <w:t>even for the ostensible purpose of challenging his or her credibility</w:t>
      </w:r>
      <w:r w:rsidR="00AC4C1F" w:rsidRPr="00AC789B">
        <w:t xml:space="preserve">, and be restricted (in the words of s. 13 itself) to “a prosecution for perjury or for the giving of contradictory evidence”. [Italics in original; underlining added; </w:t>
      </w:r>
      <w:proofErr w:type="spellStart"/>
      <w:r w:rsidR="00AC4C1F" w:rsidRPr="00AC789B">
        <w:t>para</w:t>
      </w:r>
      <w:proofErr w:type="spellEnd"/>
      <w:r w:rsidR="00AC4C1F" w:rsidRPr="00AC789B">
        <w:t>. 50</w:t>
      </w:r>
      <w:r w:rsidRPr="00AC789B">
        <w:t>.</w:t>
      </w:r>
      <w:r w:rsidR="00AC4C1F" w:rsidRPr="00AC789B">
        <w:t xml:space="preserve">]  </w:t>
      </w:r>
    </w:p>
    <w:p w:rsidR="00AC4C1F" w:rsidRPr="00AC789B" w:rsidRDefault="00AC4C1F" w:rsidP="00AC4C1F">
      <w:pPr>
        <w:pStyle w:val="ContinueParaSuitedupar-AltP"/>
        <w:rPr>
          <w:rFonts w:cs="Times New Roman"/>
        </w:rPr>
      </w:pPr>
      <w:r w:rsidRPr="00AC789B">
        <w:rPr>
          <w:rFonts w:cs="Times New Roman"/>
        </w:rPr>
        <w:t xml:space="preserve">Therefore, this case falls squarely within the expected outcomes of </w:t>
      </w:r>
      <w:r w:rsidRPr="00AC789B">
        <w:rPr>
          <w:rFonts w:cs="Times New Roman"/>
          <w:i/>
        </w:rPr>
        <w:t>Henry</w:t>
      </w:r>
      <w:r w:rsidRPr="00AC789B">
        <w:rPr>
          <w:rFonts w:cs="Times New Roman"/>
        </w:rPr>
        <w:t>.</w:t>
      </w:r>
    </w:p>
    <w:p w:rsidR="00AC4C1F" w:rsidRPr="00AC789B" w:rsidRDefault="00AC4C1F" w:rsidP="00AC4C1F">
      <w:pPr>
        <w:pStyle w:val="ParaNoNdepar-AltN"/>
        <w:rPr>
          <w:rFonts w:cs="Times New Roman"/>
        </w:rPr>
      </w:pPr>
      <w:r w:rsidRPr="00AC789B">
        <w:rPr>
          <w:rFonts w:cs="Times New Roman"/>
        </w:rPr>
        <w:t xml:space="preserve">As Binnie J. noted in </w:t>
      </w:r>
      <w:r w:rsidRPr="00AC789B">
        <w:rPr>
          <w:rFonts w:cs="Times New Roman"/>
          <w:i/>
        </w:rPr>
        <w:t>Henry</w:t>
      </w:r>
      <w:r w:rsidRPr="00AC789B">
        <w:rPr>
          <w:rFonts w:cs="Times New Roman"/>
        </w:rPr>
        <w:t xml:space="preserve">, prior compelled evidence can be used in “a prosecution for perjury or for the giving of contradictory evidence”. Laying criminal charges for perjury is the appropriate way to deal with witnesses who “tailor [their] evidence to suit [their] needs in each particular proceeding” without diluting the </w:t>
      </w:r>
      <w:r w:rsidRPr="00AC789B">
        <w:rPr>
          <w:rFonts w:cs="Times New Roman"/>
          <w:i/>
        </w:rPr>
        <w:t xml:space="preserve">Charter </w:t>
      </w:r>
      <w:r w:rsidRPr="00AC789B">
        <w:rPr>
          <w:rFonts w:cs="Times New Roman"/>
        </w:rPr>
        <w:t xml:space="preserve">rights of the accused. This approach maintains respect for the administration of justice while fully preserving the s. 13 right of the accused. The protection afforded by s. 13 is not lost when a witness gives what is perceived to be dishonest testimony.  </w:t>
      </w:r>
      <w:r w:rsidRPr="00AC789B">
        <w:rPr>
          <w:rFonts w:cs="Times New Roman"/>
        </w:rPr>
        <w:lastRenderedPageBreak/>
        <w:t xml:space="preserve">Although the </w:t>
      </w:r>
      <w:r w:rsidRPr="00AC789B">
        <w:rPr>
          <w:rFonts w:cs="Times New Roman"/>
          <w:i/>
        </w:rPr>
        <w:t>quid pro quo</w:t>
      </w:r>
      <w:r w:rsidRPr="00AC789B">
        <w:rPr>
          <w:rFonts w:cs="Times New Roman"/>
        </w:rPr>
        <w:t xml:space="preserve"> is meant to encourage full and frank evidence, it is not a “contract” with a witness that can be nullified if the witness lies under oath: see </w:t>
      </w:r>
      <w:r w:rsidRPr="00AC789B">
        <w:rPr>
          <w:rFonts w:cs="Times New Roman"/>
          <w:i/>
        </w:rPr>
        <w:t>Noël</w:t>
      </w:r>
      <w:r w:rsidRPr="00AC789B">
        <w:rPr>
          <w:rFonts w:cs="Times New Roman"/>
        </w:rPr>
        <w:t xml:space="preserve">, at </w:t>
      </w:r>
      <w:proofErr w:type="spellStart"/>
      <w:r w:rsidRPr="00AC789B">
        <w:rPr>
          <w:rFonts w:cs="Times New Roman"/>
        </w:rPr>
        <w:t>para</w:t>
      </w:r>
      <w:proofErr w:type="spellEnd"/>
      <w:r w:rsidRPr="00AC789B">
        <w:rPr>
          <w:rFonts w:cs="Times New Roman"/>
        </w:rPr>
        <w:t xml:space="preserve">. 24.  </w:t>
      </w:r>
    </w:p>
    <w:p w:rsidR="00AC4C1F" w:rsidRPr="00AC789B" w:rsidRDefault="00AC4C1F" w:rsidP="00E1063D">
      <w:pPr>
        <w:pStyle w:val="TitleTitre-AltT"/>
        <w:tabs>
          <w:tab w:val="clear" w:pos="360"/>
          <w:tab w:val="left" w:pos="540"/>
        </w:tabs>
        <w:ind w:left="540" w:hanging="540"/>
        <w:rPr>
          <w:rFonts w:cs="Times New Roman"/>
        </w:rPr>
      </w:pPr>
      <w:r w:rsidRPr="00AC789B">
        <w:rPr>
          <w:rFonts w:cs="Times New Roman"/>
        </w:rPr>
        <w:t>G.</w:t>
      </w:r>
      <w:r w:rsidRPr="00AC789B">
        <w:rPr>
          <w:rFonts w:cs="Times New Roman"/>
        </w:rPr>
        <w:tab/>
      </w:r>
      <w:r w:rsidRPr="00AC789B">
        <w:rPr>
          <w:rFonts w:cs="Times New Roman"/>
          <w:i/>
        </w:rPr>
        <w:t>Reinterpretation and Reversal of Henry</w:t>
      </w:r>
    </w:p>
    <w:p w:rsidR="00AC4C1F" w:rsidRPr="00AC789B" w:rsidRDefault="00AC4C1F" w:rsidP="00AC4C1F">
      <w:pPr>
        <w:pStyle w:val="ParaNoNdepar-AltN"/>
        <w:tabs>
          <w:tab w:val="clear" w:pos="1152"/>
          <w:tab w:val="left" w:pos="1166"/>
        </w:tabs>
        <w:rPr>
          <w:rFonts w:cs="Times New Roman"/>
        </w:rPr>
      </w:pPr>
      <w:r w:rsidRPr="00AC789B">
        <w:rPr>
          <w:rFonts w:cs="Times New Roman"/>
        </w:rPr>
        <w:t xml:space="preserve">I have had the benefit of reading </w:t>
      </w:r>
      <w:proofErr w:type="spellStart"/>
      <w:r w:rsidRPr="00AC789B">
        <w:rPr>
          <w:rFonts w:cs="Times New Roman"/>
        </w:rPr>
        <w:t>Moldaver</w:t>
      </w:r>
      <w:proofErr w:type="spellEnd"/>
      <w:r w:rsidRPr="00AC789B">
        <w:rPr>
          <w:rFonts w:cs="Times New Roman"/>
        </w:rPr>
        <w:t xml:space="preserve"> J.’s reasons, and with respect, I cannot agree with his interpretation of </w:t>
      </w:r>
      <w:r w:rsidRPr="00AC789B">
        <w:rPr>
          <w:rFonts w:cs="Times New Roman"/>
          <w:i/>
        </w:rPr>
        <w:t>Henry</w:t>
      </w:r>
      <w:r w:rsidRPr="00AC789B">
        <w:rPr>
          <w:rFonts w:cs="Times New Roman"/>
        </w:rPr>
        <w:t xml:space="preserve">. </w:t>
      </w:r>
    </w:p>
    <w:p w:rsidR="00AC4C1F" w:rsidRPr="00AC789B" w:rsidRDefault="00AC4C1F" w:rsidP="00AC4C1F">
      <w:pPr>
        <w:pStyle w:val="ParaNoNdepar-AltN"/>
        <w:rPr>
          <w:rFonts w:cs="Times New Roman"/>
        </w:rPr>
      </w:pPr>
      <w:r w:rsidRPr="00AC789B">
        <w:rPr>
          <w:rFonts w:cs="Times New Roman"/>
        </w:rPr>
        <w:t xml:space="preserve">First, this proposed reading of </w:t>
      </w:r>
      <w:r w:rsidRPr="00AC789B">
        <w:rPr>
          <w:rFonts w:cs="Times New Roman"/>
          <w:i/>
        </w:rPr>
        <w:t>Henry</w:t>
      </w:r>
      <w:r w:rsidRPr="00AC789B">
        <w:rPr>
          <w:rFonts w:cs="Times New Roman"/>
        </w:rPr>
        <w:t xml:space="preserve"> is unsupported by the Court’s reasons in that case.  Second, his interpretation was not raised by any of the parties or interveners.  Indeed, it is entirely contrary to Crown counsel’s submissions before this Court.  The Crown acknowledged that it could not succeed without departing from its own understanding of </w:t>
      </w:r>
      <w:r w:rsidRPr="00AC789B">
        <w:rPr>
          <w:rFonts w:cs="Times New Roman"/>
          <w:i/>
        </w:rPr>
        <w:t>Henry</w:t>
      </w:r>
      <w:r w:rsidRPr="00AC789B">
        <w:rPr>
          <w:rFonts w:cs="Times New Roman"/>
        </w:rPr>
        <w:t xml:space="preserve">, with which I agree.  In counsel’s own words: </w:t>
      </w:r>
    </w:p>
    <w:p w:rsidR="00AC4C1F" w:rsidRPr="00AC789B" w:rsidRDefault="00E1063D" w:rsidP="008325B6">
      <w:pPr>
        <w:pStyle w:val="Citation-AltC"/>
        <w:tabs>
          <w:tab w:val="left" w:pos="1620"/>
        </w:tabs>
        <w:ind w:hanging="1166"/>
      </w:pPr>
      <w:r w:rsidRPr="00AC789B">
        <w:tab/>
      </w:r>
      <w:r w:rsidRPr="00AC789B">
        <w:tab/>
      </w:r>
      <w:r w:rsidR="00AC4C1F" w:rsidRPr="00AC789B">
        <w:t xml:space="preserve">And Ontario is here today appreciating and letting me say right now that </w:t>
      </w:r>
      <w:r w:rsidR="00AC4C1F" w:rsidRPr="00AC789B">
        <w:rPr>
          <w:i/>
          <w:u w:val="single"/>
        </w:rPr>
        <w:t>Henry</w:t>
      </w:r>
      <w:r w:rsidR="00AC4C1F" w:rsidRPr="00AC789B">
        <w:rPr>
          <w:u w:val="single"/>
        </w:rPr>
        <w:t xml:space="preserve"> creates a formidable hurdle on this appeal.  I am not oblivious to that fact.</w:t>
      </w:r>
      <w:r w:rsidR="00AC4C1F" w:rsidRPr="00AC789B">
        <w:t xml:space="preserve"> [Emphasis added; transcript, at p. 2.]</w:t>
      </w:r>
    </w:p>
    <w:p w:rsidR="00AC4C1F" w:rsidRPr="00AC789B" w:rsidRDefault="00AC4C1F" w:rsidP="00AC4C1F">
      <w:pPr>
        <w:pStyle w:val="ParaNoNdepar-AltN"/>
        <w:tabs>
          <w:tab w:val="clear" w:pos="1152"/>
          <w:tab w:val="left" w:pos="1166"/>
        </w:tabs>
        <w:rPr>
          <w:rFonts w:cs="Times New Roman"/>
        </w:rPr>
      </w:pPr>
      <w:r w:rsidRPr="00AC789B">
        <w:rPr>
          <w:rFonts w:cs="Times New Roman"/>
        </w:rPr>
        <w:t xml:space="preserve">Third, my colleague’s approach dilutes </w:t>
      </w:r>
      <w:r w:rsidRPr="00AC789B">
        <w:rPr>
          <w:rFonts w:cs="Times New Roman"/>
          <w:i/>
        </w:rPr>
        <w:t>Henry</w:t>
      </w:r>
      <w:r w:rsidRPr="00AC789B">
        <w:rPr>
          <w:rFonts w:cs="Times New Roman"/>
        </w:rPr>
        <w:t xml:space="preserve">. As I stated earlier in these reasons, </w:t>
      </w:r>
      <w:r w:rsidRPr="00AC789B">
        <w:rPr>
          <w:rFonts w:cs="Times New Roman"/>
          <w:i/>
        </w:rPr>
        <w:t>Henry</w:t>
      </w:r>
      <w:r w:rsidRPr="00AC789B">
        <w:rPr>
          <w:rFonts w:cs="Times New Roman"/>
        </w:rPr>
        <w:t xml:space="preserve"> has been lauded as a decision that brought predictability and clarity to a previously murky area of law. This interpretation of </w:t>
      </w:r>
      <w:r w:rsidRPr="00AC789B">
        <w:rPr>
          <w:rFonts w:cs="Times New Roman"/>
          <w:i/>
        </w:rPr>
        <w:t xml:space="preserve">Henry </w:t>
      </w:r>
      <w:r w:rsidRPr="00AC789B">
        <w:rPr>
          <w:rFonts w:cs="Times New Roman"/>
        </w:rPr>
        <w:t xml:space="preserve">will again send the application of s. 13 into a state of confusion. It will cause uncertainty regarding the s. 13 rights of an accused. </w:t>
      </w:r>
    </w:p>
    <w:p w:rsidR="00AC4C1F" w:rsidRPr="00AC789B" w:rsidRDefault="00AC4C1F" w:rsidP="00AC4C1F">
      <w:pPr>
        <w:pStyle w:val="ParaNoNdepar-AltN"/>
        <w:tabs>
          <w:tab w:val="clear" w:pos="1152"/>
          <w:tab w:val="left" w:pos="1166"/>
        </w:tabs>
        <w:rPr>
          <w:rFonts w:cs="Times New Roman"/>
        </w:rPr>
      </w:pPr>
      <w:r w:rsidRPr="00AC789B">
        <w:rPr>
          <w:rFonts w:cs="Times New Roman"/>
        </w:rPr>
        <w:lastRenderedPageBreak/>
        <w:t xml:space="preserve">I am not aware of any decision since </w:t>
      </w:r>
      <w:r w:rsidRPr="00AC789B">
        <w:rPr>
          <w:rFonts w:cs="Times New Roman"/>
          <w:i/>
        </w:rPr>
        <w:t>Henry</w:t>
      </w:r>
      <w:r w:rsidRPr="00AC789B">
        <w:rPr>
          <w:rFonts w:cs="Times New Roman"/>
        </w:rPr>
        <w:t xml:space="preserve"> in which a court has inquired into whether the statements of an accused were “innocent” or “incriminating” in order to determine whether s. 13 applied. Courts will now have to conduct </w:t>
      </w:r>
      <w:proofErr w:type="spellStart"/>
      <w:r w:rsidRPr="00AC789B">
        <w:rPr>
          <w:rFonts w:cs="Times New Roman"/>
          <w:i/>
        </w:rPr>
        <w:t>voir</w:t>
      </w:r>
      <w:proofErr w:type="spellEnd"/>
      <w:r w:rsidRPr="00AC789B">
        <w:rPr>
          <w:rFonts w:cs="Times New Roman"/>
          <w:i/>
        </w:rPr>
        <w:t xml:space="preserve"> </w:t>
      </w:r>
      <w:proofErr w:type="spellStart"/>
      <w:r w:rsidRPr="00AC789B">
        <w:rPr>
          <w:rFonts w:cs="Times New Roman"/>
          <w:i/>
        </w:rPr>
        <w:t>dires</w:t>
      </w:r>
      <w:proofErr w:type="spellEnd"/>
      <w:r w:rsidRPr="00AC789B">
        <w:rPr>
          <w:rFonts w:cs="Times New Roman"/>
        </w:rPr>
        <w:t xml:space="preserve"> to make this determination, which will both encumber the trial process and render the scope of s. 13 dubious in theory and uncertain in practice.  Such uncertainty undermines the objective of the </w:t>
      </w:r>
      <w:r w:rsidRPr="00AC789B">
        <w:rPr>
          <w:rFonts w:cs="Times New Roman"/>
          <w:i/>
        </w:rPr>
        <w:t>quid pro quo</w:t>
      </w:r>
      <w:r w:rsidRPr="00AC789B">
        <w:rPr>
          <w:rFonts w:cs="Times New Roman"/>
        </w:rPr>
        <w:t xml:space="preserve">, which is to encourage full and frank testimony.  Without knowing in advance how their evidence might be used in future proceedings, witnesses will undoubtedly be less likely to display candour, a consequence that is completely at odds with what this Court sought to accomplish in </w:t>
      </w:r>
      <w:r w:rsidRPr="00AC789B">
        <w:rPr>
          <w:rFonts w:cs="Times New Roman"/>
          <w:i/>
        </w:rPr>
        <w:t>Henry</w:t>
      </w:r>
      <w:r w:rsidRPr="00AC789B">
        <w:rPr>
          <w:rFonts w:cs="Times New Roman"/>
        </w:rPr>
        <w:t xml:space="preserve">. This will also undoubtedly reduce the scope of the s. 13 protection that previously compelled witnesses have had since </w:t>
      </w:r>
      <w:r w:rsidRPr="00AC789B">
        <w:rPr>
          <w:rFonts w:cs="Times New Roman"/>
          <w:i/>
        </w:rPr>
        <w:t>Henry</w:t>
      </w:r>
      <w:r w:rsidRPr="00AC789B">
        <w:rPr>
          <w:rFonts w:cs="Times New Roman"/>
        </w:rPr>
        <w:t>.</w:t>
      </w:r>
    </w:p>
    <w:p w:rsidR="00AC4C1F" w:rsidRPr="00AC789B" w:rsidRDefault="00AC4C1F" w:rsidP="00AC4C1F">
      <w:pPr>
        <w:pStyle w:val="ParaNoNdepar-AltN"/>
        <w:rPr>
          <w:rFonts w:cs="Times New Roman"/>
        </w:rPr>
      </w:pPr>
      <w:r w:rsidRPr="00AC789B">
        <w:rPr>
          <w:rFonts w:cs="Times New Roman"/>
        </w:rPr>
        <w:t xml:space="preserve">In </w:t>
      </w:r>
      <w:r w:rsidRPr="00AC789B">
        <w:rPr>
          <w:rFonts w:cs="Times New Roman"/>
          <w:i/>
        </w:rPr>
        <w:t>Henry</w:t>
      </w:r>
      <w:r w:rsidRPr="00AC789B">
        <w:rPr>
          <w:rFonts w:cs="Times New Roman"/>
        </w:rPr>
        <w:t>, Binnie J. recognized the importance of ensuring predictability in the application of s. 13.  He concluded his reasons by stating that the approach he proposed would avert the “unpredictability inherent in sorting out attacks on credibility from attempts at incrimination” (</w:t>
      </w:r>
      <w:proofErr w:type="spellStart"/>
      <w:r w:rsidRPr="00AC789B">
        <w:rPr>
          <w:rFonts w:cs="Times New Roman"/>
        </w:rPr>
        <w:t>para</w:t>
      </w:r>
      <w:proofErr w:type="spellEnd"/>
      <w:r w:rsidRPr="00AC789B">
        <w:rPr>
          <w:rFonts w:cs="Times New Roman"/>
        </w:rPr>
        <w:t xml:space="preserve">. 60).  In my view, my colleague’s opinion reintroduces uncertainty by resurrecting the abandoned distinction, for s. 13 purposes, between “innocuous” and “incriminating” evidence.  Witnesses will be less likely to testify truthfully if they do not know, when called to testify, whether and to what extent the evidence they give will be admissible against them in future proceedings.  </w:t>
      </w:r>
    </w:p>
    <w:p w:rsidR="00AC4C1F" w:rsidRPr="00AC789B" w:rsidRDefault="00AC4C1F" w:rsidP="00AC4C1F">
      <w:pPr>
        <w:pStyle w:val="ParaNoNdepar-AltN"/>
        <w:tabs>
          <w:tab w:val="clear" w:pos="1152"/>
          <w:tab w:val="left" w:pos="1166"/>
        </w:tabs>
        <w:rPr>
          <w:rFonts w:cs="Times New Roman"/>
        </w:rPr>
      </w:pPr>
      <w:r w:rsidRPr="00AC789B">
        <w:rPr>
          <w:rFonts w:cs="Times New Roman"/>
        </w:rPr>
        <w:lastRenderedPageBreak/>
        <w:t xml:space="preserve">The focus of </w:t>
      </w:r>
      <w:r w:rsidRPr="00AC789B">
        <w:rPr>
          <w:rFonts w:cs="Times New Roman"/>
          <w:i/>
        </w:rPr>
        <w:t>Henry</w:t>
      </w:r>
      <w:r w:rsidRPr="00AC789B">
        <w:rPr>
          <w:rFonts w:cs="Times New Roman"/>
        </w:rPr>
        <w:t xml:space="preserve"> is on compulsion, not on the nature of the statements. My colleague rightly </w:t>
      </w:r>
      <w:proofErr w:type="gramStart"/>
      <w:r w:rsidRPr="00AC789B">
        <w:rPr>
          <w:rFonts w:cs="Times New Roman"/>
        </w:rPr>
        <w:t>points out that s. 13 refers</w:t>
      </w:r>
      <w:proofErr w:type="gramEnd"/>
      <w:r w:rsidRPr="00AC789B">
        <w:rPr>
          <w:rFonts w:cs="Times New Roman"/>
        </w:rPr>
        <w:t xml:space="preserve"> to using “incriminating statements” to “incriminate”. However, this Court found in </w:t>
      </w:r>
      <w:r w:rsidRPr="00AC789B">
        <w:rPr>
          <w:rFonts w:cs="Times New Roman"/>
          <w:i/>
        </w:rPr>
        <w:t>Henry</w:t>
      </w:r>
      <w:r w:rsidRPr="00AC789B">
        <w:rPr>
          <w:rFonts w:cs="Times New Roman"/>
        </w:rPr>
        <w:t xml:space="preserve"> that drawing a distinction between using prior compelled evidence to impeach and using it to incriminate was unrealistic. Likewise, Binnie J. implicitly found that the distinction between “incriminating statements” and “innocuous statements” was unrealistic, as he stated at </w:t>
      </w:r>
      <w:proofErr w:type="spellStart"/>
      <w:r w:rsidRPr="00AC789B">
        <w:rPr>
          <w:rFonts w:cs="Times New Roman"/>
        </w:rPr>
        <w:t>para</w:t>
      </w:r>
      <w:proofErr w:type="spellEnd"/>
      <w:r w:rsidRPr="00AC789B">
        <w:rPr>
          <w:rFonts w:cs="Times New Roman"/>
        </w:rPr>
        <w:t>. 45:</w:t>
      </w:r>
    </w:p>
    <w:p w:rsidR="00AC4C1F" w:rsidRPr="00AC789B" w:rsidRDefault="00E1063D" w:rsidP="00E1063D">
      <w:pPr>
        <w:pStyle w:val="Citation-AltC"/>
        <w:tabs>
          <w:tab w:val="left" w:pos="1620"/>
        </w:tabs>
        <w:ind w:left="1620" w:hanging="1620"/>
      </w:pPr>
      <w:r w:rsidRPr="00AC789B">
        <w:tab/>
      </w:r>
      <w:r w:rsidR="00AC4C1F" w:rsidRPr="00AC789B">
        <w:t xml:space="preserve">In </w:t>
      </w:r>
      <w:r w:rsidR="00AC4C1F" w:rsidRPr="00AC789B">
        <w:rPr>
          <w:i/>
        </w:rPr>
        <w:t>Noël</w:t>
      </w:r>
      <w:r w:rsidR="00AC4C1F" w:rsidRPr="00AC789B">
        <w:t xml:space="preserve">, it will be recalled, the Court identified permissible cross-examination by reference to testimony “innocuous” when made at the initial trial and “innocuous” when used at the retrial, opening up consideration of </w:t>
      </w:r>
      <w:r w:rsidR="00AC4C1F" w:rsidRPr="00AC789B">
        <w:rPr>
          <w:u w:val="single"/>
        </w:rPr>
        <w:t>various combinations and permutations of statements innocuous/incriminating, incriminating/innocuous and incriminating/incriminating, an exercise in classification that when argued on a question by question basis can become both protracted and somewhat unpredictable</w:t>
      </w:r>
      <w:r w:rsidR="00AC4C1F" w:rsidRPr="00AC789B">
        <w:t>, as an examination of the questions at issue in the present appeal illustrates. [Emphasis added.]</w:t>
      </w:r>
    </w:p>
    <w:p w:rsidR="00AC4C1F" w:rsidRPr="00AC789B" w:rsidRDefault="00AC4C1F" w:rsidP="00AC4C1F">
      <w:pPr>
        <w:pStyle w:val="ContinueParaSuitedupar-AltP"/>
        <w:rPr>
          <w:rFonts w:cs="Times New Roman"/>
        </w:rPr>
      </w:pPr>
      <w:r w:rsidRPr="00AC789B">
        <w:rPr>
          <w:rFonts w:cs="Times New Roman"/>
        </w:rPr>
        <w:t xml:space="preserve">Therefore, parsing an accused person’s testimony to distinguish what is “incriminating” from what is “innocuous” in order to determine on what parts of his or her testimony the accused may be cross-examined might result in a “protracted” and “unpredictable” classification exercise. This is the approach the majority endorses, and in my view, it is directly at odds with </w:t>
      </w:r>
      <w:r w:rsidRPr="00AC789B">
        <w:rPr>
          <w:rFonts w:cs="Times New Roman"/>
          <w:i/>
        </w:rPr>
        <w:t>Henry</w:t>
      </w:r>
      <w:r w:rsidRPr="00AC789B">
        <w:rPr>
          <w:rFonts w:cs="Times New Roman"/>
        </w:rPr>
        <w:t xml:space="preserve">. </w:t>
      </w:r>
    </w:p>
    <w:p w:rsidR="00AC4C1F" w:rsidRPr="00AC789B" w:rsidRDefault="00AC4C1F" w:rsidP="00AC4C1F">
      <w:pPr>
        <w:pStyle w:val="ParaNoNdepar-AltN"/>
        <w:tabs>
          <w:tab w:val="clear" w:pos="1152"/>
          <w:tab w:val="left" w:pos="1166"/>
        </w:tabs>
        <w:rPr>
          <w:rFonts w:cs="Times New Roman"/>
        </w:rPr>
      </w:pPr>
      <w:r w:rsidRPr="00AC789B">
        <w:rPr>
          <w:rFonts w:cs="Times New Roman"/>
        </w:rPr>
        <w:t xml:space="preserve">My colleague appears willing to recognize and reaffirm a departure from the strict words of s. 13 in the case of prior compelled evidence on the basis of </w:t>
      </w:r>
      <w:r w:rsidRPr="00AC789B">
        <w:rPr>
          <w:rFonts w:cs="Times New Roman"/>
          <w:i/>
        </w:rPr>
        <w:t>Henry</w:t>
      </w:r>
      <w:r w:rsidRPr="00AC789B">
        <w:rPr>
          <w:rFonts w:cs="Times New Roman"/>
        </w:rPr>
        <w:t xml:space="preserve">: such evidence cannot be used </w:t>
      </w:r>
      <w:r w:rsidRPr="00AC789B">
        <w:rPr>
          <w:rFonts w:cs="Times New Roman"/>
          <w:i/>
        </w:rPr>
        <w:t>for any purpose</w:t>
      </w:r>
      <w:r w:rsidRPr="00AC789B">
        <w:rPr>
          <w:rFonts w:cs="Times New Roman"/>
        </w:rPr>
        <w:t xml:space="preserve">. However, he does not seem willing to acknowledge that a departure from the strict words of s. 13 is also warranted — and Binnie J. stated as much in </w:t>
      </w:r>
      <w:r w:rsidRPr="00AC789B">
        <w:rPr>
          <w:rFonts w:cs="Times New Roman"/>
          <w:i/>
        </w:rPr>
        <w:t>Henry</w:t>
      </w:r>
      <w:r w:rsidRPr="00AC789B">
        <w:rPr>
          <w:rFonts w:cs="Times New Roman"/>
        </w:rPr>
        <w:t xml:space="preserve"> — with respect to the kind of evidence that will </w:t>
      </w:r>
      <w:r w:rsidRPr="00AC789B">
        <w:rPr>
          <w:rFonts w:cs="Times New Roman"/>
        </w:rPr>
        <w:lastRenderedPageBreak/>
        <w:t xml:space="preserve">give rise to the </w:t>
      </w:r>
      <w:r w:rsidRPr="00AC789B">
        <w:rPr>
          <w:rFonts w:cs="Times New Roman"/>
          <w:i/>
        </w:rPr>
        <w:t>quid pro quo</w:t>
      </w:r>
      <w:r w:rsidRPr="00AC789B">
        <w:rPr>
          <w:rFonts w:cs="Times New Roman"/>
        </w:rPr>
        <w:t xml:space="preserve">. This departure is necessary because the same practical difficulties that arise when determining what constitutes “impeachment” and what constitutes “incrimination” also arise when determining what </w:t>
      </w:r>
      <w:proofErr w:type="gramStart"/>
      <w:r w:rsidRPr="00AC789B">
        <w:rPr>
          <w:rFonts w:cs="Times New Roman"/>
        </w:rPr>
        <w:t>is “incriminating” evidence</w:t>
      </w:r>
      <w:proofErr w:type="gramEnd"/>
      <w:r w:rsidRPr="00AC789B">
        <w:rPr>
          <w:rFonts w:cs="Times New Roman"/>
        </w:rPr>
        <w:t xml:space="preserve"> and what is “innocuous” evidence.</w:t>
      </w:r>
    </w:p>
    <w:p w:rsidR="00AC4C1F" w:rsidRPr="00AC789B" w:rsidRDefault="00AC4C1F" w:rsidP="00AC4C1F">
      <w:pPr>
        <w:pStyle w:val="ParaNoNdepar-AltN"/>
        <w:rPr>
          <w:rFonts w:cs="Times New Roman"/>
        </w:rPr>
      </w:pPr>
      <w:r w:rsidRPr="00AC789B">
        <w:rPr>
          <w:rFonts w:cs="Times New Roman"/>
        </w:rPr>
        <w:t>In the case at bar, Crown counsel unintentionally, yet convincingly, demonstrated in her submissions at trial that the distinction proposed in my colleague’s reasons, though attractive in theory, is unworkable in practice:</w:t>
      </w:r>
    </w:p>
    <w:p w:rsidR="00AC4C1F" w:rsidRPr="00AC789B" w:rsidRDefault="00E1063D" w:rsidP="00E1063D">
      <w:pPr>
        <w:pStyle w:val="Citation-AltC"/>
        <w:tabs>
          <w:tab w:val="left" w:pos="1170"/>
        </w:tabs>
        <w:spacing w:after="240"/>
        <w:ind w:hanging="1166"/>
        <w:contextualSpacing w:val="0"/>
      </w:pPr>
      <w:r w:rsidRPr="00AC789B">
        <w:tab/>
      </w:r>
      <w:r w:rsidR="00AC4C1F" w:rsidRPr="00AC789B">
        <w:t xml:space="preserve">MS. PRENGER: . . . And how at the end of the day, I think it’s in </w:t>
      </w:r>
      <w:proofErr w:type="spellStart"/>
      <w:r w:rsidR="00AC4C1F" w:rsidRPr="00AC789B">
        <w:rPr>
          <w:i/>
        </w:rPr>
        <w:t>Kuldip</w:t>
      </w:r>
      <w:proofErr w:type="spellEnd"/>
      <w:r w:rsidR="00AC4C1F" w:rsidRPr="00AC789B">
        <w:rPr>
          <w:i/>
        </w:rPr>
        <w:t xml:space="preserve"> </w:t>
      </w:r>
      <w:r w:rsidR="00AC4C1F" w:rsidRPr="00AC789B">
        <w:t xml:space="preserve">where they essentially say, you know, if it goes so </w:t>
      </w:r>
      <w:r w:rsidRPr="00AC789B">
        <w:t>--</w:t>
      </w:r>
      <w:r w:rsidR="00AC4C1F" w:rsidRPr="00AC789B">
        <w:t xml:space="preserve"> and I think this is perhaps your point, Your Honour.  </w:t>
      </w:r>
      <w:proofErr w:type="gramStart"/>
      <w:r w:rsidR="00AC4C1F" w:rsidRPr="00AC789B">
        <w:rPr>
          <w:u w:val="single"/>
        </w:rPr>
        <w:t>When it goes so to the heart of credibility, it can’t help the forward journey of incrimination because one links into the other.</w:t>
      </w:r>
      <w:proofErr w:type="gramEnd"/>
      <w:r w:rsidR="00AC4C1F" w:rsidRPr="00AC789B">
        <w:t xml:space="preserve"> </w:t>
      </w:r>
    </w:p>
    <w:p w:rsidR="00AC4C1F" w:rsidRPr="00AC789B" w:rsidRDefault="00E1063D" w:rsidP="00E1063D">
      <w:pPr>
        <w:pStyle w:val="Citation-AltC"/>
        <w:tabs>
          <w:tab w:val="left" w:pos="1170"/>
        </w:tabs>
        <w:spacing w:after="240"/>
        <w:ind w:hanging="1166"/>
        <w:contextualSpacing w:val="0"/>
      </w:pPr>
      <w:r w:rsidRPr="00AC789B">
        <w:tab/>
      </w:r>
      <w:r w:rsidR="00AC4C1F" w:rsidRPr="00AC789B">
        <w:t>THE COURT: Uh huh.</w:t>
      </w:r>
    </w:p>
    <w:p w:rsidR="00AC4C1F" w:rsidRPr="00AC789B" w:rsidRDefault="00E1063D" w:rsidP="00E1063D">
      <w:pPr>
        <w:pStyle w:val="Citation-AltC"/>
        <w:tabs>
          <w:tab w:val="left" w:pos="1170"/>
        </w:tabs>
        <w:spacing w:after="240"/>
        <w:ind w:hanging="1166"/>
        <w:contextualSpacing w:val="0"/>
      </w:pPr>
      <w:r w:rsidRPr="00AC789B">
        <w:tab/>
      </w:r>
      <w:r w:rsidR="00AC4C1F" w:rsidRPr="00AC789B">
        <w:t xml:space="preserve">MS. PRENGER: And perhaps with Mr. </w:t>
      </w:r>
      <w:proofErr w:type="spellStart"/>
      <w:r w:rsidR="00AC4C1F" w:rsidRPr="00AC789B">
        <w:t>Nedelcu’s</w:t>
      </w:r>
      <w:proofErr w:type="spellEnd"/>
      <w:r w:rsidR="00AC4C1F" w:rsidRPr="00AC789B">
        <w:t xml:space="preserve"> case, when there is such a huge, what I would respectfully suggest, is a huge contradiction, and even though it goes directly towards credibility, as per </w:t>
      </w:r>
      <w:r w:rsidR="00AC4C1F" w:rsidRPr="00AC789B">
        <w:rPr>
          <w:i/>
        </w:rPr>
        <w:t>Henry</w:t>
      </w:r>
      <w:r w:rsidR="00AC4C1F" w:rsidRPr="00AC789B">
        <w:t xml:space="preserve"> now, </w:t>
      </w:r>
      <w:r w:rsidR="00AC4C1F" w:rsidRPr="00AC789B">
        <w:rPr>
          <w:u w:val="single"/>
        </w:rPr>
        <w:t>it could still, to a degree, be given some weight towards incrimination</w:t>
      </w:r>
      <w:r w:rsidR="00AC4C1F" w:rsidRPr="00AC789B">
        <w:t xml:space="preserve">.  </w:t>
      </w:r>
    </w:p>
    <w:p w:rsidR="00AC4C1F" w:rsidRPr="00AC789B" w:rsidRDefault="00E1063D" w:rsidP="00E1063D">
      <w:pPr>
        <w:pStyle w:val="Citation-AltC"/>
        <w:tabs>
          <w:tab w:val="left" w:pos="1170"/>
        </w:tabs>
        <w:spacing w:after="240"/>
        <w:ind w:hanging="1166"/>
        <w:contextualSpacing w:val="0"/>
      </w:pPr>
      <w:r w:rsidRPr="00AC789B">
        <w:tab/>
      </w:r>
      <w:r w:rsidR="00AC4C1F" w:rsidRPr="00AC789B">
        <w:t xml:space="preserve">THE COURT: There’s an analogy in the case of alibi evidence.  There’s a case called </w:t>
      </w:r>
      <w:r w:rsidR="00AC4C1F" w:rsidRPr="00AC789B">
        <w:rPr>
          <w:i/>
        </w:rPr>
        <w:t xml:space="preserve">Pearce </w:t>
      </w:r>
      <w:r w:rsidR="00AC4C1F" w:rsidRPr="00AC789B">
        <w:t>. . . .</w:t>
      </w:r>
    </w:p>
    <w:p w:rsidR="00AC4C1F" w:rsidRPr="00AC789B" w:rsidRDefault="00E1063D" w:rsidP="00E1063D">
      <w:pPr>
        <w:pStyle w:val="Citation-AltC"/>
        <w:tabs>
          <w:tab w:val="left" w:pos="1170"/>
        </w:tabs>
        <w:spacing w:after="240"/>
        <w:ind w:hanging="1166"/>
        <w:contextualSpacing w:val="0"/>
      </w:pPr>
      <w:r w:rsidRPr="00AC789B">
        <w:tab/>
      </w:r>
      <w:r w:rsidR="00AC4C1F" w:rsidRPr="00AC789B">
        <w:t xml:space="preserve">MS. PRENGER: </w:t>
      </w:r>
      <w:proofErr w:type="spellStart"/>
      <w:r w:rsidR="00AC4C1F" w:rsidRPr="00AC789B">
        <w:t>M’hmm</w:t>
      </w:r>
      <w:proofErr w:type="spellEnd"/>
      <w:r w:rsidR="00AC4C1F" w:rsidRPr="00AC789B">
        <w:t>.</w:t>
      </w:r>
    </w:p>
    <w:p w:rsidR="00AC4C1F" w:rsidRPr="00AC789B" w:rsidRDefault="00E1063D" w:rsidP="00E1063D">
      <w:pPr>
        <w:pStyle w:val="Citation-AltC"/>
        <w:tabs>
          <w:tab w:val="left" w:pos="1170"/>
        </w:tabs>
        <w:spacing w:after="240"/>
        <w:ind w:hanging="1166"/>
        <w:contextualSpacing w:val="0"/>
      </w:pPr>
      <w:r w:rsidRPr="00AC789B">
        <w:tab/>
      </w:r>
      <w:r w:rsidR="00AC4C1F" w:rsidRPr="00AC789B">
        <w:t>THE COURT: . . . that says if you simply don’t believe the alibi, that goes to credibility but if you feel the accused concocted the alibi, then that goes to the question of guilt.</w:t>
      </w:r>
    </w:p>
    <w:p w:rsidR="00AC4C1F" w:rsidRPr="00AC789B" w:rsidRDefault="00E1063D" w:rsidP="00E1063D">
      <w:pPr>
        <w:pStyle w:val="Citation-AltC"/>
        <w:tabs>
          <w:tab w:val="left" w:pos="1170"/>
        </w:tabs>
        <w:spacing w:after="240"/>
        <w:ind w:hanging="1166"/>
        <w:contextualSpacing w:val="0"/>
      </w:pPr>
      <w:r w:rsidRPr="00AC789B">
        <w:tab/>
      </w:r>
      <w:r w:rsidR="00AC4C1F" w:rsidRPr="00AC789B">
        <w:t xml:space="preserve">MS. PRENGER: Right. </w:t>
      </w:r>
    </w:p>
    <w:p w:rsidR="00AC4C1F" w:rsidRPr="00AC789B" w:rsidRDefault="00E1063D" w:rsidP="00E1063D">
      <w:pPr>
        <w:pStyle w:val="Citation-AltC"/>
        <w:tabs>
          <w:tab w:val="left" w:pos="1170"/>
        </w:tabs>
        <w:spacing w:after="240"/>
        <w:ind w:hanging="1166"/>
        <w:contextualSpacing w:val="0"/>
      </w:pPr>
      <w:r w:rsidRPr="00AC789B">
        <w:tab/>
      </w:r>
      <w:r w:rsidR="00AC4C1F" w:rsidRPr="00AC789B">
        <w:t>THE COURT: So it can be used as positive evidence of guilt.</w:t>
      </w:r>
    </w:p>
    <w:p w:rsidR="00AC4C1F" w:rsidRPr="00AC789B" w:rsidRDefault="00E1063D" w:rsidP="00E1063D">
      <w:pPr>
        <w:pStyle w:val="Citation-AltC"/>
        <w:tabs>
          <w:tab w:val="left" w:pos="1170"/>
        </w:tabs>
        <w:spacing w:after="240"/>
        <w:ind w:hanging="1166"/>
        <w:contextualSpacing w:val="0"/>
      </w:pPr>
      <w:r w:rsidRPr="00AC789B">
        <w:tab/>
      </w:r>
      <w:r w:rsidR="00AC4C1F" w:rsidRPr="00AC789B">
        <w:t>MS. PRENGER: Right.</w:t>
      </w:r>
    </w:p>
    <w:p w:rsidR="00AC4C1F" w:rsidRPr="00AC789B" w:rsidRDefault="00E1063D" w:rsidP="00E1063D">
      <w:pPr>
        <w:pStyle w:val="Citation-AltC"/>
        <w:tabs>
          <w:tab w:val="left" w:pos="1170"/>
        </w:tabs>
        <w:spacing w:after="240"/>
        <w:ind w:hanging="1166"/>
        <w:contextualSpacing w:val="0"/>
      </w:pPr>
      <w:r w:rsidRPr="00AC789B">
        <w:tab/>
      </w:r>
      <w:r w:rsidR="00AC4C1F" w:rsidRPr="00AC789B">
        <w:t>THE COURT: An</w:t>
      </w:r>
      <w:r w:rsidRPr="00AC789B">
        <w:t>d here you’re saying if it’s --</w:t>
      </w:r>
      <w:r w:rsidR="00AC4C1F" w:rsidRPr="00AC789B">
        <w:t xml:space="preserve"> it’s so big . . .</w:t>
      </w:r>
    </w:p>
    <w:p w:rsidR="00AC4C1F" w:rsidRPr="00AC789B" w:rsidRDefault="00E1063D" w:rsidP="00E1063D">
      <w:pPr>
        <w:pStyle w:val="Citation-AltC"/>
        <w:tabs>
          <w:tab w:val="left" w:pos="1170"/>
        </w:tabs>
        <w:spacing w:after="240"/>
        <w:ind w:hanging="1166"/>
        <w:contextualSpacing w:val="0"/>
      </w:pPr>
      <w:r w:rsidRPr="00AC789B">
        <w:lastRenderedPageBreak/>
        <w:tab/>
      </w:r>
      <w:r w:rsidR="00AC4C1F" w:rsidRPr="00AC789B">
        <w:t>MS. PRENGER: So aggravating.</w:t>
      </w:r>
    </w:p>
    <w:p w:rsidR="00AC4C1F" w:rsidRPr="00AC789B" w:rsidRDefault="00E1063D" w:rsidP="00E1063D">
      <w:pPr>
        <w:pStyle w:val="Citation-AltC"/>
        <w:tabs>
          <w:tab w:val="left" w:pos="1170"/>
        </w:tabs>
        <w:spacing w:after="240"/>
        <w:ind w:hanging="1166"/>
        <w:contextualSpacing w:val="0"/>
      </w:pPr>
      <w:r w:rsidRPr="00AC789B">
        <w:tab/>
      </w:r>
      <w:r w:rsidR="00AC4C1F" w:rsidRPr="00AC789B">
        <w:t xml:space="preserve">THE COURT: It’s so big a difference it obviously goes to credibility </w:t>
      </w:r>
      <w:r w:rsidR="00AC4C1F" w:rsidRPr="00AC789B">
        <w:rPr>
          <w:u w:val="single"/>
        </w:rPr>
        <w:t>but can also be used to imply guilt.  Is that what you’re saying?</w:t>
      </w:r>
      <w:r w:rsidR="00AC4C1F" w:rsidRPr="00AC789B">
        <w:t xml:space="preserve">  </w:t>
      </w:r>
    </w:p>
    <w:p w:rsidR="00AC4C1F" w:rsidRPr="00AC789B" w:rsidRDefault="00E1063D" w:rsidP="00E1063D">
      <w:pPr>
        <w:pStyle w:val="Citation-AltC"/>
        <w:tabs>
          <w:tab w:val="left" w:pos="1170"/>
        </w:tabs>
        <w:ind w:hanging="1166"/>
        <w:contextualSpacing w:val="0"/>
      </w:pPr>
      <w:r w:rsidRPr="00AC789B">
        <w:tab/>
      </w:r>
      <w:r w:rsidR="00AC4C1F" w:rsidRPr="00AC789B">
        <w:t xml:space="preserve">MS. PRENGER: That would be my position and I think that’s what </w:t>
      </w:r>
      <w:r w:rsidR="00AC4C1F" w:rsidRPr="00AC789B">
        <w:rPr>
          <w:i/>
        </w:rPr>
        <w:t>Henry</w:t>
      </w:r>
      <w:r w:rsidR="00AC4C1F" w:rsidRPr="00AC789B">
        <w:t xml:space="preserve"> suggests, that there can be a root there.  [Emphasis added; A.R., vol. III, at pp. 49-51.]</w:t>
      </w:r>
    </w:p>
    <w:p w:rsidR="00AC4C1F" w:rsidRPr="00AC789B" w:rsidRDefault="00AC4C1F" w:rsidP="00AC4C1F">
      <w:pPr>
        <w:pStyle w:val="ParaNoNdepar-AltN"/>
        <w:tabs>
          <w:tab w:val="clear" w:pos="1152"/>
          <w:tab w:val="left" w:pos="1166"/>
        </w:tabs>
        <w:rPr>
          <w:rFonts w:cs="Times New Roman"/>
        </w:rPr>
      </w:pPr>
      <w:r w:rsidRPr="00AC789B">
        <w:rPr>
          <w:rFonts w:cs="Times New Roman"/>
        </w:rPr>
        <w:t xml:space="preserve">If this Court is prepared to say that once s. 13 is engaged, no use of an accused person’s prior testimony is permissible because of the unrealistic distinction between impeachment and incrimination, then, by logical extension, the same must be said about the distinction between innocuous and incriminating evidence. If “innocuous” statements can be used at a subsequent trial to “impeach” the accused, as the majority contends, then that “innocuous” statement could have the effect of incriminating, since it has already been determined in </w:t>
      </w:r>
      <w:r w:rsidRPr="00AC789B">
        <w:rPr>
          <w:rFonts w:cs="Times New Roman"/>
          <w:i/>
        </w:rPr>
        <w:t>Henry</w:t>
      </w:r>
      <w:r w:rsidRPr="00AC789B">
        <w:rPr>
          <w:rFonts w:cs="Times New Roman"/>
        </w:rPr>
        <w:t xml:space="preserve"> that the distinction between impeachment and incrimination is unrealistic in the context of s. 13. It is incongruous to accept that one distinction is unrealistic for the purpose of determining whether s. 13 applies, but not the other. </w:t>
      </w:r>
    </w:p>
    <w:p w:rsidR="00AC4C1F" w:rsidRPr="00AC789B" w:rsidRDefault="00AC4C1F" w:rsidP="00AC4C1F">
      <w:pPr>
        <w:pStyle w:val="ParaNoNdepar-AltN"/>
        <w:tabs>
          <w:tab w:val="clear" w:pos="1152"/>
          <w:tab w:val="left" w:pos="1166"/>
        </w:tabs>
        <w:rPr>
          <w:rFonts w:cs="Times New Roman"/>
        </w:rPr>
      </w:pPr>
      <w:r w:rsidRPr="00AC789B">
        <w:rPr>
          <w:rFonts w:cs="Times New Roman"/>
        </w:rPr>
        <w:t>The examples given by my colleague in his reasons illustrate how difficult it is to distinguish “innocuous” evidence from “incriminating” evidence, especially given that “[t]he focus of the right is on the second proceedings, the time at which the previous testimony is sought to be used, rather than the time at which it is given” (</w:t>
      </w:r>
      <w:r w:rsidRPr="00AC789B">
        <w:rPr>
          <w:rFonts w:cs="Times New Roman"/>
          <w:i/>
        </w:rPr>
        <w:t>Dubois</w:t>
      </w:r>
      <w:r w:rsidRPr="00AC789B">
        <w:rPr>
          <w:rFonts w:cs="Times New Roman"/>
        </w:rPr>
        <w:t>, at p. 361).  His explanation of those examples is reminiscent of the rationalization in pre-</w:t>
      </w:r>
      <w:r w:rsidRPr="00AC789B">
        <w:rPr>
          <w:rFonts w:cs="Times New Roman"/>
          <w:i/>
        </w:rPr>
        <w:t>Henry</w:t>
      </w:r>
      <w:r w:rsidRPr="00AC789B">
        <w:rPr>
          <w:rFonts w:cs="Times New Roman"/>
        </w:rPr>
        <w:t xml:space="preserve"> cases with respect to whether the purpose of the cross-</w:t>
      </w:r>
      <w:r w:rsidRPr="00AC789B">
        <w:rPr>
          <w:rFonts w:cs="Times New Roman"/>
        </w:rPr>
        <w:lastRenderedPageBreak/>
        <w:t xml:space="preserve">examination was impeachment or incrimination. This seems to take us back to where we were before </w:t>
      </w:r>
      <w:r w:rsidRPr="00AC789B">
        <w:rPr>
          <w:rFonts w:cs="Times New Roman"/>
          <w:i/>
        </w:rPr>
        <w:t>Henry</w:t>
      </w:r>
      <w:r w:rsidRPr="00AC789B">
        <w:rPr>
          <w:rFonts w:cs="Times New Roman"/>
        </w:rPr>
        <w:t>.</w:t>
      </w:r>
    </w:p>
    <w:p w:rsidR="00AC4C1F" w:rsidRPr="00AC789B" w:rsidRDefault="00AC4C1F" w:rsidP="00AC4C1F">
      <w:pPr>
        <w:pStyle w:val="ParaNoNdepar-AltN"/>
        <w:tabs>
          <w:tab w:val="clear" w:pos="1152"/>
          <w:tab w:val="left" w:pos="1166"/>
        </w:tabs>
        <w:rPr>
          <w:rFonts w:cs="Times New Roman"/>
        </w:rPr>
      </w:pPr>
      <w:r w:rsidRPr="00AC789B">
        <w:rPr>
          <w:rFonts w:cs="Times New Roman"/>
        </w:rPr>
        <w:t xml:space="preserve">Although my colleague is correct to say that rejecting an accused person’s testimony does not create evidence for the Crown, impeaching an accused lends support to the Crown’s position and may assist in proving guilt. That was the whole point of eliminating the distinction between impeachment and incrimination in </w:t>
      </w:r>
      <w:r w:rsidRPr="00AC789B">
        <w:rPr>
          <w:rFonts w:cs="Times New Roman"/>
          <w:i/>
        </w:rPr>
        <w:t>Henry</w:t>
      </w:r>
      <w:r w:rsidRPr="00AC789B">
        <w:rPr>
          <w:rFonts w:cs="Times New Roman"/>
        </w:rPr>
        <w:t>,</w:t>
      </w:r>
      <w:r w:rsidRPr="00AC789B">
        <w:rPr>
          <w:rFonts w:cs="Times New Roman"/>
          <w:i/>
        </w:rPr>
        <w:t xml:space="preserve"> </w:t>
      </w:r>
      <w:r w:rsidRPr="00AC789B">
        <w:rPr>
          <w:rFonts w:cs="Times New Roman"/>
        </w:rPr>
        <w:t xml:space="preserve">and Binnie J. made this clear at </w:t>
      </w:r>
      <w:proofErr w:type="spellStart"/>
      <w:r w:rsidRPr="00AC789B">
        <w:rPr>
          <w:rFonts w:cs="Times New Roman"/>
        </w:rPr>
        <w:t>para</w:t>
      </w:r>
      <w:proofErr w:type="spellEnd"/>
      <w:r w:rsidRPr="00AC789B">
        <w:rPr>
          <w:rFonts w:cs="Times New Roman"/>
        </w:rPr>
        <w:t xml:space="preserve">. 35 when he endorsed the view of Martin J.A. in </w:t>
      </w:r>
      <w:proofErr w:type="spellStart"/>
      <w:r w:rsidRPr="00AC789B">
        <w:rPr>
          <w:rFonts w:cs="Times New Roman"/>
          <w:i/>
        </w:rPr>
        <w:t>Kuldip</w:t>
      </w:r>
      <w:proofErr w:type="spellEnd"/>
      <w:r w:rsidRPr="00AC789B">
        <w:rPr>
          <w:rFonts w:cs="Times New Roman"/>
        </w:rPr>
        <w:t>:</w:t>
      </w:r>
    </w:p>
    <w:p w:rsidR="00AC4C1F" w:rsidRPr="00AC789B" w:rsidRDefault="00E1063D" w:rsidP="00E1063D">
      <w:pPr>
        <w:pStyle w:val="Citation-AltC"/>
        <w:tabs>
          <w:tab w:val="left" w:pos="1620"/>
        </w:tabs>
        <w:spacing w:after="240"/>
        <w:ind w:hanging="1166"/>
        <w:contextualSpacing w:val="0"/>
      </w:pPr>
      <w:r w:rsidRPr="00AC789B">
        <w:rPr>
          <w:i/>
        </w:rPr>
        <w:tab/>
      </w:r>
      <w:r w:rsidRPr="00AC789B">
        <w:rPr>
          <w:i/>
        </w:rPr>
        <w:tab/>
      </w:r>
      <w:proofErr w:type="spellStart"/>
      <w:r w:rsidR="00AC4C1F" w:rsidRPr="00AC789B">
        <w:rPr>
          <w:i/>
        </w:rPr>
        <w:t>Kuldip</w:t>
      </w:r>
      <w:proofErr w:type="spellEnd"/>
      <w:r w:rsidR="00AC4C1F" w:rsidRPr="00AC789B">
        <w:t xml:space="preserve"> can be seen as an attempt by the Court to put the brakes on </w:t>
      </w:r>
      <w:proofErr w:type="spellStart"/>
      <w:r w:rsidR="00AC4C1F" w:rsidRPr="00AC789B">
        <w:rPr>
          <w:i/>
        </w:rPr>
        <w:t>Mannion</w:t>
      </w:r>
      <w:proofErr w:type="spellEnd"/>
      <w:r w:rsidR="00AC4C1F" w:rsidRPr="00AC789B">
        <w:t xml:space="preserve">, but in its unwillingness to reconsider its reasoning in </w:t>
      </w:r>
      <w:proofErr w:type="spellStart"/>
      <w:r w:rsidR="00AC4C1F" w:rsidRPr="00AC789B">
        <w:rPr>
          <w:i/>
        </w:rPr>
        <w:t>Mannion</w:t>
      </w:r>
      <w:proofErr w:type="spellEnd"/>
      <w:r w:rsidR="00AC4C1F" w:rsidRPr="00AC789B">
        <w:t xml:space="preserve">, the Court was required to resort to reliance on the sometimes difficult distinction between the purposes of impeachment of credibility and incrimination. Although this distinction is well established in the law (see, e.g., </w:t>
      </w:r>
      <w:r w:rsidR="00AC4C1F" w:rsidRPr="00AC789B">
        <w:rPr>
          <w:i/>
        </w:rPr>
        <w:t>R. v. Calder</w:t>
      </w:r>
      <w:r w:rsidR="00AC4C1F" w:rsidRPr="00AC789B">
        <w:t xml:space="preserve">, [1996] 1 S.C.R. 660, at </w:t>
      </w:r>
      <w:proofErr w:type="spellStart"/>
      <w:r w:rsidR="00AC4C1F" w:rsidRPr="00AC789B">
        <w:t>para</w:t>
      </w:r>
      <w:proofErr w:type="spellEnd"/>
      <w:r w:rsidR="00AC4C1F" w:rsidRPr="00AC789B">
        <w:t xml:space="preserve">. 25), </w:t>
      </w:r>
      <w:r w:rsidR="00AC4C1F" w:rsidRPr="00AC789B">
        <w:rPr>
          <w:u w:val="single"/>
        </w:rPr>
        <w:t xml:space="preserve">its practicality in this particular context is frequently questioned. It is worth setting out in full what was said by Arthur Martin J.A., writing in </w:t>
      </w:r>
      <w:proofErr w:type="spellStart"/>
      <w:r w:rsidR="00AC4C1F" w:rsidRPr="00AC789B">
        <w:rPr>
          <w:i/>
          <w:u w:val="single"/>
        </w:rPr>
        <w:t>Kuldip</w:t>
      </w:r>
      <w:proofErr w:type="spellEnd"/>
      <w:r w:rsidR="00AC4C1F" w:rsidRPr="00AC789B">
        <w:t>, when it was before the Ontario Court of Appeal:</w:t>
      </w:r>
    </w:p>
    <w:p w:rsidR="00AC4C1F" w:rsidRPr="00AC789B" w:rsidRDefault="0053561C" w:rsidP="00D51135">
      <w:pPr>
        <w:pStyle w:val="Citation-AltC"/>
        <w:tabs>
          <w:tab w:val="left" w:pos="1980"/>
        </w:tabs>
        <w:ind w:left="1530" w:hanging="1530"/>
      </w:pPr>
      <w:r w:rsidRPr="00AC789B">
        <w:tab/>
      </w:r>
      <w:r w:rsidRPr="00AC789B">
        <w:tab/>
      </w:r>
      <w:r w:rsidR="00AC4C1F" w:rsidRPr="00AC789B">
        <w:t xml:space="preserve">Furthermore, in my view, </w:t>
      </w:r>
      <w:r w:rsidR="00AC4C1F" w:rsidRPr="00AC789B">
        <w:rPr>
          <w:u w:val="single"/>
        </w:rPr>
        <w:t xml:space="preserve">where the prior evidence is used ostensibly to impeach the </w:t>
      </w:r>
      <w:proofErr w:type="spellStart"/>
      <w:r w:rsidR="00AC4C1F" w:rsidRPr="00AC789B">
        <w:rPr>
          <w:u w:val="single"/>
        </w:rPr>
        <w:t>accused’s</w:t>
      </w:r>
      <w:proofErr w:type="spellEnd"/>
      <w:r w:rsidR="00AC4C1F" w:rsidRPr="00AC789B">
        <w:rPr>
          <w:u w:val="single"/>
        </w:rPr>
        <w:t xml:space="preserve"> credibility only, it nevertheless does assist the Crown in its case and, in a broad sense, may help to prove guilt</w:t>
      </w:r>
      <w:r w:rsidR="00AC4C1F" w:rsidRPr="00AC789B">
        <w:t xml:space="preserve">. It is often difficult to draw a clear line between cross-examination on the </w:t>
      </w:r>
      <w:proofErr w:type="spellStart"/>
      <w:r w:rsidR="00AC4C1F" w:rsidRPr="00AC789B">
        <w:t>accused’s</w:t>
      </w:r>
      <w:proofErr w:type="spellEnd"/>
      <w:r w:rsidR="00AC4C1F" w:rsidRPr="00AC789B">
        <w:t xml:space="preserve"> prior testimony for the purpose of incriminating him and such cross-examination for the purpose of impeaching his credibility. </w:t>
      </w:r>
      <w:r w:rsidR="00AC4C1F" w:rsidRPr="00AC789B">
        <w:rPr>
          <w:u w:val="single"/>
        </w:rPr>
        <w:t xml:space="preserve">If the court concludes on the basis of the </w:t>
      </w:r>
      <w:proofErr w:type="spellStart"/>
      <w:r w:rsidR="00AC4C1F" w:rsidRPr="00AC789B">
        <w:rPr>
          <w:u w:val="single"/>
        </w:rPr>
        <w:t>accused’s</w:t>
      </w:r>
      <w:proofErr w:type="spellEnd"/>
      <w:r w:rsidR="00AC4C1F" w:rsidRPr="00AC789B">
        <w:rPr>
          <w:u w:val="single"/>
        </w:rPr>
        <w:t xml:space="preserve"> contradictory statements that he deliberately lied on a material matter, that lie could give rise to an inference of guilt.</w:t>
      </w:r>
      <w:r w:rsidR="00AC4C1F" w:rsidRPr="00AC789B">
        <w:t xml:space="preserve"> [p. 23] [Emphasis added.]</w:t>
      </w:r>
    </w:p>
    <w:p w:rsidR="00AC4C1F" w:rsidRPr="00AC789B" w:rsidRDefault="00AC4C1F" w:rsidP="00AC4C1F">
      <w:pPr>
        <w:pStyle w:val="ParaNoNdepar-AltN"/>
        <w:tabs>
          <w:tab w:val="clear" w:pos="1152"/>
          <w:tab w:val="left" w:pos="1166"/>
        </w:tabs>
        <w:rPr>
          <w:rFonts w:cs="Times New Roman"/>
        </w:rPr>
      </w:pPr>
      <w:r w:rsidRPr="00AC789B">
        <w:rPr>
          <w:rFonts w:cs="Times New Roman"/>
        </w:rPr>
        <w:t xml:space="preserve">I acknowledge that the facts of this case are not favourable to the accused. However, the case must be decided by applying the principles laid out in </w:t>
      </w:r>
      <w:r w:rsidRPr="00AC789B">
        <w:rPr>
          <w:rFonts w:cs="Times New Roman"/>
          <w:i/>
        </w:rPr>
        <w:lastRenderedPageBreak/>
        <w:t>Henry</w:t>
      </w:r>
      <w:r w:rsidRPr="00AC789B">
        <w:rPr>
          <w:rFonts w:cs="Times New Roman"/>
        </w:rPr>
        <w:t xml:space="preserve">, not by attempting to carve out an exception that is manifestly incompatible with </w:t>
      </w:r>
      <w:r w:rsidRPr="00AC789B">
        <w:rPr>
          <w:rFonts w:cs="Times New Roman"/>
          <w:i/>
        </w:rPr>
        <w:t xml:space="preserve">Henry </w:t>
      </w:r>
      <w:r w:rsidRPr="00AC789B">
        <w:rPr>
          <w:rFonts w:cs="Times New Roman"/>
        </w:rPr>
        <w:t xml:space="preserve">in order to arrive at a desired result. </w:t>
      </w:r>
    </w:p>
    <w:p w:rsidR="00AC4C1F" w:rsidRPr="00AC789B" w:rsidRDefault="00AC4C1F" w:rsidP="0053561C">
      <w:pPr>
        <w:pStyle w:val="TitleTitre-AltT"/>
        <w:tabs>
          <w:tab w:val="clear" w:pos="360"/>
          <w:tab w:val="left" w:pos="540"/>
        </w:tabs>
        <w:ind w:left="540" w:hanging="540"/>
        <w:rPr>
          <w:rFonts w:cs="Times New Roman"/>
        </w:rPr>
      </w:pPr>
      <w:r w:rsidRPr="00AC789B">
        <w:rPr>
          <w:rFonts w:cs="Times New Roman"/>
        </w:rPr>
        <w:t>H.</w:t>
      </w:r>
      <w:r w:rsidRPr="00AC789B">
        <w:rPr>
          <w:rFonts w:cs="Times New Roman"/>
        </w:rPr>
        <w:tab/>
      </w:r>
      <w:r w:rsidRPr="00AC789B">
        <w:rPr>
          <w:rFonts w:cs="Times New Roman"/>
          <w:i/>
        </w:rPr>
        <w:t xml:space="preserve">This Court’s Comment in </w:t>
      </w:r>
      <w:proofErr w:type="spellStart"/>
      <w:r w:rsidRPr="00AC789B">
        <w:rPr>
          <w:rFonts w:cs="Times New Roman"/>
          <w:i/>
        </w:rPr>
        <w:t>Juman</w:t>
      </w:r>
      <w:proofErr w:type="spellEnd"/>
    </w:p>
    <w:p w:rsidR="00AC4C1F" w:rsidRPr="00AC789B" w:rsidRDefault="00AC4C1F" w:rsidP="00AC4C1F">
      <w:pPr>
        <w:pStyle w:val="ParaNoNdepar-AltN"/>
        <w:rPr>
          <w:rFonts w:cs="Times New Roman"/>
        </w:rPr>
      </w:pPr>
      <w:r w:rsidRPr="00AC789B">
        <w:rPr>
          <w:rFonts w:cs="Times New Roman"/>
        </w:rPr>
        <w:t xml:space="preserve">Finally, I wish to briefly address the Crown’s argument that this Court’s comment in </w:t>
      </w:r>
      <w:proofErr w:type="spellStart"/>
      <w:r w:rsidRPr="00AC789B">
        <w:rPr>
          <w:rFonts w:cs="Times New Roman"/>
          <w:i/>
        </w:rPr>
        <w:t>Juman</w:t>
      </w:r>
      <w:proofErr w:type="spellEnd"/>
      <w:r w:rsidRPr="00AC789B">
        <w:rPr>
          <w:rFonts w:cs="Times New Roman"/>
          <w:i/>
        </w:rPr>
        <w:t xml:space="preserve"> </w:t>
      </w:r>
      <w:r w:rsidRPr="00AC789B">
        <w:rPr>
          <w:rFonts w:cs="Times New Roman"/>
        </w:rPr>
        <w:t xml:space="preserve">provides the answer to </w:t>
      </w:r>
      <w:r w:rsidR="0053561C" w:rsidRPr="00AC789B">
        <w:rPr>
          <w:rFonts w:cs="Times New Roman"/>
        </w:rPr>
        <w:t xml:space="preserve">the </w:t>
      </w:r>
      <w:r w:rsidRPr="00AC789B">
        <w:rPr>
          <w:rFonts w:cs="Times New Roman"/>
        </w:rPr>
        <w:t>question before us.</w:t>
      </w:r>
    </w:p>
    <w:p w:rsidR="00AC4C1F" w:rsidRPr="00AC789B" w:rsidRDefault="00AC4C1F" w:rsidP="00AC4C1F">
      <w:pPr>
        <w:pStyle w:val="ParaNoNdepar-AltN"/>
        <w:rPr>
          <w:rFonts w:cs="Times New Roman"/>
        </w:rPr>
      </w:pPr>
      <w:r w:rsidRPr="00AC789B">
        <w:rPr>
          <w:rFonts w:cs="Times New Roman"/>
        </w:rPr>
        <w:t xml:space="preserve">In </w:t>
      </w:r>
      <w:proofErr w:type="spellStart"/>
      <w:r w:rsidRPr="00AC789B">
        <w:rPr>
          <w:rFonts w:cs="Times New Roman"/>
          <w:i/>
        </w:rPr>
        <w:t>Juman</w:t>
      </w:r>
      <w:proofErr w:type="spellEnd"/>
      <w:r w:rsidRPr="00AC789B">
        <w:rPr>
          <w:rFonts w:cs="Times New Roman"/>
        </w:rPr>
        <w:t xml:space="preserve">, the Court was considering the scope of the implied undertaking rule in British Columbia. The question for the Court was under what circumstances, if any, information in discovery transcripts could be used for a purpose other than that of the civil action in question. </w:t>
      </w:r>
    </w:p>
    <w:p w:rsidR="00AC4C1F" w:rsidRPr="00AC789B" w:rsidRDefault="00AC4C1F" w:rsidP="00AC4C1F">
      <w:pPr>
        <w:pStyle w:val="ParaNoNdepar-AltN"/>
        <w:rPr>
          <w:rFonts w:cs="Times New Roman"/>
        </w:rPr>
      </w:pPr>
      <w:r w:rsidRPr="00AC789B">
        <w:rPr>
          <w:rFonts w:cs="Times New Roman"/>
        </w:rPr>
        <w:t xml:space="preserve">Binnie J., writing for the Court, noted that the implied undertaking rule </w:t>
      </w:r>
      <w:proofErr w:type="gramStart"/>
      <w:r w:rsidRPr="00AC789B">
        <w:rPr>
          <w:rFonts w:cs="Times New Roman"/>
        </w:rPr>
        <w:t>is a “</w:t>
      </w:r>
      <w:proofErr w:type="gramEnd"/>
      <w:r w:rsidRPr="00AC789B">
        <w:rPr>
          <w:rFonts w:cs="Times New Roman"/>
        </w:rPr>
        <w:t>recognition of the examinee’s privacy interest” but that this privacy interest is not absolute (</w:t>
      </w:r>
      <w:proofErr w:type="spellStart"/>
      <w:r w:rsidRPr="00AC789B">
        <w:rPr>
          <w:rFonts w:cs="Times New Roman"/>
        </w:rPr>
        <w:t>para</w:t>
      </w:r>
      <w:proofErr w:type="spellEnd"/>
      <w:r w:rsidRPr="00AC789B">
        <w:rPr>
          <w:rFonts w:cs="Times New Roman"/>
        </w:rPr>
        <w:t xml:space="preserve">. 30). He then cited several exceptions of compelling public interests that could “trump” an examinee’s privacy interest. At </w:t>
      </w:r>
      <w:proofErr w:type="spellStart"/>
      <w:r w:rsidRPr="00AC789B">
        <w:rPr>
          <w:rFonts w:cs="Times New Roman"/>
        </w:rPr>
        <w:t>para</w:t>
      </w:r>
      <w:proofErr w:type="spellEnd"/>
      <w:r w:rsidRPr="00AC789B">
        <w:rPr>
          <w:rFonts w:cs="Times New Roman"/>
        </w:rPr>
        <w:t>. 41, he noted that one such exception is “where the deponent has given contradictory testimony about the same matters in successive or different proceedings”. In making this point, Binnie J. quoted the trial reasons in the instant case: “Any other outcome would allow a person accused of an offence ‘[w]</w:t>
      </w:r>
      <w:proofErr w:type="spellStart"/>
      <w:r w:rsidRPr="00AC789B">
        <w:rPr>
          <w:rFonts w:cs="Times New Roman"/>
        </w:rPr>
        <w:t>ith</w:t>
      </w:r>
      <w:proofErr w:type="spellEnd"/>
      <w:r w:rsidRPr="00AC789B">
        <w:rPr>
          <w:rFonts w:cs="Times New Roman"/>
        </w:rPr>
        <w:t xml:space="preserve"> impunity [to] tailor his evidence to suit his needs in each particular proceeding’ (</w:t>
      </w:r>
      <w:r w:rsidRPr="00AC789B">
        <w:rPr>
          <w:rFonts w:cs="Times New Roman"/>
          <w:i/>
        </w:rPr>
        <w:t xml:space="preserve">R. v. </w:t>
      </w:r>
      <w:proofErr w:type="spellStart"/>
      <w:r w:rsidRPr="00AC789B">
        <w:rPr>
          <w:rFonts w:cs="Times New Roman"/>
          <w:i/>
        </w:rPr>
        <w:t>Nedelcu</w:t>
      </w:r>
      <w:proofErr w:type="spellEnd"/>
      <w:r w:rsidRPr="00AC789B">
        <w:rPr>
          <w:rFonts w:cs="Times New Roman"/>
        </w:rPr>
        <w:t xml:space="preserve"> (2007), 41 C.P.C. (6th) 357 (Ont. S.C.J.), at </w:t>
      </w:r>
      <w:proofErr w:type="spellStart"/>
      <w:r w:rsidRPr="00AC789B">
        <w:rPr>
          <w:rFonts w:cs="Times New Roman"/>
        </w:rPr>
        <w:t>paras</w:t>
      </w:r>
      <w:proofErr w:type="spellEnd"/>
      <w:r w:rsidRPr="00AC789B">
        <w:rPr>
          <w:rFonts w:cs="Times New Roman"/>
        </w:rPr>
        <w:t xml:space="preserve">. 49-51).” </w:t>
      </w:r>
    </w:p>
    <w:p w:rsidR="00AC4C1F" w:rsidRPr="00AC789B" w:rsidRDefault="00AC4C1F" w:rsidP="00AC4C1F">
      <w:pPr>
        <w:pStyle w:val="ParaNoNdepar-AltN"/>
        <w:rPr>
          <w:rFonts w:cs="Times New Roman"/>
        </w:rPr>
      </w:pPr>
      <w:r w:rsidRPr="00AC789B">
        <w:rPr>
          <w:rFonts w:cs="Times New Roman"/>
        </w:rPr>
        <w:lastRenderedPageBreak/>
        <w:t xml:space="preserve">The Court of Appeal in the instant case correctly noted that </w:t>
      </w:r>
      <w:proofErr w:type="spellStart"/>
      <w:r w:rsidRPr="00AC789B">
        <w:rPr>
          <w:rFonts w:cs="Times New Roman"/>
          <w:i/>
        </w:rPr>
        <w:t>Juman</w:t>
      </w:r>
      <w:proofErr w:type="spellEnd"/>
      <w:r w:rsidRPr="00AC789B">
        <w:rPr>
          <w:rFonts w:cs="Times New Roman"/>
        </w:rPr>
        <w:t xml:space="preserve"> was not </w:t>
      </w:r>
      <w:proofErr w:type="gramStart"/>
      <w:r w:rsidRPr="00AC789B">
        <w:rPr>
          <w:rFonts w:cs="Times New Roman"/>
        </w:rPr>
        <w:t>a</w:t>
      </w:r>
      <w:proofErr w:type="gramEnd"/>
      <w:r w:rsidRPr="00AC789B">
        <w:rPr>
          <w:rFonts w:cs="Times New Roman"/>
        </w:rPr>
        <w:t xml:space="preserve"> s. 13 case. Although s. 13 had been raised at other stages in the litigation, by the time it was heard in this Court, s. 13 was no longer at issue. Therefore, the fact that Binnie J. quoted the trial judge’s reasons cannot be taken as an endorsement of the trial judge’s approach to s. 13. The words in </w:t>
      </w:r>
      <w:proofErr w:type="spellStart"/>
      <w:r w:rsidRPr="00AC789B">
        <w:rPr>
          <w:rFonts w:cs="Times New Roman"/>
          <w:i/>
        </w:rPr>
        <w:t>Juman</w:t>
      </w:r>
      <w:proofErr w:type="spellEnd"/>
      <w:r w:rsidRPr="00AC789B">
        <w:rPr>
          <w:rFonts w:cs="Times New Roman"/>
          <w:i/>
        </w:rPr>
        <w:t xml:space="preserve"> </w:t>
      </w:r>
      <w:r w:rsidRPr="00AC789B">
        <w:rPr>
          <w:rFonts w:cs="Times New Roman"/>
        </w:rPr>
        <w:t xml:space="preserve">illustrate a point related to the implied undertaking rule only. They do not suggest that s. 13 protection should be diminished in the case of an accused </w:t>
      </w:r>
      <w:proofErr w:type="gramStart"/>
      <w:r w:rsidRPr="00AC789B">
        <w:rPr>
          <w:rFonts w:cs="Times New Roman"/>
        </w:rPr>
        <w:t>who</w:t>
      </w:r>
      <w:proofErr w:type="gramEnd"/>
      <w:r w:rsidRPr="00AC789B">
        <w:rPr>
          <w:rFonts w:cs="Times New Roman"/>
        </w:rPr>
        <w:t xml:space="preserve"> makes inconsistent statements. </w:t>
      </w:r>
    </w:p>
    <w:p w:rsidR="00AC4C1F" w:rsidRPr="00AC789B" w:rsidRDefault="00AC4C1F" w:rsidP="00AC4C1F">
      <w:pPr>
        <w:pStyle w:val="ParaNoNdepar-AltN"/>
        <w:rPr>
          <w:rFonts w:cs="Times New Roman"/>
        </w:rPr>
      </w:pPr>
      <w:r w:rsidRPr="00AC789B">
        <w:rPr>
          <w:rFonts w:cs="Times New Roman"/>
        </w:rPr>
        <w:t xml:space="preserve">In fact, Binnie J. specifically noted that there was no </w:t>
      </w:r>
      <w:r w:rsidRPr="00AC789B">
        <w:rPr>
          <w:rFonts w:cs="Times New Roman"/>
          <w:i/>
        </w:rPr>
        <w:t xml:space="preserve">Charter </w:t>
      </w:r>
      <w:r w:rsidRPr="00AC789B">
        <w:rPr>
          <w:rFonts w:cs="Times New Roman"/>
        </w:rPr>
        <w:t xml:space="preserve">issue before the Court and that any use of discovery transcripts in a criminal context would have to take into consideration the </w:t>
      </w:r>
      <w:r w:rsidRPr="00AC789B">
        <w:rPr>
          <w:rFonts w:cs="Times New Roman"/>
          <w:i/>
        </w:rPr>
        <w:t xml:space="preserve">Charter </w:t>
      </w:r>
      <w:r w:rsidRPr="00AC789B">
        <w:rPr>
          <w:rFonts w:cs="Times New Roman"/>
        </w:rPr>
        <w:t>rights of the accused:</w:t>
      </w:r>
    </w:p>
    <w:p w:rsidR="00AC4C1F" w:rsidRPr="00AC789B" w:rsidRDefault="0053561C" w:rsidP="0053561C">
      <w:pPr>
        <w:pStyle w:val="Citation-AltC"/>
        <w:tabs>
          <w:tab w:val="left" w:pos="1620"/>
        </w:tabs>
        <w:ind w:hanging="1166"/>
      </w:pPr>
      <w:r w:rsidRPr="00AC789B">
        <w:tab/>
      </w:r>
      <w:r w:rsidRPr="00AC789B">
        <w:tab/>
      </w:r>
      <w:r w:rsidR="00AC4C1F" w:rsidRPr="00AC789B">
        <w:t xml:space="preserve">If criminal charges are brought, the prosecution may also compel a witness to produce a copy of the documents or transcripts in question from his or her possession by a subpoena </w:t>
      </w:r>
      <w:proofErr w:type="spellStart"/>
      <w:r w:rsidR="00AC4C1F" w:rsidRPr="00AC789B">
        <w:rPr>
          <w:i/>
        </w:rPr>
        <w:t>duces</w:t>
      </w:r>
      <w:proofErr w:type="spellEnd"/>
      <w:r w:rsidR="00AC4C1F" w:rsidRPr="00AC789B">
        <w:rPr>
          <w:i/>
        </w:rPr>
        <w:t xml:space="preserve"> </w:t>
      </w:r>
      <w:proofErr w:type="spellStart"/>
      <w:r w:rsidR="00AC4C1F" w:rsidRPr="00AC789B">
        <w:rPr>
          <w:i/>
        </w:rPr>
        <w:t>tecum</w:t>
      </w:r>
      <w:proofErr w:type="spellEnd"/>
      <w:r w:rsidR="00AC4C1F" w:rsidRPr="00AC789B">
        <w:t xml:space="preserve">. The trial judge would then determine what, </w:t>
      </w:r>
      <w:r w:rsidR="00AC4C1F" w:rsidRPr="00AC789B">
        <w:rPr>
          <w:u w:val="single"/>
        </w:rPr>
        <w:t>if any</w:t>
      </w:r>
      <w:r w:rsidR="00AC4C1F" w:rsidRPr="00AC789B">
        <w:t xml:space="preserve">, use could be made of the material, </w:t>
      </w:r>
      <w:r w:rsidR="00AC4C1F" w:rsidRPr="00AC789B">
        <w:rPr>
          <w:u w:val="single"/>
        </w:rPr>
        <w:t xml:space="preserve">having regard to the appellant’s </w:t>
      </w:r>
      <w:r w:rsidR="00AC4C1F" w:rsidRPr="00AC789B">
        <w:rPr>
          <w:i/>
          <w:u w:val="single"/>
        </w:rPr>
        <w:t>Charter</w:t>
      </w:r>
      <w:r w:rsidR="00AC4C1F" w:rsidRPr="00AC789B">
        <w:rPr>
          <w:u w:val="single"/>
        </w:rPr>
        <w:t xml:space="preserve"> rights</w:t>
      </w:r>
      <w:r w:rsidR="00AC4C1F" w:rsidRPr="00AC789B">
        <w:t xml:space="preserve"> and any other relevant considerations. </w:t>
      </w:r>
      <w:r w:rsidR="00AC4C1F" w:rsidRPr="00AC789B">
        <w:rPr>
          <w:u w:val="single"/>
        </w:rPr>
        <w:t>None of these issues arise for decision on the present appeal.</w:t>
      </w:r>
      <w:r w:rsidR="00AC4C1F" w:rsidRPr="00AC789B">
        <w:t xml:space="preserve"> [Emphasis added; </w:t>
      </w:r>
      <w:proofErr w:type="spellStart"/>
      <w:r w:rsidR="00AC4C1F" w:rsidRPr="00AC789B">
        <w:t>para</w:t>
      </w:r>
      <w:proofErr w:type="spellEnd"/>
      <w:r w:rsidR="00AC4C1F" w:rsidRPr="00AC789B">
        <w:t>. 57.]</w:t>
      </w:r>
    </w:p>
    <w:p w:rsidR="00AC4C1F" w:rsidRPr="00AC789B" w:rsidRDefault="00AC4C1F" w:rsidP="00AC4C1F">
      <w:pPr>
        <w:pStyle w:val="ParaNoNdepar-AltN"/>
        <w:rPr>
          <w:rFonts w:cs="Times New Roman"/>
        </w:rPr>
      </w:pPr>
      <w:r w:rsidRPr="00AC789B">
        <w:rPr>
          <w:rFonts w:cs="Times New Roman"/>
        </w:rPr>
        <w:t xml:space="preserve">Although there may be exceptions to the implied undertaking rule that include the giving of contradictory testimony, this does not mean that those same exceptions will apply to the s. 13 rights of an accused. A civil procedure rule cannot be compared to a constitutional guarantee. They involve different interests and have different degrees of flexibility. </w:t>
      </w:r>
    </w:p>
    <w:p w:rsidR="00AC4C1F" w:rsidRPr="00AC789B" w:rsidRDefault="00AC4C1F" w:rsidP="00AC4C1F">
      <w:pPr>
        <w:pStyle w:val="ParaNoNdepar-AltN"/>
        <w:rPr>
          <w:rFonts w:cs="Times New Roman"/>
        </w:rPr>
      </w:pPr>
      <w:r w:rsidRPr="00AC789B">
        <w:rPr>
          <w:rFonts w:cs="Times New Roman"/>
        </w:rPr>
        <w:lastRenderedPageBreak/>
        <w:t xml:space="preserve">As noted by the Court of Appeal below, there is nothing in </w:t>
      </w:r>
      <w:proofErr w:type="spellStart"/>
      <w:r w:rsidRPr="00AC789B">
        <w:rPr>
          <w:rFonts w:cs="Times New Roman"/>
          <w:i/>
        </w:rPr>
        <w:t>Juman</w:t>
      </w:r>
      <w:proofErr w:type="spellEnd"/>
      <w:r w:rsidRPr="00AC789B">
        <w:rPr>
          <w:rFonts w:cs="Times New Roman"/>
          <w:i/>
        </w:rPr>
        <w:t xml:space="preserve"> </w:t>
      </w:r>
      <w:r w:rsidRPr="00AC789B">
        <w:rPr>
          <w:rFonts w:cs="Times New Roman"/>
        </w:rPr>
        <w:t xml:space="preserve">that alters the ratio of </w:t>
      </w:r>
      <w:r w:rsidRPr="00AC789B">
        <w:rPr>
          <w:rFonts w:cs="Times New Roman"/>
          <w:i/>
        </w:rPr>
        <w:t>Henry</w:t>
      </w:r>
      <w:r w:rsidRPr="00AC789B">
        <w:rPr>
          <w:rFonts w:cs="Times New Roman"/>
        </w:rPr>
        <w:t xml:space="preserve">. </w:t>
      </w:r>
      <w:proofErr w:type="spellStart"/>
      <w:r w:rsidRPr="00AC789B">
        <w:rPr>
          <w:rFonts w:cs="Times New Roman"/>
          <w:i/>
        </w:rPr>
        <w:t>Juman</w:t>
      </w:r>
      <w:proofErr w:type="spellEnd"/>
      <w:r w:rsidRPr="00AC789B">
        <w:rPr>
          <w:rFonts w:cs="Times New Roman"/>
        </w:rPr>
        <w:t xml:space="preserve"> is of no assistance in this case. </w:t>
      </w:r>
    </w:p>
    <w:p w:rsidR="00AC4C1F" w:rsidRPr="00AC789B" w:rsidRDefault="00AC4C1F" w:rsidP="0053561C">
      <w:pPr>
        <w:pStyle w:val="ParaNoNdepar-AltN"/>
        <w:numPr>
          <w:ilvl w:val="0"/>
          <w:numId w:val="0"/>
        </w:numPr>
        <w:ind w:left="540" w:hanging="540"/>
        <w:rPr>
          <w:rFonts w:cs="Times New Roman"/>
          <w:u w:val="single"/>
        </w:rPr>
      </w:pPr>
      <w:r w:rsidRPr="00AC789B">
        <w:rPr>
          <w:rFonts w:cs="Times New Roman"/>
        </w:rPr>
        <w:t xml:space="preserve">V. </w:t>
      </w:r>
      <w:r w:rsidRPr="00AC789B">
        <w:rPr>
          <w:rFonts w:cs="Times New Roman"/>
        </w:rPr>
        <w:tab/>
      </w:r>
      <w:r w:rsidRPr="00AC789B">
        <w:rPr>
          <w:rFonts w:cs="Times New Roman"/>
          <w:u w:val="single"/>
        </w:rPr>
        <w:t>Conclusion</w:t>
      </w:r>
    </w:p>
    <w:p w:rsidR="00AC4C1F" w:rsidRPr="00AC789B" w:rsidRDefault="00AC4C1F" w:rsidP="00AC4C1F">
      <w:pPr>
        <w:pStyle w:val="ParaNoNdepar-AltN"/>
        <w:rPr>
          <w:rFonts w:cs="Times New Roman"/>
        </w:rPr>
      </w:pPr>
      <w:r w:rsidRPr="00AC789B">
        <w:rPr>
          <w:rFonts w:cs="Times New Roman"/>
        </w:rPr>
        <w:t>I would dismiss the appeal.</w:t>
      </w:r>
    </w:p>
    <w:p w:rsidR="009B57B3" w:rsidRPr="00AC789B" w:rsidRDefault="00F664FF" w:rsidP="00C46F3D">
      <w:pPr>
        <w:pStyle w:val="SCCNormalDoubleSpacing"/>
        <w:spacing w:after="480"/>
        <w:rPr>
          <w:i/>
        </w:rPr>
      </w:pPr>
      <w:r w:rsidRPr="00AC789B">
        <w:rPr>
          <w:i/>
        </w:rPr>
        <w:tab/>
      </w:r>
      <w:r w:rsidR="00656313" w:rsidRPr="00AC789B">
        <w:rPr>
          <w:i/>
        </w:rPr>
        <w:t>Appeal</w:t>
      </w:r>
      <w:r w:rsidRPr="00AC789B">
        <w:rPr>
          <w:i/>
        </w:rPr>
        <w:t xml:space="preserve"> </w:t>
      </w:r>
      <w:r w:rsidR="00FF225F" w:rsidRPr="00AC789B">
        <w:rPr>
          <w:i/>
        </w:rPr>
        <w:t>allowed</w:t>
      </w:r>
      <w:r w:rsidR="00A96BED" w:rsidRPr="00AC789B">
        <w:rPr>
          <w:i/>
        </w:rPr>
        <w:t>,</w:t>
      </w:r>
      <w:r w:rsidR="00FF225F" w:rsidRPr="00AC789B">
        <w:rPr>
          <w:i/>
        </w:rPr>
        <w:t xml:space="preserve"> </w:t>
      </w:r>
      <w:r w:rsidR="00FF225F" w:rsidRPr="00AC789B">
        <w:rPr>
          <w:smallCaps/>
        </w:rPr>
        <w:t>LeBel</w:t>
      </w:r>
      <w:r w:rsidR="00FF225F" w:rsidRPr="00AC789B">
        <w:rPr>
          <w:i/>
        </w:rPr>
        <w:t xml:space="preserve">, </w:t>
      </w:r>
      <w:r w:rsidR="00FF225F" w:rsidRPr="00AC789B">
        <w:rPr>
          <w:smallCaps/>
        </w:rPr>
        <w:t>Fish</w:t>
      </w:r>
      <w:r w:rsidR="00FF225F" w:rsidRPr="00AC789B">
        <w:rPr>
          <w:i/>
        </w:rPr>
        <w:t xml:space="preserve"> and </w:t>
      </w:r>
      <w:r w:rsidR="00031CCD" w:rsidRPr="00AC789B">
        <w:rPr>
          <w:smallCaps/>
        </w:rPr>
        <w:t>Cromwell </w:t>
      </w:r>
      <w:r w:rsidR="00A96BED" w:rsidRPr="00AC789B">
        <w:rPr>
          <w:smallCaps/>
        </w:rPr>
        <w:t>JJ.</w:t>
      </w:r>
      <w:r w:rsidR="00A96BED" w:rsidRPr="00AC789B">
        <w:rPr>
          <w:i/>
        </w:rPr>
        <w:t xml:space="preserve"> </w:t>
      </w:r>
      <w:proofErr w:type="gramStart"/>
      <w:r w:rsidR="00A96BED" w:rsidRPr="00AC789B">
        <w:rPr>
          <w:i/>
        </w:rPr>
        <w:t>dissenting</w:t>
      </w:r>
      <w:proofErr w:type="gramEnd"/>
      <w:r w:rsidRPr="00AC789B">
        <w:rPr>
          <w:i/>
        </w:rPr>
        <w:t>.</w:t>
      </w:r>
    </w:p>
    <w:p w:rsidR="00E6609E" w:rsidRPr="00AC789B" w:rsidRDefault="00C46F3D" w:rsidP="00B5010C">
      <w:pPr>
        <w:pStyle w:val="SCCNormalDoubleSpacing"/>
        <w:spacing w:after="480"/>
        <w:rPr>
          <w:i/>
        </w:rPr>
      </w:pPr>
      <w:r w:rsidRPr="00AC789B">
        <w:rPr>
          <w:i/>
        </w:rPr>
        <w:tab/>
        <w:t>Solicitor for the appellant:  </w:t>
      </w:r>
      <w:r w:rsidR="00E6609E" w:rsidRPr="00AC789B">
        <w:rPr>
          <w:i/>
        </w:rPr>
        <w:t>Attorney General of Ontario, Toronto.</w:t>
      </w:r>
    </w:p>
    <w:p w:rsidR="00E6609E" w:rsidRPr="00AC789B" w:rsidRDefault="00E6609E" w:rsidP="00B5010C">
      <w:pPr>
        <w:pStyle w:val="SCCNormalDoubleSpacing"/>
        <w:spacing w:after="480"/>
        <w:rPr>
          <w:i/>
        </w:rPr>
      </w:pPr>
      <w:r w:rsidRPr="00AC789B">
        <w:rPr>
          <w:i/>
        </w:rPr>
        <w:tab/>
        <w:t>Solicitors for the re</w:t>
      </w:r>
      <w:r w:rsidR="00C46F3D" w:rsidRPr="00AC789B">
        <w:rPr>
          <w:i/>
        </w:rPr>
        <w:t>spondent:  </w:t>
      </w:r>
      <w:proofErr w:type="spellStart"/>
      <w:r w:rsidRPr="00AC789B">
        <w:rPr>
          <w:i/>
        </w:rPr>
        <w:t>Schreck</w:t>
      </w:r>
      <w:proofErr w:type="spellEnd"/>
      <w:r w:rsidRPr="00AC789B">
        <w:rPr>
          <w:i/>
        </w:rPr>
        <w:t xml:space="preserve"> Presser, Toronto.</w:t>
      </w:r>
    </w:p>
    <w:p w:rsidR="00E6609E" w:rsidRPr="00AC789B" w:rsidRDefault="00E6609E" w:rsidP="00B5010C">
      <w:pPr>
        <w:pStyle w:val="SCCNormalDoubleSpacing"/>
        <w:spacing w:after="480"/>
        <w:rPr>
          <w:i/>
        </w:rPr>
      </w:pPr>
      <w:r w:rsidRPr="00AC789B">
        <w:rPr>
          <w:i/>
        </w:rPr>
        <w:tab/>
        <w:t>Solicitor for the intervener t</w:t>
      </w:r>
      <w:r w:rsidR="00C46F3D" w:rsidRPr="00AC789B">
        <w:rPr>
          <w:i/>
        </w:rPr>
        <w:t>he Attorney General of Quebec:  </w:t>
      </w:r>
      <w:r w:rsidRPr="00AC789B">
        <w:rPr>
          <w:i/>
        </w:rPr>
        <w:t>Attorney General of Quebec, Québec.</w:t>
      </w:r>
    </w:p>
    <w:p w:rsidR="00E6609E" w:rsidRPr="00AC789B" w:rsidRDefault="00E6609E" w:rsidP="00B5010C">
      <w:pPr>
        <w:pStyle w:val="SCCNormalDoubleSpacing"/>
        <w:spacing w:after="480"/>
        <w:rPr>
          <w:i/>
        </w:rPr>
      </w:pPr>
      <w:r w:rsidRPr="00AC789B">
        <w:rPr>
          <w:i/>
        </w:rPr>
        <w:tab/>
        <w:t>Solicitors for the inte</w:t>
      </w:r>
      <w:r w:rsidR="00C46F3D" w:rsidRPr="00AC789B">
        <w:rPr>
          <w:i/>
        </w:rPr>
        <w:t>rvener the Advocates</w:t>
      </w:r>
      <w:r w:rsidR="00121948" w:rsidRPr="00AC789B">
        <w:rPr>
          <w:i/>
        </w:rPr>
        <w:t>’</w:t>
      </w:r>
      <w:r w:rsidR="00C46F3D" w:rsidRPr="00AC789B">
        <w:rPr>
          <w:i/>
        </w:rPr>
        <w:t xml:space="preserve"> Society:  </w:t>
      </w:r>
      <w:r w:rsidRPr="00AC789B">
        <w:rPr>
          <w:i/>
        </w:rPr>
        <w:t xml:space="preserve">Borden </w:t>
      </w:r>
      <w:proofErr w:type="spellStart"/>
      <w:r w:rsidRPr="00AC789B">
        <w:rPr>
          <w:i/>
        </w:rPr>
        <w:t>Ladner</w:t>
      </w:r>
      <w:proofErr w:type="spellEnd"/>
      <w:r w:rsidRPr="00AC789B">
        <w:rPr>
          <w:i/>
        </w:rPr>
        <w:t xml:space="preserve"> </w:t>
      </w:r>
      <w:proofErr w:type="spellStart"/>
      <w:r w:rsidRPr="00AC789B">
        <w:rPr>
          <w:i/>
        </w:rPr>
        <w:t>Gervais</w:t>
      </w:r>
      <w:proofErr w:type="spellEnd"/>
      <w:r w:rsidRPr="00AC789B">
        <w:rPr>
          <w:i/>
        </w:rPr>
        <w:t>, Ottawa</w:t>
      </w:r>
      <w:r w:rsidR="000122E7" w:rsidRPr="00AC789B">
        <w:rPr>
          <w:i/>
        </w:rPr>
        <w:t xml:space="preserve">; Sack </w:t>
      </w:r>
      <w:proofErr w:type="spellStart"/>
      <w:r w:rsidR="000122E7" w:rsidRPr="00AC789B">
        <w:rPr>
          <w:i/>
        </w:rPr>
        <w:t>Goldblatt</w:t>
      </w:r>
      <w:proofErr w:type="spellEnd"/>
      <w:r w:rsidR="000122E7" w:rsidRPr="00AC789B">
        <w:rPr>
          <w:i/>
        </w:rPr>
        <w:t xml:space="preserve"> Mitchell, Toronto.</w:t>
      </w:r>
    </w:p>
    <w:p w:rsidR="009B57B3" w:rsidRPr="00AC789B" w:rsidRDefault="00E6609E" w:rsidP="00AC4C1F">
      <w:pPr>
        <w:pStyle w:val="SCCNormalDoubleSpacing"/>
        <w:spacing w:after="480"/>
        <w:rPr>
          <w:b/>
        </w:rPr>
      </w:pPr>
      <w:r w:rsidRPr="00AC789B">
        <w:rPr>
          <w:i/>
        </w:rPr>
        <w:tab/>
        <w:t>Solicitors for the intervener the Criminal L</w:t>
      </w:r>
      <w:r w:rsidR="00C46F3D" w:rsidRPr="00AC789B">
        <w:rPr>
          <w:i/>
        </w:rPr>
        <w:t>awyers</w:t>
      </w:r>
      <w:r w:rsidR="00121948" w:rsidRPr="00AC789B">
        <w:rPr>
          <w:i/>
        </w:rPr>
        <w:t>’</w:t>
      </w:r>
      <w:r w:rsidR="00C46F3D" w:rsidRPr="00AC789B">
        <w:rPr>
          <w:i/>
        </w:rPr>
        <w:t xml:space="preserve"> Association (Ontario):  </w:t>
      </w:r>
      <w:proofErr w:type="spellStart"/>
      <w:r w:rsidRPr="00AC789B">
        <w:rPr>
          <w:i/>
        </w:rPr>
        <w:t>Stockwoods</w:t>
      </w:r>
      <w:proofErr w:type="spellEnd"/>
      <w:r w:rsidRPr="00AC789B">
        <w:rPr>
          <w:i/>
        </w:rPr>
        <w:t>, Toronto.</w:t>
      </w:r>
    </w:p>
    <w:p w:rsidR="00AC4C1F" w:rsidRPr="00AC789B" w:rsidRDefault="00AC4C1F" w:rsidP="00AC4C1F">
      <w:pPr>
        <w:pStyle w:val="SCCNormalDoubleSpacing"/>
        <w:spacing w:after="480"/>
        <w:rPr>
          <w:b/>
        </w:rPr>
      </w:pPr>
    </w:p>
    <w:p w:rsidR="00AC4C1F" w:rsidRPr="00AC789B" w:rsidRDefault="00AC4C1F" w:rsidP="00AC4C1F">
      <w:pPr>
        <w:pStyle w:val="SCCNormalDoubleSpacing"/>
        <w:spacing w:after="480"/>
        <w:rPr>
          <w:lang w:val="en-US"/>
        </w:rPr>
      </w:pPr>
    </w:p>
    <w:sectPr w:rsidR="00AC4C1F" w:rsidRPr="00AC789B" w:rsidSect="00A701C1">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820" w:rsidRDefault="00B17820">
      <w:r>
        <w:separator/>
      </w:r>
    </w:p>
  </w:endnote>
  <w:endnote w:type="continuationSeparator" w:id="0">
    <w:p w:rsidR="00B17820" w:rsidRDefault="00B178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820" w:rsidRDefault="00B17820">
      <w:r>
        <w:separator/>
      </w:r>
    </w:p>
  </w:footnote>
  <w:footnote w:type="continuationSeparator" w:id="0">
    <w:p w:rsidR="00B17820" w:rsidRDefault="00B178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329"/>
      <w:docPartObj>
        <w:docPartGallery w:val="Page Numbers (Top of Page)"/>
        <w:docPartUnique/>
      </w:docPartObj>
    </w:sdtPr>
    <w:sdtContent>
      <w:p w:rsidR="00B17820" w:rsidRDefault="00B17820">
        <w:pPr>
          <w:pStyle w:val="Header"/>
          <w:jc w:val="center"/>
        </w:pPr>
        <w:r>
          <w:t xml:space="preserve">- </w:t>
        </w:r>
        <w:fldSimple w:instr=" PAGE   \* MERGEFORMAT ">
          <w:r w:rsidR="001C24FC">
            <w:rPr>
              <w:noProof/>
            </w:rPr>
            <w:t>2</w:t>
          </w:r>
        </w:fldSimple>
        <w:r>
          <w:t xml:space="preserve"> -</w:t>
        </w:r>
      </w:p>
    </w:sdtContent>
  </w:sdt>
  <w:p w:rsidR="00B17820" w:rsidRPr="00450352" w:rsidRDefault="00B17820" w:rsidP="004503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83F25AC"/>
    <w:multiLevelType w:val="hybridMultilevel"/>
    <w:tmpl w:val="C736FF4C"/>
    <w:lvl w:ilvl="0" w:tplc="D228CFC0">
      <w:start w:val="7"/>
      <w:numFmt w:val="upp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4">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0519D1"/>
    <w:multiLevelType w:val="hybridMultilevel"/>
    <w:tmpl w:val="DA6051F6"/>
    <w:lvl w:ilvl="0" w:tplc="AF7C9C2A">
      <w:start w:val="1"/>
      <w:numFmt w:val="upperLetter"/>
      <w:lvlText w:val="%1."/>
      <w:lvlJc w:val="left"/>
      <w:pPr>
        <w:ind w:left="720" w:hanging="360"/>
      </w:pPr>
      <w:rPr>
        <w:rFonts w:hint="default"/>
        <w:b w:val="0"/>
        <w:i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F2667"/>
    <w:multiLevelType w:val="hybridMultilevel"/>
    <w:tmpl w:val="AF40CCD4"/>
    <w:lvl w:ilvl="0" w:tplc="5CD6F502">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4"/>
  </w:num>
  <w:num w:numId="7">
    <w:abstractNumId w:val="8"/>
  </w:num>
  <w:num w:numId="8">
    <w:abstractNumId w:val="7"/>
  </w:num>
  <w:num w:numId="9">
    <w:abstractNumId w:val="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rsids>
    <w:rsidRoot w:val="0031414C"/>
    <w:rsid w:val="00000ED4"/>
    <w:rsid w:val="000122E7"/>
    <w:rsid w:val="00013344"/>
    <w:rsid w:val="00025198"/>
    <w:rsid w:val="00031CCD"/>
    <w:rsid w:val="00045D32"/>
    <w:rsid w:val="000578A3"/>
    <w:rsid w:val="0006309F"/>
    <w:rsid w:val="000648CC"/>
    <w:rsid w:val="00067F51"/>
    <w:rsid w:val="00085B4F"/>
    <w:rsid w:val="000B1745"/>
    <w:rsid w:val="000B28FB"/>
    <w:rsid w:val="000C59B8"/>
    <w:rsid w:val="000D27AE"/>
    <w:rsid w:val="000E4A9C"/>
    <w:rsid w:val="000F7D45"/>
    <w:rsid w:val="00104F33"/>
    <w:rsid w:val="00111DE2"/>
    <w:rsid w:val="00116B38"/>
    <w:rsid w:val="00121948"/>
    <w:rsid w:val="00127802"/>
    <w:rsid w:val="00134BDA"/>
    <w:rsid w:val="00135406"/>
    <w:rsid w:val="00135972"/>
    <w:rsid w:val="001426A9"/>
    <w:rsid w:val="00154D7C"/>
    <w:rsid w:val="001570B0"/>
    <w:rsid w:val="0015752C"/>
    <w:rsid w:val="00157737"/>
    <w:rsid w:val="001640E7"/>
    <w:rsid w:val="00164A08"/>
    <w:rsid w:val="00165277"/>
    <w:rsid w:val="00170592"/>
    <w:rsid w:val="001B05E2"/>
    <w:rsid w:val="001B33E0"/>
    <w:rsid w:val="001B4573"/>
    <w:rsid w:val="001C24FC"/>
    <w:rsid w:val="001C779F"/>
    <w:rsid w:val="001D2AC1"/>
    <w:rsid w:val="001D4E88"/>
    <w:rsid w:val="001E64EC"/>
    <w:rsid w:val="00220FC2"/>
    <w:rsid w:val="002214C5"/>
    <w:rsid w:val="00224FC0"/>
    <w:rsid w:val="00225EA4"/>
    <w:rsid w:val="00226EAF"/>
    <w:rsid w:val="00231F3A"/>
    <w:rsid w:val="002406EE"/>
    <w:rsid w:val="00243EC8"/>
    <w:rsid w:val="002745CC"/>
    <w:rsid w:val="00275A15"/>
    <w:rsid w:val="00282311"/>
    <w:rsid w:val="002A7678"/>
    <w:rsid w:val="002B7924"/>
    <w:rsid w:val="002C420B"/>
    <w:rsid w:val="002D39A4"/>
    <w:rsid w:val="002E343B"/>
    <w:rsid w:val="002E6705"/>
    <w:rsid w:val="00302430"/>
    <w:rsid w:val="0030329A"/>
    <w:rsid w:val="0031086F"/>
    <w:rsid w:val="0031414C"/>
    <w:rsid w:val="00314E01"/>
    <w:rsid w:val="0032089D"/>
    <w:rsid w:val="003310DE"/>
    <w:rsid w:val="0035169A"/>
    <w:rsid w:val="0035259D"/>
    <w:rsid w:val="00364B18"/>
    <w:rsid w:val="003A4C70"/>
    <w:rsid w:val="003B215F"/>
    <w:rsid w:val="003C74C7"/>
    <w:rsid w:val="003C799C"/>
    <w:rsid w:val="003D0399"/>
    <w:rsid w:val="003D4DB8"/>
    <w:rsid w:val="003E1C71"/>
    <w:rsid w:val="003F327B"/>
    <w:rsid w:val="00404C35"/>
    <w:rsid w:val="00406166"/>
    <w:rsid w:val="00406921"/>
    <w:rsid w:val="0040704B"/>
    <w:rsid w:val="00410A55"/>
    <w:rsid w:val="00411300"/>
    <w:rsid w:val="0041437F"/>
    <w:rsid w:val="00415417"/>
    <w:rsid w:val="00426659"/>
    <w:rsid w:val="00450352"/>
    <w:rsid w:val="00454BDB"/>
    <w:rsid w:val="00462396"/>
    <w:rsid w:val="00465132"/>
    <w:rsid w:val="00480C90"/>
    <w:rsid w:val="0048396F"/>
    <w:rsid w:val="00493C18"/>
    <w:rsid w:val="004A3190"/>
    <w:rsid w:val="004A600C"/>
    <w:rsid w:val="004A6118"/>
    <w:rsid w:val="004C478D"/>
    <w:rsid w:val="004E2829"/>
    <w:rsid w:val="004E2C26"/>
    <w:rsid w:val="004F1E1B"/>
    <w:rsid w:val="0050487F"/>
    <w:rsid w:val="005125A8"/>
    <w:rsid w:val="00521AE8"/>
    <w:rsid w:val="00527180"/>
    <w:rsid w:val="0053561C"/>
    <w:rsid w:val="005505EF"/>
    <w:rsid w:val="00552F07"/>
    <w:rsid w:val="00555291"/>
    <w:rsid w:val="00566AD1"/>
    <w:rsid w:val="00583693"/>
    <w:rsid w:val="00583EDE"/>
    <w:rsid w:val="005950F9"/>
    <w:rsid w:val="005B276D"/>
    <w:rsid w:val="005B7620"/>
    <w:rsid w:val="005C6E0B"/>
    <w:rsid w:val="005E4698"/>
    <w:rsid w:val="00600D2D"/>
    <w:rsid w:val="00610539"/>
    <w:rsid w:val="00613969"/>
    <w:rsid w:val="00625C35"/>
    <w:rsid w:val="00656313"/>
    <w:rsid w:val="006565F4"/>
    <w:rsid w:val="00656B9D"/>
    <w:rsid w:val="00665A83"/>
    <w:rsid w:val="00667487"/>
    <w:rsid w:val="006724C1"/>
    <w:rsid w:val="00684EEA"/>
    <w:rsid w:val="0069689B"/>
    <w:rsid w:val="006B2422"/>
    <w:rsid w:val="006B5FF5"/>
    <w:rsid w:val="006C27AD"/>
    <w:rsid w:val="006F2CEA"/>
    <w:rsid w:val="006F4EE7"/>
    <w:rsid w:val="006F5041"/>
    <w:rsid w:val="00701759"/>
    <w:rsid w:val="00705C15"/>
    <w:rsid w:val="00723354"/>
    <w:rsid w:val="00747288"/>
    <w:rsid w:val="00747DD3"/>
    <w:rsid w:val="007549C8"/>
    <w:rsid w:val="00766D14"/>
    <w:rsid w:val="00767A0F"/>
    <w:rsid w:val="007A05F6"/>
    <w:rsid w:val="007B6F4A"/>
    <w:rsid w:val="007E1C47"/>
    <w:rsid w:val="007E337A"/>
    <w:rsid w:val="007E5C70"/>
    <w:rsid w:val="007F2FF5"/>
    <w:rsid w:val="007F3F08"/>
    <w:rsid w:val="007F59CD"/>
    <w:rsid w:val="00804CC6"/>
    <w:rsid w:val="00817190"/>
    <w:rsid w:val="008260E2"/>
    <w:rsid w:val="008322BD"/>
    <w:rsid w:val="008325B6"/>
    <w:rsid w:val="00834F73"/>
    <w:rsid w:val="00862FFF"/>
    <w:rsid w:val="00864CF8"/>
    <w:rsid w:val="008665FA"/>
    <w:rsid w:val="00874914"/>
    <w:rsid w:val="00891422"/>
    <w:rsid w:val="00892E1A"/>
    <w:rsid w:val="008B17E8"/>
    <w:rsid w:val="008C01DA"/>
    <w:rsid w:val="008F35F6"/>
    <w:rsid w:val="008F78E9"/>
    <w:rsid w:val="0091540F"/>
    <w:rsid w:val="009179F9"/>
    <w:rsid w:val="00933E5E"/>
    <w:rsid w:val="00935218"/>
    <w:rsid w:val="009403F3"/>
    <w:rsid w:val="009555B7"/>
    <w:rsid w:val="009567AA"/>
    <w:rsid w:val="00967374"/>
    <w:rsid w:val="00980CEA"/>
    <w:rsid w:val="009A5D8F"/>
    <w:rsid w:val="009B2F23"/>
    <w:rsid w:val="009B57B3"/>
    <w:rsid w:val="009C1A61"/>
    <w:rsid w:val="009D2920"/>
    <w:rsid w:val="009D5AEB"/>
    <w:rsid w:val="009E5122"/>
    <w:rsid w:val="009F0E33"/>
    <w:rsid w:val="00A149DF"/>
    <w:rsid w:val="00A21B90"/>
    <w:rsid w:val="00A41805"/>
    <w:rsid w:val="00A548CB"/>
    <w:rsid w:val="00A5521C"/>
    <w:rsid w:val="00A643E7"/>
    <w:rsid w:val="00A701C1"/>
    <w:rsid w:val="00A7203F"/>
    <w:rsid w:val="00A73C38"/>
    <w:rsid w:val="00A94848"/>
    <w:rsid w:val="00A96780"/>
    <w:rsid w:val="00A96BED"/>
    <w:rsid w:val="00AB44B7"/>
    <w:rsid w:val="00AB670D"/>
    <w:rsid w:val="00AC4C1F"/>
    <w:rsid w:val="00AC789B"/>
    <w:rsid w:val="00AD09FD"/>
    <w:rsid w:val="00AE0EB2"/>
    <w:rsid w:val="00AF03C5"/>
    <w:rsid w:val="00B000D8"/>
    <w:rsid w:val="00B00F75"/>
    <w:rsid w:val="00B145B6"/>
    <w:rsid w:val="00B17820"/>
    <w:rsid w:val="00B5010C"/>
    <w:rsid w:val="00B50C81"/>
    <w:rsid w:val="00B50CF2"/>
    <w:rsid w:val="00B557F8"/>
    <w:rsid w:val="00B815FC"/>
    <w:rsid w:val="00B93FBC"/>
    <w:rsid w:val="00B9640A"/>
    <w:rsid w:val="00BB2EE4"/>
    <w:rsid w:val="00BC2108"/>
    <w:rsid w:val="00BD0E9E"/>
    <w:rsid w:val="00BD1BEC"/>
    <w:rsid w:val="00BD32FF"/>
    <w:rsid w:val="00C02092"/>
    <w:rsid w:val="00C24D91"/>
    <w:rsid w:val="00C45031"/>
    <w:rsid w:val="00C46F3D"/>
    <w:rsid w:val="00C53F14"/>
    <w:rsid w:val="00C600CF"/>
    <w:rsid w:val="00C6084F"/>
    <w:rsid w:val="00C62A66"/>
    <w:rsid w:val="00C71458"/>
    <w:rsid w:val="00C77613"/>
    <w:rsid w:val="00C80CEB"/>
    <w:rsid w:val="00C828E7"/>
    <w:rsid w:val="00C86719"/>
    <w:rsid w:val="00C921DD"/>
    <w:rsid w:val="00CA6391"/>
    <w:rsid w:val="00CE3171"/>
    <w:rsid w:val="00CF1601"/>
    <w:rsid w:val="00D0172F"/>
    <w:rsid w:val="00D068A7"/>
    <w:rsid w:val="00D115DD"/>
    <w:rsid w:val="00D32086"/>
    <w:rsid w:val="00D371ED"/>
    <w:rsid w:val="00D37A3F"/>
    <w:rsid w:val="00D4431D"/>
    <w:rsid w:val="00D4667A"/>
    <w:rsid w:val="00D51135"/>
    <w:rsid w:val="00D64EF0"/>
    <w:rsid w:val="00D7516F"/>
    <w:rsid w:val="00D80930"/>
    <w:rsid w:val="00D95F8E"/>
    <w:rsid w:val="00DA0590"/>
    <w:rsid w:val="00DA06C0"/>
    <w:rsid w:val="00DA676E"/>
    <w:rsid w:val="00DC1788"/>
    <w:rsid w:val="00DD1882"/>
    <w:rsid w:val="00DE319C"/>
    <w:rsid w:val="00DF0CA8"/>
    <w:rsid w:val="00DF2B48"/>
    <w:rsid w:val="00DF49A7"/>
    <w:rsid w:val="00E07EE2"/>
    <w:rsid w:val="00E07FD1"/>
    <w:rsid w:val="00E1063D"/>
    <w:rsid w:val="00E11D6A"/>
    <w:rsid w:val="00E12D94"/>
    <w:rsid w:val="00E15F10"/>
    <w:rsid w:val="00E24573"/>
    <w:rsid w:val="00E25E1E"/>
    <w:rsid w:val="00E27EE7"/>
    <w:rsid w:val="00E35404"/>
    <w:rsid w:val="00E45109"/>
    <w:rsid w:val="00E47B7A"/>
    <w:rsid w:val="00E526AA"/>
    <w:rsid w:val="00E60269"/>
    <w:rsid w:val="00E63D2D"/>
    <w:rsid w:val="00E6609E"/>
    <w:rsid w:val="00E97830"/>
    <w:rsid w:val="00EA68AD"/>
    <w:rsid w:val="00EF0683"/>
    <w:rsid w:val="00EF2AE8"/>
    <w:rsid w:val="00F0070C"/>
    <w:rsid w:val="00F00EB7"/>
    <w:rsid w:val="00F226B9"/>
    <w:rsid w:val="00F36AB6"/>
    <w:rsid w:val="00F37A09"/>
    <w:rsid w:val="00F409CE"/>
    <w:rsid w:val="00F4379D"/>
    <w:rsid w:val="00F5648C"/>
    <w:rsid w:val="00F664FF"/>
    <w:rsid w:val="00F73FD4"/>
    <w:rsid w:val="00F84DF4"/>
    <w:rsid w:val="00F85C97"/>
    <w:rsid w:val="00F95E40"/>
    <w:rsid w:val="00FB37D2"/>
    <w:rsid w:val="00FC4EFB"/>
    <w:rsid w:val="00FD068D"/>
    <w:rsid w:val="00FD4F28"/>
    <w:rsid w:val="00FD6651"/>
    <w:rsid w:val="00FE106C"/>
    <w:rsid w:val="00FE6784"/>
    <w:rsid w:val="00FF22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ram">
    <w:name w:val="SCC.Coram"/>
    <w:basedOn w:val="Normal"/>
    <w:next w:val="Normal"/>
    <w:link w:val="SCCCoramChar"/>
    <w:rsid w:val="00AC4C1F"/>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AC4C1F"/>
    <w:rPr>
      <w:rFonts w:eastAsiaTheme="minorHAnsi" w:cstheme="minorBidi"/>
      <w:sz w:val="24"/>
      <w:szCs w:val="22"/>
      <w:lang w:eastAsia="en-US"/>
    </w:rPr>
  </w:style>
  <w:style w:type="table" w:styleId="TableGrid">
    <w:name w:val="Table Grid"/>
    <w:basedOn w:val="TableNormal"/>
    <w:uiPriority w:val="59"/>
    <w:rsid w:val="00AC4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AC4C1F"/>
    <w:pPr>
      <w:spacing w:after="720"/>
      <w:ind w:left="1166"/>
      <w:contextualSpacing/>
      <w:jc w:val="both"/>
    </w:pPr>
    <w:rPr>
      <w:sz w:val="24"/>
    </w:rPr>
  </w:style>
  <w:style w:type="paragraph" w:customStyle="1" w:styleId="JudgeJuge">
    <w:name w:val="Judge / Juge"/>
    <w:uiPriority w:val="3"/>
    <w:rsid w:val="00AC4C1F"/>
    <w:pPr>
      <w:tabs>
        <w:tab w:val="left" w:pos="1166"/>
      </w:tabs>
      <w:spacing w:after="480" w:line="480" w:lineRule="auto"/>
    </w:pPr>
    <w:rPr>
      <w:smallCaps/>
      <w:sz w:val="24"/>
    </w:rPr>
  </w:style>
  <w:style w:type="paragraph" w:customStyle="1" w:styleId="ParaNoNdepar-AltN">
    <w:name w:val="Para. No. / Nº de par. - Alt N"/>
    <w:qFormat/>
    <w:rsid w:val="00AC4C1F"/>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AC4C1F"/>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AC4C1F"/>
    <w:rPr>
      <w:rFonts w:eastAsiaTheme="minorHAnsi" w:cstheme="minorBidi"/>
      <w:sz w:val="24"/>
      <w:szCs w:val="22"/>
      <w:lang w:eastAsia="en-US"/>
    </w:rPr>
  </w:style>
  <w:style w:type="character" w:customStyle="1" w:styleId="SCCBanSummaryChar">
    <w:name w:val="SCC.BanSummary Char"/>
    <w:basedOn w:val="DefaultParagraphFont"/>
    <w:link w:val="SCCBanSummary"/>
    <w:rsid w:val="00AC4C1F"/>
    <w:rPr>
      <w:b/>
      <w:sz w:val="24"/>
    </w:rPr>
  </w:style>
  <w:style w:type="paragraph" w:customStyle="1" w:styleId="ContinueParaSuitedupar-AltP">
    <w:name w:val="Continue Para. / Suite du par. - Alt P"/>
    <w:next w:val="ParaNoNdepar-AltN"/>
    <w:uiPriority w:val="1"/>
    <w:qFormat/>
    <w:rsid w:val="00AC4C1F"/>
    <w:pPr>
      <w:spacing w:before="480" w:after="480" w:line="480" w:lineRule="auto"/>
      <w:jc w:val="both"/>
    </w:pPr>
    <w:rPr>
      <w:rFonts w:eastAsiaTheme="minorHAnsi" w:cstheme="minorBidi"/>
      <w:sz w:val="24"/>
      <w:szCs w:val="22"/>
      <w:lang w:eastAsia="en-US"/>
    </w:rPr>
  </w:style>
  <w:style w:type="paragraph" w:customStyle="1" w:styleId="TitleTitre-AltT">
    <w:name w:val="Title / Titre - Alt T"/>
    <w:next w:val="ParaNoNdepar-AltN"/>
    <w:uiPriority w:val="3"/>
    <w:qFormat/>
    <w:rsid w:val="00AC4C1F"/>
    <w:pPr>
      <w:tabs>
        <w:tab w:val="left" w:pos="360"/>
      </w:tabs>
      <w:spacing w:before="480" w:after="720"/>
      <w:ind w:left="360" w:hanging="360"/>
      <w:jc w:val="both"/>
    </w:pPr>
    <w:rPr>
      <w:rFonts w:eastAsiaTheme="minorHAnsi" w:cstheme="minorBidi"/>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EF014-2497-4D45-92DB-4C82F8DC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15612</Words>
  <Characters>77539</Characters>
  <Application>Microsoft Office Word</Application>
  <DocSecurity>0</DocSecurity>
  <Lines>646</Lines>
  <Paragraphs>185</Paragraphs>
  <ScaleCrop>false</ScaleCrop>
  <Company/>
  <LinksUpToDate>false</LinksUpToDate>
  <CharactersWithSpaces>92966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2013-01-29T18:46:00Z</dcterms:created>
  <dcterms:modified xsi:type="dcterms:W3CDTF">2013-07-26T14:50:00Z</dcterms:modified>
</cp:coreProperties>
</file>