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FFD" w:rsidRPr="00B378D6" w:rsidRDefault="00076FFD" w:rsidP="00076FFD">
      <w:pPr>
        <w:tabs>
          <w:tab w:val="center" w:pos="4680"/>
          <w:tab w:val="right" w:pos="9360"/>
        </w:tabs>
        <w:jc w:val="center"/>
        <w:rPr>
          <w:rFonts w:eastAsiaTheme="minorHAnsi" w:cstheme="minorBidi"/>
          <w:szCs w:val="24"/>
          <w:lang w:eastAsia="en-US"/>
        </w:rPr>
      </w:pPr>
      <w:r w:rsidRPr="00B378D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36339593" r:id="rId8"/>
        </w:object>
      </w:r>
    </w:p>
    <w:p w:rsidR="00076FFD" w:rsidRPr="00B378D6" w:rsidRDefault="00076FFD" w:rsidP="00076FFD">
      <w:pPr>
        <w:tabs>
          <w:tab w:val="center" w:pos="4680"/>
          <w:tab w:val="right" w:pos="9360"/>
        </w:tabs>
        <w:rPr>
          <w:rFonts w:eastAsiaTheme="minorHAnsi" w:cstheme="minorBidi"/>
          <w:szCs w:val="24"/>
          <w:lang w:eastAsia="en-US"/>
        </w:rPr>
      </w:pPr>
    </w:p>
    <w:p w:rsidR="00076FFD" w:rsidRPr="00B378D6" w:rsidRDefault="00076FFD" w:rsidP="00076FFD">
      <w:pPr>
        <w:jc w:val="center"/>
        <w:rPr>
          <w:rFonts w:eastAsiaTheme="minorHAnsi" w:cstheme="minorBidi"/>
          <w:b/>
          <w:szCs w:val="24"/>
          <w:lang w:eastAsia="en-US"/>
        </w:rPr>
      </w:pPr>
      <w:r w:rsidRPr="00B378D6">
        <w:rPr>
          <w:rFonts w:eastAsiaTheme="minorHAnsi" w:cstheme="minorBidi"/>
          <w:b/>
          <w:szCs w:val="24"/>
          <w:lang w:eastAsia="en-US"/>
        </w:rPr>
        <w:t>SUPREME COURT OF CANADA</w:t>
      </w:r>
    </w:p>
    <w:p w:rsidR="00076FFD" w:rsidRPr="00B378D6" w:rsidRDefault="00076FFD" w:rsidP="00076FFD">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76FFD" w:rsidRPr="00B378D6" w:rsidTr="00E567EE">
        <w:trPr>
          <w:cantSplit/>
        </w:trPr>
        <w:tc>
          <w:tcPr>
            <w:tcW w:w="6768" w:type="dxa"/>
          </w:tcPr>
          <w:p w:rsidR="00076FFD" w:rsidRPr="00076FFD" w:rsidRDefault="00076FFD" w:rsidP="00E567EE">
            <w:pPr>
              <w:rPr>
                <w:lang w:val="fr-CA"/>
              </w:rPr>
            </w:pPr>
            <w:r w:rsidRPr="00B378D6">
              <w:rPr>
                <w:b/>
                <w:smallCaps/>
                <w:lang w:val="fr-CA"/>
              </w:rPr>
              <w:t>Citation:</w:t>
            </w:r>
            <w:r w:rsidRPr="00B378D6">
              <w:rPr>
                <w:lang w:val="fr-CA"/>
              </w:rPr>
              <w:t xml:space="preserve"> Construction Labour Relations </w:t>
            </w:r>
            <w:r w:rsidRPr="00B378D6">
              <w:rPr>
                <w:i/>
                <w:lang w:val="fr-CA"/>
              </w:rPr>
              <w:t>v.</w:t>
            </w:r>
            <w:r w:rsidRPr="00B378D6">
              <w:rPr>
                <w:lang w:val="fr-CA"/>
              </w:rPr>
              <w:t xml:space="preserve"> Driver </w:t>
            </w:r>
            <w:proofErr w:type="spellStart"/>
            <w:r w:rsidRPr="00B378D6">
              <w:rPr>
                <w:lang w:val="fr-CA"/>
              </w:rPr>
              <w:t>Iron</w:t>
            </w:r>
            <w:proofErr w:type="spellEnd"/>
            <w:r w:rsidRPr="00B378D6">
              <w:rPr>
                <w:lang w:val="fr-CA"/>
              </w:rPr>
              <w:t xml:space="preserve"> Inc., </w:t>
            </w:r>
            <w:r w:rsidRPr="00076FFD">
              <w:rPr>
                <w:lang w:val="fr-CA"/>
              </w:rPr>
              <w:t>2012 SCC 65, [2012] 3 S.C.R. 405</w:t>
            </w:r>
          </w:p>
        </w:tc>
        <w:tc>
          <w:tcPr>
            <w:tcW w:w="2808" w:type="dxa"/>
          </w:tcPr>
          <w:p w:rsidR="00076FFD" w:rsidRPr="00B378D6" w:rsidRDefault="00076FFD" w:rsidP="00E567EE">
            <w:r w:rsidRPr="00B378D6">
              <w:rPr>
                <w:b/>
                <w:smallCaps/>
              </w:rPr>
              <w:t>Date:</w:t>
            </w:r>
            <w:r w:rsidRPr="00B378D6">
              <w:t xml:space="preserve"> 20121129</w:t>
            </w:r>
          </w:p>
          <w:p w:rsidR="00076FFD" w:rsidRPr="00B378D6" w:rsidRDefault="00076FFD" w:rsidP="00E567EE">
            <w:r w:rsidRPr="00B378D6">
              <w:rPr>
                <w:b/>
                <w:smallCaps/>
              </w:rPr>
              <w:t>Docket:</w:t>
            </w:r>
            <w:r w:rsidRPr="00B378D6">
              <w:t xml:space="preserve"> 34205</w:t>
            </w:r>
          </w:p>
        </w:tc>
      </w:tr>
    </w:tbl>
    <w:p w:rsidR="00076FFD" w:rsidRPr="00B378D6" w:rsidRDefault="00076FFD" w:rsidP="00076FFD">
      <w:pPr>
        <w:rPr>
          <w:rFonts w:eastAsiaTheme="minorHAnsi" w:cstheme="minorBidi"/>
          <w:szCs w:val="24"/>
          <w:lang w:eastAsia="en-US"/>
        </w:rPr>
      </w:pPr>
    </w:p>
    <w:p w:rsidR="00076FFD" w:rsidRPr="00B378D6" w:rsidRDefault="00076FFD" w:rsidP="00076FFD">
      <w:pPr>
        <w:rPr>
          <w:rFonts w:eastAsiaTheme="minorHAnsi" w:cstheme="minorBidi"/>
          <w:b/>
          <w:smallCaps/>
          <w:szCs w:val="24"/>
          <w:lang w:eastAsia="en-US"/>
        </w:rPr>
      </w:pPr>
      <w:r w:rsidRPr="00B378D6">
        <w:rPr>
          <w:rFonts w:eastAsiaTheme="minorHAnsi" w:cstheme="minorBidi"/>
          <w:b/>
          <w:smallCaps/>
          <w:szCs w:val="24"/>
          <w:lang w:eastAsia="en-US"/>
        </w:rPr>
        <w:t>Between:</w:t>
      </w:r>
    </w:p>
    <w:p w:rsidR="00076FFD" w:rsidRPr="00B378D6" w:rsidRDefault="00076FFD" w:rsidP="00076FFD">
      <w:pPr>
        <w:jc w:val="center"/>
        <w:rPr>
          <w:rFonts w:eastAsiaTheme="minorHAnsi" w:cstheme="minorBidi"/>
          <w:b/>
          <w:szCs w:val="24"/>
          <w:lang w:eastAsia="en-US"/>
        </w:rPr>
      </w:pPr>
      <w:r w:rsidRPr="00B378D6">
        <w:rPr>
          <w:rFonts w:eastAsiaTheme="minorHAnsi" w:cstheme="minorBidi"/>
          <w:b/>
          <w:szCs w:val="24"/>
          <w:lang w:eastAsia="en-US"/>
        </w:rPr>
        <w:t>Construction Labour Relations - An Alberta Association</w:t>
      </w:r>
    </w:p>
    <w:p w:rsidR="00076FFD" w:rsidRPr="00B378D6" w:rsidRDefault="00076FFD" w:rsidP="00076FFD">
      <w:pPr>
        <w:jc w:val="center"/>
        <w:rPr>
          <w:rFonts w:eastAsiaTheme="minorHAnsi" w:cstheme="minorBidi"/>
          <w:szCs w:val="24"/>
          <w:lang w:eastAsia="en-US"/>
        </w:rPr>
      </w:pPr>
      <w:r w:rsidRPr="00B378D6">
        <w:rPr>
          <w:rFonts w:eastAsiaTheme="minorHAnsi" w:cstheme="minorBidi"/>
          <w:szCs w:val="24"/>
          <w:lang w:eastAsia="en-US"/>
        </w:rPr>
        <w:t>Appellant</w:t>
      </w:r>
    </w:p>
    <w:p w:rsidR="00076FFD" w:rsidRPr="00B378D6" w:rsidRDefault="00076FFD" w:rsidP="00076FFD">
      <w:pPr>
        <w:jc w:val="center"/>
        <w:rPr>
          <w:rFonts w:eastAsiaTheme="minorHAnsi" w:cstheme="minorBidi"/>
          <w:szCs w:val="24"/>
          <w:lang w:eastAsia="en-US"/>
        </w:rPr>
      </w:pPr>
      <w:proofErr w:type="gramStart"/>
      <w:r w:rsidRPr="00B378D6">
        <w:rPr>
          <w:rFonts w:eastAsiaTheme="minorHAnsi" w:cstheme="minorBidi"/>
          <w:szCs w:val="24"/>
          <w:lang w:eastAsia="en-US"/>
        </w:rPr>
        <w:t>and</w:t>
      </w:r>
      <w:proofErr w:type="gramEnd"/>
    </w:p>
    <w:p w:rsidR="00076FFD" w:rsidRPr="00B378D6" w:rsidRDefault="00076FFD" w:rsidP="00076FFD">
      <w:pPr>
        <w:jc w:val="center"/>
        <w:rPr>
          <w:rFonts w:eastAsiaTheme="minorHAnsi" w:cstheme="minorBidi"/>
          <w:b/>
          <w:szCs w:val="24"/>
          <w:lang w:eastAsia="en-US"/>
        </w:rPr>
      </w:pPr>
      <w:r w:rsidRPr="00B378D6">
        <w:rPr>
          <w:rFonts w:eastAsiaTheme="minorHAnsi" w:cstheme="minorBidi"/>
          <w:b/>
          <w:szCs w:val="24"/>
          <w:lang w:eastAsia="en-US"/>
        </w:rPr>
        <w:t>Driver Iron Inc., International Association of Bridge, Structural, Ornamental and Reinforcing Ironworkers, Local Union No. 720 and Alberta Labour Relations Board</w:t>
      </w:r>
    </w:p>
    <w:p w:rsidR="00076FFD" w:rsidRPr="00B378D6" w:rsidRDefault="00076FFD" w:rsidP="00076FFD">
      <w:pPr>
        <w:jc w:val="center"/>
        <w:rPr>
          <w:rFonts w:eastAsiaTheme="minorHAnsi" w:cstheme="minorBidi"/>
          <w:szCs w:val="24"/>
          <w:lang w:eastAsia="en-US"/>
        </w:rPr>
      </w:pPr>
      <w:r w:rsidRPr="00B378D6">
        <w:rPr>
          <w:rFonts w:eastAsiaTheme="minorHAnsi" w:cstheme="minorBidi"/>
          <w:szCs w:val="24"/>
          <w:lang w:eastAsia="en-US"/>
        </w:rPr>
        <w:t>Respondents</w:t>
      </w:r>
    </w:p>
    <w:p w:rsidR="00076FFD" w:rsidRPr="00B378D6" w:rsidRDefault="00076FFD" w:rsidP="00076FFD">
      <w:pPr>
        <w:rPr>
          <w:rFonts w:eastAsiaTheme="minorHAnsi" w:cstheme="minorBidi"/>
          <w:szCs w:val="24"/>
          <w:lang w:eastAsia="en-US"/>
        </w:rPr>
      </w:pPr>
    </w:p>
    <w:p w:rsidR="00076FFD" w:rsidRPr="00B378D6" w:rsidRDefault="00076FFD" w:rsidP="00076FFD">
      <w:pPr>
        <w:rPr>
          <w:rFonts w:eastAsiaTheme="minorHAnsi" w:cstheme="minorBidi"/>
          <w:szCs w:val="24"/>
          <w:lang w:eastAsia="en-US"/>
        </w:rPr>
      </w:pPr>
    </w:p>
    <w:p w:rsidR="00076FFD" w:rsidRPr="00B378D6" w:rsidRDefault="00076FFD" w:rsidP="00076FFD">
      <w:pPr>
        <w:rPr>
          <w:rFonts w:eastAsiaTheme="minorHAnsi" w:cstheme="minorBidi"/>
          <w:szCs w:val="24"/>
          <w:lang w:eastAsia="en-US"/>
        </w:rPr>
      </w:pPr>
    </w:p>
    <w:p w:rsidR="00076FFD" w:rsidRPr="00B378D6" w:rsidRDefault="00076FFD" w:rsidP="00076FFD">
      <w:pPr>
        <w:rPr>
          <w:rFonts w:eastAsiaTheme="minorHAnsi" w:cstheme="minorBidi"/>
          <w:szCs w:val="24"/>
          <w:lang w:eastAsia="en-US"/>
        </w:rPr>
      </w:pPr>
      <w:r w:rsidRPr="00B378D6">
        <w:rPr>
          <w:rFonts w:eastAsiaTheme="minorHAnsi" w:cstheme="minorBidi"/>
          <w:b/>
          <w:smallCaps/>
          <w:szCs w:val="24"/>
          <w:lang w:eastAsia="en-US"/>
        </w:rPr>
        <w:t>Coram:</w:t>
      </w:r>
      <w:r w:rsidRPr="00B378D6">
        <w:rPr>
          <w:rFonts w:eastAsiaTheme="minorHAnsi" w:cstheme="minorBidi"/>
          <w:szCs w:val="24"/>
          <w:lang w:eastAsia="en-US"/>
        </w:rPr>
        <w:t xml:space="preserve"> </w:t>
      </w:r>
      <w:proofErr w:type="spellStart"/>
      <w:r w:rsidRPr="00B378D6">
        <w:rPr>
          <w:rFonts w:eastAsiaTheme="minorHAnsi" w:cstheme="minorBidi"/>
          <w:szCs w:val="24"/>
          <w:lang w:eastAsia="en-US"/>
        </w:rPr>
        <w:t>McLachlin</w:t>
      </w:r>
      <w:proofErr w:type="spellEnd"/>
      <w:r w:rsidRPr="00B378D6">
        <w:rPr>
          <w:rFonts w:eastAsiaTheme="minorHAnsi" w:cstheme="minorBidi"/>
          <w:szCs w:val="24"/>
          <w:lang w:eastAsia="en-US"/>
        </w:rPr>
        <w:t xml:space="preserve"> C.J. and </w:t>
      </w:r>
      <w:proofErr w:type="spellStart"/>
      <w:r w:rsidRPr="00B378D6">
        <w:rPr>
          <w:rFonts w:eastAsiaTheme="minorHAnsi" w:cstheme="minorBidi"/>
          <w:szCs w:val="24"/>
          <w:lang w:eastAsia="en-US"/>
        </w:rPr>
        <w:t>LeBel</w:t>
      </w:r>
      <w:proofErr w:type="spellEnd"/>
      <w:r w:rsidRPr="00B378D6">
        <w:rPr>
          <w:rFonts w:eastAsiaTheme="minorHAnsi" w:cstheme="minorBidi"/>
          <w:szCs w:val="24"/>
          <w:lang w:eastAsia="en-US"/>
        </w:rPr>
        <w:t xml:space="preserve">, </w:t>
      </w:r>
      <w:proofErr w:type="spellStart"/>
      <w:r w:rsidRPr="00B378D6">
        <w:rPr>
          <w:rFonts w:eastAsiaTheme="minorHAnsi" w:cstheme="minorBidi"/>
          <w:szCs w:val="24"/>
          <w:lang w:eastAsia="en-US"/>
        </w:rPr>
        <w:t>Abella</w:t>
      </w:r>
      <w:proofErr w:type="spellEnd"/>
      <w:r w:rsidRPr="00B378D6">
        <w:rPr>
          <w:rFonts w:eastAsiaTheme="minorHAnsi" w:cstheme="minorBidi"/>
          <w:szCs w:val="24"/>
          <w:lang w:eastAsia="en-US"/>
        </w:rPr>
        <w:t xml:space="preserve">, Rothstein, Cromwell, </w:t>
      </w:r>
      <w:proofErr w:type="spellStart"/>
      <w:r w:rsidRPr="00B378D6">
        <w:rPr>
          <w:rFonts w:eastAsiaTheme="minorHAnsi" w:cstheme="minorBidi"/>
          <w:szCs w:val="24"/>
          <w:lang w:eastAsia="en-US"/>
        </w:rPr>
        <w:t>Moldaver</w:t>
      </w:r>
      <w:proofErr w:type="spellEnd"/>
      <w:r w:rsidRPr="00B378D6">
        <w:rPr>
          <w:rFonts w:eastAsiaTheme="minorHAnsi" w:cstheme="minorBidi"/>
          <w:szCs w:val="24"/>
          <w:lang w:eastAsia="en-US"/>
        </w:rPr>
        <w:t xml:space="preserve"> and </w:t>
      </w:r>
      <w:proofErr w:type="spellStart"/>
      <w:r w:rsidRPr="00B378D6">
        <w:rPr>
          <w:rFonts w:eastAsiaTheme="minorHAnsi" w:cstheme="minorBidi"/>
          <w:szCs w:val="24"/>
          <w:lang w:eastAsia="en-US"/>
        </w:rPr>
        <w:t>Karakatsanis</w:t>
      </w:r>
      <w:proofErr w:type="spellEnd"/>
      <w:r w:rsidRPr="00B378D6">
        <w:rPr>
          <w:rFonts w:eastAsiaTheme="minorHAnsi" w:cstheme="minorBidi"/>
          <w:szCs w:val="24"/>
          <w:lang w:eastAsia="en-US"/>
        </w:rPr>
        <w:t> JJ.</w:t>
      </w:r>
    </w:p>
    <w:p w:rsidR="00076FFD" w:rsidRPr="00B378D6" w:rsidRDefault="00076FFD" w:rsidP="00076FFD">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76FFD" w:rsidRPr="00B378D6" w:rsidTr="00E567EE">
        <w:trPr>
          <w:cantSplit/>
        </w:trPr>
        <w:tc>
          <w:tcPr>
            <w:tcW w:w="3618" w:type="dxa"/>
          </w:tcPr>
          <w:p w:rsidR="00076FFD" w:rsidRPr="00B378D6" w:rsidRDefault="00076FFD" w:rsidP="00E567EE">
            <w:pPr>
              <w:rPr>
                <w:b/>
                <w:smallCaps/>
              </w:rPr>
            </w:pPr>
            <w:r w:rsidRPr="00B378D6">
              <w:rPr>
                <w:b/>
                <w:smallCaps/>
              </w:rPr>
              <w:t>Reasons for Judgment:</w:t>
            </w:r>
          </w:p>
          <w:p w:rsidR="00076FFD" w:rsidRPr="00B378D6" w:rsidRDefault="00076FFD" w:rsidP="00E567EE">
            <w:r w:rsidRPr="00B378D6">
              <w:t>(</w:t>
            </w:r>
            <w:proofErr w:type="spellStart"/>
            <w:r w:rsidRPr="00B378D6">
              <w:t>paras</w:t>
            </w:r>
            <w:proofErr w:type="spellEnd"/>
            <w:r w:rsidRPr="00B378D6">
              <w:t>. 1 to 4)</w:t>
            </w:r>
          </w:p>
        </w:tc>
        <w:tc>
          <w:tcPr>
            <w:tcW w:w="5958" w:type="dxa"/>
          </w:tcPr>
          <w:p w:rsidR="00076FFD" w:rsidRPr="00B378D6" w:rsidRDefault="00076FFD" w:rsidP="00E567EE">
            <w:r w:rsidRPr="00B378D6">
              <w:t>The Court</w:t>
            </w:r>
          </w:p>
        </w:tc>
      </w:tr>
    </w:tbl>
    <w:p w:rsidR="00076FFD" w:rsidRPr="00B378D6" w:rsidRDefault="00076FFD" w:rsidP="00076FFD">
      <w:pPr>
        <w:rPr>
          <w:rFonts w:eastAsiaTheme="minorHAnsi" w:cstheme="minorBidi"/>
          <w:szCs w:val="24"/>
          <w:lang w:eastAsia="en-US"/>
        </w:rPr>
      </w:pPr>
    </w:p>
    <w:p w:rsidR="00076FFD" w:rsidRPr="00B378D6" w:rsidRDefault="00076FFD" w:rsidP="00076FFD">
      <w:pPr>
        <w:rPr>
          <w:rFonts w:eastAsiaTheme="minorHAnsi" w:cstheme="minorBidi"/>
          <w:szCs w:val="24"/>
          <w:lang w:eastAsia="en-US"/>
        </w:rPr>
      </w:pPr>
    </w:p>
    <w:p w:rsidR="00076FFD" w:rsidRPr="00B378D6" w:rsidRDefault="00076FFD" w:rsidP="00076FFD">
      <w:pPr>
        <w:rPr>
          <w:rFonts w:eastAsiaTheme="minorHAnsi" w:cstheme="minorBidi"/>
          <w:szCs w:val="24"/>
          <w:lang w:eastAsia="en-US"/>
        </w:rPr>
      </w:pPr>
    </w:p>
    <w:p w:rsidR="00076FFD" w:rsidRPr="00B378D6" w:rsidRDefault="00076FFD" w:rsidP="00076FFD">
      <w:pPr>
        <w:rPr>
          <w:rFonts w:eastAsiaTheme="minorHAnsi" w:cstheme="minorBidi"/>
          <w:szCs w:val="24"/>
          <w:lang w:eastAsia="en-US"/>
        </w:rPr>
      </w:pPr>
      <w:r w:rsidRPr="006D2B90">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076FFD" w:rsidRPr="00B378D6" w:rsidRDefault="00076FFD" w:rsidP="00076FFD">
      <w:pPr>
        <w:rPr>
          <w:smallCaps/>
        </w:rPr>
      </w:pPr>
      <w:r w:rsidRPr="00B378D6">
        <w:rPr>
          <w:smallCaps/>
        </w:rPr>
        <w:br w:type="page"/>
      </w:r>
    </w:p>
    <w:p w:rsidR="009A16E8" w:rsidRPr="009A16E8" w:rsidRDefault="009A16E8" w:rsidP="009A16E8">
      <w:pPr>
        <w:spacing w:after="720"/>
        <w:jc w:val="both"/>
      </w:pPr>
      <w:r w:rsidRPr="009A16E8">
        <w:lastRenderedPageBreak/>
        <w:t xml:space="preserve">Construction Labour Relations </w:t>
      </w:r>
      <w:r w:rsidRPr="009A16E8">
        <w:rPr>
          <w:i/>
        </w:rPr>
        <w:t>v.</w:t>
      </w:r>
      <w:r w:rsidRPr="009A16E8">
        <w:t xml:space="preserve"> Driver Iron Inc., 2012 SCC 65, [2012] 3 S.C.R. 405</w:t>
      </w:r>
    </w:p>
    <w:p w:rsidR="00FF389A" w:rsidRPr="00076FFD" w:rsidRDefault="008645E2" w:rsidP="007D44B0">
      <w:pPr>
        <w:pStyle w:val="SCCLsocLastPartyInRole"/>
      </w:pPr>
      <w:r w:rsidRPr="00076FFD">
        <w:t xml:space="preserve">Construction Labour Relations </w:t>
      </w:r>
      <w:r w:rsidR="006E5670" w:rsidRPr="00076FFD">
        <w:t>-</w:t>
      </w:r>
      <w:r w:rsidRPr="00076FFD">
        <w:t xml:space="preserve"> An Alberta Association</w:t>
      </w:r>
      <w:r w:rsidRPr="00076FFD">
        <w:rPr>
          <w:rStyle w:val="SCCLsocPartyRole"/>
        </w:rPr>
        <w:tab/>
        <w:t>Appellant</w:t>
      </w:r>
    </w:p>
    <w:p w:rsidR="00FF389A" w:rsidRPr="000C324C" w:rsidRDefault="008645E2" w:rsidP="007D44B0">
      <w:pPr>
        <w:pStyle w:val="SCCLsocVersus"/>
      </w:pPr>
      <w:proofErr w:type="gramStart"/>
      <w:r w:rsidRPr="000C324C">
        <w:t>v</w:t>
      </w:r>
      <w:proofErr w:type="gramEnd"/>
      <w:r w:rsidRPr="000C324C">
        <w:t>.</w:t>
      </w:r>
    </w:p>
    <w:p w:rsidR="00FF389A" w:rsidRPr="000C324C" w:rsidRDefault="008645E2">
      <w:pPr>
        <w:pStyle w:val="SCCLsocParty"/>
      </w:pPr>
      <w:r w:rsidRPr="000C324C">
        <w:t>Driver Iron Inc.,</w:t>
      </w:r>
    </w:p>
    <w:p w:rsidR="00633F96" w:rsidRPr="000C324C" w:rsidRDefault="008645E2">
      <w:pPr>
        <w:pStyle w:val="SCCLsocParty"/>
      </w:pPr>
      <w:r w:rsidRPr="000C324C">
        <w:t>International Association of Bridge, Structural,</w:t>
      </w:r>
    </w:p>
    <w:p w:rsidR="00633F96" w:rsidRPr="000C324C" w:rsidRDefault="008645E2">
      <w:pPr>
        <w:pStyle w:val="SCCLsocParty"/>
      </w:pPr>
      <w:r w:rsidRPr="000C324C">
        <w:t xml:space="preserve">Ornamental and Reinforcing Ironworkers, </w:t>
      </w:r>
    </w:p>
    <w:p w:rsidR="00FF389A" w:rsidRPr="000C324C" w:rsidRDefault="008645E2">
      <w:pPr>
        <w:pStyle w:val="SCCLsocParty"/>
      </w:pPr>
      <w:r w:rsidRPr="000C324C">
        <w:t xml:space="preserve">Local Union </w:t>
      </w:r>
      <w:r w:rsidR="007D44B0" w:rsidRPr="000C324C">
        <w:t>No. </w:t>
      </w:r>
      <w:r w:rsidRPr="000C324C">
        <w:t>720</w:t>
      </w:r>
      <w:r w:rsidR="000F09DE" w:rsidRPr="000C324C">
        <w:t xml:space="preserve"> and</w:t>
      </w:r>
    </w:p>
    <w:p w:rsidR="00FF389A" w:rsidRPr="000C324C" w:rsidRDefault="008645E2" w:rsidP="007D44B0">
      <w:pPr>
        <w:pStyle w:val="SCCLsocLastPartyInRole"/>
      </w:pPr>
      <w:r w:rsidRPr="000C324C">
        <w:t>Alberta Labour Relations Board</w:t>
      </w:r>
      <w:r w:rsidRPr="000C324C">
        <w:rPr>
          <w:rStyle w:val="SCCLsocPartyRole"/>
        </w:rPr>
        <w:tab/>
        <w:t>Respondents</w:t>
      </w:r>
    </w:p>
    <w:p w:rsidR="00426659" w:rsidRPr="000C324C" w:rsidRDefault="00426659" w:rsidP="007D44B0">
      <w:pPr>
        <w:spacing w:after="720"/>
        <w:jc w:val="both"/>
        <w:rPr>
          <w:b/>
        </w:rPr>
      </w:pPr>
      <w:proofErr w:type="gramStart"/>
      <w:r w:rsidRPr="000C324C">
        <w:rPr>
          <w:b/>
        </w:rPr>
        <w:t xml:space="preserve">Indexed as:  Construction Labour Relations </w:t>
      </w:r>
      <w:r w:rsidRPr="000C324C">
        <w:rPr>
          <w:b/>
          <w:i/>
        </w:rPr>
        <w:t>v.</w:t>
      </w:r>
      <w:r w:rsidRPr="000C324C">
        <w:rPr>
          <w:b/>
        </w:rPr>
        <w:t xml:space="preserve"> Driver Iron Inc</w:t>
      </w:r>
      <w:r w:rsidR="00FF645D" w:rsidRPr="000C324C">
        <w:rPr>
          <w:b/>
        </w:rPr>
        <w:t>.</w:t>
      </w:r>
      <w:proofErr w:type="gramEnd"/>
    </w:p>
    <w:p w:rsidR="00426659" w:rsidRPr="000C324C" w:rsidRDefault="004F36FF" w:rsidP="007D44B0">
      <w:pPr>
        <w:pStyle w:val="SCCSystemYear"/>
        <w:spacing w:after="720"/>
        <w:jc w:val="both"/>
      </w:pPr>
      <w:r w:rsidRPr="000C324C">
        <w:t>2012</w:t>
      </w:r>
      <w:r w:rsidR="003D0399" w:rsidRPr="000C324C">
        <w:t xml:space="preserve"> </w:t>
      </w:r>
      <w:r w:rsidR="00E41C67" w:rsidRPr="000C324C">
        <w:t>SCC 65</w:t>
      </w:r>
    </w:p>
    <w:p w:rsidR="008322BD" w:rsidRPr="000C324C" w:rsidRDefault="009B57B3" w:rsidP="007D44B0">
      <w:pPr>
        <w:spacing w:after="720"/>
        <w:jc w:val="both"/>
      </w:pPr>
      <w:r w:rsidRPr="000C324C">
        <w:t>File No.:  34205.</w:t>
      </w:r>
    </w:p>
    <w:p w:rsidR="00A149DF" w:rsidRPr="000C324C" w:rsidRDefault="007D44B0" w:rsidP="007D44B0">
      <w:pPr>
        <w:spacing w:after="720"/>
        <w:jc w:val="both"/>
      </w:pPr>
      <w:r w:rsidRPr="000C324C">
        <w:t>2012:  November </w:t>
      </w:r>
      <w:r w:rsidR="004F36FF" w:rsidRPr="000C324C">
        <w:t>15</w:t>
      </w:r>
      <w:r w:rsidR="009B57B3" w:rsidRPr="000C324C">
        <w:t xml:space="preserve">; </w:t>
      </w:r>
      <w:r w:rsidR="00E55895" w:rsidRPr="000C324C">
        <w:t>2012:</w:t>
      </w:r>
      <w:r w:rsidRPr="000C324C">
        <w:t>  November </w:t>
      </w:r>
      <w:r w:rsidR="00106084" w:rsidRPr="000C324C">
        <w:t>29</w:t>
      </w:r>
      <w:r w:rsidR="00E55895" w:rsidRPr="000C324C">
        <w:t>.</w:t>
      </w:r>
    </w:p>
    <w:p w:rsidR="008322BD" w:rsidRPr="000C324C" w:rsidRDefault="009B57B3" w:rsidP="007D44B0">
      <w:pPr>
        <w:spacing w:after="720"/>
        <w:jc w:val="both"/>
      </w:pPr>
      <w:r w:rsidRPr="000C324C">
        <w:t>Present:  McLachlin C.J. and LeBel, Abella, Rothstein, Cromwell, Moldaver and Karakatsanis JJ.</w:t>
      </w:r>
    </w:p>
    <w:p w:rsidR="008322BD" w:rsidRPr="000C324C" w:rsidRDefault="00656313" w:rsidP="007D44B0">
      <w:pPr>
        <w:pStyle w:val="SCCLowerCourtNameLowercase"/>
        <w:spacing w:after="720" w:line="240" w:lineRule="auto"/>
      </w:pPr>
      <w:r w:rsidRPr="000C324C">
        <w:t>o</w:t>
      </w:r>
      <w:r w:rsidR="00170592" w:rsidRPr="000C324C">
        <w:t>n</w:t>
      </w:r>
      <w:r w:rsidR="00224FC0" w:rsidRPr="000C324C">
        <w:t xml:space="preserve"> </w:t>
      </w:r>
      <w:r w:rsidRPr="000C324C">
        <w:t>a</w:t>
      </w:r>
      <w:r w:rsidR="00170592" w:rsidRPr="000C324C">
        <w:t>ppeal</w:t>
      </w:r>
      <w:r w:rsidR="00224FC0" w:rsidRPr="000C324C">
        <w:t xml:space="preserve"> </w:t>
      </w:r>
      <w:r w:rsidR="00170592" w:rsidRPr="000C324C">
        <w:t>from</w:t>
      </w:r>
      <w:r w:rsidR="009567AA" w:rsidRPr="000C324C">
        <w:t xml:space="preserve"> the</w:t>
      </w:r>
      <w:r w:rsidR="00224FC0" w:rsidRPr="000C324C">
        <w:t xml:space="preserve"> </w:t>
      </w:r>
      <w:r w:rsidR="009B57B3" w:rsidRPr="000C324C">
        <w:t xml:space="preserve">court of appeal </w:t>
      </w:r>
      <w:r w:rsidR="00864F6A" w:rsidRPr="000C324C">
        <w:t>for alberta</w:t>
      </w:r>
    </w:p>
    <w:p w:rsidR="006217EE" w:rsidRPr="000C324C" w:rsidRDefault="007D44B0" w:rsidP="007D44B0">
      <w:pPr>
        <w:pStyle w:val="SCCNormalDoubleSpacing"/>
        <w:spacing w:after="480"/>
        <w:rPr>
          <w:i/>
          <w:lang w:val="en-US"/>
        </w:rPr>
      </w:pPr>
      <w:r w:rsidRPr="000C324C">
        <w:rPr>
          <w:i/>
          <w:lang w:val="en-US"/>
        </w:rPr>
        <w:tab/>
      </w:r>
      <w:r w:rsidR="006217EE" w:rsidRPr="000C324C">
        <w:rPr>
          <w:i/>
          <w:lang w:val="en-US"/>
        </w:rPr>
        <w:t>Administrative law — Judicial review — Adequacy of reasons — Board declaring that Driver Iron was employer pursuant to Labour Relations Code and was bound by collective agreements between employers’ association and union — Court of Appeal erred in finding that Board had failed to give proper consideration to interplay between provisions of Code</w:t>
      </w:r>
      <w:r w:rsidR="000C1DB3" w:rsidRPr="000C324C">
        <w:rPr>
          <w:i/>
          <w:lang w:val="en-US"/>
        </w:rPr>
        <w:t xml:space="preserve"> </w:t>
      </w:r>
      <w:r w:rsidR="006217EE" w:rsidRPr="000C324C">
        <w:rPr>
          <w:i/>
          <w:lang w:val="en-US"/>
        </w:rPr>
        <w:t xml:space="preserve">— Board not having to consider and comment </w:t>
      </w:r>
      <w:r w:rsidR="006217EE" w:rsidRPr="000C324C">
        <w:rPr>
          <w:i/>
          <w:lang w:val="en-US"/>
        </w:rPr>
        <w:lastRenderedPageBreak/>
        <w:t>upon every issue raised by parties — Board’s decision, viewed as whole in context of record, was reasonable.</w:t>
      </w:r>
    </w:p>
    <w:p w:rsidR="008322BD" w:rsidRPr="000C324C" w:rsidRDefault="009B57B3" w:rsidP="007D44B0">
      <w:pPr>
        <w:pStyle w:val="SCCNormalDoubleSpacing"/>
        <w:spacing w:after="480"/>
      </w:pPr>
      <w:r w:rsidRPr="000C324C">
        <w:tab/>
      </w:r>
      <w:r w:rsidRPr="000C324C">
        <w:rPr>
          <w:i/>
        </w:rPr>
        <w:t>Held</w:t>
      </w:r>
      <w:r w:rsidRPr="000C324C">
        <w:t>:</w:t>
      </w:r>
      <w:r w:rsidR="00D6017F" w:rsidRPr="000C324C">
        <w:t xml:space="preserve">  The appeal </w:t>
      </w:r>
      <w:r w:rsidR="00AF45D2" w:rsidRPr="000C324C">
        <w:t xml:space="preserve">should be </w:t>
      </w:r>
      <w:r w:rsidR="00D6017F" w:rsidRPr="000C324C">
        <w:t>allowed.</w:t>
      </w:r>
    </w:p>
    <w:p w:rsidR="007E1C47" w:rsidRPr="000C324C" w:rsidRDefault="002E6705" w:rsidP="007D44B0">
      <w:pPr>
        <w:pStyle w:val="SCCNormalDoubleSpacing"/>
        <w:keepNext/>
        <w:keepLines/>
        <w:spacing w:after="720" w:line="240" w:lineRule="auto"/>
        <w:rPr>
          <w:b/>
        </w:rPr>
      </w:pPr>
      <w:r w:rsidRPr="000C324C">
        <w:rPr>
          <w:b/>
        </w:rPr>
        <w:t>Cases Cited</w:t>
      </w:r>
    </w:p>
    <w:p w:rsidR="004E2C26" w:rsidRPr="000C324C" w:rsidRDefault="002E6705" w:rsidP="007D44B0">
      <w:pPr>
        <w:pStyle w:val="SCCNormalDoubleSpacing"/>
        <w:spacing w:after="480"/>
      </w:pPr>
      <w:r w:rsidRPr="000C324C">
        <w:tab/>
      </w:r>
      <w:r w:rsidRPr="000C324C">
        <w:rPr>
          <w:b/>
        </w:rPr>
        <w:t>Referred to:</w:t>
      </w:r>
      <w:r w:rsidR="00A631B9" w:rsidRPr="000C324C">
        <w:t xml:space="preserve"> </w:t>
      </w:r>
      <w:r w:rsidR="00BD0E9E" w:rsidRPr="000C324C">
        <w:t xml:space="preserve"> </w:t>
      </w:r>
      <w:r w:rsidR="00864F6A" w:rsidRPr="000C324C">
        <w:rPr>
          <w:i/>
        </w:rPr>
        <w:t>Newfoundland and Labrador Nurses’ Union v. Newfoundland and Labrador (Treasury Board)</w:t>
      </w:r>
      <w:r w:rsidR="00864F6A" w:rsidRPr="000C324C">
        <w:t>, 2011 SCC 62, [2011] 3 S.C.R. 708.</w:t>
      </w:r>
    </w:p>
    <w:p w:rsidR="003B215F" w:rsidRPr="000C324C" w:rsidRDefault="002E6705" w:rsidP="007D44B0">
      <w:pPr>
        <w:pStyle w:val="SCCNormalDoubleSpacing"/>
        <w:keepNext/>
        <w:spacing w:after="720" w:line="240" w:lineRule="auto"/>
      </w:pPr>
      <w:r w:rsidRPr="000C324C">
        <w:rPr>
          <w:b/>
        </w:rPr>
        <w:t>Statutes and Regulations Cite</w:t>
      </w:r>
      <w:r w:rsidR="00A41805" w:rsidRPr="000C324C">
        <w:rPr>
          <w:b/>
        </w:rPr>
        <w:t>d</w:t>
      </w:r>
    </w:p>
    <w:p w:rsidR="00A149DF" w:rsidRPr="006D5F1E" w:rsidRDefault="008C7530" w:rsidP="007D44B0">
      <w:pPr>
        <w:pStyle w:val="SCCNormalDoubleSpacing"/>
        <w:spacing w:after="720" w:line="240" w:lineRule="auto"/>
        <w:ind w:left="547" w:hanging="547"/>
        <w:rPr>
          <w:lang w:val="fr-CA"/>
        </w:rPr>
      </w:pPr>
      <w:r w:rsidRPr="006D5F1E">
        <w:rPr>
          <w:i/>
          <w:lang w:val="fr-CA"/>
        </w:rPr>
        <w:t>Labour Relations Code</w:t>
      </w:r>
      <w:r w:rsidR="007D44B0" w:rsidRPr="006D5F1E">
        <w:rPr>
          <w:lang w:val="fr-CA"/>
        </w:rPr>
        <w:t>, R.S.A. 2000, c. </w:t>
      </w:r>
      <w:r w:rsidRPr="006D5F1E">
        <w:rPr>
          <w:lang w:val="fr-CA"/>
        </w:rPr>
        <w:t>L</w:t>
      </w:r>
      <w:r w:rsidR="007D44B0" w:rsidRPr="006D5F1E">
        <w:rPr>
          <w:lang w:val="fr-CA"/>
        </w:rPr>
        <w:noBreakHyphen/>
      </w:r>
      <w:r w:rsidRPr="006D5F1E">
        <w:rPr>
          <w:lang w:val="fr-CA"/>
        </w:rPr>
        <w:t xml:space="preserve">1, </w:t>
      </w:r>
      <w:proofErr w:type="spellStart"/>
      <w:r w:rsidR="007D44B0" w:rsidRPr="006D5F1E">
        <w:rPr>
          <w:lang w:val="fr-CA"/>
        </w:rPr>
        <w:t>ss</w:t>
      </w:r>
      <w:proofErr w:type="spellEnd"/>
      <w:r w:rsidR="007D44B0" w:rsidRPr="006D5F1E">
        <w:rPr>
          <w:lang w:val="fr-CA"/>
        </w:rPr>
        <w:t>. </w:t>
      </w:r>
      <w:r w:rsidRPr="006D5F1E">
        <w:rPr>
          <w:lang w:val="fr-CA"/>
        </w:rPr>
        <w:t>176(1</w:t>
      </w:r>
      <w:proofErr w:type="gramStart"/>
      <w:r w:rsidRPr="006D5F1E">
        <w:rPr>
          <w:lang w:val="fr-CA"/>
        </w:rPr>
        <w:t>)(</w:t>
      </w:r>
      <w:proofErr w:type="gramEnd"/>
      <w:r w:rsidRPr="006D5F1E">
        <w:rPr>
          <w:lang w:val="fr-CA"/>
        </w:rPr>
        <w:t>b),</w:t>
      </w:r>
      <w:r w:rsidR="00D153A9" w:rsidRPr="006D5F1E">
        <w:rPr>
          <w:lang w:val="fr-CA"/>
        </w:rPr>
        <w:t xml:space="preserve"> (2),</w:t>
      </w:r>
      <w:r w:rsidRPr="006D5F1E">
        <w:rPr>
          <w:lang w:val="fr-CA"/>
        </w:rPr>
        <w:t xml:space="preserve"> 178.</w:t>
      </w:r>
    </w:p>
    <w:p w:rsidR="00656313" w:rsidRPr="000C324C" w:rsidRDefault="008C7530" w:rsidP="007D44B0">
      <w:pPr>
        <w:pStyle w:val="SCCNormalDoubleSpacing"/>
        <w:spacing w:after="480"/>
        <w:rPr>
          <w:i/>
        </w:rPr>
      </w:pPr>
      <w:r w:rsidRPr="006D5F1E">
        <w:rPr>
          <w:lang w:val="fr-CA"/>
        </w:rPr>
        <w:tab/>
      </w:r>
      <w:r w:rsidR="009B57B3" w:rsidRPr="000C324C">
        <w:t xml:space="preserve">APPEAL from a judgment of the </w:t>
      </w:r>
      <w:r w:rsidRPr="000C324C">
        <w:t>Alberta Court of Ap</w:t>
      </w:r>
      <w:r w:rsidR="00F73E94" w:rsidRPr="000C324C">
        <w:t>peal (Hunt, Berger and Costigan </w:t>
      </w:r>
      <w:r w:rsidRPr="000C324C">
        <w:t>JJ.A.), 2011 ABCA 55, 502 A.R. 229,</w:t>
      </w:r>
      <w:r w:rsidR="00AF2DA0" w:rsidRPr="000C324C">
        <w:t xml:space="preserve"> 517 W.A.C. 229,</w:t>
      </w:r>
      <w:r w:rsidRPr="000C324C">
        <w:t xml:space="preserve"> 21 Admin. L.R. (5th) 1, 191 C.L.R.B.R. (2d) 1,</w:t>
      </w:r>
      <w:r w:rsidR="00FC1B6C" w:rsidRPr="000C324C">
        <w:t xml:space="preserve"> [2011] Alta. L.R.B.R. 183,</w:t>
      </w:r>
      <w:r w:rsidRPr="000C324C">
        <w:t xml:space="preserve"> </w:t>
      </w:r>
      <w:r w:rsidR="00DB0B87" w:rsidRPr="000C324C">
        <w:t>2012</w:t>
      </w:r>
      <w:r w:rsidRPr="000C324C">
        <w:t xml:space="preserve"> CLLC </w:t>
      </w:r>
      <w:r w:rsidR="00C4210C" w:rsidRPr="000C324C">
        <w:t>¶</w:t>
      </w:r>
      <w:r w:rsidRPr="000C324C">
        <w:t>220</w:t>
      </w:r>
      <w:r w:rsidR="007D44B0" w:rsidRPr="000C324C">
        <w:noBreakHyphen/>
      </w:r>
      <w:r w:rsidRPr="000C324C">
        <w:t xml:space="preserve">011, [2011] A.J. </w:t>
      </w:r>
      <w:r w:rsidR="007D44B0" w:rsidRPr="000C324C">
        <w:t>No. </w:t>
      </w:r>
      <w:r w:rsidRPr="000C324C">
        <w:t>155 (QL), 2011 CarswellAlta 165, setting aside a decision of Gill</w:t>
      </w:r>
      <w:r w:rsidR="000C34FA" w:rsidRPr="000C324C">
        <w:t> </w:t>
      </w:r>
      <w:r w:rsidRPr="000C324C">
        <w:t xml:space="preserve">J., 2009 ABQB </w:t>
      </w:r>
      <w:r w:rsidR="00FD3ABE" w:rsidRPr="000C324C">
        <w:t>604, 491 A.R. 14, 1 Admin. L.R. (5th) 305, 174 C.L.R.B.R. (2d) 1,</w:t>
      </w:r>
      <w:r w:rsidR="00D63615" w:rsidRPr="000C324C">
        <w:t xml:space="preserve"> [2009] Alta. L.R.B.R. 349,</w:t>
      </w:r>
      <w:r w:rsidR="00FD3ABE" w:rsidRPr="000C324C">
        <w:t xml:space="preserve"> [2009] A.J. </w:t>
      </w:r>
      <w:r w:rsidR="007D44B0" w:rsidRPr="000C324C">
        <w:t>No. </w:t>
      </w:r>
      <w:r w:rsidR="00FD3ABE" w:rsidRPr="000C324C">
        <w:t>1182</w:t>
      </w:r>
      <w:r w:rsidR="000E0F9C" w:rsidRPr="000C324C">
        <w:t xml:space="preserve"> (QL)</w:t>
      </w:r>
      <w:r w:rsidR="00FD3ABE" w:rsidRPr="000C324C">
        <w:t>, 2009 CarswellAlta 1687</w:t>
      </w:r>
      <w:r w:rsidR="003704B4" w:rsidRPr="000C324C">
        <w:t>, dismissing an application for judicial review from a decision of the Alberta Labour Relations Board</w:t>
      </w:r>
      <w:r w:rsidR="00722F99" w:rsidRPr="000C324C">
        <w:t xml:space="preserve">, </w:t>
      </w:r>
      <w:r w:rsidR="00FC1B6C" w:rsidRPr="000C324C">
        <w:t xml:space="preserve">164 C.L.R.B.R. (2d) 213, [2009] Alta. L.R.B.R. 26, [2009] A.L.R.B.D. </w:t>
      </w:r>
      <w:r w:rsidR="007D44B0" w:rsidRPr="000C324C">
        <w:t>No. </w:t>
      </w:r>
      <w:r w:rsidR="00FC1B6C" w:rsidRPr="000C324C">
        <w:t>3 (QL), 2009 CarswellAlta 46</w:t>
      </w:r>
      <w:r w:rsidR="00FD3ABE" w:rsidRPr="000C324C">
        <w:t>.</w:t>
      </w:r>
      <w:r w:rsidR="00FF16A7" w:rsidRPr="000C324C">
        <w:t xml:space="preserve"> </w:t>
      </w:r>
      <w:r w:rsidR="007D44B0" w:rsidRPr="000C324C">
        <w:t xml:space="preserve"> </w:t>
      </w:r>
      <w:r w:rsidR="00FF16A7" w:rsidRPr="000C324C">
        <w:t>Appeal allowed.</w:t>
      </w:r>
    </w:p>
    <w:p w:rsidR="00FF389A" w:rsidRPr="000C324C" w:rsidRDefault="007D44B0" w:rsidP="007D44B0">
      <w:pPr>
        <w:pStyle w:val="SCCNormalDoubleSpacing"/>
        <w:spacing w:after="480"/>
      </w:pPr>
      <w:r w:rsidRPr="000C324C">
        <w:rPr>
          <w:i/>
        </w:rPr>
        <w:tab/>
      </w:r>
      <w:proofErr w:type="gramStart"/>
      <w:r w:rsidRPr="000C324C">
        <w:rPr>
          <w:i/>
        </w:rPr>
        <w:t>Kent </w:t>
      </w:r>
      <w:r w:rsidR="008645E2" w:rsidRPr="000C324C">
        <w:rPr>
          <w:i/>
        </w:rPr>
        <w:t>H. Davidson</w:t>
      </w:r>
      <w:r w:rsidR="008645E2" w:rsidRPr="000C324C">
        <w:t xml:space="preserve">, </w:t>
      </w:r>
      <w:r w:rsidR="008645E2" w:rsidRPr="000C324C">
        <w:rPr>
          <w:i/>
        </w:rPr>
        <w:t>Q.C.</w:t>
      </w:r>
      <w:r w:rsidR="008645E2" w:rsidRPr="000C324C">
        <w:t>,</w:t>
      </w:r>
      <w:r w:rsidR="00FC711C" w:rsidRPr="000C324C">
        <w:t xml:space="preserve"> </w:t>
      </w:r>
      <w:r w:rsidR="00FC711C" w:rsidRPr="000C324C">
        <w:rPr>
          <w:i/>
        </w:rPr>
        <w:t>Monique Petrin</w:t>
      </w:r>
      <w:r w:rsidR="005B22F3" w:rsidRPr="000C324C">
        <w:rPr>
          <w:i/>
        </w:rPr>
        <w:t xml:space="preserve"> </w:t>
      </w:r>
      <w:r w:rsidR="00FC711C" w:rsidRPr="000C324C">
        <w:rPr>
          <w:i/>
        </w:rPr>
        <w:t>Nicholson</w:t>
      </w:r>
      <w:r w:rsidR="00FC711C" w:rsidRPr="000C324C">
        <w:t xml:space="preserve"> and </w:t>
      </w:r>
      <w:r w:rsidR="00FC711C" w:rsidRPr="000C324C">
        <w:rPr>
          <w:i/>
        </w:rPr>
        <w:t>Gordon Nekolaichuk</w:t>
      </w:r>
      <w:r w:rsidR="00FC711C" w:rsidRPr="000C324C">
        <w:t>,</w:t>
      </w:r>
      <w:r w:rsidR="008645E2" w:rsidRPr="000C324C">
        <w:t xml:space="preserve"> for the appellant.</w:t>
      </w:r>
      <w:proofErr w:type="gramEnd"/>
    </w:p>
    <w:p w:rsidR="00FF389A" w:rsidRPr="000C324C" w:rsidRDefault="007D44B0" w:rsidP="007D44B0">
      <w:pPr>
        <w:pStyle w:val="SCCNormalDoubleSpacing"/>
        <w:spacing w:after="480"/>
      </w:pPr>
      <w:r w:rsidRPr="000C324C">
        <w:rPr>
          <w:i/>
        </w:rPr>
        <w:lastRenderedPageBreak/>
        <w:tab/>
      </w:r>
      <w:proofErr w:type="gramStart"/>
      <w:r w:rsidRPr="000C324C">
        <w:rPr>
          <w:i/>
        </w:rPr>
        <w:t>Peter </w:t>
      </w:r>
      <w:r w:rsidR="008645E2" w:rsidRPr="000C324C">
        <w:rPr>
          <w:i/>
        </w:rPr>
        <w:t>A. Gall</w:t>
      </w:r>
      <w:r w:rsidR="008645E2" w:rsidRPr="000C324C">
        <w:t xml:space="preserve">, </w:t>
      </w:r>
      <w:r w:rsidR="008645E2" w:rsidRPr="000C324C">
        <w:rPr>
          <w:i/>
        </w:rPr>
        <w:t>Q.C.</w:t>
      </w:r>
      <w:r w:rsidR="008645E2" w:rsidRPr="000C324C">
        <w:t xml:space="preserve">, </w:t>
      </w:r>
      <w:r w:rsidR="000F09DE" w:rsidRPr="000C324C">
        <w:rPr>
          <w:i/>
        </w:rPr>
        <w:t>Joana Thackeray</w:t>
      </w:r>
      <w:r w:rsidR="000F09DE" w:rsidRPr="000C324C">
        <w:t>,</w:t>
      </w:r>
      <w:r w:rsidR="000F09DE" w:rsidRPr="000C324C">
        <w:rPr>
          <w:i/>
        </w:rPr>
        <w:t xml:space="preserve"> Jennifer Klinck</w:t>
      </w:r>
      <w:r w:rsidR="000F09DE" w:rsidRPr="000C324C">
        <w:t xml:space="preserve"> and </w:t>
      </w:r>
      <w:r w:rsidR="008645E2" w:rsidRPr="000C324C">
        <w:rPr>
          <w:i/>
        </w:rPr>
        <w:t>Andrea Zwack</w:t>
      </w:r>
      <w:r w:rsidR="003759F9" w:rsidRPr="000C324C">
        <w:t xml:space="preserve">, </w:t>
      </w:r>
      <w:r w:rsidR="008645E2" w:rsidRPr="000C324C">
        <w:t>for the respondent</w:t>
      </w:r>
      <w:r w:rsidR="00066AB8" w:rsidRPr="000C324C">
        <w:t xml:space="preserve"> Driver Iron Inc.</w:t>
      </w:r>
      <w:proofErr w:type="gramEnd"/>
    </w:p>
    <w:p w:rsidR="00FF389A" w:rsidRPr="000C324C" w:rsidRDefault="008645E2" w:rsidP="007D44B0">
      <w:pPr>
        <w:pStyle w:val="SCCNormalDoubleSpacing"/>
        <w:spacing w:after="480"/>
      </w:pPr>
      <w:r w:rsidRPr="000C324C">
        <w:rPr>
          <w:i/>
        </w:rPr>
        <w:tab/>
      </w:r>
      <w:r w:rsidR="00D42A5A" w:rsidRPr="000C324C">
        <w:rPr>
          <w:i/>
        </w:rPr>
        <w:t>Joanna Gislason</w:t>
      </w:r>
      <w:r w:rsidR="00D42A5A" w:rsidRPr="000C324C">
        <w:t xml:space="preserve">, </w:t>
      </w:r>
      <w:r w:rsidRPr="000C324C">
        <w:rPr>
          <w:i/>
        </w:rPr>
        <w:t>Gary Caroline</w:t>
      </w:r>
      <w:r w:rsidRPr="000C324C">
        <w:t xml:space="preserve"> and </w:t>
      </w:r>
      <w:r w:rsidR="00D42A5A" w:rsidRPr="000C324C">
        <w:rPr>
          <w:i/>
        </w:rPr>
        <w:t>Lyndsay Watson</w:t>
      </w:r>
      <w:r w:rsidRPr="000C324C">
        <w:t>, for the respondent</w:t>
      </w:r>
      <w:r w:rsidR="002E19B2" w:rsidRPr="000C324C">
        <w:t xml:space="preserve"> </w:t>
      </w:r>
      <w:r w:rsidR="00C37D0F" w:rsidRPr="000C324C">
        <w:t xml:space="preserve">the </w:t>
      </w:r>
      <w:r w:rsidR="002E19B2" w:rsidRPr="000C324C">
        <w:t>International Association of Bridge, Structural, Ornamental and Reinforci</w:t>
      </w:r>
      <w:r w:rsidR="007D44B0" w:rsidRPr="000C324C">
        <w:t>ng Ironworkers, Local Union No. </w:t>
      </w:r>
      <w:r w:rsidR="002E19B2" w:rsidRPr="000C324C">
        <w:t>720</w:t>
      </w:r>
      <w:r w:rsidR="00066AE5" w:rsidRPr="000C324C">
        <w:t>.</w:t>
      </w:r>
    </w:p>
    <w:p w:rsidR="00FF389A" w:rsidRPr="000C324C" w:rsidRDefault="007D44B0" w:rsidP="007D44B0">
      <w:pPr>
        <w:pStyle w:val="SCCNormalDoubleSpacing"/>
        <w:spacing w:after="480"/>
      </w:pPr>
      <w:r w:rsidRPr="000C324C">
        <w:rPr>
          <w:i/>
        </w:rPr>
        <w:tab/>
      </w:r>
      <w:proofErr w:type="gramStart"/>
      <w:r w:rsidRPr="000C324C">
        <w:rPr>
          <w:i/>
        </w:rPr>
        <w:t>Shawn </w:t>
      </w:r>
      <w:r w:rsidR="008645E2" w:rsidRPr="000C324C">
        <w:rPr>
          <w:i/>
        </w:rPr>
        <w:t>W. McLeod</w:t>
      </w:r>
      <w:r w:rsidR="008645E2" w:rsidRPr="000C324C">
        <w:t>, for the respondent</w:t>
      </w:r>
      <w:r w:rsidR="00C37D0F" w:rsidRPr="000C324C">
        <w:t xml:space="preserve"> the</w:t>
      </w:r>
      <w:r w:rsidR="00066AE5" w:rsidRPr="000C324C">
        <w:t xml:space="preserve"> Alberta Labour Relations Board</w:t>
      </w:r>
      <w:r w:rsidR="008645E2" w:rsidRPr="000C324C">
        <w:t>.</w:t>
      </w:r>
      <w:proofErr w:type="gramEnd"/>
    </w:p>
    <w:p w:rsidR="006A68A8" w:rsidRPr="000C324C" w:rsidRDefault="006A68A8" w:rsidP="006A68A8">
      <w:pPr>
        <w:pStyle w:val="JudgeJuge"/>
        <w:rPr>
          <w:smallCaps w:val="0"/>
        </w:rPr>
      </w:pPr>
      <w:r w:rsidRPr="000C324C">
        <w:rPr>
          <w:smallCaps w:val="0"/>
        </w:rPr>
        <w:tab/>
      </w:r>
      <w:r w:rsidR="00605613" w:rsidRPr="000C324C">
        <w:rPr>
          <w:smallCaps w:val="0"/>
        </w:rPr>
        <w:t>The following is the judgment delivered by</w:t>
      </w:r>
    </w:p>
    <w:p w:rsidR="006A68A8" w:rsidRPr="000C324C" w:rsidRDefault="00605613" w:rsidP="006A68A8">
      <w:pPr>
        <w:pStyle w:val="ParaNoNdepar-AltN"/>
        <w:rPr>
          <w:rFonts w:cs="Times New Roman"/>
        </w:rPr>
      </w:pPr>
      <w:r w:rsidRPr="000C324C">
        <w:rPr>
          <w:rFonts w:cs="Times New Roman"/>
          <w:smallCaps/>
        </w:rPr>
        <w:t>The Court</w:t>
      </w:r>
      <w:r w:rsidRPr="000C324C">
        <w:rPr>
          <w:rFonts w:cs="Times New Roman"/>
        </w:rPr>
        <w:t xml:space="preserve"> — </w:t>
      </w:r>
      <w:r w:rsidR="006A68A8" w:rsidRPr="000C324C">
        <w:rPr>
          <w:rFonts w:cs="Times New Roman"/>
        </w:rPr>
        <w:t xml:space="preserve">Construction Labour Relations - An Alberta Association appeals from a judgment of the Alberta Court of Appeal that allowed an appeal from a judgment dismissing an application for judicial review. In so doing, the Court of Appeal quashed a decision of the Alberta Labour Relations Board and remitted to the Board complaints alleging breaches of the </w:t>
      </w:r>
      <w:r w:rsidR="006A68A8" w:rsidRPr="000C324C">
        <w:rPr>
          <w:rFonts w:cs="Times New Roman"/>
          <w:i/>
        </w:rPr>
        <w:t>Labour Relations Code</w:t>
      </w:r>
      <w:r w:rsidR="006A68A8" w:rsidRPr="000C324C">
        <w:rPr>
          <w:rFonts w:cs="Times New Roman"/>
        </w:rPr>
        <w:t>, R.S.A. 2000, c. L</w:t>
      </w:r>
      <w:r w:rsidR="006A68A8" w:rsidRPr="000C324C">
        <w:rPr>
          <w:rFonts w:cs="Times New Roman"/>
        </w:rPr>
        <w:noBreakHyphen/>
      </w:r>
      <w:proofErr w:type="gramStart"/>
      <w:r w:rsidR="006A68A8" w:rsidRPr="000C324C">
        <w:rPr>
          <w:rFonts w:cs="Times New Roman"/>
        </w:rPr>
        <w:t>1, that</w:t>
      </w:r>
      <w:proofErr w:type="gramEnd"/>
      <w:r w:rsidR="006A68A8" w:rsidRPr="000C324C">
        <w:rPr>
          <w:rFonts w:cs="Times New Roman"/>
        </w:rPr>
        <w:t xml:space="preserve"> the Board had allowed in part in a decision dated January 8, 2009.</w:t>
      </w:r>
    </w:p>
    <w:p w:rsidR="006A68A8" w:rsidRPr="000C324C" w:rsidRDefault="006A68A8" w:rsidP="006A68A8">
      <w:pPr>
        <w:pStyle w:val="ParaNoNdepar-AltN"/>
        <w:rPr>
          <w:rFonts w:cs="Times New Roman"/>
        </w:rPr>
      </w:pPr>
      <w:r w:rsidRPr="000C324C">
        <w:rPr>
          <w:rFonts w:cs="Times New Roman"/>
        </w:rPr>
        <w:t xml:space="preserve">The appeal is well founded. The Board considered the relevant provisions of the </w:t>
      </w:r>
      <w:r w:rsidRPr="000C324C">
        <w:rPr>
          <w:rFonts w:cs="Times New Roman"/>
          <w:i/>
        </w:rPr>
        <w:t xml:space="preserve">Code </w:t>
      </w:r>
      <w:r w:rsidRPr="000C324C">
        <w:rPr>
          <w:rFonts w:cs="Times New Roman"/>
        </w:rPr>
        <w:t xml:space="preserve">and the facts presented to it by the parties. Its interpretation of the </w:t>
      </w:r>
      <w:r w:rsidRPr="000C324C">
        <w:rPr>
          <w:rFonts w:cs="Times New Roman"/>
          <w:i/>
        </w:rPr>
        <w:t xml:space="preserve">Code </w:t>
      </w:r>
      <w:r w:rsidRPr="000C324C">
        <w:rPr>
          <w:rFonts w:cs="Times New Roman"/>
        </w:rPr>
        <w:t>and its conclusions were reasonable. Its decision was entitled to deference. The Court of Appeal had no valid grounds to review and quash the decision. The court focused on an assertion that the Board had failed to give proper consideration to the interplay between ss. 176(1</w:t>
      </w:r>
      <w:proofErr w:type="gramStart"/>
      <w:r w:rsidRPr="000C324C">
        <w:rPr>
          <w:rFonts w:cs="Times New Roman"/>
        </w:rPr>
        <w:t>)(</w:t>
      </w:r>
      <w:proofErr w:type="gramEnd"/>
      <w:r w:rsidRPr="000C324C">
        <w:rPr>
          <w:rFonts w:cs="Times New Roman"/>
        </w:rPr>
        <w:t xml:space="preserve">b) and 178 of the </w:t>
      </w:r>
      <w:r w:rsidRPr="000C324C">
        <w:rPr>
          <w:rFonts w:cs="Times New Roman"/>
          <w:i/>
        </w:rPr>
        <w:t xml:space="preserve">Code </w:t>
      </w:r>
      <w:r w:rsidRPr="000C324C">
        <w:rPr>
          <w:rFonts w:cs="Times New Roman"/>
        </w:rPr>
        <w:t>and to the different meanings that could be ascribed to these provisions and to s. 176(2).</w:t>
      </w:r>
    </w:p>
    <w:p w:rsidR="006A68A8" w:rsidRPr="000C324C" w:rsidRDefault="006A68A8" w:rsidP="006A68A8">
      <w:pPr>
        <w:pStyle w:val="ParaNoNdepar-AltN"/>
        <w:rPr>
          <w:rFonts w:cs="Times New Roman"/>
        </w:rPr>
      </w:pPr>
      <w:r w:rsidRPr="000C324C">
        <w:rPr>
          <w:rFonts w:cs="Times New Roman"/>
        </w:rPr>
        <w:lastRenderedPageBreak/>
        <w:t>The Board did not have to explicitly address all possible shades of meaning of these provisions. This Court has strongly emphasized that administrative tribunals do not have to consider and comment upon every issue raised by the parties in their reasons. For reviewing courts, the issue remains whether the decision, viewed as a whole in the context of the record, is reasonable (</w:t>
      </w:r>
      <w:r w:rsidRPr="000C324C">
        <w:rPr>
          <w:rFonts w:cs="Times New Roman"/>
          <w:i/>
        </w:rPr>
        <w:t>Newfoundland and Labrador Nurses’ Union v. Newfoundland and Labrador (Treasury Board)</w:t>
      </w:r>
      <w:r w:rsidRPr="000C324C">
        <w:rPr>
          <w:rFonts w:cs="Times New Roman"/>
        </w:rPr>
        <w:t>,</w:t>
      </w:r>
      <w:r w:rsidRPr="000C324C">
        <w:rPr>
          <w:rFonts w:cs="Times New Roman"/>
          <w:i/>
        </w:rPr>
        <w:t xml:space="preserve"> </w:t>
      </w:r>
      <w:r w:rsidRPr="000C324C">
        <w:rPr>
          <w:rFonts w:cs="Times New Roman"/>
        </w:rPr>
        <w:t>2011 SCC 62, [2011] 3 S.C.R. 708).</w:t>
      </w:r>
    </w:p>
    <w:p w:rsidR="006A68A8" w:rsidRPr="000C324C" w:rsidRDefault="006A68A8" w:rsidP="006A68A8">
      <w:pPr>
        <w:pStyle w:val="ParaNoNdepar-AltN"/>
        <w:rPr>
          <w:rFonts w:cs="Times New Roman"/>
        </w:rPr>
      </w:pPr>
      <w:r w:rsidRPr="000C324C">
        <w:rPr>
          <w:rFonts w:cs="Times New Roman"/>
        </w:rPr>
        <w:t>For these reasons, the appeal is allowed, the judgment of the Alberta Court of Appeal is set aside and the judgment of the Court of Queen’s Bench is restored, with costs to the appellant.</w:t>
      </w:r>
    </w:p>
    <w:p w:rsidR="009B57B3" w:rsidRPr="000C324C" w:rsidRDefault="009B57B3" w:rsidP="007D44B0">
      <w:pPr>
        <w:pStyle w:val="SCCNormalDoubleSpacing"/>
        <w:spacing w:after="480"/>
      </w:pPr>
      <w:r w:rsidRPr="000C324C">
        <w:tab/>
      </w:r>
      <w:r w:rsidR="00656313" w:rsidRPr="000C324C">
        <w:rPr>
          <w:i/>
        </w:rPr>
        <w:t>Appeal</w:t>
      </w:r>
      <w:r w:rsidR="002212D2" w:rsidRPr="000C324C">
        <w:t xml:space="preserve"> </w:t>
      </w:r>
      <w:r w:rsidR="002212D2" w:rsidRPr="000C324C">
        <w:rPr>
          <w:i/>
        </w:rPr>
        <w:t>allowed with costs.</w:t>
      </w:r>
    </w:p>
    <w:p w:rsidR="006F6886" w:rsidRPr="000C324C" w:rsidRDefault="006F6886" w:rsidP="007D44B0">
      <w:pPr>
        <w:pStyle w:val="SCCLawFirm"/>
        <w:spacing w:after="480"/>
      </w:pPr>
      <w:r w:rsidRPr="000C324C">
        <w:tab/>
        <w:t>Solicitors for the appellant</w:t>
      </w:r>
      <w:r w:rsidR="007D44B0" w:rsidRPr="000C324C">
        <w:t>:  </w:t>
      </w:r>
      <w:r w:rsidRPr="000C324C">
        <w:t>Miller Thomson, Edmonton.</w:t>
      </w:r>
    </w:p>
    <w:p w:rsidR="006F6886" w:rsidRPr="000C324C" w:rsidRDefault="006F6886" w:rsidP="007D44B0">
      <w:pPr>
        <w:pStyle w:val="SCCLawFirm"/>
        <w:spacing w:after="480"/>
      </w:pPr>
      <w:r w:rsidRPr="000C324C">
        <w:tab/>
        <w:t>Solicitors for the respondent Driver Iron Inc.</w:t>
      </w:r>
      <w:r w:rsidR="007D44B0" w:rsidRPr="000C324C">
        <w:t>:  </w:t>
      </w:r>
      <w:r w:rsidRPr="000C324C">
        <w:t>Heenan Blaikie, Vancouver.</w:t>
      </w:r>
    </w:p>
    <w:p w:rsidR="007E75D9" w:rsidRPr="000C324C" w:rsidRDefault="007E75D9" w:rsidP="007D44B0">
      <w:pPr>
        <w:pStyle w:val="SCCLawFirm"/>
        <w:spacing w:after="480"/>
      </w:pPr>
      <w:r w:rsidRPr="000C324C">
        <w:tab/>
        <w:t xml:space="preserve">Solicitors for the respondent the International Association of Bridge, Structural, Ornamental and Reinforcing Ironworkers, Local Union </w:t>
      </w:r>
      <w:r w:rsidR="007D44B0" w:rsidRPr="000C324C">
        <w:t>No. </w:t>
      </w:r>
      <w:r w:rsidRPr="000C324C">
        <w:t>720</w:t>
      </w:r>
      <w:r w:rsidR="007D44B0" w:rsidRPr="000C324C">
        <w:t>:  </w:t>
      </w:r>
      <w:r w:rsidRPr="000C324C">
        <w:t>Caroline &amp; Gislason, Vancouver.</w:t>
      </w:r>
    </w:p>
    <w:p w:rsidR="009B57B3" w:rsidRPr="000C324C" w:rsidRDefault="007E75D9" w:rsidP="006A68A8">
      <w:pPr>
        <w:pStyle w:val="SCCLawFirm"/>
        <w:rPr>
          <w:b/>
          <w:i w:val="0"/>
        </w:rPr>
      </w:pPr>
      <w:r w:rsidRPr="000C324C">
        <w:tab/>
        <w:t>Solicitor for the respondent the Alberta Labour Relations Board</w:t>
      </w:r>
      <w:r w:rsidR="007D44B0" w:rsidRPr="000C324C">
        <w:t>:  </w:t>
      </w:r>
      <w:r w:rsidRPr="000C324C">
        <w:t>Alberta Labour Relations Board, Edmonton.</w:t>
      </w:r>
    </w:p>
    <w:p w:rsidR="006A68A8" w:rsidRPr="000C324C" w:rsidRDefault="006A68A8" w:rsidP="006A68A8">
      <w:pPr>
        <w:pStyle w:val="SCCNormalDoubleSpacing"/>
      </w:pPr>
    </w:p>
    <w:sectPr w:rsidR="006A68A8" w:rsidRPr="000C324C"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1E" w:rsidRDefault="006D5F1E">
      <w:r>
        <w:separator/>
      </w:r>
    </w:p>
  </w:endnote>
  <w:endnote w:type="continuationSeparator" w:id="0">
    <w:p w:rsidR="006D5F1E" w:rsidRDefault="006D5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1E" w:rsidRDefault="006D5F1E">
      <w:r>
        <w:separator/>
      </w:r>
    </w:p>
  </w:footnote>
  <w:footnote w:type="continuationSeparator" w:id="0">
    <w:p w:rsidR="006D5F1E" w:rsidRDefault="006D5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ED4"/>
    <w:rsid w:val="00025198"/>
    <w:rsid w:val="000578A3"/>
    <w:rsid w:val="000648CC"/>
    <w:rsid w:val="00064998"/>
    <w:rsid w:val="00066AB8"/>
    <w:rsid w:val="00066AE5"/>
    <w:rsid w:val="00076FFD"/>
    <w:rsid w:val="000A409A"/>
    <w:rsid w:val="000B4705"/>
    <w:rsid w:val="000C1DB3"/>
    <w:rsid w:val="000C324C"/>
    <w:rsid w:val="000C34FA"/>
    <w:rsid w:val="000C59B8"/>
    <w:rsid w:val="000C6AF0"/>
    <w:rsid w:val="000E0F9C"/>
    <w:rsid w:val="000F09DE"/>
    <w:rsid w:val="00104F33"/>
    <w:rsid w:val="00106084"/>
    <w:rsid w:val="001070D9"/>
    <w:rsid w:val="00111DE2"/>
    <w:rsid w:val="00116B38"/>
    <w:rsid w:val="00135406"/>
    <w:rsid w:val="00135972"/>
    <w:rsid w:val="001359D8"/>
    <w:rsid w:val="001426A9"/>
    <w:rsid w:val="00154D7C"/>
    <w:rsid w:val="001570B0"/>
    <w:rsid w:val="0015752C"/>
    <w:rsid w:val="00157737"/>
    <w:rsid w:val="00165277"/>
    <w:rsid w:val="00170592"/>
    <w:rsid w:val="00184B79"/>
    <w:rsid w:val="0018512B"/>
    <w:rsid w:val="00186351"/>
    <w:rsid w:val="00195D83"/>
    <w:rsid w:val="001A00C1"/>
    <w:rsid w:val="001B33E0"/>
    <w:rsid w:val="001B4573"/>
    <w:rsid w:val="001C5F01"/>
    <w:rsid w:val="001C779F"/>
    <w:rsid w:val="001D2AC1"/>
    <w:rsid w:val="001D4E88"/>
    <w:rsid w:val="001F5A8E"/>
    <w:rsid w:val="00220FC2"/>
    <w:rsid w:val="002212D2"/>
    <w:rsid w:val="002222F4"/>
    <w:rsid w:val="00224FC0"/>
    <w:rsid w:val="00225EA4"/>
    <w:rsid w:val="00226EAF"/>
    <w:rsid w:val="00231F3A"/>
    <w:rsid w:val="00234199"/>
    <w:rsid w:val="002406EE"/>
    <w:rsid w:val="002438FD"/>
    <w:rsid w:val="00243EC8"/>
    <w:rsid w:val="00270D93"/>
    <w:rsid w:val="002745CC"/>
    <w:rsid w:val="002A308C"/>
    <w:rsid w:val="002B7924"/>
    <w:rsid w:val="002D28C3"/>
    <w:rsid w:val="002D39A4"/>
    <w:rsid w:val="002E19B2"/>
    <w:rsid w:val="002E6705"/>
    <w:rsid w:val="002F1D62"/>
    <w:rsid w:val="00301D08"/>
    <w:rsid w:val="0030329A"/>
    <w:rsid w:val="0031086F"/>
    <w:rsid w:val="0031414C"/>
    <w:rsid w:val="00314E01"/>
    <w:rsid w:val="0032089D"/>
    <w:rsid w:val="003310DE"/>
    <w:rsid w:val="003323B0"/>
    <w:rsid w:val="0035169A"/>
    <w:rsid w:val="0035259D"/>
    <w:rsid w:val="00364186"/>
    <w:rsid w:val="00364B18"/>
    <w:rsid w:val="003704B4"/>
    <w:rsid w:val="003759F9"/>
    <w:rsid w:val="003A125D"/>
    <w:rsid w:val="003A4C70"/>
    <w:rsid w:val="003B215F"/>
    <w:rsid w:val="003C799C"/>
    <w:rsid w:val="003D0399"/>
    <w:rsid w:val="003E1C71"/>
    <w:rsid w:val="003F327B"/>
    <w:rsid w:val="00406166"/>
    <w:rsid w:val="0040704B"/>
    <w:rsid w:val="00410A55"/>
    <w:rsid w:val="00411300"/>
    <w:rsid w:val="00415417"/>
    <w:rsid w:val="00426659"/>
    <w:rsid w:val="0043527F"/>
    <w:rsid w:val="00450352"/>
    <w:rsid w:val="00454BDB"/>
    <w:rsid w:val="00464800"/>
    <w:rsid w:val="00465132"/>
    <w:rsid w:val="00477E22"/>
    <w:rsid w:val="00480727"/>
    <w:rsid w:val="00480C90"/>
    <w:rsid w:val="0048396F"/>
    <w:rsid w:val="00493C18"/>
    <w:rsid w:val="004A600C"/>
    <w:rsid w:val="004A6118"/>
    <w:rsid w:val="004C478D"/>
    <w:rsid w:val="004C66FF"/>
    <w:rsid w:val="004E2C26"/>
    <w:rsid w:val="004F36FF"/>
    <w:rsid w:val="005125A8"/>
    <w:rsid w:val="00521AE8"/>
    <w:rsid w:val="00527180"/>
    <w:rsid w:val="005403D8"/>
    <w:rsid w:val="0054201E"/>
    <w:rsid w:val="00555291"/>
    <w:rsid w:val="00566AD1"/>
    <w:rsid w:val="00583EDE"/>
    <w:rsid w:val="005A6079"/>
    <w:rsid w:val="005B12BA"/>
    <w:rsid w:val="005B22F3"/>
    <w:rsid w:val="005C1C61"/>
    <w:rsid w:val="005E0BFA"/>
    <w:rsid w:val="005E4698"/>
    <w:rsid w:val="005E6BDD"/>
    <w:rsid w:val="00605613"/>
    <w:rsid w:val="00610539"/>
    <w:rsid w:val="00610849"/>
    <w:rsid w:val="00613969"/>
    <w:rsid w:val="006217EE"/>
    <w:rsid w:val="00625C35"/>
    <w:rsid w:val="00630719"/>
    <w:rsid w:val="00632CD9"/>
    <w:rsid w:val="00633F96"/>
    <w:rsid w:val="00652E2A"/>
    <w:rsid w:val="00656313"/>
    <w:rsid w:val="006565F4"/>
    <w:rsid w:val="00666749"/>
    <w:rsid w:val="00684EEA"/>
    <w:rsid w:val="0069689B"/>
    <w:rsid w:val="006A0C0C"/>
    <w:rsid w:val="006A1551"/>
    <w:rsid w:val="006A68A8"/>
    <w:rsid w:val="006B5FF5"/>
    <w:rsid w:val="006D5F1E"/>
    <w:rsid w:val="006D66AD"/>
    <w:rsid w:val="006E2578"/>
    <w:rsid w:val="006E5670"/>
    <w:rsid w:val="006F2EFD"/>
    <w:rsid w:val="006F30AF"/>
    <w:rsid w:val="006F6886"/>
    <w:rsid w:val="00701759"/>
    <w:rsid w:val="00705C15"/>
    <w:rsid w:val="0071600E"/>
    <w:rsid w:val="007208D1"/>
    <w:rsid w:val="00722F99"/>
    <w:rsid w:val="00736069"/>
    <w:rsid w:val="00747288"/>
    <w:rsid w:val="00747DD3"/>
    <w:rsid w:val="007549C8"/>
    <w:rsid w:val="00754A0B"/>
    <w:rsid w:val="00766D14"/>
    <w:rsid w:val="00767A0F"/>
    <w:rsid w:val="007A05F6"/>
    <w:rsid w:val="007B6F4A"/>
    <w:rsid w:val="007D44B0"/>
    <w:rsid w:val="007E1C47"/>
    <w:rsid w:val="007E337A"/>
    <w:rsid w:val="007E5C70"/>
    <w:rsid w:val="007E75D9"/>
    <w:rsid w:val="007F2FF5"/>
    <w:rsid w:val="007F3F08"/>
    <w:rsid w:val="00804CC6"/>
    <w:rsid w:val="008108A1"/>
    <w:rsid w:val="00817190"/>
    <w:rsid w:val="00820EE5"/>
    <w:rsid w:val="008260E2"/>
    <w:rsid w:val="00831B03"/>
    <w:rsid w:val="008322BD"/>
    <w:rsid w:val="00833E0A"/>
    <w:rsid w:val="00834F73"/>
    <w:rsid w:val="008645E2"/>
    <w:rsid w:val="00864CF8"/>
    <w:rsid w:val="00864F6A"/>
    <w:rsid w:val="00872819"/>
    <w:rsid w:val="00874914"/>
    <w:rsid w:val="0088660D"/>
    <w:rsid w:val="00891422"/>
    <w:rsid w:val="00892E1A"/>
    <w:rsid w:val="008A3F29"/>
    <w:rsid w:val="008B660A"/>
    <w:rsid w:val="008B6D41"/>
    <w:rsid w:val="008C01DA"/>
    <w:rsid w:val="008C7530"/>
    <w:rsid w:val="008F15E4"/>
    <w:rsid w:val="008F358C"/>
    <w:rsid w:val="008F78E9"/>
    <w:rsid w:val="00911989"/>
    <w:rsid w:val="009179F9"/>
    <w:rsid w:val="009209A6"/>
    <w:rsid w:val="00933E5E"/>
    <w:rsid w:val="00935218"/>
    <w:rsid w:val="009403F3"/>
    <w:rsid w:val="00943568"/>
    <w:rsid w:val="00954652"/>
    <w:rsid w:val="009555B7"/>
    <w:rsid w:val="009567AA"/>
    <w:rsid w:val="00967374"/>
    <w:rsid w:val="00967A7A"/>
    <w:rsid w:val="00994527"/>
    <w:rsid w:val="009A16E8"/>
    <w:rsid w:val="009A343A"/>
    <w:rsid w:val="009B2F23"/>
    <w:rsid w:val="009B57B3"/>
    <w:rsid w:val="009C217D"/>
    <w:rsid w:val="009C5B92"/>
    <w:rsid w:val="009D2920"/>
    <w:rsid w:val="009D5AEB"/>
    <w:rsid w:val="009F0E33"/>
    <w:rsid w:val="00A0269A"/>
    <w:rsid w:val="00A030CE"/>
    <w:rsid w:val="00A149DF"/>
    <w:rsid w:val="00A1755C"/>
    <w:rsid w:val="00A21B90"/>
    <w:rsid w:val="00A370B6"/>
    <w:rsid w:val="00A41805"/>
    <w:rsid w:val="00A42DCD"/>
    <w:rsid w:val="00A52AFB"/>
    <w:rsid w:val="00A548CB"/>
    <w:rsid w:val="00A5521C"/>
    <w:rsid w:val="00A631B9"/>
    <w:rsid w:val="00A643E7"/>
    <w:rsid w:val="00A73C38"/>
    <w:rsid w:val="00AB1A2C"/>
    <w:rsid w:val="00AB670D"/>
    <w:rsid w:val="00AD1E89"/>
    <w:rsid w:val="00AE5D1E"/>
    <w:rsid w:val="00AF03C5"/>
    <w:rsid w:val="00AF2DA0"/>
    <w:rsid w:val="00AF45D2"/>
    <w:rsid w:val="00B000D8"/>
    <w:rsid w:val="00B00F75"/>
    <w:rsid w:val="00B145B6"/>
    <w:rsid w:val="00B15834"/>
    <w:rsid w:val="00B21F3E"/>
    <w:rsid w:val="00B279EB"/>
    <w:rsid w:val="00B50C81"/>
    <w:rsid w:val="00B557F8"/>
    <w:rsid w:val="00B71C18"/>
    <w:rsid w:val="00B76D35"/>
    <w:rsid w:val="00B815FC"/>
    <w:rsid w:val="00B93FBC"/>
    <w:rsid w:val="00BA7DA0"/>
    <w:rsid w:val="00BB2EE4"/>
    <w:rsid w:val="00BC2108"/>
    <w:rsid w:val="00BD071F"/>
    <w:rsid w:val="00BD0E9E"/>
    <w:rsid w:val="00BD1BEC"/>
    <w:rsid w:val="00BD32FF"/>
    <w:rsid w:val="00C02092"/>
    <w:rsid w:val="00C17BF5"/>
    <w:rsid w:val="00C24D91"/>
    <w:rsid w:val="00C37D0F"/>
    <w:rsid w:val="00C4210C"/>
    <w:rsid w:val="00C44D08"/>
    <w:rsid w:val="00C53F14"/>
    <w:rsid w:val="00C600CF"/>
    <w:rsid w:val="00C6084F"/>
    <w:rsid w:val="00C62A66"/>
    <w:rsid w:val="00C71458"/>
    <w:rsid w:val="00C77613"/>
    <w:rsid w:val="00C828E7"/>
    <w:rsid w:val="00C86719"/>
    <w:rsid w:val="00C921DD"/>
    <w:rsid w:val="00CA6391"/>
    <w:rsid w:val="00CA6453"/>
    <w:rsid w:val="00CC34BD"/>
    <w:rsid w:val="00CE161A"/>
    <w:rsid w:val="00CE3171"/>
    <w:rsid w:val="00CF1601"/>
    <w:rsid w:val="00D0172F"/>
    <w:rsid w:val="00D068A7"/>
    <w:rsid w:val="00D153A9"/>
    <w:rsid w:val="00D17476"/>
    <w:rsid w:val="00D22F26"/>
    <w:rsid w:val="00D32086"/>
    <w:rsid w:val="00D37A3F"/>
    <w:rsid w:val="00D42A5A"/>
    <w:rsid w:val="00D4431D"/>
    <w:rsid w:val="00D4667A"/>
    <w:rsid w:val="00D6017F"/>
    <w:rsid w:val="00D62A98"/>
    <w:rsid w:val="00D63615"/>
    <w:rsid w:val="00D63A1C"/>
    <w:rsid w:val="00D7516F"/>
    <w:rsid w:val="00D82043"/>
    <w:rsid w:val="00D8579F"/>
    <w:rsid w:val="00D90513"/>
    <w:rsid w:val="00D92C16"/>
    <w:rsid w:val="00D95F8E"/>
    <w:rsid w:val="00DA0590"/>
    <w:rsid w:val="00DB0B87"/>
    <w:rsid w:val="00DB5DF4"/>
    <w:rsid w:val="00DB7BEA"/>
    <w:rsid w:val="00DC1739"/>
    <w:rsid w:val="00DC1788"/>
    <w:rsid w:val="00DE319C"/>
    <w:rsid w:val="00DF0CA8"/>
    <w:rsid w:val="00DF2B48"/>
    <w:rsid w:val="00DF49A7"/>
    <w:rsid w:val="00E07EE2"/>
    <w:rsid w:val="00E07FD1"/>
    <w:rsid w:val="00E13228"/>
    <w:rsid w:val="00E24573"/>
    <w:rsid w:val="00E25E1E"/>
    <w:rsid w:val="00E27EE7"/>
    <w:rsid w:val="00E35404"/>
    <w:rsid w:val="00E41C67"/>
    <w:rsid w:val="00E45109"/>
    <w:rsid w:val="00E47B7A"/>
    <w:rsid w:val="00E55895"/>
    <w:rsid w:val="00E56A44"/>
    <w:rsid w:val="00E60269"/>
    <w:rsid w:val="00E6424A"/>
    <w:rsid w:val="00E77932"/>
    <w:rsid w:val="00E97830"/>
    <w:rsid w:val="00EA57DB"/>
    <w:rsid w:val="00EE643C"/>
    <w:rsid w:val="00EF0683"/>
    <w:rsid w:val="00EF69D2"/>
    <w:rsid w:val="00EF766E"/>
    <w:rsid w:val="00F0070C"/>
    <w:rsid w:val="00F00EB7"/>
    <w:rsid w:val="00F36AB6"/>
    <w:rsid w:val="00F37A09"/>
    <w:rsid w:val="00F409CE"/>
    <w:rsid w:val="00F4379D"/>
    <w:rsid w:val="00F50D2D"/>
    <w:rsid w:val="00F56C8B"/>
    <w:rsid w:val="00F66810"/>
    <w:rsid w:val="00F73E94"/>
    <w:rsid w:val="00F844E3"/>
    <w:rsid w:val="00F846D9"/>
    <w:rsid w:val="00F84DF4"/>
    <w:rsid w:val="00F85C97"/>
    <w:rsid w:val="00FA0270"/>
    <w:rsid w:val="00FA0277"/>
    <w:rsid w:val="00FB37D2"/>
    <w:rsid w:val="00FC1B6C"/>
    <w:rsid w:val="00FC4EFB"/>
    <w:rsid w:val="00FC711C"/>
    <w:rsid w:val="00FD068D"/>
    <w:rsid w:val="00FD3ABE"/>
    <w:rsid w:val="00FD4F28"/>
    <w:rsid w:val="00FE6784"/>
    <w:rsid w:val="00FF16A7"/>
    <w:rsid w:val="00FF2ED5"/>
    <w:rsid w:val="00FF389A"/>
    <w:rsid w:val="00FF6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Coram">
    <w:name w:val="SCC.Coram"/>
    <w:basedOn w:val="Normal"/>
    <w:next w:val="Normal"/>
    <w:link w:val="SCCCoramChar"/>
    <w:rsid w:val="006A68A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A68A8"/>
    <w:rPr>
      <w:rFonts w:eastAsiaTheme="minorHAnsi" w:cstheme="minorBidi"/>
      <w:sz w:val="24"/>
      <w:szCs w:val="22"/>
      <w:lang w:eastAsia="en-US"/>
    </w:rPr>
  </w:style>
  <w:style w:type="table" w:styleId="TableGrid">
    <w:name w:val="Table Grid"/>
    <w:basedOn w:val="TableNormal"/>
    <w:uiPriority w:val="59"/>
    <w:rsid w:val="006A68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6A68A8"/>
    <w:pPr>
      <w:tabs>
        <w:tab w:val="left" w:pos="1166"/>
      </w:tabs>
      <w:spacing w:after="480" w:line="480" w:lineRule="auto"/>
    </w:pPr>
    <w:rPr>
      <w:smallCaps/>
      <w:sz w:val="24"/>
    </w:rPr>
  </w:style>
  <w:style w:type="paragraph" w:customStyle="1" w:styleId="ParaNoNdepar-AltN">
    <w:name w:val="Para. No. / Nº de par. - Alt N"/>
    <w:qFormat/>
    <w:rsid w:val="006A68A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2013-01-30T19:06:00Z</dcterms:created>
  <dcterms:modified xsi:type="dcterms:W3CDTF">2013-07-26T14:26:00Z</dcterms:modified>
</cp:coreProperties>
</file>