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39" w:rsidRPr="00B10DEF" w:rsidRDefault="00D74939" w:rsidP="00D74939">
      <w:pPr>
        <w:tabs>
          <w:tab w:val="center" w:pos="4680"/>
          <w:tab w:val="right" w:pos="9360"/>
        </w:tabs>
        <w:jc w:val="center"/>
        <w:rPr>
          <w:rFonts w:eastAsiaTheme="minorHAnsi" w:cstheme="minorBidi"/>
          <w:szCs w:val="24"/>
          <w:lang w:eastAsia="en-US"/>
        </w:rPr>
      </w:pPr>
      <w:r w:rsidRPr="00B10DE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1396462" r:id="rId8"/>
        </w:object>
      </w:r>
    </w:p>
    <w:p w:rsidR="00D74939" w:rsidRPr="00B10DEF" w:rsidRDefault="00D74939" w:rsidP="00D74939">
      <w:pPr>
        <w:tabs>
          <w:tab w:val="center" w:pos="4680"/>
          <w:tab w:val="right" w:pos="9360"/>
        </w:tabs>
        <w:rPr>
          <w:rFonts w:eastAsiaTheme="minorHAnsi" w:cstheme="minorBidi"/>
          <w:szCs w:val="24"/>
          <w:lang w:eastAsia="en-US"/>
        </w:rPr>
      </w:pPr>
    </w:p>
    <w:p w:rsidR="00D74939" w:rsidRPr="00B10DEF" w:rsidRDefault="00D74939" w:rsidP="00D74939">
      <w:pPr>
        <w:jc w:val="center"/>
        <w:rPr>
          <w:rFonts w:eastAsiaTheme="minorHAnsi" w:cstheme="minorBidi"/>
          <w:b/>
          <w:szCs w:val="24"/>
          <w:lang w:eastAsia="en-US"/>
        </w:rPr>
      </w:pPr>
      <w:r w:rsidRPr="00B10DEF">
        <w:rPr>
          <w:rFonts w:eastAsiaTheme="minorHAnsi" w:cstheme="minorBidi"/>
          <w:b/>
          <w:szCs w:val="24"/>
          <w:lang w:eastAsia="en-US"/>
        </w:rPr>
        <w:t>SUPREME COURT OF CANADA</w:t>
      </w:r>
    </w:p>
    <w:p w:rsidR="00D74939" w:rsidRPr="00B10DEF" w:rsidRDefault="00D74939" w:rsidP="00D7493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74939" w:rsidRPr="00B10DEF" w:rsidTr="00AE3D06">
        <w:trPr>
          <w:cantSplit/>
        </w:trPr>
        <w:tc>
          <w:tcPr>
            <w:tcW w:w="6768" w:type="dxa"/>
          </w:tcPr>
          <w:p w:rsidR="00D74939" w:rsidRPr="00D74939" w:rsidRDefault="00D74939" w:rsidP="00AE3D06">
            <w:pPr>
              <w:rPr>
                <w:lang w:val="fr-CA"/>
              </w:rPr>
            </w:pPr>
            <w:r w:rsidRPr="00B10DEF">
              <w:rPr>
                <w:b/>
                <w:smallCaps/>
                <w:lang w:val="fr-CA"/>
              </w:rPr>
              <w:t>Citation:</w:t>
            </w:r>
            <w:r w:rsidRPr="00B10DEF">
              <w:rPr>
                <w:lang w:val="fr-CA"/>
              </w:rPr>
              <w:t xml:space="preserve"> R. </w:t>
            </w:r>
            <w:r w:rsidRPr="00B10DEF">
              <w:rPr>
                <w:i/>
                <w:lang w:val="fr-CA"/>
              </w:rPr>
              <w:t>v.</w:t>
            </w:r>
            <w:r w:rsidRPr="00B10DEF">
              <w:rPr>
                <w:lang w:val="fr-CA"/>
              </w:rPr>
              <w:t xml:space="preserve"> O’Brien, </w:t>
            </w:r>
            <w:r w:rsidRPr="00D74939">
              <w:rPr>
                <w:lang w:val="fr-CA"/>
              </w:rPr>
              <w:t>2013 SCC 2, [2013] 1 S.C.R. 7</w:t>
            </w:r>
          </w:p>
        </w:tc>
        <w:tc>
          <w:tcPr>
            <w:tcW w:w="2808" w:type="dxa"/>
          </w:tcPr>
          <w:p w:rsidR="00D74939" w:rsidRPr="00B10DEF" w:rsidRDefault="00D74939" w:rsidP="00AE3D06">
            <w:r w:rsidRPr="00B10DEF">
              <w:rPr>
                <w:b/>
                <w:smallCaps/>
              </w:rPr>
              <w:t>Date:</w:t>
            </w:r>
            <w:r w:rsidRPr="00B10DEF">
              <w:t xml:space="preserve"> 20130117</w:t>
            </w:r>
          </w:p>
          <w:p w:rsidR="00D74939" w:rsidRPr="00B10DEF" w:rsidRDefault="00D74939" w:rsidP="00AE3D06">
            <w:r w:rsidRPr="00B10DEF">
              <w:rPr>
                <w:b/>
                <w:smallCaps/>
              </w:rPr>
              <w:t>Docket:</w:t>
            </w:r>
            <w:r w:rsidRPr="00B10DEF">
              <w:t xml:space="preserve"> 34694</w:t>
            </w:r>
          </w:p>
        </w:tc>
      </w:tr>
    </w:tbl>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b/>
          <w:smallCaps/>
          <w:szCs w:val="24"/>
          <w:lang w:eastAsia="en-US"/>
        </w:rPr>
      </w:pPr>
      <w:r w:rsidRPr="00B10DEF">
        <w:rPr>
          <w:rFonts w:eastAsiaTheme="minorHAnsi" w:cstheme="minorBidi"/>
          <w:b/>
          <w:smallCaps/>
          <w:szCs w:val="24"/>
          <w:lang w:eastAsia="en-US"/>
        </w:rPr>
        <w:t>Between:</w:t>
      </w:r>
    </w:p>
    <w:p w:rsidR="00D74939" w:rsidRPr="00B10DEF" w:rsidRDefault="00D74939" w:rsidP="00D74939">
      <w:pPr>
        <w:jc w:val="center"/>
        <w:rPr>
          <w:rFonts w:eastAsiaTheme="minorHAnsi" w:cstheme="minorBidi"/>
          <w:b/>
          <w:szCs w:val="24"/>
          <w:lang w:eastAsia="en-US"/>
        </w:rPr>
      </w:pPr>
      <w:r w:rsidRPr="00B10DEF">
        <w:rPr>
          <w:rFonts w:eastAsiaTheme="minorHAnsi" w:cstheme="minorBidi"/>
          <w:b/>
          <w:szCs w:val="24"/>
          <w:lang w:eastAsia="en-US"/>
        </w:rPr>
        <w:t xml:space="preserve">Her Majesty </w:t>
      </w:r>
      <w:proofErr w:type="gramStart"/>
      <w:r w:rsidRPr="00B10DEF">
        <w:rPr>
          <w:rFonts w:eastAsiaTheme="minorHAnsi" w:cstheme="minorBidi"/>
          <w:b/>
          <w:szCs w:val="24"/>
          <w:lang w:eastAsia="en-US"/>
        </w:rPr>
        <w:t>The</w:t>
      </w:r>
      <w:proofErr w:type="gramEnd"/>
      <w:r w:rsidRPr="00B10DEF">
        <w:rPr>
          <w:rFonts w:eastAsiaTheme="minorHAnsi" w:cstheme="minorBidi"/>
          <w:b/>
          <w:szCs w:val="24"/>
          <w:lang w:eastAsia="en-US"/>
        </w:rPr>
        <w:t xml:space="preserve"> Queen</w:t>
      </w:r>
    </w:p>
    <w:p w:rsidR="00D74939" w:rsidRPr="00B10DEF" w:rsidRDefault="00D74939" w:rsidP="00D74939">
      <w:pPr>
        <w:jc w:val="center"/>
        <w:rPr>
          <w:rFonts w:eastAsiaTheme="minorHAnsi" w:cstheme="minorBidi"/>
          <w:szCs w:val="24"/>
          <w:lang w:eastAsia="en-US"/>
        </w:rPr>
      </w:pPr>
      <w:r w:rsidRPr="00B10DEF">
        <w:rPr>
          <w:rFonts w:eastAsiaTheme="minorHAnsi" w:cstheme="minorBidi"/>
          <w:szCs w:val="24"/>
          <w:lang w:eastAsia="en-US"/>
        </w:rPr>
        <w:t>Appellant</w:t>
      </w:r>
    </w:p>
    <w:p w:rsidR="00D74939" w:rsidRPr="00B10DEF" w:rsidRDefault="00D74939" w:rsidP="00D74939">
      <w:pPr>
        <w:jc w:val="center"/>
        <w:rPr>
          <w:rFonts w:eastAsiaTheme="minorHAnsi" w:cstheme="minorBidi"/>
          <w:szCs w:val="24"/>
          <w:lang w:eastAsia="en-US"/>
        </w:rPr>
      </w:pPr>
      <w:proofErr w:type="gramStart"/>
      <w:r w:rsidRPr="00B10DEF">
        <w:rPr>
          <w:rFonts w:eastAsiaTheme="minorHAnsi" w:cstheme="minorBidi"/>
          <w:szCs w:val="24"/>
          <w:lang w:eastAsia="en-US"/>
        </w:rPr>
        <w:t>and</w:t>
      </w:r>
      <w:proofErr w:type="gramEnd"/>
    </w:p>
    <w:p w:rsidR="00D74939" w:rsidRPr="00B10DEF" w:rsidRDefault="00D74939" w:rsidP="00D74939">
      <w:pPr>
        <w:jc w:val="center"/>
        <w:rPr>
          <w:rFonts w:eastAsiaTheme="minorHAnsi" w:cstheme="minorBidi"/>
          <w:b/>
          <w:szCs w:val="24"/>
          <w:lang w:eastAsia="en-US"/>
        </w:rPr>
      </w:pPr>
      <w:r w:rsidRPr="00B10DEF">
        <w:rPr>
          <w:rFonts w:eastAsiaTheme="minorHAnsi" w:cstheme="minorBidi"/>
          <w:b/>
          <w:szCs w:val="24"/>
          <w:lang w:eastAsia="en-US"/>
        </w:rPr>
        <w:t>Kelly Joseph O’Brien</w:t>
      </w:r>
    </w:p>
    <w:p w:rsidR="00D74939" w:rsidRPr="00B10DEF" w:rsidRDefault="00D74939" w:rsidP="00D74939">
      <w:pPr>
        <w:jc w:val="center"/>
        <w:rPr>
          <w:rFonts w:eastAsiaTheme="minorHAnsi" w:cstheme="minorBidi"/>
          <w:szCs w:val="24"/>
          <w:lang w:eastAsia="en-US"/>
        </w:rPr>
      </w:pPr>
      <w:r w:rsidRPr="00B10DEF">
        <w:rPr>
          <w:rFonts w:eastAsiaTheme="minorHAnsi" w:cstheme="minorBidi"/>
          <w:szCs w:val="24"/>
          <w:lang w:eastAsia="en-US"/>
        </w:rPr>
        <w:t>Respondent</w:t>
      </w:r>
    </w:p>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szCs w:val="24"/>
          <w:lang w:eastAsia="en-US"/>
        </w:rPr>
      </w:pPr>
      <w:r w:rsidRPr="00B10DEF">
        <w:rPr>
          <w:rFonts w:eastAsiaTheme="minorHAnsi" w:cstheme="minorBidi"/>
          <w:b/>
          <w:smallCaps/>
          <w:szCs w:val="24"/>
          <w:lang w:eastAsia="en-US"/>
        </w:rPr>
        <w:t>Coram:</w:t>
      </w:r>
      <w:r w:rsidRPr="00B10DEF">
        <w:rPr>
          <w:rFonts w:eastAsiaTheme="minorHAnsi" w:cstheme="minorBidi"/>
          <w:szCs w:val="24"/>
          <w:lang w:eastAsia="en-US"/>
        </w:rPr>
        <w:t xml:space="preserve"> McLachlin C.J. and Fish, </w:t>
      </w:r>
      <w:proofErr w:type="spellStart"/>
      <w:r w:rsidRPr="00B10DEF">
        <w:rPr>
          <w:rFonts w:eastAsiaTheme="minorHAnsi" w:cstheme="minorBidi"/>
          <w:szCs w:val="24"/>
          <w:lang w:eastAsia="en-US"/>
        </w:rPr>
        <w:t>Abella</w:t>
      </w:r>
      <w:proofErr w:type="spellEnd"/>
      <w:r w:rsidRPr="00B10DEF">
        <w:rPr>
          <w:rFonts w:eastAsiaTheme="minorHAnsi" w:cstheme="minorBidi"/>
          <w:szCs w:val="24"/>
          <w:lang w:eastAsia="en-US"/>
        </w:rPr>
        <w:t xml:space="preserve">, Rothstein, Cromwell, </w:t>
      </w:r>
      <w:proofErr w:type="spellStart"/>
      <w:r w:rsidRPr="00B10DEF">
        <w:rPr>
          <w:rFonts w:eastAsiaTheme="minorHAnsi" w:cstheme="minorBidi"/>
          <w:szCs w:val="24"/>
          <w:lang w:eastAsia="en-US"/>
        </w:rPr>
        <w:t>Moldaver</w:t>
      </w:r>
      <w:proofErr w:type="spellEnd"/>
      <w:r w:rsidRPr="00B10DEF">
        <w:rPr>
          <w:rFonts w:eastAsiaTheme="minorHAnsi" w:cstheme="minorBidi"/>
          <w:szCs w:val="24"/>
          <w:lang w:eastAsia="en-US"/>
        </w:rPr>
        <w:t xml:space="preserve"> and Wagner JJ.</w:t>
      </w:r>
    </w:p>
    <w:p w:rsidR="00D74939" w:rsidRPr="00B10DEF" w:rsidRDefault="00D74939" w:rsidP="00D7493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74939" w:rsidRPr="00B10DEF" w:rsidTr="00AE3D06">
        <w:trPr>
          <w:cantSplit/>
        </w:trPr>
        <w:tc>
          <w:tcPr>
            <w:tcW w:w="3618" w:type="dxa"/>
          </w:tcPr>
          <w:p w:rsidR="00D74939" w:rsidRPr="00B10DEF" w:rsidRDefault="00D74939" w:rsidP="00AE3D06">
            <w:pPr>
              <w:rPr>
                <w:b/>
                <w:smallCaps/>
              </w:rPr>
            </w:pPr>
            <w:r w:rsidRPr="00B10DEF">
              <w:rPr>
                <w:b/>
                <w:smallCaps/>
              </w:rPr>
              <w:t>Reasons for Judgment:</w:t>
            </w:r>
          </w:p>
          <w:p w:rsidR="00D74939" w:rsidRPr="00B10DEF" w:rsidRDefault="00D74939" w:rsidP="00AE3D06">
            <w:pPr>
              <w:rPr>
                <w:b/>
                <w:smallCaps/>
              </w:rPr>
            </w:pPr>
            <w:r w:rsidRPr="00B10DEF">
              <w:t>(</w:t>
            </w:r>
            <w:proofErr w:type="spellStart"/>
            <w:r w:rsidRPr="00B10DEF">
              <w:t>paras</w:t>
            </w:r>
            <w:proofErr w:type="spellEnd"/>
            <w:r w:rsidRPr="00B10DEF">
              <w:t>. 1 to 15)</w:t>
            </w:r>
          </w:p>
          <w:p w:rsidR="00D74939" w:rsidRPr="00B10DEF" w:rsidRDefault="00D74939" w:rsidP="00AE3D06">
            <w:pPr>
              <w:rPr>
                <w:b/>
                <w:smallCaps/>
              </w:rPr>
            </w:pPr>
          </w:p>
          <w:p w:rsidR="00D74939" w:rsidRPr="00B10DEF" w:rsidRDefault="00D74939" w:rsidP="00AE3D06">
            <w:r w:rsidRPr="00B10DEF">
              <w:rPr>
                <w:b/>
                <w:smallCaps/>
              </w:rPr>
              <w:t>Dissenting Reasons:</w:t>
            </w:r>
          </w:p>
          <w:p w:rsidR="00D74939" w:rsidRPr="00B10DEF" w:rsidRDefault="00D74939" w:rsidP="00AE3D06">
            <w:r w:rsidRPr="00B10DEF">
              <w:t>(</w:t>
            </w:r>
            <w:proofErr w:type="spellStart"/>
            <w:r w:rsidRPr="00B10DEF">
              <w:t>paras</w:t>
            </w:r>
            <w:proofErr w:type="spellEnd"/>
            <w:r w:rsidRPr="00B10DEF">
              <w:t>. 16 to 26)</w:t>
            </w:r>
          </w:p>
        </w:tc>
        <w:tc>
          <w:tcPr>
            <w:tcW w:w="5958" w:type="dxa"/>
          </w:tcPr>
          <w:p w:rsidR="00D74939" w:rsidRPr="00B10DEF" w:rsidRDefault="00D74939" w:rsidP="00AE3D06">
            <w:r w:rsidRPr="00B10DEF">
              <w:t xml:space="preserve">Fish J. (Cromwell, </w:t>
            </w:r>
            <w:proofErr w:type="spellStart"/>
            <w:r w:rsidRPr="00B10DEF">
              <w:t>Moldaver</w:t>
            </w:r>
            <w:proofErr w:type="spellEnd"/>
            <w:r w:rsidRPr="00B10DEF">
              <w:t xml:space="preserve"> and Wagner JJ. concurring)</w:t>
            </w:r>
          </w:p>
          <w:p w:rsidR="00D74939" w:rsidRPr="00B10DEF" w:rsidRDefault="00D74939" w:rsidP="00AE3D06"/>
          <w:p w:rsidR="00D74939" w:rsidRPr="00B10DEF" w:rsidRDefault="00D74939" w:rsidP="00AE3D06"/>
          <w:p w:rsidR="00D74939" w:rsidRPr="00B10DEF" w:rsidRDefault="00D74939" w:rsidP="00AE3D06">
            <w:r w:rsidRPr="00B10DEF">
              <w:t xml:space="preserve">Rothstein J. (McLachlin C.J. and </w:t>
            </w:r>
            <w:proofErr w:type="spellStart"/>
            <w:r w:rsidRPr="00B10DEF">
              <w:t>Abella</w:t>
            </w:r>
            <w:proofErr w:type="spellEnd"/>
            <w:r w:rsidRPr="00B10DEF">
              <w:t xml:space="preserve"> J. concurring)</w:t>
            </w:r>
          </w:p>
        </w:tc>
      </w:tr>
    </w:tbl>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szCs w:val="24"/>
          <w:lang w:eastAsia="en-US"/>
        </w:rPr>
      </w:pPr>
    </w:p>
    <w:p w:rsidR="00D74939" w:rsidRPr="00B10DEF" w:rsidRDefault="00D74939" w:rsidP="00D74939">
      <w:pPr>
        <w:rPr>
          <w:rFonts w:eastAsiaTheme="minorHAnsi" w:cstheme="minorBidi"/>
          <w:szCs w:val="24"/>
          <w:lang w:eastAsia="en-US"/>
        </w:rPr>
      </w:pPr>
    </w:p>
    <w:p w:rsidR="00D74939" w:rsidRPr="00B10DEF" w:rsidRDefault="002146CE" w:rsidP="00D74939">
      <w:pPr>
        <w:rPr>
          <w:rFonts w:eastAsiaTheme="minorHAnsi" w:cstheme="minorBidi"/>
          <w:szCs w:val="24"/>
          <w:lang w:eastAsia="en-US"/>
        </w:rPr>
      </w:pPr>
      <w:r w:rsidRPr="002146C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74939" w:rsidRPr="002951F1" w:rsidRDefault="00D74939" w:rsidP="00D74939">
      <w:pPr>
        <w:rPr>
          <w:smallCaps/>
        </w:rPr>
      </w:pPr>
      <w:r w:rsidRPr="002951F1">
        <w:rPr>
          <w:smallCaps/>
        </w:rPr>
        <w:br w:type="page"/>
      </w:r>
    </w:p>
    <w:p w:rsidR="008322BD" w:rsidRPr="00210A36" w:rsidRDefault="00253C30" w:rsidP="007C1570">
      <w:pPr>
        <w:spacing w:after="720"/>
        <w:jc w:val="both"/>
      </w:pPr>
      <w:r>
        <w:lastRenderedPageBreak/>
        <w:t xml:space="preserve">R. </w:t>
      </w:r>
      <w:r w:rsidRPr="00253C30">
        <w:rPr>
          <w:i/>
        </w:rPr>
        <w:t>v.</w:t>
      </w:r>
      <w:r>
        <w:t xml:space="preserve"> O’Brien, 2013 SCC 2, [2013] 1 S.C.R. 7</w:t>
      </w:r>
    </w:p>
    <w:p w:rsidR="000A7F20" w:rsidRPr="00210A36" w:rsidRDefault="00423218" w:rsidP="007C1570">
      <w:pPr>
        <w:pStyle w:val="SCCLsocLastPartyInRole"/>
      </w:pPr>
      <w:r w:rsidRPr="00210A36">
        <w:t xml:space="preserve">Her Majesty </w:t>
      </w:r>
      <w:proofErr w:type="gramStart"/>
      <w:r w:rsidRPr="00210A36">
        <w:t>T</w:t>
      </w:r>
      <w:r w:rsidR="005C49D3" w:rsidRPr="00210A36">
        <w:t>he</w:t>
      </w:r>
      <w:proofErr w:type="gramEnd"/>
      <w:r w:rsidR="005C49D3" w:rsidRPr="00210A36">
        <w:t xml:space="preserve"> Queen</w:t>
      </w:r>
      <w:r w:rsidR="005C49D3" w:rsidRPr="00210A36">
        <w:rPr>
          <w:rStyle w:val="SCCLsocPartyRole"/>
        </w:rPr>
        <w:tab/>
        <w:t>Appellant</w:t>
      </w:r>
    </w:p>
    <w:p w:rsidR="000A7F20" w:rsidRPr="00210A36" w:rsidRDefault="005C49D3" w:rsidP="007C1570">
      <w:pPr>
        <w:pStyle w:val="SCCLsocVersus"/>
      </w:pPr>
      <w:proofErr w:type="gramStart"/>
      <w:r w:rsidRPr="00210A36">
        <w:t>v</w:t>
      </w:r>
      <w:proofErr w:type="gramEnd"/>
      <w:r w:rsidRPr="00210A36">
        <w:t>.</w:t>
      </w:r>
    </w:p>
    <w:p w:rsidR="000A7F20" w:rsidRPr="00210A36" w:rsidRDefault="005C49D3" w:rsidP="007C1570">
      <w:pPr>
        <w:pStyle w:val="SCCLsocLastPartyInRole"/>
      </w:pPr>
      <w:r w:rsidRPr="00210A36">
        <w:t>Kelly Joseph O</w:t>
      </w:r>
      <w:r w:rsidR="00423218" w:rsidRPr="00210A36">
        <w:t>’</w:t>
      </w:r>
      <w:r w:rsidRPr="00210A36">
        <w:t>Brien</w:t>
      </w:r>
      <w:r w:rsidRPr="00210A36">
        <w:rPr>
          <w:rStyle w:val="SCCLsocPartyRole"/>
        </w:rPr>
        <w:tab/>
        <w:t>Respondent</w:t>
      </w:r>
    </w:p>
    <w:p w:rsidR="00426659" w:rsidRPr="00210A36" w:rsidRDefault="00426659" w:rsidP="007C1570">
      <w:pPr>
        <w:spacing w:after="720"/>
        <w:jc w:val="both"/>
        <w:rPr>
          <w:b/>
        </w:rPr>
      </w:pPr>
      <w:r w:rsidRPr="00210A36">
        <w:rPr>
          <w:b/>
        </w:rPr>
        <w:t xml:space="preserve">Indexed as:  R. </w:t>
      </w:r>
      <w:r w:rsidRPr="00210A36">
        <w:rPr>
          <w:b/>
          <w:i/>
        </w:rPr>
        <w:t>v.</w:t>
      </w:r>
      <w:r w:rsidRPr="00210A36">
        <w:rPr>
          <w:b/>
        </w:rPr>
        <w:t xml:space="preserve"> O</w:t>
      </w:r>
      <w:r w:rsidR="00423218" w:rsidRPr="00210A36">
        <w:rPr>
          <w:b/>
        </w:rPr>
        <w:t>’</w:t>
      </w:r>
      <w:r w:rsidRPr="00210A36">
        <w:rPr>
          <w:b/>
        </w:rPr>
        <w:t>Brien</w:t>
      </w:r>
    </w:p>
    <w:p w:rsidR="00426659" w:rsidRPr="00210A36" w:rsidRDefault="004F36FF" w:rsidP="007C1570">
      <w:pPr>
        <w:pStyle w:val="SCCSystemYear"/>
        <w:spacing w:after="720"/>
        <w:jc w:val="both"/>
      </w:pPr>
      <w:r w:rsidRPr="00210A36">
        <w:t>2013</w:t>
      </w:r>
      <w:r w:rsidR="003D0399" w:rsidRPr="00210A36">
        <w:t xml:space="preserve"> </w:t>
      </w:r>
      <w:r w:rsidR="00426659" w:rsidRPr="00210A36">
        <w:t>SCC </w:t>
      </w:r>
      <w:r w:rsidR="00216F86" w:rsidRPr="00210A36">
        <w:t>2</w:t>
      </w:r>
    </w:p>
    <w:p w:rsidR="008322BD" w:rsidRPr="00210A36" w:rsidRDefault="009B57B3" w:rsidP="007C1570">
      <w:pPr>
        <w:spacing w:after="720"/>
        <w:jc w:val="both"/>
      </w:pPr>
      <w:r w:rsidRPr="00210A36">
        <w:t>File No.:  34694.</w:t>
      </w:r>
    </w:p>
    <w:p w:rsidR="008322BD" w:rsidRPr="00210A36" w:rsidRDefault="007C1570" w:rsidP="007C1570">
      <w:pPr>
        <w:spacing w:after="720"/>
        <w:jc w:val="both"/>
      </w:pPr>
      <w:r w:rsidRPr="00210A36">
        <w:t>2012:  December </w:t>
      </w:r>
      <w:r w:rsidR="004F36FF" w:rsidRPr="00210A36">
        <w:t>6</w:t>
      </w:r>
      <w:r w:rsidR="009B57B3" w:rsidRPr="00210A36">
        <w:t xml:space="preserve">; </w:t>
      </w:r>
      <w:r w:rsidRPr="00210A36">
        <w:t>2013:  January </w:t>
      </w:r>
      <w:r w:rsidR="00785FD0" w:rsidRPr="00210A36">
        <w:t>17</w:t>
      </w:r>
      <w:r w:rsidR="009B57B3" w:rsidRPr="00210A36">
        <w:t>.</w:t>
      </w:r>
    </w:p>
    <w:p w:rsidR="008322BD" w:rsidRPr="00210A36" w:rsidRDefault="009B57B3" w:rsidP="007C1570">
      <w:pPr>
        <w:spacing w:after="720"/>
        <w:jc w:val="both"/>
      </w:pPr>
      <w:r w:rsidRPr="00210A36">
        <w:t xml:space="preserve">Present:  McLachlin C.J. and Fish, </w:t>
      </w:r>
      <w:proofErr w:type="spellStart"/>
      <w:r w:rsidRPr="00210A36">
        <w:t>Abella</w:t>
      </w:r>
      <w:proofErr w:type="spellEnd"/>
      <w:r w:rsidRPr="00210A36">
        <w:t xml:space="preserve">, Rothstein, Cromwell, </w:t>
      </w:r>
      <w:proofErr w:type="spellStart"/>
      <w:r w:rsidRPr="00210A36">
        <w:t>Moldaver</w:t>
      </w:r>
      <w:proofErr w:type="spellEnd"/>
      <w:r w:rsidRPr="00210A36">
        <w:t xml:space="preserve"> and Wagner JJ.</w:t>
      </w:r>
    </w:p>
    <w:p w:rsidR="008322BD" w:rsidRPr="00210A36" w:rsidRDefault="00656313" w:rsidP="007C1570">
      <w:pPr>
        <w:pStyle w:val="SCCLowerCourtNameLowercase"/>
        <w:spacing w:after="720" w:line="240" w:lineRule="auto"/>
      </w:pPr>
      <w:r w:rsidRPr="00210A36">
        <w:t>o</w:t>
      </w:r>
      <w:r w:rsidR="00170592" w:rsidRPr="00210A36">
        <w:t>n</w:t>
      </w:r>
      <w:r w:rsidR="00224FC0" w:rsidRPr="00210A36">
        <w:t xml:space="preserve"> </w:t>
      </w:r>
      <w:r w:rsidRPr="00210A36">
        <w:t>a</w:t>
      </w:r>
      <w:r w:rsidR="00170592" w:rsidRPr="00210A36">
        <w:t>ppeal</w:t>
      </w:r>
      <w:r w:rsidR="00224FC0" w:rsidRPr="00210A36">
        <w:t xml:space="preserve"> </w:t>
      </w:r>
      <w:r w:rsidR="00170592" w:rsidRPr="00210A36">
        <w:t>from</w:t>
      </w:r>
      <w:r w:rsidR="009567AA" w:rsidRPr="00210A36">
        <w:t xml:space="preserve"> the</w:t>
      </w:r>
      <w:r w:rsidR="00224FC0" w:rsidRPr="00210A36">
        <w:t xml:space="preserve"> </w:t>
      </w:r>
      <w:r w:rsidR="009B57B3" w:rsidRPr="00210A36">
        <w:t>court of appeal f</w:t>
      </w:r>
      <w:r w:rsidR="00423218" w:rsidRPr="00210A36">
        <w:t>or</w:t>
      </w:r>
      <w:r w:rsidR="009B57B3" w:rsidRPr="00210A36">
        <w:t xml:space="preserve"> </w:t>
      </w:r>
      <w:proofErr w:type="spellStart"/>
      <w:r w:rsidR="009B57B3" w:rsidRPr="00210A36">
        <w:t>manitoba</w:t>
      </w:r>
      <w:proofErr w:type="spellEnd"/>
    </w:p>
    <w:p w:rsidR="006F1620" w:rsidRPr="00210A36" w:rsidRDefault="007627AB" w:rsidP="007627AB">
      <w:pPr>
        <w:pStyle w:val="SCCNormalDoubleSpacing"/>
        <w:spacing w:after="480"/>
        <w:rPr>
          <w:i/>
          <w:lang w:val="en-US"/>
        </w:rPr>
      </w:pPr>
      <w:r w:rsidRPr="00210A36">
        <w:rPr>
          <w:i/>
          <w:lang w:val="en-US"/>
        </w:rPr>
        <w:tab/>
      </w:r>
      <w:r w:rsidR="006F1620" w:rsidRPr="00210A36">
        <w:rPr>
          <w:i/>
          <w:lang w:val="en-US"/>
        </w:rPr>
        <w:t xml:space="preserve">Criminal law — Offences — Uttering threats — Elements of offence — </w:t>
      </w:r>
      <w:proofErr w:type="spellStart"/>
      <w:r w:rsidR="006F1620" w:rsidRPr="00210A36">
        <w:rPr>
          <w:i/>
          <w:lang w:val="en-US"/>
        </w:rPr>
        <w:t>Mens</w:t>
      </w:r>
      <w:proofErr w:type="spellEnd"/>
      <w:r w:rsidR="006F1620" w:rsidRPr="00210A36">
        <w:rPr>
          <w:i/>
          <w:lang w:val="en-US"/>
        </w:rPr>
        <w:t xml:space="preserve"> </w:t>
      </w:r>
      <w:proofErr w:type="spellStart"/>
      <w:r w:rsidR="006F1620" w:rsidRPr="00210A36">
        <w:rPr>
          <w:i/>
          <w:lang w:val="en-US"/>
        </w:rPr>
        <w:t>rea</w:t>
      </w:r>
      <w:proofErr w:type="spellEnd"/>
      <w:r w:rsidR="006F1620" w:rsidRPr="00210A36">
        <w:rPr>
          <w:i/>
          <w:lang w:val="en-US"/>
        </w:rPr>
        <w:t xml:space="preserve"> — </w:t>
      </w:r>
      <w:r w:rsidR="0053378E" w:rsidRPr="00210A36">
        <w:rPr>
          <w:i/>
          <w:lang w:val="en-US"/>
        </w:rPr>
        <w:t>Respondent repeatedly telling ex</w:t>
      </w:r>
      <w:r w:rsidR="0053378E" w:rsidRPr="00210A36">
        <w:rPr>
          <w:i/>
          <w:lang w:val="en-US"/>
        </w:rPr>
        <w:noBreakHyphen/>
      </w:r>
      <w:proofErr w:type="spellStart"/>
      <w:r w:rsidR="0053378E" w:rsidRPr="00210A36">
        <w:rPr>
          <w:i/>
          <w:lang w:val="en-US"/>
        </w:rPr>
        <w:t>girlfriend</w:t>
      </w:r>
      <w:proofErr w:type="spellEnd"/>
      <w:r w:rsidR="0053378E" w:rsidRPr="00210A36">
        <w:rPr>
          <w:i/>
          <w:lang w:val="en-US"/>
        </w:rPr>
        <w:t xml:space="preserve"> that he would kill her</w:t>
      </w:r>
      <w:r w:rsidR="006F1620" w:rsidRPr="00210A36">
        <w:rPr>
          <w:i/>
          <w:lang w:val="en-US"/>
        </w:rPr>
        <w:t xml:space="preserve"> — Ex</w:t>
      </w:r>
      <w:r w:rsidRPr="00210A36">
        <w:rPr>
          <w:i/>
          <w:lang w:val="en-US"/>
        </w:rPr>
        <w:noBreakHyphen/>
      </w:r>
      <w:proofErr w:type="spellStart"/>
      <w:r w:rsidR="006F1620" w:rsidRPr="00210A36">
        <w:rPr>
          <w:i/>
          <w:lang w:val="en-US"/>
        </w:rPr>
        <w:t>girlfriend</w:t>
      </w:r>
      <w:proofErr w:type="spellEnd"/>
      <w:r w:rsidR="006F1620" w:rsidRPr="00210A36">
        <w:rPr>
          <w:i/>
          <w:lang w:val="en-US"/>
        </w:rPr>
        <w:t xml:space="preserve"> testifying that words uttered by accused did not intimidate her or cause her fear as accused frequently talked in that manner — Whether trial judge erred in </w:t>
      </w:r>
      <w:r w:rsidR="006F1620" w:rsidRPr="00210A36">
        <w:rPr>
          <w:i/>
          <w:lang w:val="en-US"/>
        </w:rPr>
        <w:lastRenderedPageBreak/>
        <w:t xml:space="preserve">law in determining that accused did not have requisite </w:t>
      </w:r>
      <w:proofErr w:type="spellStart"/>
      <w:r w:rsidR="006F1620" w:rsidRPr="00210A36">
        <w:rPr>
          <w:i/>
          <w:lang w:val="en-US"/>
        </w:rPr>
        <w:t>mens</w:t>
      </w:r>
      <w:proofErr w:type="spellEnd"/>
      <w:r w:rsidR="006F1620" w:rsidRPr="00210A36">
        <w:rPr>
          <w:i/>
          <w:lang w:val="en-US"/>
        </w:rPr>
        <w:t xml:space="preserve"> </w:t>
      </w:r>
      <w:proofErr w:type="spellStart"/>
      <w:r w:rsidR="006F1620" w:rsidRPr="00210A36">
        <w:rPr>
          <w:i/>
          <w:lang w:val="en-US"/>
        </w:rPr>
        <w:t>rea</w:t>
      </w:r>
      <w:proofErr w:type="spellEnd"/>
      <w:r w:rsidR="006F1620" w:rsidRPr="00210A36">
        <w:rPr>
          <w:i/>
          <w:lang w:val="en-US"/>
        </w:rPr>
        <w:t xml:space="preserve"> — C</w:t>
      </w:r>
      <w:r w:rsidR="008826EE" w:rsidRPr="00210A36">
        <w:rPr>
          <w:i/>
          <w:lang w:val="en-US"/>
        </w:rPr>
        <w:t>riminal Code, R.S.C. 1985, c. </w:t>
      </w:r>
      <w:r w:rsidR="006F1620" w:rsidRPr="00210A36">
        <w:rPr>
          <w:i/>
          <w:lang w:val="en-US"/>
        </w:rPr>
        <w:t>C</w:t>
      </w:r>
      <w:r w:rsidRPr="00210A36">
        <w:rPr>
          <w:i/>
          <w:lang w:val="en-US"/>
        </w:rPr>
        <w:noBreakHyphen/>
      </w:r>
      <w:r w:rsidR="008826EE" w:rsidRPr="00210A36">
        <w:rPr>
          <w:i/>
          <w:lang w:val="en-US"/>
        </w:rPr>
        <w:t>46, s. </w:t>
      </w:r>
      <w:r w:rsidR="006F1620" w:rsidRPr="00210A36">
        <w:rPr>
          <w:i/>
          <w:lang w:val="en-US"/>
        </w:rPr>
        <w:t>264.1(1</w:t>
      </w:r>
      <w:proofErr w:type="gramStart"/>
      <w:r w:rsidR="006F1620" w:rsidRPr="00210A36">
        <w:rPr>
          <w:i/>
          <w:lang w:val="en-US"/>
        </w:rPr>
        <w:t>)(</w:t>
      </w:r>
      <w:proofErr w:type="gramEnd"/>
      <w:r w:rsidR="006F1620" w:rsidRPr="00210A36">
        <w:rPr>
          <w:i/>
          <w:lang w:val="en-US"/>
        </w:rPr>
        <w:t>a).</w:t>
      </w:r>
    </w:p>
    <w:p w:rsidR="006F1620" w:rsidRPr="00210A36" w:rsidRDefault="007627AB" w:rsidP="007627AB">
      <w:pPr>
        <w:pStyle w:val="SCCNormalDoubleSpacing"/>
        <w:spacing w:after="480"/>
        <w:rPr>
          <w:lang w:val="en-US"/>
        </w:rPr>
      </w:pPr>
      <w:r w:rsidRPr="00210A36">
        <w:rPr>
          <w:lang w:val="en-US"/>
        </w:rPr>
        <w:tab/>
      </w:r>
      <w:r w:rsidR="006F1620" w:rsidRPr="00210A36">
        <w:rPr>
          <w:lang w:val="en-US"/>
        </w:rPr>
        <w:t>While the accused was incarcerated, he had a telephone conversation with his ex</w:t>
      </w:r>
      <w:r w:rsidRPr="00210A36">
        <w:rPr>
          <w:lang w:val="en-US"/>
        </w:rPr>
        <w:noBreakHyphen/>
      </w:r>
      <w:proofErr w:type="spellStart"/>
      <w:r w:rsidR="006F1620" w:rsidRPr="00210A36">
        <w:rPr>
          <w:lang w:val="en-US"/>
        </w:rPr>
        <w:t>girlfriend</w:t>
      </w:r>
      <w:proofErr w:type="spellEnd"/>
      <w:r w:rsidR="006F1620" w:rsidRPr="00210A36">
        <w:rPr>
          <w:lang w:val="en-US"/>
        </w:rPr>
        <w:t xml:space="preserve"> during which he repeatedly told her that he would kill her upon his release if she proceeded with her planned abortion of their child.  The accused was charged with uttering threats.  At trial, the ex</w:t>
      </w:r>
      <w:r w:rsidRPr="00210A36">
        <w:rPr>
          <w:lang w:val="en-US"/>
        </w:rPr>
        <w:noBreakHyphen/>
      </w:r>
      <w:proofErr w:type="spellStart"/>
      <w:r w:rsidR="006F1620" w:rsidRPr="00210A36">
        <w:rPr>
          <w:lang w:val="en-US"/>
        </w:rPr>
        <w:t>girlfriend</w:t>
      </w:r>
      <w:proofErr w:type="spellEnd"/>
      <w:r w:rsidR="006F1620" w:rsidRPr="00210A36">
        <w:rPr>
          <w:lang w:val="en-US"/>
        </w:rPr>
        <w:t xml:space="preserve"> testified that the words uttered by the accused had not intimidated her or caused her fear as the accused frequently talked in that manner.  The accused was acquitted, the trial judge having a reasonable doubt whether the accused intended his words to intimidate or be taken seriously.  The Court of Appeal dismissed the Crown’s appe</w:t>
      </w:r>
      <w:r w:rsidRPr="00210A36">
        <w:rPr>
          <w:lang w:val="en-US"/>
        </w:rPr>
        <w:t>al. </w:t>
      </w:r>
    </w:p>
    <w:p w:rsidR="006F1620" w:rsidRPr="00210A36" w:rsidRDefault="007627AB" w:rsidP="007627AB">
      <w:pPr>
        <w:pStyle w:val="SCCNormalDoubleSpacing"/>
        <w:spacing w:after="480"/>
        <w:rPr>
          <w:lang w:val="en-US"/>
        </w:rPr>
      </w:pPr>
      <w:r w:rsidRPr="00210A36">
        <w:rPr>
          <w:i/>
          <w:lang w:val="en-US"/>
        </w:rPr>
        <w:tab/>
      </w:r>
      <w:r w:rsidR="006F1620" w:rsidRPr="00210A36">
        <w:rPr>
          <w:i/>
          <w:lang w:val="en-US"/>
        </w:rPr>
        <w:t>Held</w:t>
      </w:r>
      <w:r w:rsidR="006F1620" w:rsidRPr="00210A36">
        <w:rPr>
          <w:lang w:val="en-US"/>
        </w:rPr>
        <w:t xml:space="preserve"> (McLachli</w:t>
      </w:r>
      <w:r w:rsidRPr="00210A36">
        <w:rPr>
          <w:lang w:val="en-US"/>
        </w:rPr>
        <w:t xml:space="preserve">n C.J. and </w:t>
      </w:r>
      <w:proofErr w:type="spellStart"/>
      <w:r w:rsidRPr="00210A36">
        <w:rPr>
          <w:lang w:val="en-US"/>
        </w:rPr>
        <w:t>Abella</w:t>
      </w:r>
      <w:proofErr w:type="spellEnd"/>
      <w:r w:rsidRPr="00210A36">
        <w:rPr>
          <w:lang w:val="en-US"/>
        </w:rPr>
        <w:t xml:space="preserve"> and Rothstein </w:t>
      </w:r>
      <w:r w:rsidR="006F1620" w:rsidRPr="00210A36">
        <w:rPr>
          <w:lang w:val="en-US"/>
        </w:rPr>
        <w:t>JJ. dissenting):  The appeal should be dismissed.</w:t>
      </w:r>
    </w:p>
    <w:p w:rsidR="006F1620" w:rsidRPr="00210A36" w:rsidRDefault="007627AB" w:rsidP="007627AB">
      <w:pPr>
        <w:pStyle w:val="SCCNormalDoubleSpacing"/>
        <w:spacing w:after="480"/>
        <w:rPr>
          <w:lang w:val="en-US"/>
        </w:rPr>
      </w:pPr>
      <w:r w:rsidRPr="00210A36">
        <w:rPr>
          <w:i/>
          <w:lang w:val="en-US"/>
        </w:rPr>
        <w:tab/>
      </w:r>
      <w:r w:rsidR="006F1620" w:rsidRPr="00210A36">
        <w:rPr>
          <w:i/>
          <w:lang w:val="en-US"/>
        </w:rPr>
        <w:t>Per</w:t>
      </w:r>
      <w:r w:rsidR="006F1620" w:rsidRPr="00210A36">
        <w:rPr>
          <w:lang w:val="en-US"/>
        </w:rPr>
        <w:t xml:space="preserve"> </w:t>
      </w:r>
      <w:r w:rsidR="006F1620" w:rsidRPr="00C54118">
        <w:rPr>
          <w:lang w:val="en-US"/>
        </w:rPr>
        <w:t>Fish</w:t>
      </w:r>
      <w:r w:rsidRPr="00210A36">
        <w:rPr>
          <w:lang w:val="en-US"/>
        </w:rPr>
        <w:t xml:space="preserve">, Cromwell, </w:t>
      </w:r>
      <w:proofErr w:type="spellStart"/>
      <w:r w:rsidRPr="00210A36">
        <w:rPr>
          <w:lang w:val="en-US"/>
        </w:rPr>
        <w:t>Moldaver</w:t>
      </w:r>
      <w:proofErr w:type="spellEnd"/>
      <w:r w:rsidRPr="00210A36">
        <w:rPr>
          <w:lang w:val="en-US"/>
        </w:rPr>
        <w:t xml:space="preserve"> and Wagner </w:t>
      </w:r>
      <w:r w:rsidR="006F1620" w:rsidRPr="00210A36">
        <w:rPr>
          <w:lang w:val="en-US"/>
        </w:rPr>
        <w:t xml:space="preserve">JJ.:  It is an essential </w:t>
      </w:r>
      <w:r w:rsidRPr="00210A36">
        <w:rPr>
          <w:lang w:val="en-US"/>
        </w:rPr>
        <w:t>element of the offence under s. </w:t>
      </w:r>
      <w:r w:rsidR="006F1620" w:rsidRPr="00210A36">
        <w:rPr>
          <w:lang w:val="en-US"/>
        </w:rPr>
        <w:t>264.1(1</w:t>
      </w:r>
      <w:proofErr w:type="gramStart"/>
      <w:r w:rsidR="006F1620" w:rsidRPr="00210A36">
        <w:rPr>
          <w:lang w:val="en-US"/>
        </w:rPr>
        <w:t>)(</w:t>
      </w:r>
      <w:proofErr w:type="gramEnd"/>
      <w:r w:rsidR="006F1620" w:rsidRPr="00210A36">
        <w:rPr>
          <w:i/>
          <w:lang w:val="en-US"/>
        </w:rPr>
        <w:t>a</w:t>
      </w:r>
      <w:r w:rsidR="006F1620" w:rsidRPr="00210A36">
        <w:rPr>
          <w:lang w:val="en-US"/>
        </w:rPr>
        <w:t xml:space="preserve">) of the </w:t>
      </w:r>
      <w:r w:rsidR="006F1620" w:rsidRPr="00210A36">
        <w:rPr>
          <w:i/>
          <w:lang w:val="en-US"/>
        </w:rPr>
        <w:t>Criminal Code</w:t>
      </w:r>
      <w:r w:rsidR="006F1620" w:rsidRPr="00210A36">
        <w:rPr>
          <w:lang w:val="en-US"/>
        </w:rPr>
        <w:t xml:space="preserve"> that the accused intended his or her words to intimidate or to be taken seriously.  The trial judge properly considered the words uttered in the context of the evidence of the recipient of the threats and concluded that the evidence left her with a reasonable doubt as to whether the accused had the requisite intent.  There is no basis on which to conclude that the trial judge committed any error of law in concluding as she did. </w:t>
      </w:r>
    </w:p>
    <w:p w:rsidR="006F1620" w:rsidRPr="00210A36" w:rsidRDefault="007627AB" w:rsidP="007627AB">
      <w:pPr>
        <w:pStyle w:val="SCCNormalDoubleSpacing"/>
        <w:spacing w:after="480"/>
        <w:rPr>
          <w:lang w:val="en-US"/>
        </w:rPr>
      </w:pPr>
      <w:r w:rsidRPr="00210A36">
        <w:rPr>
          <w:i/>
          <w:lang w:val="en-US"/>
        </w:rPr>
        <w:lastRenderedPageBreak/>
        <w:tab/>
      </w:r>
      <w:proofErr w:type="gramStart"/>
      <w:r w:rsidR="006F1620" w:rsidRPr="00210A36">
        <w:rPr>
          <w:i/>
          <w:lang w:val="en-US"/>
        </w:rPr>
        <w:t>Per</w:t>
      </w:r>
      <w:r w:rsidRPr="00210A36">
        <w:rPr>
          <w:lang w:val="en-US"/>
        </w:rPr>
        <w:t xml:space="preserve"> McLachlin </w:t>
      </w:r>
      <w:r w:rsidR="006F1620" w:rsidRPr="00210A36">
        <w:rPr>
          <w:lang w:val="en-US"/>
        </w:rPr>
        <w:t xml:space="preserve">C.J. and </w:t>
      </w:r>
      <w:proofErr w:type="spellStart"/>
      <w:r w:rsidR="006F1620" w:rsidRPr="00210A36">
        <w:rPr>
          <w:lang w:val="en-US"/>
        </w:rPr>
        <w:t>Abella</w:t>
      </w:r>
      <w:proofErr w:type="spellEnd"/>
      <w:r w:rsidR="006F1620" w:rsidRPr="00210A36">
        <w:rPr>
          <w:lang w:val="en-US"/>
        </w:rPr>
        <w:t xml:space="preserve"> and </w:t>
      </w:r>
      <w:r w:rsidR="006F1620" w:rsidRPr="00C54118">
        <w:rPr>
          <w:lang w:val="en-US"/>
        </w:rPr>
        <w:t>Rothstein</w:t>
      </w:r>
      <w:r w:rsidRPr="00C54118">
        <w:rPr>
          <w:lang w:val="en-US"/>
        </w:rPr>
        <w:t> </w:t>
      </w:r>
      <w:r w:rsidR="006F1620" w:rsidRPr="00210A36">
        <w:rPr>
          <w:lang w:val="en-US"/>
        </w:rPr>
        <w:t>JJ.</w:t>
      </w:r>
      <w:proofErr w:type="gramEnd"/>
      <w:r w:rsidR="006F1620" w:rsidRPr="00210A36">
        <w:rPr>
          <w:lang w:val="en-US"/>
        </w:rPr>
        <w:t xml:space="preserve"> (</w:t>
      </w:r>
      <w:proofErr w:type="gramStart"/>
      <w:r w:rsidR="006F1620" w:rsidRPr="00210A36">
        <w:rPr>
          <w:lang w:val="en-US"/>
        </w:rPr>
        <w:t>dissenting</w:t>
      </w:r>
      <w:proofErr w:type="gramEnd"/>
      <w:r w:rsidR="006F1620" w:rsidRPr="00210A36">
        <w:rPr>
          <w:lang w:val="en-US"/>
        </w:rPr>
        <w:t xml:space="preserve">):  The trial judge erred in making the perception of the recipient of the threat the determinative factor in the assessment of the </w:t>
      </w:r>
      <w:proofErr w:type="spellStart"/>
      <w:r w:rsidR="006F1620" w:rsidRPr="00210A36">
        <w:rPr>
          <w:lang w:val="en-US"/>
        </w:rPr>
        <w:t>accused’s</w:t>
      </w:r>
      <w:proofErr w:type="spellEnd"/>
      <w:r w:rsidR="006F1620" w:rsidRPr="00210A36">
        <w:rPr>
          <w:lang w:val="en-US"/>
        </w:rPr>
        <w:t xml:space="preserve"> intent.  The nature of the relationship between the accused and the recipient of a threat forms part of the circumstances surrounding the offence.  However, whether the recipient of a threat takes that threat seriously is not an element of the </w:t>
      </w:r>
      <w:proofErr w:type="spellStart"/>
      <w:r w:rsidR="006F1620" w:rsidRPr="00210A36">
        <w:rPr>
          <w:i/>
          <w:lang w:val="en-US"/>
        </w:rPr>
        <w:t>mens</w:t>
      </w:r>
      <w:proofErr w:type="spellEnd"/>
      <w:r w:rsidR="006F1620" w:rsidRPr="00210A36">
        <w:rPr>
          <w:i/>
          <w:lang w:val="en-US"/>
        </w:rPr>
        <w:t xml:space="preserve"> </w:t>
      </w:r>
      <w:proofErr w:type="spellStart"/>
      <w:r w:rsidR="006F1620" w:rsidRPr="00210A36">
        <w:rPr>
          <w:i/>
          <w:lang w:val="en-US"/>
        </w:rPr>
        <w:t>rea</w:t>
      </w:r>
      <w:proofErr w:type="spellEnd"/>
      <w:r w:rsidR="006F1620" w:rsidRPr="00210A36">
        <w:rPr>
          <w:lang w:val="en-US"/>
        </w:rPr>
        <w:t xml:space="preserve"> of the accused. </w:t>
      </w:r>
    </w:p>
    <w:p w:rsidR="007E1C47" w:rsidRPr="00210A36" w:rsidRDefault="002E6705" w:rsidP="007C1570">
      <w:pPr>
        <w:pStyle w:val="SCCNormalDoubleSpacing"/>
        <w:keepNext/>
        <w:spacing w:after="720" w:line="240" w:lineRule="auto"/>
        <w:rPr>
          <w:b/>
        </w:rPr>
      </w:pPr>
      <w:r w:rsidRPr="00210A36">
        <w:rPr>
          <w:b/>
        </w:rPr>
        <w:t xml:space="preserve">Cases </w:t>
      </w:r>
      <w:r w:rsidRPr="00210A36">
        <w:rPr>
          <w:b/>
          <w:lang w:val="en-US"/>
        </w:rPr>
        <w:t>Cited</w:t>
      </w:r>
    </w:p>
    <w:p w:rsidR="00A149DF" w:rsidRPr="00210A36" w:rsidRDefault="007C1570" w:rsidP="007C1570">
      <w:pPr>
        <w:pStyle w:val="SCCNormalDoubleSpacing"/>
        <w:spacing w:after="720" w:line="240" w:lineRule="auto"/>
      </w:pPr>
      <w:proofErr w:type="gramStart"/>
      <w:r w:rsidRPr="00210A36">
        <w:t>By Fish </w:t>
      </w:r>
      <w:r w:rsidR="00423218" w:rsidRPr="00210A36">
        <w:t>J.</w:t>
      </w:r>
      <w:proofErr w:type="gramEnd"/>
    </w:p>
    <w:p w:rsidR="004E2C26" w:rsidRPr="00210A36" w:rsidRDefault="002E6705" w:rsidP="007C1570">
      <w:pPr>
        <w:pStyle w:val="SCCNormalDoubleSpacing"/>
        <w:spacing w:after="480"/>
      </w:pPr>
      <w:r w:rsidRPr="00210A36">
        <w:tab/>
      </w:r>
      <w:r w:rsidR="006F1620" w:rsidRPr="00210A36">
        <w:rPr>
          <w:b/>
        </w:rPr>
        <w:t>Discussed</w:t>
      </w:r>
      <w:r w:rsidRPr="00210A36">
        <w:rPr>
          <w:b/>
        </w:rPr>
        <w:t>:</w:t>
      </w:r>
      <w:r w:rsidR="00BD0E9E" w:rsidRPr="00210A36">
        <w:t xml:space="preserve"> </w:t>
      </w:r>
      <w:r w:rsidR="00423218" w:rsidRPr="00210A36">
        <w:t xml:space="preserve"> </w:t>
      </w:r>
      <w:r w:rsidR="005C49D3" w:rsidRPr="00210A36">
        <w:rPr>
          <w:i/>
        </w:rPr>
        <w:t>R. v. Clemente</w:t>
      </w:r>
      <w:r w:rsidR="005C49D3" w:rsidRPr="00210A36">
        <w:t xml:space="preserve">, [1994] 2 S.C.R. 758; </w:t>
      </w:r>
      <w:r w:rsidR="005C49D3" w:rsidRPr="00210A36">
        <w:rPr>
          <w:i/>
        </w:rPr>
        <w:t xml:space="preserve">R. v. </w:t>
      </w:r>
      <w:proofErr w:type="spellStart"/>
      <w:r w:rsidR="005C49D3" w:rsidRPr="00210A36">
        <w:rPr>
          <w:i/>
        </w:rPr>
        <w:t>McCraw</w:t>
      </w:r>
      <w:proofErr w:type="spellEnd"/>
      <w:r w:rsidR="005C49D3" w:rsidRPr="00210A36">
        <w:t>, [1991] 3 S.C.R. 72.</w:t>
      </w:r>
    </w:p>
    <w:p w:rsidR="00423218" w:rsidRPr="00210A36" w:rsidRDefault="00423218" w:rsidP="007C1570">
      <w:pPr>
        <w:pStyle w:val="SCCNormalDoubleSpacing"/>
        <w:spacing w:after="720" w:line="240" w:lineRule="auto"/>
      </w:pPr>
      <w:r w:rsidRPr="00210A36">
        <w:t>By Rothstein</w:t>
      </w:r>
      <w:r w:rsidR="007C1570" w:rsidRPr="00210A36">
        <w:t> </w:t>
      </w:r>
      <w:r w:rsidRPr="00210A36">
        <w:t>J. (dissenting)</w:t>
      </w:r>
    </w:p>
    <w:p w:rsidR="00423218" w:rsidRPr="00210A36" w:rsidRDefault="00423218" w:rsidP="007C1570">
      <w:pPr>
        <w:pStyle w:val="SCCNormalDoubleSpacing"/>
        <w:spacing w:after="480"/>
      </w:pPr>
      <w:r w:rsidRPr="00210A36">
        <w:tab/>
      </w:r>
      <w:proofErr w:type="gramStart"/>
      <w:r w:rsidR="005C49D3" w:rsidRPr="00210A36">
        <w:rPr>
          <w:i/>
        </w:rPr>
        <w:t>R. v. Clemente</w:t>
      </w:r>
      <w:r w:rsidR="005C49D3" w:rsidRPr="00210A36">
        <w:t xml:space="preserve">, [1994] 2 S.C.R. 758; </w:t>
      </w:r>
      <w:r w:rsidR="005C49D3" w:rsidRPr="00210A36">
        <w:rPr>
          <w:i/>
        </w:rPr>
        <w:t xml:space="preserve">R. v. </w:t>
      </w:r>
      <w:proofErr w:type="spellStart"/>
      <w:r w:rsidR="005C49D3" w:rsidRPr="00210A36">
        <w:rPr>
          <w:i/>
        </w:rPr>
        <w:t>McCraw</w:t>
      </w:r>
      <w:proofErr w:type="spellEnd"/>
      <w:r w:rsidR="005C49D3" w:rsidRPr="00210A36">
        <w:t>, [1991] 3 S.C.R</w:t>
      </w:r>
      <w:r w:rsidR="004766ED" w:rsidRPr="00210A36">
        <w:t>.</w:t>
      </w:r>
      <w:r w:rsidR="005C49D3" w:rsidRPr="00210A36">
        <w:t xml:space="preserve"> 72; </w:t>
      </w:r>
      <w:r w:rsidR="005C49D3" w:rsidRPr="00210A36">
        <w:rPr>
          <w:i/>
        </w:rPr>
        <w:t>R. v. C.L.Y.</w:t>
      </w:r>
      <w:r w:rsidR="005C49D3" w:rsidRPr="00210A36">
        <w:t xml:space="preserve">, 2008 SCC 2, [2008] 1 S.C.R. 5; </w:t>
      </w:r>
      <w:r w:rsidR="005C49D3" w:rsidRPr="00210A36">
        <w:rPr>
          <w:i/>
        </w:rPr>
        <w:t>R. v. Morrissey</w:t>
      </w:r>
      <w:r w:rsidR="005C49D3" w:rsidRPr="00210A36">
        <w:t xml:space="preserve"> (1995), 97 C.C.C. (3d) 193.</w:t>
      </w:r>
      <w:proofErr w:type="gramEnd"/>
    </w:p>
    <w:p w:rsidR="003B215F" w:rsidRPr="00210A36" w:rsidRDefault="002E6705" w:rsidP="007C1570">
      <w:pPr>
        <w:pStyle w:val="SCCNormalDoubleSpacing"/>
        <w:keepNext/>
        <w:spacing w:after="720" w:line="240" w:lineRule="auto"/>
      </w:pPr>
      <w:r w:rsidRPr="00210A36">
        <w:rPr>
          <w:b/>
        </w:rPr>
        <w:t xml:space="preserve">Statutes </w:t>
      </w:r>
      <w:r w:rsidRPr="00210A36">
        <w:rPr>
          <w:b/>
          <w:lang w:val="en-US"/>
        </w:rPr>
        <w:t>and</w:t>
      </w:r>
      <w:r w:rsidRPr="00210A36">
        <w:rPr>
          <w:b/>
        </w:rPr>
        <w:t xml:space="preserve"> Regulations Cite</w:t>
      </w:r>
      <w:r w:rsidR="00A41805" w:rsidRPr="00210A36">
        <w:rPr>
          <w:b/>
        </w:rPr>
        <w:t>d</w:t>
      </w:r>
    </w:p>
    <w:p w:rsidR="00A149DF" w:rsidRPr="00354191" w:rsidRDefault="00423218" w:rsidP="007C1570">
      <w:pPr>
        <w:pStyle w:val="SCCNormalDoubleSpacing"/>
        <w:spacing w:after="480"/>
        <w:ind w:left="540" w:hanging="540"/>
        <w:rPr>
          <w:lang w:val="fr-CA"/>
        </w:rPr>
      </w:pPr>
      <w:r w:rsidRPr="00354191">
        <w:rPr>
          <w:i/>
          <w:lang w:val="fr-CA"/>
        </w:rPr>
        <w:t>Criminal Code</w:t>
      </w:r>
      <w:r w:rsidR="007C1570" w:rsidRPr="00354191">
        <w:rPr>
          <w:lang w:val="fr-CA"/>
        </w:rPr>
        <w:t>, R.S.C. 1985, c. </w:t>
      </w:r>
      <w:r w:rsidRPr="00354191">
        <w:rPr>
          <w:lang w:val="fr-CA"/>
        </w:rPr>
        <w:t>C</w:t>
      </w:r>
      <w:r w:rsidR="007627AB" w:rsidRPr="00354191">
        <w:rPr>
          <w:lang w:val="fr-CA"/>
        </w:rPr>
        <w:noBreakHyphen/>
      </w:r>
      <w:r w:rsidRPr="00354191">
        <w:rPr>
          <w:lang w:val="fr-CA"/>
        </w:rPr>
        <w:t xml:space="preserve">46, </w:t>
      </w:r>
      <w:r w:rsidR="007627AB" w:rsidRPr="00354191">
        <w:rPr>
          <w:lang w:val="fr-CA"/>
        </w:rPr>
        <w:t>ss. </w:t>
      </w:r>
      <w:r w:rsidRPr="00354191">
        <w:rPr>
          <w:lang w:val="fr-CA"/>
        </w:rPr>
        <w:t>264.1(1), 693(1</w:t>
      </w:r>
      <w:proofErr w:type="gramStart"/>
      <w:r w:rsidRPr="00354191">
        <w:rPr>
          <w:lang w:val="fr-CA"/>
        </w:rPr>
        <w:t>)(</w:t>
      </w:r>
      <w:proofErr w:type="gramEnd"/>
      <w:r w:rsidRPr="00354191">
        <w:rPr>
          <w:i/>
          <w:lang w:val="fr-CA"/>
        </w:rPr>
        <w:t>a</w:t>
      </w:r>
      <w:r w:rsidRPr="00354191">
        <w:rPr>
          <w:lang w:val="fr-CA"/>
        </w:rPr>
        <w:t>).</w:t>
      </w:r>
    </w:p>
    <w:p w:rsidR="00656313" w:rsidRPr="00210A36" w:rsidRDefault="009B57B3" w:rsidP="007C1570">
      <w:pPr>
        <w:pStyle w:val="SCCNormalDoubleSpacing"/>
        <w:spacing w:after="480"/>
      </w:pPr>
      <w:r w:rsidRPr="00354191">
        <w:rPr>
          <w:lang w:val="fr-CA"/>
        </w:rPr>
        <w:lastRenderedPageBreak/>
        <w:tab/>
      </w:r>
      <w:r w:rsidRPr="00210A36">
        <w:t xml:space="preserve">APPEAL from a judgment of the </w:t>
      </w:r>
      <w:r w:rsidR="00423218" w:rsidRPr="00210A36">
        <w:t xml:space="preserve">Manitoba </w:t>
      </w:r>
      <w:r w:rsidRPr="00210A36">
        <w:t>Court of Appeal</w:t>
      </w:r>
      <w:r w:rsidR="007C1570" w:rsidRPr="00210A36">
        <w:t xml:space="preserve"> (Steel, Beard and </w:t>
      </w:r>
      <w:proofErr w:type="spellStart"/>
      <w:r w:rsidR="007C1570" w:rsidRPr="00210A36">
        <w:t>MacInnes</w:t>
      </w:r>
      <w:proofErr w:type="spellEnd"/>
      <w:r w:rsidR="007C1570" w:rsidRPr="00210A36">
        <w:t> </w:t>
      </w:r>
      <w:r w:rsidR="009B3ED0" w:rsidRPr="00210A36">
        <w:t xml:space="preserve">JJ.A.), 2012 MBCA 6, 275 Man. R. (2d) 144, </w:t>
      </w:r>
      <w:r w:rsidR="00C54118" w:rsidRPr="00210A36">
        <w:t xml:space="preserve">538 W.A.C. 144, </w:t>
      </w:r>
      <w:r w:rsidR="009B3ED0" w:rsidRPr="00210A36">
        <w:t xml:space="preserve">280 C.C.C. (3d) 481, [2012] 5 W.W.R. 265, [2012] M.J. </w:t>
      </w:r>
      <w:r w:rsidR="007627AB" w:rsidRPr="00210A36">
        <w:t>No. </w:t>
      </w:r>
      <w:r w:rsidR="009B3ED0" w:rsidRPr="00210A36">
        <w:t xml:space="preserve">28 (QL), 2012 </w:t>
      </w:r>
      <w:proofErr w:type="spellStart"/>
      <w:r w:rsidR="009B3ED0" w:rsidRPr="00210A36">
        <w:t>CarswellMan</w:t>
      </w:r>
      <w:proofErr w:type="spellEnd"/>
      <w:r w:rsidR="009B3ED0" w:rsidRPr="00210A36">
        <w:t xml:space="preserve"> 25, affirming the acquittal of the accused</w:t>
      </w:r>
      <w:r w:rsidR="00423218" w:rsidRPr="00210A36">
        <w:t>.  Appeal dismissed, McLachli</w:t>
      </w:r>
      <w:r w:rsidR="005C0E76" w:rsidRPr="00210A36">
        <w:t>n </w:t>
      </w:r>
      <w:r w:rsidR="007C1570" w:rsidRPr="00210A36">
        <w:t xml:space="preserve">C.J. and </w:t>
      </w:r>
      <w:proofErr w:type="spellStart"/>
      <w:r w:rsidR="007C1570" w:rsidRPr="00210A36">
        <w:t>Abella</w:t>
      </w:r>
      <w:proofErr w:type="spellEnd"/>
      <w:r w:rsidR="007C1570" w:rsidRPr="00210A36">
        <w:t xml:space="preserve"> and Rothstein </w:t>
      </w:r>
      <w:r w:rsidR="00423218" w:rsidRPr="00210A36">
        <w:t xml:space="preserve">JJ. </w:t>
      </w:r>
      <w:proofErr w:type="gramStart"/>
      <w:r w:rsidR="00423218" w:rsidRPr="00210A36">
        <w:t>dissenting</w:t>
      </w:r>
      <w:proofErr w:type="gramEnd"/>
      <w:r w:rsidR="00423218" w:rsidRPr="00210A36">
        <w:t>.</w:t>
      </w:r>
    </w:p>
    <w:p w:rsidR="000A7F20" w:rsidRPr="00210A36" w:rsidRDefault="005C49D3" w:rsidP="007C1570">
      <w:pPr>
        <w:pStyle w:val="SCCNormalDoubleSpacing"/>
        <w:spacing w:after="480"/>
      </w:pPr>
      <w:r w:rsidRPr="00210A36">
        <w:rPr>
          <w:i/>
        </w:rPr>
        <w:tab/>
      </w:r>
      <w:proofErr w:type="spellStart"/>
      <w:proofErr w:type="gramStart"/>
      <w:r w:rsidR="00423218" w:rsidRPr="00210A36">
        <w:rPr>
          <w:i/>
        </w:rPr>
        <w:t>Rekha</w:t>
      </w:r>
      <w:proofErr w:type="spellEnd"/>
      <w:r w:rsidR="00423218" w:rsidRPr="00210A36">
        <w:rPr>
          <w:i/>
        </w:rPr>
        <w:t xml:space="preserve"> </w:t>
      </w:r>
      <w:proofErr w:type="spellStart"/>
      <w:r w:rsidR="00423218" w:rsidRPr="00210A36">
        <w:rPr>
          <w:i/>
        </w:rPr>
        <w:t>Malaviya</w:t>
      </w:r>
      <w:proofErr w:type="spellEnd"/>
      <w:r w:rsidR="00423218" w:rsidRPr="00210A36">
        <w:rPr>
          <w:i/>
        </w:rPr>
        <w:t xml:space="preserve"> </w:t>
      </w:r>
      <w:r w:rsidR="00423218" w:rsidRPr="00210A36">
        <w:t>and</w:t>
      </w:r>
      <w:r w:rsidR="00423218" w:rsidRPr="00210A36">
        <w:rPr>
          <w:i/>
        </w:rPr>
        <w:t xml:space="preserve"> </w:t>
      </w:r>
      <w:proofErr w:type="spellStart"/>
      <w:r w:rsidRPr="00210A36">
        <w:rPr>
          <w:i/>
        </w:rPr>
        <w:t>Amiram</w:t>
      </w:r>
      <w:proofErr w:type="spellEnd"/>
      <w:r w:rsidRPr="00210A36">
        <w:rPr>
          <w:i/>
        </w:rPr>
        <w:t xml:space="preserve"> </w:t>
      </w:r>
      <w:proofErr w:type="spellStart"/>
      <w:r w:rsidRPr="00210A36">
        <w:rPr>
          <w:i/>
        </w:rPr>
        <w:t>Kotler</w:t>
      </w:r>
      <w:proofErr w:type="spellEnd"/>
      <w:r w:rsidRPr="00210A36">
        <w:t>, for the appellant.</w:t>
      </w:r>
      <w:proofErr w:type="gramEnd"/>
    </w:p>
    <w:p w:rsidR="009924DC" w:rsidRDefault="005C49D3" w:rsidP="009924DC">
      <w:pPr>
        <w:pStyle w:val="SCCNormalDoubleSpacing"/>
        <w:spacing w:after="480"/>
      </w:pPr>
      <w:r w:rsidRPr="00210A36">
        <w:rPr>
          <w:i/>
        </w:rPr>
        <w:tab/>
      </w:r>
      <w:proofErr w:type="gramStart"/>
      <w:r w:rsidRPr="00210A36">
        <w:rPr>
          <w:i/>
        </w:rPr>
        <w:t>Michael</w:t>
      </w:r>
      <w:r w:rsidR="005C0E76" w:rsidRPr="00210A36">
        <w:rPr>
          <w:i/>
        </w:rPr>
        <w:t> </w:t>
      </w:r>
      <w:r w:rsidR="007627AB" w:rsidRPr="00210A36">
        <w:rPr>
          <w:i/>
        </w:rPr>
        <w:t>P. </w:t>
      </w:r>
      <w:r w:rsidRPr="00210A36">
        <w:rPr>
          <w:i/>
        </w:rPr>
        <w:t>Cook</w:t>
      </w:r>
      <w:r w:rsidR="00423218" w:rsidRPr="00210A36">
        <w:rPr>
          <w:i/>
        </w:rPr>
        <w:t xml:space="preserve"> </w:t>
      </w:r>
      <w:r w:rsidR="00423218" w:rsidRPr="008169EE">
        <w:t>and</w:t>
      </w:r>
      <w:r w:rsidR="00423218" w:rsidRPr="00210A36">
        <w:rPr>
          <w:i/>
        </w:rPr>
        <w:t xml:space="preserve"> Marie</w:t>
      </w:r>
      <w:r w:rsidR="007627AB" w:rsidRPr="00210A36">
        <w:rPr>
          <w:i/>
        </w:rPr>
        <w:noBreakHyphen/>
      </w:r>
      <w:proofErr w:type="spellStart"/>
      <w:r w:rsidR="00423218" w:rsidRPr="00210A36">
        <w:rPr>
          <w:i/>
        </w:rPr>
        <w:t>France</w:t>
      </w:r>
      <w:proofErr w:type="spellEnd"/>
      <w:r w:rsidR="00423218" w:rsidRPr="00210A36">
        <w:rPr>
          <w:i/>
        </w:rPr>
        <w:t xml:space="preserve"> Major</w:t>
      </w:r>
      <w:r w:rsidRPr="00210A36">
        <w:t>, for the respondent.</w:t>
      </w:r>
      <w:proofErr w:type="gramEnd"/>
    </w:p>
    <w:p w:rsidR="009924DC" w:rsidRPr="00D114E0" w:rsidRDefault="009924DC" w:rsidP="009924DC">
      <w:pPr>
        <w:pStyle w:val="SCCNormalDoubleSpacing"/>
        <w:spacing w:after="480"/>
      </w:pPr>
      <w:r w:rsidRPr="00D114E0">
        <w:tab/>
      </w:r>
      <w:proofErr w:type="gramStart"/>
      <w:r w:rsidR="008169EE">
        <w:t xml:space="preserve">The judgment of Fish, Cromwell, </w:t>
      </w:r>
      <w:proofErr w:type="spellStart"/>
      <w:r w:rsidR="008169EE">
        <w:t>Moldaver</w:t>
      </w:r>
      <w:proofErr w:type="spellEnd"/>
      <w:r w:rsidR="008169EE">
        <w:t xml:space="preserve"> and Wagner JJ.</w:t>
      </w:r>
      <w:proofErr w:type="gramEnd"/>
      <w:r w:rsidR="008169EE">
        <w:t xml:space="preserve"> </w:t>
      </w:r>
      <w:proofErr w:type="gramStart"/>
      <w:r w:rsidR="008169EE">
        <w:t>was</w:t>
      </w:r>
      <w:proofErr w:type="gramEnd"/>
      <w:r w:rsidR="008169EE">
        <w:t xml:space="preserve"> delivered by</w:t>
      </w:r>
    </w:p>
    <w:p w:rsidR="009924DC" w:rsidRPr="00D114E0" w:rsidRDefault="009924DC" w:rsidP="009924DC">
      <w:pPr>
        <w:pStyle w:val="TitleTitre-AltT"/>
        <w:jc w:val="center"/>
      </w:pPr>
      <w:r w:rsidRPr="00D114E0">
        <w:t>I</w:t>
      </w:r>
    </w:p>
    <w:p w:rsidR="009924DC" w:rsidRPr="00D114E0" w:rsidRDefault="008169EE" w:rsidP="009924DC">
      <w:pPr>
        <w:pStyle w:val="ParaNoNdepar-AltN"/>
        <w:rPr>
          <w:rFonts w:cs="Times New Roman"/>
        </w:rPr>
      </w:pPr>
      <w:r w:rsidRPr="008169EE">
        <w:rPr>
          <w:smallCaps/>
        </w:rPr>
        <w:t>Fish J.</w:t>
      </w:r>
      <w:r>
        <w:t xml:space="preserve"> </w:t>
      </w:r>
      <w:r w:rsidRPr="00D114E0">
        <w:t xml:space="preserve">— </w:t>
      </w:r>
      <w:r w:rsidR="009924DC" w:rsidRPr="00D114E0">
        <w:rPr>
          <w:rFonts w:cs="Times New Roman"/>
        </w:rPr>
        <w:t>This appeal from a judgment of the Manitoba Court of Appeal comes to us as of right, pursuant to s. 693(1</w:t>
      </w:r>
      <w:proofErr w:type="gramStart"/>
      <w:r w:rsidR="009924DC" w:rsidRPr="00D114E0">
        <w:rPr>
          <w:rFonts w:cs="Times New Roman"/>
        </w:rPr>
        <w:t>)(</w:t>
      </w:r>
      <w:proofErr w:type="gramEnd"/>
      <w:r w:rsidR="009924DC" w:rsidRPr="00D114E0">
        <w:rPr>
          <w:rFonts w:cs="Times New Roman"/>
          <w:i/>
        </w:rPr>
        <w:t>a</w:t>
      </w:r>
      <w:r w:rsidR="009924DC" w:rsidRPr="00D114E0">
        <w:rPr>
          <w:rFonts w:cs="Times New Roman"/>
        </w:rPr>
        <w:t xml:space="preserve">) of the </w:t>
      </w:r>
      <w:r w:rsidR="009924DC" w:rsidRPr="00D114E0">
        <w:rPr>
          <w:rFonts w:cs="Times New Roman"/>
          <w:i/>
        </w:rPr>
        <w:t>Criminal Code</w:t>
      </w:r>
      <w:r w:rsidR="009924DC" w:rsidRPr="00D114E0">
        <w:rPr>
          <w:rFonts w:cs="Times New Roman"/>
        </w:rPr>
        <w:t xml:space="preserve">. </w:t>
      </w:r>
    </w:p>
    <w:p w:rsidR="009924DC" w:rsidRPr="00D114E0" w:rsidRDefault="009924DC" w:rsidP="009924DC">
      <w:pPr>
        <w:pStyle w:val="ParaNoNdepar-AltN"/>
        <w:rPr>
          <w:rFonts w:cs="Times New Roman"/>
        </w:rPr>
      </w:pPr>
      <w:r w:rsidRPr="00D114E0">
        <w:rPr>
          <w:rFonts w:cs="Times New Roman"/>
        </w:rPr>
        <w:t xml:space="preserve">In virtue of that provision, the Attorney General may appeal to this Court “on any question of law on which a judge of the court of appeal dissents”.  Here, the question is whether the trial judge, in acquitting the respondent Kelly Joseph O’Brien, erred in law as to the </w:t>
      </w:r>
      <w:proofErr w:type="spellStart"/>
      <w:r w:rsidRPr="00D114E0">
        <w:rPr>
          <w:rFonts w:cs="Times New Roman"/>
          <w:i/>
        </w:rPr>
        <w:t>mens</w:t>
      </w:r>
      <w:proofErr w:type="spellEnd"/>
      <w:r w:rsidRPr="00D114E0">
        <w:rPr>
          <w:rFonts w:cs="Times New Roman"/>
          <w:i/>
        </w:rPr>
        <w:t xml:space="preserve"> </w:t>
      </w:r>
      <w:proofErr w:type="spellStart"/>
      <w:r w:rsidRPr="00D114E0">
        <w:rPr>
          <w:rFonts w:cs="Times New Roman"/>
          <w:i/>
        </w:rPr>
        <w:t>rea</w:t>
      </w:r>
      <w:proofErr w:type="spellEnd"/>
      <w:r w:rsidRPr="00D114E0">
        <w:rPr>
          <w:rFonts w:cs="Times New Roman"/>
        </w:rPr>
        <w:t xml:space="preserve"> of the offence with which he was charged.  I agree with the majority in the Court of Appeal that she did not</w:t>
      </w:r>
      <w:r>
        <w:rPr>
          <w:rFonts w:cs="Times New Roman"/>
        </w:rPr>
        <w:t xml:space="preserve"> (2012 MBCA 6, 275 Man. R. (2d) 144)</w:t>
      </w:r>
      <w:r w:rsidRPr="00D114E0">
        <w:rPr>
          <w:rFonts w:cs="Times New Roman"/>
        </w:rPr>
        <w:t>.</w:t>
      </w:r>
    </w:p>
    <w:p w:rsidR="009924DC" w:rsidRPr="00D114E0" w:rsidRDefault="009924DC" w:rsidP="009924DC">
      <w:pPr>
        <w:pStyle w:val="ParaNoNdepar-AltN"/>
        <w:rPr>
          <w:rFonts w:cs="Times New Roman"/>
        </w:rPr>
      </w:pPr>
      <w:r w:rsidRPr="00D114E0">
        <w:rPr>
          <w:rFonts w:cs="Times New Roman"/>
        </w:rPr>
        <w:lastRenderedPageBreak/>
        <w:t>I would therefore dismiss the appeal.</w:t>
      </w:r>
    </w:p>
    <w:p w:rsidR="009924DC" w:rsidRPr="00D114E0" w:rsidRDefault="009924DC" w:rsidP="009924DC">
      <w:pPr>
        <w:pStyle w:val="TitleTitre-AltT"/>
        <w:jc w:val="center"/>
      </w:pPr>
      <w:r w:rsidRPr="00D114E0">
        <w:t>II</w:t>
      </w:r>
    </w:p>
    <w:p w:rsidR="009924DC" w:rsidRPr="00D114E0" w:rsidRDefault="009924DC" w:rsidP="009924DC">
      <w:pPr>
        <w:pStyle w:val="ParaNoNdepar-AltN"/>
        <w:rPr>
          <w:rFonts w:cs="Times New Roman"/>
        </w:rPr>
      </w:pPr>
      <w:r w:rsidRPr="00D114E0">
        <w:rPr>
          <w:rFonts w:cs="Times New Roman"/>
        </w:rPr>
        <w:t xml:space="preserve">The </w:t>
      </w:r>
      <w:r>
        <w:rPr>
          <w:rFonts w:cs="Times New Roman"/>
        </w:rPr>
        <w:t>r</w:t>
      </w:r>
      <w:r w:rsidRPr="00D114E0">
        <w:rPr>
          <w:rFonts w:cs="Times New Roman"/>
        </w:rPr>
        <w:t>espondent was charged with uttering a threat to cause death or bodily harm to another person, contrary to s. 264.1(1</w:t>
      </w:r>
      <w:proofErr w:type="gramStart"/>
      <w:r w:rsidRPr="00D114E0">
        <w:rPr>
          <w:rFonts w:cs="Times New Roman"/>
        </w:rPr>
        <w:t>)(</w:t>
      </w:r>
      <w:proofErr w:type="gramEnd"/>
      <w:r w:rsidRPr="00D114E0">
        <w:rPr>
          <w:rFonts w:cs="Times New Roman"/>
          <w:i/>
        </w:rPr>
        <w:t>a</w:t>
      </w:r>
      <w:r w:rsidRPr="00D114E0">
        <w:rPr>
          <w:rFonts w:cs="Times New Roman"/>
        </w:rPr>
        <w:t xml:space="preserve">) of the </w:t>
      </w:r>
      <w:r w:rsidRPr="00D114E0">
        <w:rPr>
          <w:rFonts w:cs="Times New Roman"/>
          <w:i/>
        </w:rPr>
        <w:t>Criminal Code</w:t>
      </w:r>
      <w:r>
        <w:rPr>
          <w:rFonts w:cs="Times New Roman"/>
        </w:rPr>
        <w:t>,</w:t>
      </w:r>
      <w:r w:rsidRPr="00D114E0">
        <w:rPr>
          <w:rFonts w:cs="Times New Roman"/>
        </w:rPr>
        <w:t xml:space="preserve"> R.S.C. 1985, c</w:t>
      </w:r>
      <w:r>
        <w:rPr>
          <w:rFonts w:cs="Times New Roman"/>
        </w:rPr>
        <w:t xml:space="preserve">. </w:t>
      </w:r>
      <w:r w:rsidRPr="00D114E0">
        <w:rPr>
          <w:rFonts w:cs="Times New Roman"/>
        </w:rPr>
        <w:t>C</w:t>
      </w:r>
      <w:r>
        <w:rPr>
          <w:rFonts w:cs="Times New Roman"/>
        </w:rPr>
        <w:t>-</w:t>
      </w:r>
      <w:r w:rsidRPr="00D114E0">
        <w:rPr>
          <w:rFonts w:cs="Times New Roman"/>
        </w:rPr>
        <w:t xml:space="preserve">46.  </w:t>
      </w:r>
      <w:r>
        <w:rPr>
          <w:rFonts w:cs="Times New Roman"/>
        </w:rPr>
        <w:t xml:space="preserve"> He was charged as well, in a separate count, with threatening to damage that person’s property, contrary to s. 264.1(1</w:t>
      </w:r>
      <w:proofErr w:type="gramStart"/>
      <w:r>
        <w:rPr>
          <w:rFonts w:cs="Times New Roman"/>
        </w:rPr>
        <w:t>)(</w:t>
      </w:r>
      <w:proofErr w:type="gramEnd"/>
      <w:r>
        <w:rPr>
          <w:rFonts w:cs="Times New Roman"/>
          <w:i/>
        </w:rPr>
        <w:t>b</w:t>
      </w:r>
      <w:r>
        <w:rPr>
          <w:rFonts w:cs="Times New Roman"/>
        </w:rPr>
        <w:t>).</w:t>
      </w:r>
    </w:p>
    <w:p w:rsidR="009924DC" w:rsidRPr="00D114E0" w:rsidRDefault="009924DC" w:rsidP="009924DC">
      <w:pPr>
        <w:pStyle w:val="ParaNoNdepar-AltN"/>
        <w:rPr>
          <w:rFonts w:cs="Times New Roman"/>
        </w:rPr>
      </w:pPr>
      <w:r w:rsidRPr="00D114E0">
        <w:rPr>
          <w:rFonts w:cs="Times New Roman"/>
        </w:rPr>
        <w:t xml:space="preserve">In her brief reasons for judgment, delivered orally, the trial judge held ― correctly, in my view ― that the </w:t>
      </w:r>
      <w:proofErr w:type="spellStart"/>
      <w:r w:rsidRPr="00D114E0">
        <w:rPr>
          <w:rFonts w:cs="Times New Roman"/>
          <w:i/>
        </w:rPr>
        <w:t>actus</w:t>
      </w:r>
      <w:proofErr w:type="spellEnd"/>
      <w:r w:rsidRPr="00D114E0">
        <w:rPr>
          <w:rFonts w:cs="Times New Roman"/>
          <w:i/>
        </w:rPr>
        <w:t xml:space="preserve"> </w:t>
      </w:r>
      <w:proofErr w:type="spellStart"/>
      <w:r w:rsidRPr="00D114E0">
        <w:rPr>
          <w:rFonts w:cs="Times New Roman"/>
          <w:i/>
        </w:rPr>
        <w:t>reus</w:t>
      </w:r>
      <w:proofErr w:type="spellEnd"/>
      <w:r w:rsidRPr="00D114E0">
        <w:rPr>
          <w:rFonts w:cs="Times New Roman"/>
        </w:rPr>
        <w:t xml:space="preserve"> of the offence created by s. 264.1(1)(</w:t>
      </w:r>
      <w:r w:rsidRPr="00D114E0">
        <w:rPr>
          <w:rFonts w:cs="Times New Roman"/>
          <w:i/>
        </w:rPr>
        <w:t>a</w:t>
      </w:r>
      <w:r w:rsidRPr="00D114E0">
        <w:rPr>
          <w:rFonts w:cs="Times New Roman"/>
        </w:rPr>
        <w:t xml:space="preserve">) is “the actual speaking or uttering of the threats of death or serious bodily harm”.  And, again correctly, the trial judge held that the </w:t>
      </w:r>
      <w:proofErr w:type="spellStart"/>
      <w:r w:rsidRPr="00D114E0">
        <w:rPr>
          <w:rFonts w:cs="Times New Roman"/>
          <w:i/>
        </w:rPr>
        <w:t>mens</w:t>
      </w:r>
      <w:proofErr w:type="spellEnd"/>
      <w:r w:rsidRPr="00D114E0">
        <w:rPr>
          <w:rFonts w:cs="Times New Roman"/>
          <w:i/>
        </w:rPr>
        <w:t xml:space="preserve"> </w:t>
      </w:r>
      <w:proofErr w:type="spellStart"/>
      <w:r w:rsidRPr="00D114E0">
        <w:rPr>
          <w:rFonts w:cs="Times New Roman"/>
          <w:i/>
        </w:rPr>
        <w:t>rea</w:t>
      </w:r>
      <w:proofErr w:type="spellEnd"/>
      <w:r w:rsidRPr="00D114E0">
        <w:rPr>
          <w:rFonts w:cs="Times New Roman"/>
        </w:rPr>
        <w:t xml:space="preserve"> “is that the words are meant [to convey] a threat.  In other wor</w:t>
      </w:r>
      <w:r w:rsidR="008169EE">
        <w:rPr>
          <w:rFonts w:cs="Times New Roman"/>
        </w:rPr>
        <w:t>ds they are meant to intimidate</w:t>
      </w:r>
      <w:r w:rsidRPr="00D114E0">
        <w:rPr>
          <w:rFonts w:cs="Times New Roman"/>
        </w:rPr>
        <w:t>”</w:t>
      </w:r>
      <w:r w:rsidR="008169EE">
        <w:rPr>
          <w:rFonts w:cs="Times New Roman"/>
        </w:rPr>
        <w:t>.</w:t>
      </w:r>
    </w:p>
    <w:p w:rsidR="009924DC" w:rsidRPr="00D114E0" w:rsidRDefault="009924DC" w:rsidP="009924DC">
      <w:pPr>
        <w:pStyle w:val="ParaNoNdepar-AltN"/>
        <w:rPr>
          <w:rFonts w:cs="Times New Roman"/>
        </w:rPr>
      </w:pPr>
      <w:r w:rsidRPr="00D114E0">
        <w:rPr>
          <w:rFonts w:cs="Times New Roman"/>
        </w:rPr>
        <w:t>This understanding of the essential elements of a charge under s.</w:t>
      </w:r>
      <w:r>
        <w:rPr>
          <w:rFonts w:cs="Times New Roman"/>
        </w:rPr>
        <w:t> </w:t>
      </w:r>
      <w:r w:rsidRPr="00D114E0">
        <w:rPr>
          <w:rFonts w:cs="Times New Roman"/>
        </w:rPr>
        <w:t>264.1(1</w:t>
      </w:r>
      <w:proofErr w:type="gramStart"/>
      <w:r w:rsidRPr="00D114E0">
        <w:rPr>
          <w:rFonts w:cs="Times New Roman"/>
        </w:rPr>
        <w:t>)(</w:t>
      </w:r>
      <w:proofErr w:type="gramEnd"/>
      <w:r w:rsidRPr="00D114E0">
        <w:rPr>
          <w:rFonts w:cs="Times New Roman"/>
          <w:i/>
        </w:rPr>
        <w:t>a</w:t>
      </w:r>
      <w:r w:rsidRPr="00D114E0">
        <w:rPr>
          <w:rFonts w:cs="Times New Roman"/>
        </w:rPr>
        <w:t xml:space="preserve">) conforms fully with the governing decisions of this Court. </w:t>
      </w:r>
    </w:p>
    <w:p w:rsidR="009924DC" w:rsidRPr="00D114E0" w:rsidRDefault="009924DC" w:rsidP="009924DC">
      <w:pPr>
        <w:pStyle w:val="ParaNoNdepar-AltN"/>
        <w:rPr>
          <w:rFonts w:cs="Times New Roman"/>
        </w:rPr>
      </w:pPr>
      <w:r w:rsidRPr="00D114E0">
        <w:rPr>
          <w:rFonts w:cs="Times New Roman"/>
        </w:rPr>
        <w:t xml:space="preserve">Speaking for the Court in </w:t>
      </w:r>
      <w:r w:rsidRPr="00D114E0">
        <w:rPr>
          <w:rFonts w:cs="Times New Roman"/>
          <w:i/>
        </w:rPr>
        <w:t>R. v. Clemente</w:t>
      </w:r>
      <w:r w:rsidRPr="00D114E0">
        <w:rPr>
          <w:rFonts w:cs="Times New Roman"/>
        </w:rPr>
        <w:t>, [1994] 2 S.C.R. 758, at p. 76</w:t>
      </w:r>
      <w:r>
        <w:rPr>
          <w:rFonts w:cs="Times New Roman"/>
        </w:rPr>
        <w:t>3</w:t>
      </w:r>
      <w:r w:rsidRPr="00D114E0">
        <w:rPr>
          <w:rFonts w:cs="Times New Roman"/>
        </w:rPr>
        <w:t>, Cory J. stated:</w:t>
      </w:r>
    </w:p>
    <w:p w:rsidR="009924DC" w:rsidRDefault="008169EE" w:rsidP="008169EE">
      <w:pPr>
        <w:pStyle w:val="Citation-AltC"/>
        <w:tabs>
          <w:tab w:val="left" w:pos="1440"/>
        </w:tabs>
        <w:ind w:hanging="1166"/>
      </w:pPr>
      <w:r>
        <w:tab/>
      </w:r>
      <w:r>
        <w:tab/>
      </w:r>
      <w:r w:rsidR="009924DC" w:rsidRPr="00D114E0">
        <w:t xml:space="preserve">Under the present section the </w:t>
      </w:r>
      <w:proofErr w:type="spellStart"/>
      <w:r w:rsidR="009924DC" w:rsidRPr="00D114E0">
        <w:rPr>
          <w:i/>
        </w:rPr>
        <w:t>actus</w:t>
      </w:r>
      <w:proofErr w:type="spellEnd"/>
      <w:r w:rsidR="009924DC" w:rsidRPr="00D114E0">
        <w:rPr>
          <w:i/>
        </w:rPr>
        <w:t xml:space="preserve"> </w:t>
      </w:r>
      <w:proofErr w:type="spellStart"/>
      <w:proofErr w:type="gramStart"/>
      <w:r w:rsidR="009924DC" w:rsidRPr="00D114E0">
        <w:rPr>
          <w:i/>
        </w:rPr>
        <w:t>reus</w:t>
      </w:r>
      <w:proofErr w:type="spellEnd"/>
      <w:proofErr w:type="gramEnd"/>
      <w:r w:rsidR="009924DC" w:rsidRPr="00D114E0">
        <w:t xml:space="preserve"> of the offence is the uttering of threats of death or serious bodily harm. The </w:t>
      </w:r>
      <w:proofErr w:type="spellStart"/>
      <w:r w:rsidR="009924DC" w:rsidRPr="00D114E0">
        <w:rPr>
          <w:i/>
        </w:rPr>
        <w:t>mens</w:t>
      </w:r>
      <w:proofErr w:type="spellEnd"/>
      <w:r w:rsidR="009924DC" w:rsidRPr="00D114E0">
        <w:rPr>
          <w:i/>
        </w:rPr>
        <w:t xml:space="preserve"> </w:t>
      </w:r>
      <w:proofErr w:type="spellStart"/>
      <w:r w:rsidR="009924DC" w:rsidRPr="00D114E0">
        <w:rPr>
          <w:i/>
        </w:rPr>
        <w:t>rea</w:t>
      </w:r>
      <w:proofErr w:type="spellEnd"/>
      <w:r w:rsidR="009924DC" w:rsidRPr="00D114E0">
        <w:t xml:space="preserve"> is that the words be spoken or written as a threat to cause death or serious bodily harm; that is, they were meant to intimidate or to be taken seriously.</w:t>
      </w:r>
      <w:r w:rsidR="009924DC">
        <w:t xml:space="preserve"> [Emphasis deleted.]</w:t>
      </w:r>
    </w:p>
    <w:p w:rsidR="009924DC" w:rsidRPr="00D114E0" w:rsidRDefault="009924DC" w:rsidP="009924DC">
      <w:pPr>
        <w:pStyle w:val="ContinueParaSuitedupar-AltP"/>
      </w:pPr>
      <w:r w:rsidRPr="00D114E0">
        <w:lastRenderedPageBreak/>
        <w:t>See, to the same effect,</w:t>
      </w:r>
      <w:r w:rsidRPr="00D114E0">
        <w:rPr>
          <w:i/>
        </w:rPr>
        <w:t xml:space="preserve"> R. v. </w:t>
      </w:r>
      <w:proofErr w:type="spellStart"/>
      <w:r w:rsidRPr="00D114E0">
        <w:rPr>
          <w:i/>
        </w:rPr>
        <w:t>McCraw</w:t>
      </w:r>
      <w:proofErr w:type="spellEnd"/>
      <w:r w:rsidRPr="00D114E0">
        <w:t>, [1991] 3 S.C.R. 72, at p. 82.</w:t>
      </w:r>
    </w:p>
    <w:p w:rsidR="009924DC" w:rsidRPr="00D114E0" w:rsidRDefault="009924DC" w:rsidP="009924DC">
      <w:pPr>
        <w:pStyle w:val="ParaNoNdepar-AltN"/>
        <w:rPr>
          <w:rFonts w:cs="Times New Roman"/>
        </w:rPr>
      </w:pPr>
      <w:r w:rsidRPr="00D114E0">
        <w:rPr>
          <w:rFonts w:cs="Times New Roman"/>
        </w:rPr>
        <w:t xml:space="preserve">Moreover, before rendering judgment, the trial judge took care to recess the proceedings for the express purpose of reviewing the decision of this </w:t>
      </w:r>
      <w:r>
        <w:rPr>
          <w:rFonts w:cs="Times New Roman"/>
        </w:rPr>
        <w:t>C</w:t>
      </w:r>
      <w:r w:rsidRPr="00D114E0">
        <w:rPr>
          <w:rFonts w:cs="Times New Roman"/>
        </w:rPr>
        <w:t xml:space="preserve">ourt in </w:t>
      </w:r>
      <w:r w:rsidRPr="00D114E0">
        <w:rPr>
          <w:rFonts w:cs="Times New Roman"/>
          <w:i/>
        </w:rPr>
        <w:t>Clemente</w:t>
      </w:r>
      <w:r w:rsidRPr="00D114E0">
        <w:rPr>
          <w:rFonts w:cs="Times New Roman"/>
        </w:rPr>
        <w:t>.  In her reasons for judgment, as I have already mentioned, she then proceeded to set out her understanding of the law in full conformity with that decision.</w:t>
      </w:r>
    </w:p>
    <w:p w:rsidR="009924DC" w:rsidRPr="00D114E0" w:rsidRDefault="009924DC" w:rsidP="009924DC">
      <w:pPr>
        <w:pStyle w:val="TitleTitre-AltT"/>
        <w:jc w:val="center"/>
      </w:pPr>
      <w:r w:rsidRPr="00D114E0">
        <w:t>III</w:t>
      </w:r>
    </w:p>
    <w:p w:rsidR="009924DC" w:rsidRPr="00D114E0" w:rsidRDefault="009924DC" w:rsidP="009924DC">
      <w:pPr>
        <w:pStyle w:val="ParaNoNdepar-AltN"/>
        <w:rPr>
          <w:rFonts w:cs="Times New Roman"/>
        </w:rPr>
      </w:pPr>
      <w:r w:rsidRPr="00D114E0">
        <w:rPr>
          <w:rFonts w:cs="Times New Roman"/>
        </w:rPr>
        <w:t>At no point in her reasons did the trial judge state, as the Crown contends, that she was acquitting the accused solely because the recipient of the threat</w:t>
      </w:r>
      <w:r w:rsidR="008169EE">
        <w:rPr>
          <w:rFonts w:cs="Times New Roman"/>
        </w:rPr>
        <w:t xml:space="preserve">s did not take them seriously. </w:t>
      </w:r>
    </w:p>
    <w:p w:rsidR="009924DC" w:rsidRPr="00D114E0" w:rsidRDefault="009924DC" w:rsidP="009924DC">
      <w:pPr>
        <w:pStyle w:val="ParaNoNdepar-AltN"/>
        <w:rPr>
          <w:rFonts w:cs="Times New Roman"/>
        </w:rPr>
      </w:pPr>
      <w:r w:rsidRPr="00D114E0">
        <w:rPr>
          <w:rFonts w:cs="Times New Roman"/>
        </w:rPr>
        <w:t xml:space="preserve">Rather, after setting out the law correctly, the trial judge quite properly felt bound “to consider the words [uttered by Mr. O’Brien] in the context of the evidence </w:t>
      </w:r>
      <w:r>
        <w:rPr>
          <w:rFonts w:cs="Times New Roman"/>
        </w:rPr>
        <w:t xml:space="preserve">of </w:t>
      </w:r>
      <w:r w:rsidRPr="00D114E0">
        <w:rPr>
          <w:rFonts w:cs="Times New Roman"/>
        </w:rPr>
        <w:t xml:space="preserve">[the person to whom they were directed]”.  That evidence was relevant and therefore admissible for the purpose of assessing the context in which the words were spoken. </w:t>
      </w:r>
    </w:p>
    <w:p w:rsidR="009924DC" w:rsidRPr="00D114E0" w:rsidRDefault="009924DC" w:rsidP="009924DC">
      <w:pPr>
        <w:pStyle w:val="ParaNoNdepar-AltN"/>
        <w:rPr>
          <w:rFonts w:cs="Times New Roman"/>
        </w:rPr>
      </w:pPr>
      <w:r w:rsidRPr="00D114E0">
        <w:rPr>
          <w:rFonts w:cs="Times New Roman"/>
        </w:rPr>
        <w:t xml:space="preserve">As Cory J. explained in </w:t>
      </w:r>
      <w:r w:rsidRPr="00D114E0">
        <w:rPr>
          <w:rFonts w:cs="Times New Roman"/>
          <w:i/>
        </w:rPr>
        <w:t>Clemente</w:t>
      </w:r>
      <w:r w:rsidRPr="00D114E0">
        <w:rPr>
          <w:rFonts w:cs="Times New Roman"/>
        </w:rPr>
        <w:t xml:space="preserve">, at p. </w:t>
      </w:r>
      <w:r>
        <w:rPr>
          <w:rFonts w:cs="Times New Roman"/>
        </w:rPr>
        <w:t>762</w:t>
      </w:r>
      <w:r w:rsidRPr="00D114E0">
        <w:rPr>
          <w:rFonts w:cs="Times New Roman"/>
        </w:rPr>
        <w:t>:</w:t>
      </w:r>
    </w:p>
    <w:p w:rsidR="009924DC" w:rsidRPr="00D114E0" w:rsidRDefault="008169EE" w:rsidP="008169EE">
      <w:pPr>
        <w:pStyle w:val="Citation-AltC"/>
        <w:tabs>
          <w:tab w:val="left" w:pos="1440"/>
        </w:tabs>
        <w:ind w:hanging="1166"/>
      </w:pPr>
      <w:r>
        <w:tab/>
      </w:r>
      <w:r>
        <w:tab/>
      </w:r>
      <w:r w:rsidR="009924DC" w:rsidRPr="00D114E0">
        <w:t>.</w:t>
      </w:r>
      <w:r w:rsidR="009924DC">
        <w:t xml:space="preserve"> </w:t>
      </w:r>
      <w:r w:rsidR="009924DC" w:rsidRPr="00D114E0">
        <w:t>.</w:t>
      </w:r>
      <w:r w:rsidR="009924DC">
        <w:t xml:space="preserve"> </w:t>
      </w:r>
      <w:r w:rsidR="009924DC" w:rsidRPr="00D114E0">
        <w:t xml:space="preserve">. </w:t>
      </w:r>
      <w:proofErr w:type="gramStart"/>
      <w:r w:rsidR="009924DC" w:rsidRPr="00D114E0">
        <w:t>the</w:t>
      </w:r>
      <w:proofErr w:type="gramEnd"/>
      <w:r w:rsidR="009924DC" w:rsidRPr="00D114E0">
        <w:t xml:space="preserve"> question of whether the accused had the intent to intimidate, or that his words were meant to be taken seriously will, in the absence of any explanation by the accused, usually be determined by the words used, </w:t>
      </w:r>
      <w:r w:rsidR="009924DC" w:rsidRPr="00D114E0">
        <w:lastRenderedPageBreak/>
        <w:t>the context in which they were spoken, and the person to whom they were directed.</w:t>
      </w:r>
    </w:p>
    <w:p w:rsidR="009924DC" w:rsidRPr="00D114E0" w:rsidRDefault="009924DC" w:rsidP="009924DC">
      <w:pPr>
        <w:pStyle w:val="ParaNoNdepar-AltN"/>
        <w:rPr>
          <w:rFonts w:cs="Times New Roman"/>
        </w:rPr>
      </w:pPr>
      <w:r w:rsidRPr="00D114E0">
        <w:rPr>
          <w:rFonts w:cs="Times New Roman"/>
        </w:rPr>
        <w:t xml:space="preserve">Manifestly, the trial judge asked herself the right question.  Her answer was that the evidence left her with a reasonable doubt whether Mr. O’Brien had acted with the requisite </w:t>
      </w:r>
      <w:proofErr w:type="spellStart"/>
      <w:r w:rsidRPr="00D114E0">
        <w:rPr>
          <w:rFonts w:cs="Times New Roman"/>
          <w:i/>
        </w:rPr>
        <w:t>mens</w:t>
      </w:r>
      <w:proofErr w:type="spellEnd"/>
      <w:r w:rsidRPr="00D114E0">
        <w:rPr>
          <w:rFonts w:cs="Times New Roman"/>
          <w:i/>
        </w:rPr>
        <w:t xml:space="preserve"> </w:t>
      </w:r>
      <w:proofErr w:type="spellStart"/>
      <w:r w:rsidRPr="00D114E0">
        <w:rPr>
          <w:rFonts w:cs="Times New Roman"/>
          <w:i/>
        </w:rPr>
        <w:t>rea</w:t>
      </w:r>
      <w:proofErr w:type="spellEnd"/>
      <w:r w:rsidRPr="00D114E0">
        <w:rPr>
          <w:rFonts w:cs="Times New Roman"/>
        </w:rPr>
        <w:t xml:space="preserve"> of the offence with which he was charged.  And she entered an acquittal for that reason.</w:t>
      </w:r>
    </w:p>
    <w:p w:rsidR="009924DC" w:rsidRPr="00D114E0" w:rsidRDefault="009924DC" w:rsidP="009924DC">
      <w:pPr>
        <w:pStyle w:val="TitleTitre-AltT"/>
        <w:jc w:val="center"/>
      </w:pPr>
      <w:r w:rsidRPr="00D114E0">
        <w:t>IV</w:t>
      </w:r>
    </w:p>
    <w:p w:rsidR="009924DC" w:rsidRPr="00D114E0" w:rsidRDefault="009924DC" w:rsidP="009924DC">
      <w:pPr>
        <w:pStyle w:val="ParaNoNdepar-AltN"/>
        <w:rPr>
          <w:rFonts w:cs="Times New Roman"/>
        </w:rPr>
      </w:pPr>
      <w:r w:rsidRPr="00D114E0">
        <w:rPr>
          <w:rFonts w:cs="Times New Roman"/>
        </w:rPr>
        <w:t>I agree with the Crown that it is not an essential element of the offence under s. 264.1(1</w:t>
      </w:r>
      <w:proofErr w:type="gramStart"/>
      <w:r w:rsidRPr="00D114E0">
        <w:rPr>
          <w:rFonts w:cs="Times New Roman"/>
        </w:rPr>
        <w:t>)(</w:t>
      </w:r>
      <w:proofErr w:type="gramEnd"/>
      <w:r w:rsidRPr="00D114E0">
        <w:rPr>
          <w:rFonts w:cs="Times New Roman"/>
          <w:i/>
        </w:rPr>
        <w:t>a</w:t>
      </w:r>
      <w:r w:rsidRPr="00D114E0">
        <w:rPr>
          <w:rFonts w:cs="Times New Roman"/>
        </w:rPr>
        <w:t xml:space="preserve">) that the recipient of the threats uttered by the accused feel intimidated by them or be shown to have taken them seriously.  All that needs to be proven is that they were </w:t>
      </w:r>
      <w:r w:rsidRPr="00D114E0">
        <w:rPr>
          <w:rFonts w:cs="Times New Roman"/>
          <w:i/>
        </w:rPr>
        <w:t>intended by the accused to have that effect</w:t>
      </w:r>
      <w:r w:rsidRPr="00D114E0">
        <w:rPr>
          <w:rFonts w:cs="Times New Roman"/>
        </w:rPr>
        <w:t xml:space="preserve">. </w:t>
      </w:r>
    </w:p>
    <w:p w:rsidR="009924DC" w:rsidRPr="00D114E0" w:rsidRDefault="009924DC" w:rsidP="009924DC">
      <w:pPr>
        <w:pStyle w:val="ParaNoNdepar-AltN"/>
        <w:rPr>
          <w:rFonts w:cs="Times New Roman"/>
        </w:rPr>
      </w:pPr>
      <w:r w:rsidRPr="00D114E0">
        <w:rPr>
          <w:rFonts w:cs="Times New Roman"/>
        </w:rPr>
        <w:t>Here, the trial judge was left with a reasonable doubt in that regard.  Another judge might well have decided otherwise, but for the reasons given, I am not persuaded that the trial judge committed the error of law imputed to her by the Crown in concluding as she did.</w:t>
      </w:r>
    </w:p>
    <w:p w:rsidR="009924DC" w:rsidRPr="009924DC" w:rsidRDefault="009924DC" w:rsidP="009924DC">
      <w:pPr>
        <w:pStyle w:val="ParaNoNdepar-AltN"/>
      </w:pPr>
      <w:r w:rsidRPr="00D114E0">
        <w:rPr>
          <w:rFonts w:cs="Times New Roman"/>
        </w:rPr>
        <w:t>I would therefore dismiss the appeal.</w:t>
      </w:r>
    </w:p>
    <w:p w:rsidR="009924DC" w:rsidRPr="009924DC" w:rsidRDefault="008169EE" w:rsidP="008169EE">
      <w:pPr>
        <w:pStyle w:val="ParaNoNdepar-AltN"/>
        <w:numPr>
          <w:ilvl w:val="0"/>
          <w:numId w:val="0"/>
        </w:numPr>
        <w:tabs>
          <w:tab w:val="left" w:pos="1170"/>
        </w:tabs>
      </w:pPr>
      <w:r>
        <w:tab/>
      </w:r>
      <w:proofErr w:type="gramStart"/>
      <w:r>
        <w:t xml:space="preserve">The reasons of McLachlin C.J. and </w:t>
      </w:r>
      <w:proofErr w:type="spellStart"/>
      <w:r>
        <w:t>Abella</w:t>
      </w:r>
      <w:proofErr w:type="spellEnd"/>
      <w:r>
        <w:t xml:space="preserve"> and Rothstein JJ.</w:t>
      </w:r>
      <w:proofErr w:type="gramEnd"/>
      <w:r>
        <w:t xml:space="preserve"> </w:t>
      </w:r>
      <w:proofErr w:type="gramStart"/>
      <w:r>
        <w:t>w</w:t>
      </w:r>
      <w:r w:rsidR="00804E12">
        <w:t>ere</w:t>
      </w:r>
      <w:proofErr w:type="gramEnd"/>
      <w:r w:rsidR="00804E12">
        <w:t xml:space="preserve"> </w:t>
      </w:r>
      <w:r>
        <w:t>delivered by</w:t>
      </w:r>
    </w:p>
    <w:p w:rsidR="009924DC" w:rsidRPr="0086012E" w:rsidRDefault="009924DC" w:rsidP="009924DC">
      <w:pPr>
        <w:pStyle w:val="ParaNoNdepar-AltN"/>
        <w:tabs>
          <w:tab w:val="clear" w:pos="1166"/>
          <w:tab w:val="num" w:pos="1152"/>
        </w:tabs>
        <w:rPr>
          <w:rFonts w:cs="Times New Roman"/>
        </w:rPr>
      </w:pPr>
      <w:r w:rsidRPr="009924DC">
        <w:rPr>
          <w:smallCaps/>
        </w:rPr>
        <w:lastRenderedPageBreak/>
        <w:t>Rothstein J.</w:t>
      </w:r>
      <w:r w:rsidRPr="0086012E">
        <w:t xml:space="preserve"> </w:t>
      </w:r>
      <w:r w:rsidR="008169EE">
        <w:t xml:space="preserve">(dissenting) </w:t>
      </w:r>
      <w:r w:rsidRPr="0086012E">
        <w:t xml:space="preserve">— </w:t>
      </w:r>
      <w:r>
        <w:t xml:space="preserve"> </w:t>
      </w:r>
      <w:r w:rsidRPr="0086012E">
        <w:rPr>
          <w:rFonts w:cs="Times New Roman"/>
        </w:rPr>
        <w:t xml:space="preserve">Kelly O’Brien was charged with two counts of uttering threats contrary to s. 264.1(1) of the </w:t>
      </w:r>
      <w:r w:rsidRPr="0086012E">
        <w:rPr>
          <w:rFonts w:cs="Times New Roman"/>
          <w:i/>
        </w:rPr>
        <w:t>Criminal Code</w:t>
      </w:r>
      <w:r w:rsidRPr="0086012E">
        <w:rPr>
          <w:rFonts w:cs="Times New Roman"/>
        </w:rPr>
        <w:t>,</w:t>
      </w:r>
      <w:r w:rsidRPr="0086012E">
        <w:rPr>
          <w:rFonts w:cs="Times New Roman"/>
          <w:i/>
        </w:rPr>
        <w:t xml:space="preserve"> </w:t>
      </w:r>
      <w:r w:rsidRPr="0086012E">
        <w:rPr>
          <w:rFonts w:cs="Times New Roman"/>
          <w:szCs w:val="24"/>
        </w:rPr>
        <w:t>R.S.C. 1985, c. C-46,</w:t>
      </w:r>
      <w:r w:rsidRPr="0086012E">
        <w:rPr>
          <w:rFonts w:cs="Times New Roman"/>
        </w:rPr>
        <w:t xml:space="preserve"> and two counts of breach of probation. </w:t>
      </w:r>
    </w:p>
    <w:p w:rsidR="009924DC" w:rsidRPr="0086012E" w:rsidRDefault="009924DC" w:rsidP="009924DC">
      <w:pPr>
        <w:pStyle w:val="ParaNoNdepar-AltN"/>
        <w:tabs>
          <w:tab w:val="clear" w:pos="1166"/>
          <w:tab w:val="num" w:pos="1152"/>
        </w:tabs>
        <w:rPr>
          <w:rFonts w:cs="Times New Roman"/>
        </w:rPr>
      </w:pPr>
      <w:r w:rsidRPr="0086012E">
        <w:rPr>
          <w:rFonts w:cs="Times New Roman"/>
        </w:rPr>
        <w:t xml:space="preserve">The charges arose as a result of statements made by Mr. O’Brien during a telephone call to his ex-girlfriend, Ms. W, while he was incarcerated. Ms. W was pregnant with his child and was planning to have an abortion because she suspected him of having had an affair with another woman. Mr. O’Brien told Ms. W that he would kill her if she went through with the abortion. </w:t>
      </w:r>
    </w:p>
    <w:p w:rsidR="009924DC" w:rsidRPr="0086012E" w:rsidRDefault="009924DC" w:rsidP="009924DC">
      <w:pPr>
        <w:pStyle w:val="ParaNoNdepar-AltN"/>
        <w:tabs>
          <w:tab w:val="clear" w:pos="1166"/>
          <w:tab w:val="num" w:pos="1152"/>
        </w:tabs>
        <w:rPr>
          <w:rFonts w:cs="Times New Roman"/>
        </w:rPr>
      </w:pPr>
      <w:r w:rsidRPr="0086012E">
        <w:rPr>
          <w:rFonts w:cs="Times New Roman"/>
        </w:rPr>
        <w:t xml:space="preserve">The </w:t>
      </w:r>
      <w:proofErr w:type="spellStart"/>
      <w:r w:rsidRPr="0086012E">
        <w:rPr>
          <w:rFonts w:cs="Times New Roman"/>
          <w:i/>
        </w:rPr>
        <w:t>actus</w:t>
      </w:r>
      <w:proofErr w:type="spellEnd"/>
      <w:r w:rsidRPr="0086012E">
        <w:rPr>
          <w:rFonts w:cs="Times New Roman"/>
          <w:i/>
        </w:rPr>
        <w:t xml:space="preserve"> </w:t>
      </w:r>
      <w:proofErr w:type="spellStart"/>
      <w:proofErr w:type="gramStart"/>
      <w:r w:rsidRPr="0086012E">
        <w:rPr>
          <w:rFonts w:cs="Times New Roman"/>
          <w:i/>
        </w:rPr>
        <w:t>reus</w:t>
      </w:r>
      <w:proofErr w:type="spellEnd"/>
      <w:proofErr w:type="gramEnd"/>
      <w:r w:rsidRPr="0086012E">
        <w:rPr>
          <w:rFonts w:cs="Times New Roman"/>
          <w:i/>
        </w:rPr>
        <w:t xml:space="preserve"> </w:t>
      </w:r>
      <w:r w:rsidRPr="0086012E">
        <w:rPr>
          <w:rFonts w:cs="Times New Roman"/>
        </w:rPr>
        <w:t xml:space="preserve">of uttering threats has been conceded by Mr. O’Brien and is not in issue in this appeal. The only issue before this Court is whether the trial judge properly assessed the </w:t>
      </w:r>
      <w:proofErr w:type="spellStart"/>
      <w:r w:rsidRPr="0086012E">
        <w:rPr>
          <w:rFonts w:cs="Times New Roman"/>
          <w:i/>
        </w:rPr>
        <w:t>mens</w:t>
      </w:r>
      <w:proofErr w:type="spellEnd"/>
      <w:r w:rsidRPr="0086012E">
        <w:rPr>
          <w:rFonts w:cs="Times New Roman"/>
          <w:i/>
        </w:rPr>
        <w:t xml:space="preserve"> </w:t>
      </w:r>
      <w:proofErr w:type="spellStart"/>
      <w:r w:rsidRPr="0086012E">
        <w:rPr>
          <w:rFonts w:cs="Times New Roman"/>
          <w:i/>
        </w:rPr>
        <w:t>rea</w:t>
      </w:r>
      <w:proofErr w:type="spellEnd"/>
      <w:r w:rsidRPr="0086012E">
        <w:rPr>
          <w:rFonts w:cs="Times New Roman"/>
          <w:i/>
        </w:rPr>
        <w:t xml:space="preserve"> </w:t>
      </w:r>
      <w:r w:rsidRPr="0086012E">
        <w:rPr>
          <w:rFonts w:cs="Times New Roman"/>
        </w:rPr>
        <w:t xml:space="preserve">of the offence of uttering threats. </w:t>
      </w:r>
    </w:p>
    <w:p w:rsidR="009924DC" w:rsidRPr="0086012E" w:rsidRDefault="009924DC" w:rsidP="009924DC">
      <w:pPr>
        <w:pStyle w:val="ParaNoNdepar-AltN"/>
        <w:tabs>
          <w:tab w:val="clear" w:pos="1166"/>
          <w:tab w:val="num" w:pos="1152"/>
        </w:tabs>
        <w:rPr>
          <w:rFonts w:cs="Times New Roman"/>
        </w:rPr>
      </w:pPr>
      <w:r w:rsidRPr="0086012E">
        <w:rPr>
          <w:rFonts w:cs="Times New Roman"/>
        </w:rPr>
        <w:t xml:space="preserve">At trial, Mr. O’Brien’s counsel submitted that if “at the end of the day [the recipient of the threats] simply just didn’t feel </w:t>
      </w:r>
      <w:proofErr w:type="gramStart"/>
      <w:r w:rsidRPr="0086012E">
        <w:rPr>
          <w:rFonts w:cs="Times New Roman"/>
        </w:rPr>
        <w:t>threatened .</w:t>
      </w:r>
      <w:proofErr w:type="gramEnd"/>
      <w:r w:rsidRPr="0086012E">
        <w:rPr>
          <w:rFonts w:cs="Times New Roman"/>
        </w:rPr>
        <w:t xml:space="preserve"> . . just didn’t feel scared it’s my respectful submission that the offence at law has not been made out” (A.R., at p. 57). On the other hand, the Crown submitted that “in </w:t>
      </w:r>
      <w:proofErr w:type="gramStart"/>
      <w:r w:rsidRPr="0086012E">
        <w:rPr>
          <w:rFonts w:cs="Times New Roman"/>
        </w:rPr>
        <w:t>law .</w:t>
      </w:r>
      <w:proofErr w:type="gramEnd"/>
      <w:r w:rsidRPr="0086012E">
        <w:rPr>
          <w:rFonts w:cs="Times New Roman"/>
        </w:rPr>
        <w:t xml:space="preserve"> . . it matters not that the words were not taken seriously” (A.R., at p. 57). </w:t>
      </w:r>
    </w:p>
    <w:p w:rsidR="009924DC" w:rsidRPr="0086012E" w:rsidRDefault="009924DC" w:rsidP="009924DC">
      <w:pPr>
        <w:pStyle w:val="ParaNoNdepar-AltN"/>
        <w:tabs>
          <w:tab w:val="clear" w:pos="1166"/>
          <w:tab w:val="num" w:pos="1152"/>
        </w:tabs>
        <w:rPr>
          <w:rFonts w:cs="Times New Roman"/>
        </w:rPr>
      </w:pPr>
      <w:r w:rsidRPr="0086012E">
        <w:rPr>
          <w:rFonts w:cs="Times New Roman"/>
        </w:rPr>
        <w:t xml:space="preserve"> The learned trial judge, referring to </w:t>
      </w:r>
      <w:r w:rsidRPr="0086012E">
        <w:rPr>
          <w:rFonts w:cs="Times New Roman"/>
          <w:i/>
        </w:rPr>
        <w:t>R. v.</w:t>
      </w:r>
      <w:r w:rsidRPr="0086012E">
        <w:rPr>
          <w:rFonts w:cs="Times New Roman"/>
        </w:rPr>
        <w:t xml:space="preserve"> </w:t>
      </w:r>
      <w:r w:rsidRPr="0086012E">
        <w:rPr>
          <w:rFonts w:cs="Times New Roman"/>
          <w:i/>
        </w:rPr>
        <w:t>Clemente</w:t>
      </w:r>
      <w:r w:rsidRPr="0086012E">
        <w:rPr>
          <w:rFonts w:cs="Times New Roman"/>
        </w:rPr>
        <w:t xml:space="preserve">, [1994] 2 S.C.R. 758, said in the course of argument that while “the comments have to be uttered with the intent to intimidate or </w:t>
      </w:r>
      <w:proofErr w:type="gramStart"/>
      <w:r w:rsidRPr="0086012E">
        <w:rPr>
          <w:rFonts w:cs="Times New Roman"/>
        </w:rPr>
        <w:t>instill .</w:t>
      </w:r>
      <w:proofErr w:type="gramEnd"/>
      <w:r w:rsidRPr="0086012E">
        <w:rPr>
          <w:rFonts w:cs="Times New Roman"/>
        </w:rPr>
        <w:t xml:space="preserve"> . . fear. . . . The case also indicates that such threats </w:t>
      </w:r>
      <w:r w:rsidRPr="0086012E">
        <w:rPr>
          <w:rFonts w:cs="Times New Roman"/>
        </w:rPr>
        <w:lastRenderedPageBreak/>
        <w:t xml:space="preserve">have to be taken seriously” (A.R., at p. 59). The trial judge then retired to review </w:t>
      </w:r>
      <w:r w:rsidRPr="0086012E">
        <w:rPr>
          <w:rFonts w:cs="Times New Roman"/>
          <w:i/>
        </w:rPr>
        <w:t>Clemente</w:t>
      </w:r>
      <w:r w:rsidRPr="0086012E">
        <w:rPr>
          <w:rFonts w:cs="Times New Roman"/>
        </w:rPr>
        <w:t>.</w:t>
      </w:r>
    </w:p>
    <w:p w:rsidR="009924DC" w:rsidRPr="0086012E" w:rsidRDefault="009924DC" w:rsidP="009924DC">
      <w:pPr>
        <w:pStyle w:val="ParaNoNdepar-AltN"/>
        <w:tabs>
          <w:tab w:val="clear" w:pos="1166"/>
          <w:tab w:val="num" w:pos="1152"/>
        </w:tabs>
        <w:rPr>
          <w:rFonts w:cs="Times New Roman"/>
        </w:rPr>
      </w:pPr>
      <w:r w:rsidRPr="0086012E">
        <w:rPr>
          <w:rFonts w:cs="Times New Roman"/>
        </w:rPr>
        <w:t xml:space="preserve">After a short adjournment, she returned to the courtroom to deliver her oral reasons. In dealing with the mental element, the trial judge stated that she had a reasonable doubt about “the </w:t>
      </w:r>
      <w:proofErr w:type="spellStart"/>
      <w:r w:rsidRPr="0086012E">
        <w:rPr>
          <w:rFonts w:cs="Times New Roman"/>
          <w:i/>
        </w:rPr>
        <w:t>mens</w:t>
      </w:r>
      <w:proofErr w:type="spellEnd"/>
      <w:r w:rsidRPr="0086012E">
        <w:rPr>
          <w:rFonts w:cs="Times New Roman"/>
          <w:i/>
        </w:rPr>
        <w:t xml:space="preserve"> </w:t>
      </w:r>
      <w:proofErr w:type="spellStart"/>
      <w:r w:rsidRPr="0086012E">
        <w:rPr>
          <w:rFonts w:cs="Times New Roman"/>
          <w:i/>
        </w:rPr>
        <w:t>rea</w:t>
      </w:r>
      <w:proofErr w:type="spellEnd"/>
      <w:r w:rsidRPr="0086012E">
        <w:rPr>
          <w:rFonts w:cs="Times New Roman"/>
        </w:rPr>
        <w:t xml:space="preserve"> of the offence because of the evidence of Ms. [W], the fact she did not take [the threats] seriously” (A.R., at p. 4).</w:t>
      </w:r>
    </w:p>
    <w:p w:rsidR="009924DC" w:rsidRPr="0086012E" w:rsidRDefault="009924DC" w:rsidP="009924DC">
      <w:pPr>
        <w:pStyle w:val="ParaNoNdepar-AltN"/>
        <w:tabs>
          <w:tab w:val="clear" w:pos="1166"/>
          <w:tab w:val="num" w:pos="1152"/>
        </w:tabs>
        <w:rPr>
          <w:rFonts w:cs="Times New Roman"/>
        </w:rPr>
      </w:pPr>
      <w:r w:rsidRPr="0086012E">
        <w:rPr>
          <w:rFonts w:cs="Times New Roman"/>
        </w:rPr>
        <w:t>Respectfully, the trial judge’s holding misinterprets the</w:t>
      </w:r>
      <w:r w:rsidRPr="0086012E">
        <w:rPr>
          <w:rFonts w:cs="Times New Roman"/>
          <w:i/>
        </w:rPr>
        <w:t xml:space="preserve"> </w:t>
      </w:r>
      <w:proofErr w:type="spellStart"/>
      <w:r w:rsidRPr="0086012E">
        <w:rPr>
          <w:rFonts w:cs="Times New Roman"/>
          <w:i/>
        </w:rPr>
        <w:t>mens</w:t>
      </w:r>
      <w:proofErr w:type="spellEnd"/>
      <w:r w:rsidRPr="0086012E">
        <w:rPr>
          <w:rFonts w:cs="Times New Roman"/>
          <w:i/>
        </w:rPr>
        <w:t xml:space="preserve"> </w:t>
      </w:r>
      <w:proofErr w:type="spellStart"/>
      <w:r w:rsidRPr="0086012E">
        <w:rPr>
          <w:rFonts w:cs="Times New Roman"/>
          <w:i/>
        </w:rPr>
        <w:t>rea</w:t>
      </w:r>
      <w:proofErr w:type="spellEnd"/>
      <w:r w:rsidRPr="0086012E">
        <w:rPr>
          <w:rFonts w:cs="Times New Roman"/>
          <w:i/>
        </w:rPr>
        <w:t xml:space="preserve"> </w:t>
      </w:r>
      <w:r w:rsidRPr="0086012E">
        <w:rPr>
          <w:rFonts w:cs="Times New Roman"/>
        </w:rPr>
        <w:t>of the offence of uttering threats as set out in</w:t>
      </w:r>
      <w:r w:rsidRPr="0086012E">
        <w:rPr>
          <w:rFonts w:cs="Times New Roman"/>
          <w:i/>
        </w:rPr>
        <w:t xml:space="preserve"> Clemente </w:t>
      </w:r>
      <w:r w:rsidRPr="0086012E">
        <w:rPr>
          <w:rFonts w:cs="Times New Roman"/>
        </w:rPr>
        <w:t>and</w:t>
      </w:r>
      <w:r w:rsidRPr="0086012E">
        <w:rPr>
          <w:rFonts w:cs="Times New Roman"/>
          <w:i/>
        </w:rPr>
        <w:t xml:space="preserve"> R. v. </w:t>
      </w:r>
      <w:proofErr w:type="spellStart"/>
      <w:r w:rsidRPr="0086012E">
        <w:rPr>
          <w:rFonts w:cs="Times New Roman"/>
          <w:i/>
        </w:rPr>
        <w:t>McCraw</w:t>
      </w:r>
      <w:proofErr w:type="spellEnd"/>
      <w:r w:rsidRPr="0086012E">
        <w:rPr>
          <w:rFonts w:cs="Times New Roman"/>
        </w:rPr>
        <w:t>, [1991] 3 S.C.R. 72. The</w:t>
      </w:r>
      <w:r w:rsidRPr="0086012E">
        <w:rPr>
          <w:rFonts w:cs="Times New Roman"/>
          <w:i/>
        </w:rPr>
        <w:t xml:space="preserve"> Clemente </w:t>
      </w:r>
      <w:r w:rsidRPr="0086012E">
        <w:rPr>
          <w:rFonts w:cs="Times New Roman"/>
        </w:rPr>
        <w:t>test asks the question: “Looked at objectively, in the context of all the words written or spoken and having regard to the person to whom they were directed, would the questioned words convey a threat of serious bodily harm to a reasonable person?” (p. 762, quotin</w:t>
      </w:r>
      <w:r w:rsidRPr="0086012E">
        <w:rPr>
          <w:rFonts w:cs="Times New Roman"/>
          <w:i/>
        </w:rPr>
        <w:t xml:space="preserve">g </w:t>
      </w:r>
      <w:proofErr w:type="spellStart"/>
      <w:r w:rsidRPr="0086012E">
        <w:rPr>
          <w:rFonts w:cs="Times New Roman"/>
          <w:i/>
        </w:rPr>
        <w:t>McCraw</w:t>
      </w:r>
      <w:proofErr w:type="spellEnd"/>
      <w:r w:rsidRPr="0086012E">
        <w:rPr>
          <w:rFonts w:cs="Times New Roman"/>
        </w:rPr>
        <w:t>, at p. 83).</w:t>
      </w:r>
    </w:p>
    <w:p w:rsidR="009924DC" w:rsidRPr="0086012E" w:rsidRDefault="009924DC" w:rsidP="009924DC">
      <w:pPr>
        <w:pStyle w:val="ParaNoNdepar-AltN"/>
        <w:tabs>
          <w:tab w:val="clear" w:pos="1166"/>
          <w:tab w:val="num" w:pos="1152"/>
        </w:tabs>
        <w:rPr>
          <w:rFonts w:cs="Times New Roman"/>
          <w:szCs w:val="24"/>
        </w:rPr>
      </w:pPr>
      <w:r w:rsidRPr="0086012E">
        <w:rPr>
          <w:rFonts w:cs="Times New Roman"/>
        </w:rPr>
        <w:t xml:space="preserve">The trial judge did not ask herself what a reasonable person would objectively perceive. Rather, she asked herself what Ms. W perceived.  According to </w:t>
      </w:r>
      <w:r w:rsidRPr="0086012E">
        <w:rPr>
          <w:rFonts w:cs="Times New Roman"/>
          <w:i/>
        </w:rPr>
        <w:t>Clemente</w:t>
      </w:r>
      <w:r w:rsidRPr="0086012E">
        <w:rPr>
          <w:rFonts w:cs="Times New Roman"/>
        </w:rPr>
        <w:t>, the trial judge was required to determine whether the reasonable person would consider that the words were uttered as threats by “</w:t>
      </w:r>
      <w:r w:rsidRPr="0086012E">
        <w:rPr>
          <w:rFonts w:cs="Times New Roman"/>
          <w:szCs w:val="24"/>
        </w:rPr>
        <w:t>regard[</w:t>
      </w:r>
      <w:proofErr w:type="spellStart"/>
      <w:r w:rsidRPr="0086012E">
        <w:rPr>
          <w:rFonts w:cs="Times New Roman"/>
          <w:szCs w:val="24"/>
        </w:rPr>
        <w:t>ing</w:t>
      </w:r>
      <w:proofErr w:type="spellEnd"/>
      <w:r w:rsidRPr="0086012E">
        <w:rPr>
          <w:rFonts w:cs="Times New Roman"/>
          <w:szCs w:val="24"/>
        </w:rPr>
        <w:t>] them objectively, and review[</w:t>
      </w:r>
      <w:proofErr w:type="spellStart"/>
      <w:r w:rsidRPr="0086012E">
        <w:rPr>
          <w:rFonts w:cs="Times New Roman"/>
          <w:szCs w:val="24"/>
        </w:rPr>
        <w:t>ing</w:t>
      </w:r>
      <w:proofErr w:type="spellEnd"/>
      <w:r w:rsidRPr="0086012E">
        <w:rPr>
          <w:rFonts w:cs="Times New Roman"/>
          <w:szCs w:val="24"/>
        </w:rPr>
        <w:t>] them in light of the circumstances in which they were uttered, the manner in which they were spoken, and the person to whom they were addressed” (</w:t>
      </w:r>
      <w:r w:rsidRPr="0086012E">
        <w:rPr>
          <w:rFonts w:cs="Times New Roman"/>
        </w:rPr>
        <w:t>p. 763).</w:t>
      </w:r>
      <w:r w:rsidRPr="0086012E">
        <w:rPr>
          <w:rFonts w:cs="Times New Roman"/>
          <w:szCs w:val="24"/>
        </w:rPr>
        <w:t xml:space="preserve"> Accordingly, the relationship between Mr. O’Brien and Ms. W is not irrelevant. It forms part of the context and circumstances surrounding the offence. </w:t>
      </w:r>
      <w:r w:rsidRPr="0086012E">
        <w:rPr>
          <w:rFonts w:cs="Times New Roman"/>
          <w:szCs w:val="24"/>
        </w:rPr>
        <w:lastRenderedPageBreak/>
        <w:t xml:space="preserve">However, </w:t>
      </w:r>
      <w:r w:rsidRPr="0086012E">
        <w:rPr>
          <w:rFonts w:cs="Times New Roman"/>
        </w:rPr>
        <w:t xml:space="preserve">whether the recipient of a threat takes the threat seriously is not, in and of itself, an element of the </w:t>
      </w:r>
      <w:proofErr w:type="spellStart"/>
      <w:r w:rsidRPr="0086012E">
        <w:rPr>
          <w:rFonts w:cs="Times New Roman"/>
          <w:i/>
        </w:rPr>
        <w:t>mens</w:t>
      </w:r>
      <w:proofErr w:type="spellEnd"/>
      <w:r w:rsidRPr="0086012E">
        <w:rPr>
          <w:rFonts w:cs="Times New Roman"/>
          <w:i/>
        </w:rPr>
        <w:t xml:space="preserve"> </w:t>
      </w:r>
      <w:proofErr w:type="spellStart"/>
      <w:r w:rsidRPr="0086012E">
        <w:rPr>
          <w:rFonts w:cs="Times New Roman"/>
          <w:i/>
        </w:rPr>
        <w:t>rea</w:t>
      </w:r>
      <w:proofErr w:type="spellEnd"/>
      <w:r w:rsidRPr="0086012E">
        <w:rPr>
          <w:rFonts w:cs="Times New Roman"/>
          <w:i/>
        </w:rPr>
        <w:t xml:space="preserve"> </w:t>
      </w:r>
      <w:r w:rsidRPr="0086012E">
        <w:rPr>
          <w:rFonts w:cs="Times New Roman"/>
        </w:rPr>
        <w:t>of the accused.</w:t>
      </w:r>
    </w:p>
    <w:p w:rsidR="009924DC" w:rsidRPr="0086012E" w:rsidRDefault="009924DC" w:rsidP="009924DC">
      <w:pPr>
        <w:pStyle w:val="ParaNoNdepar-AltN"/>
        <w:tabs>
          <w:tab w:val="clear" w:pos="1166"/>
          <w:tab w:val="num" w:pos="1152"/>
        </w:tabs>
        <w:rPr>
          <w:rFonts w:cs="Times New Roman"/>
          <w:szCs w:val="24"/>
        </w:rPr>
      </w:pPr>
      <w:r w:rsidRPr="0086012E">
        <w:rPr>
          <w:rFonts w:cs="Times New Roman"/>
        </w:rPr>
        <w:t xml:space="preserve">Here, the trial judge erred in making Ms. W’s perception the determinative factor in assessing the </w:t>
      </w:r>
      <w:proofErr w:type="spellStart"/>
      <w:r w:rsidRPr="0086012E">
        <w:rPr>
          <w:rFonts w:cs="Times New Roman"/>
        </w:rPr>
        <w:t>accused’s</w:t>
      </w:r>
      <w:proofErr w:type="spellEnd"/>
      <w:r w:rsidRPr="0086012E">
        <w:rPr>
          <w:rFonts w:cs="Times New Roman"/>
        </w:rPr>
        <w:t xml:space="preserve"> intent to instill fear in her and to intimidate her so that she would not have the abortion. </w:t>
      </w:r>
    </w:p>
    <w:p w:rsidR="009924DC" w:rsidRPr="0086012E" w:rsidRDefault="009924DC" w:rsidP="009924DC">
      <w:pPr>
        <w:pStyle w:val="ParaNoNdepar-AltN"/>
        <w:tabs>
          <w:tab w:val="clear" w:pos="1166"/>
          <w:tab w:val="num" w:pos="1152"/>
        </w:tabs>
        <w:rPr>
          <w:rFonts w:cs="Times New Roman"/>
        </w:rPr>
      </w:pPr>
      <w:r w:rsidRPr="0086012E">
        <w:rPr>
          <w:rFonts w:cs="Times New Roman"/>
        </w:rPr>
        <w:t>I am not unmindful of the “</w:t>
      </w:r>
      <w:proofErr w:type="spellStart"/>
      <w:r w:rsidRPr="0086012E">
        <w:rPr>
          <w:rFonts w:cs="Times New Roman"/>
        </w:rPr>
        <w:t>cautio</w:t>
      </w:r>
      <w:proofErr w:type="spellEnd"/>
      <w:r w:rsidRPr="0086012E">
        <w:rPr>
          <w:rFonts w:cs="Times New Roman"/>
        </w:rPr>
        <w:t>[n] [to] appellate judges not to dissect, parse, or microscopically examine the reasons of a trial judge” (</w:t>
      </w:r>
      <w:r w:rsidRPr="0086012E">
        <w:rPr>
          <w:rFonts w:cs="Times New Roman"/>
          <w:i/>
        </w:rPr>
        <w:t>R. v. C.L.Y.</w:t>
      </w:r>
      <w:r w:rsidRPr="0086012E">
        <w:rPr>
          <w:rFonts w:cs="Times New Roman"/>
        </w:rPr>
        <w:t xml:space="preserve">, 2008 SCC 2, [2008] 1 S.C.R. 5, at </w:t>
      </w:r>
      <w:proofErr w:type="spellStart"/>
      <w:r w:rsidRPr="0086012E">
        <w:rPr>
          <w:rFonts w:cs="Times New Roman"/>
        </w:rPr>
        <w:t>para</w:t>
      </w:r>
      <w:proofErr w:type="spellEnd"/>
      <w:r w:rsidRPr="0086012E">
        <w:rPr>
          <w:rFonts w:cs="Times New Roman"/>
        </w:rPr>
        <w:t xml:space="preserve">. 11, referring to </w:t>
      </w:r>
      <w:r w:rsidRPr="0086012E">
        <w:rPr>
          <w:rFonts w:cs="Times New Roman"/>
          <w:i/>
        </w:rPr>
        <w:t>R. v. Morrissey</w:t>
      </w:r>
      <w:r w:rsidRPr="0086012E">
        <w:rPr>
          <w:rFonts w:cs="Times New Roman"/>
        </w:rPr>
        <w:t xml:space="preserve"> (1995), 97 C.C.C. (3d) 193 (Ont. C.A.), at pp. 203-5). However, in my respectful opinion, the error of law made by the trial judge is self-evident.</w:t>
      </w:r>
    </w:p>
    <w:p w:rsidR="009924DC" w:rsidRPr="0086012E" w:rsidRDefault="009924DC" w:rsidP="009924DC">
      <w:pPr>
        <w:pStyle w:val="ParaNoNdepar-AltN"/>
        <w:tabs>
          <w:tab w:val="clear" w:pos="1166"/>
          <w:tab w:val="num" w:pos="1152"/>
        </w:tabs>
        <w:rPr>
          <w:rFonts w:cs="Times New Roman"/>
        </w:rPr>
      </w:pPr>
      <w:r w:rsidRPr="0086012E">
        <w:rPr>
          <w:rFonts w:cs="Times New Roman"/>
        </w:rPr>
        <w:t>I would accordingly allow the appeal, enter a conviction and remit the matter to the Provincial Court of Manitoba for sentencing.</w:t>
      </w:r>
    </w:p>
    <w:p w:rsidR="009B57B3" w:rsidRPr="00210A36" w:rsidRDefault="00423218" w:rsidP="007C1570">
      <w:pPr>
        <w:pStyle w:val="SCCNormalDoubleSpacing"/>
        <w:spacing w:after="480"/>
      </w:pPr>
      <w:r w:rsidRPr="00210A36">
        <w:tab/>
      </w:r>
      <w:r w:rsidR="00656313" w:rsidRPr="00210A36">
        <w:rPr>
          <w:i/>
        </w:rPr>
        <w:t>Appeal</w:t>
      </w:r>
      <w:r w:rsidRPr="00210A36">
        <w:rPr>
          <w:i/>
        </w:rPr>
        <w:t xml:space="preserve"> </w:t>
      </w:r>
      <w:r w:rsidR="00EF2EE7" w:rsidRPr="00210A36">
        <w:rPr>
          <w:i/>
        </w:rPr>
        <w:t xml:space="preserve">dismissed, </w:t>
      </w:r>
      <w:r w:rsidR="007C1570" w:rsidRPr="00210A36">
        <w:rPr>
          <w:smallCaps/>
        </w:rPr>
        <w:t>McLachlin </w:t>
      </w:r>
      <w:r w:rsidR="00EF2EE7" w:rsidRPr="00210A36">
        <w:rPr>
          <w:smallCaps/>
        </w:rPr>
        <w:t>C.J.</w:t>
      </w:r>
      <w:r w:rsidR="00EF2EE7" w:rsidRPr="00210A36">
        <w:rPr>
          <w:i/>
        </w:rPr>
        <w:t xml:space="preserve"> and </w:t>
      </w:r>
      <w:proofErr w:type="spellStart"/>
      <w:r w:rsidR="00EF2EE7" w:rsidRPr="00210A36">
        <w:rPr>
          <w:smallCaps/>
        </w:rPr>
        <w:t>Abella</w:t>
      </w:r>
      <w:proofErr w:type="spellEnd"/>
      <w:r w:rsidR="00EF2EE7" w:rsidRPr="00210A36">
        <w:rPr>
          <w:i/>
        </w:rPr>
        <w:t xml:space="preserve"> and </w:t>
      </w:r>
      <w:r w:rsidR="007C1570" w:rsidRPr="00210A36">
        <w:rPr>
          <w:smallCaps/>
        </w:rPr>
        <w:t>Rothstein </w:t>
      </w:r>
      <w:r w:rsidR="00EF2EE7" w:rsidRPr="00210A36">
        <w:rPr>
          <w:smallCaps/>
        </w:rPr>
        <w:t>JJ.</w:t>
      </w:r>
      <w:r w:rsidR="00EF2EE7" w:rsidRPr="00210A36">
        <w:rPr>
          <w:i/>
        </w:rPr>
        <w:t xml:space="preserve"> </w:t>
      </w:r>
      <w:proofErr w:type="gramStart"/>
      <w:r w:rsidR="00EF2EE7" w:rsidRPr="00210A36">
        <w:rPr>
          <w:i/>
        </w:rPr>
        <w:t>dissenting</w:t>
      </w:r>
      <w:proofErr w:type="gramEnd"/>
      <w:r w:rsidRPr="00210A36">
        <w:rPr>
          <w:i/>
        </w:rPr>
        <w:t>.</w:t>
      </w:r>
    </w:p>
    <w:p w:rsidR="00423218" w:rsidRPr="00210A36" w:rsidRDefault="007C1570" w:rsidP="007C1570">
      <w:pPr>
        <w:pStyle w:val="SCCLawFirm"/>
        <w:spacing w:after="480"/>
      </w:pPr>
      <w:r w:rsidRPr="00210A36">
        <w:tab/>
        <w:t>Solicitor for the appellant:  </w:t>
      </w:r>
      <w:r w:rsidR="00423218" w:rsidRPr="00210A36">
        <w:t>Attorney General of Manitoba, Winnipeg.</w:t>
      </w:r>
    </w:p>
    <w:p w:rsidR="009B57B3" w:rsidRDefault="00423218" w:rsidP="00771B4F">
      <w:pPr>
        <w:pStyle w:val="SCCLawFirm"/>
        <w:rPr>
          <w:b/>
          <w:i w:val="0"/>
        </w:rPr>
      </w:pPr>
      <w:r w:rsidRPr="00210A36">
        <w:tab/>
      </w:r>
      <w:r w:rsidR="007C1570" w:rsidRPr="00210A36">
        <w:t>Solicitors for the respondent:  </w:t>
      </w:r>
      <w:r w:rsidRPr="00210A36">
        <w:t xml:space="preserve">Smith Corona Van </w:t>
      </w:r>
      <w:proofErr w:type="spellStart"/>
      <w:r w:rsidRPr="00210A36">
        <w:t>Dongen</w:t>
      </w:r>
      <w:proofErr w:type="spellEnd"/>
      <w:r w:rsidRPr="00210A36">
        <w:t xml:space="preserve"> &amp; Cook, Winnipeg</w:t>
      </w:r>
      <w:r w:rsidR="005C0E76" w:rsidRPr="00210A36">
        <w:t>;</w:t>
      </w:r>
      <w:proofErr w:type="gramStart"/>
      <w:r w:rsidR="005C0E76" w:rsidRPr="00210A36">
        <w:t>  </w:t>
      </w:r>
      <w:r w:rsidR="001A3C3C" w:rsidRPr="00210A36">
        <w:t>Supreme</w:t>
      </w:r>
      <w:proofErr w:type="gramEnd"/>
      <w:r w:rsidR="001A3C3C" w:rsidRPr="00210A36">
        <w:t xml:space="preserve"> Advocacy, Ottawa</w:t>
      </w:r>
      <w:r w:rsidRPr="00210A36">
        <w:t>.</w:t>
      </w:r>
    </w:p>
    <w:p w:rsidR="00771B4F" w:rsidRPr="00771B4F" w:rsidRDefault="00771B4F" w:rsidP="00771B4F">
      <w:pPr>
        <w:pStyle w:val="SCCNormalDoubleSpacing"/>
      </w:pPr>
    </w:p>
    <w:sectPr w:rsidR="00771B4F" w:rsidRPr="00771B4F" w:rsidSect="00222F0B">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4F" w:rsidRDefault="00771B4F">
      <w:r>
        <w:separator/>
      </w:r>
    </w:p>
  </w:endnote>
  <w:endnote w:type="continuationSeparator" w:id="0">
    <w:p w:rsidR="00771B4F" w:rsidRDefault="00771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4F" w:rsidRDefault="00771B4F">
      <w:r>
        <w:separator/>
      </w:r>
    </w:p>
  </w:footnote>
  <w:footnote w:type="continuationSeparator" w:id="0">
    <w:p w:rsidR="00771B4F" w:rsidRDefault="0077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634"/>
      <w:docPartObj>
        <w:docPartGallery w:val="Page Numbers (Top of Page)"/>
        <w:docPartUnique/>
      </w:docPartObj>
    </w:sdtPr>
    <w:sdtContent>
      <w:p w:rsidR="00222F0B" w:rsidRDefault="00222F0B">
        <w:pPr>
          <w:pStyle w:val="Header"/>
          <w:jc w:val="center"/>
        </w:pPr>
        <w:r>
          <w:t xml:space="preserve">- </w:t>
        </w:r>
        <w:fldSimple w:instr=" PAGE   \* MERGEFORMAT ">
          <w:r w:rsidR="00354191">
            <w:rPr>
              <w:noProof/>
            </w:rPr>
            <w:t>11</w:t>
          </w:r>
        </w:fldSimple>
        <w:r>
          <w:t xml:space="preserve"> -</w:t>
        </w:r>
      </w:p>
    </w:sdtContent>
  </w:sdt>
  <w:p w:rsidR="00771B4F" w:rsidRPr="00450352" w:rsidRDefault="00771B4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31414C"/>
    <w:rsid w:val="00000ED4"/>
    <w:rsid w:val="00025198"/>
    <w:rsid w:val="000578A3"/>
    <w:rsid w:val="000648CC"/>
    <w:rsid w:val="000A7F20"/>
    <w:rsid w:val="000C59B8"/>
    <w:rsid w:val="000C6AF0"/>
    <w:rsid w:val="00104F33"/>
    <w:rsid w:val="00111DE2"/>
    <w:rsid w:val="00116B38"/>
    <w:rsid w:val="00120670"/>
    <w:rsid w:val="00135406"/>
    <w:rsid w:val="00135972"/>
    <w:rsid w:val="001426A9"/>
    <w:rsid w:val="00154D7C"/>
    <w:rsid w:val="001570B0"/>
    <w:rsid w:val="0015752C"/>
    <w:rsid w:val="00157737"/>
    <w:rsid w:val="00165277"/>
    <w:rsid w:val="00170592"/>
    <w:rsid w:val="00186351"/>
    <w:rsid w:val="00195D83"/>
    <w:rsid w:val="001A00C1"/>
    <w:rsid w:val="001A3C3C"/>
    <w:rsid w:val="001B33E0"/>
    <w:rsid w:val="001B4573"/>
    <w:rsid w:val="001C779F"/>
    <w:rsid w:val="001D2AC1"/>
    <w:rsid w:val="001D4E88"/>
    <w:rsid w:val="00210A36"/>
    <w:rsid w:val="002146CE"/>
    <w:rsid w:val="00215411"/>
    <w:rsid w:val="00216F86"/>
    <w:rsid w:val="00220FC2"/>
    <w:rsid w:val="002222F4"/>
    <w:rsid w:val="00222F0B"/>
    <w:rsid w:val="00224FC0"/>
    <w:rsid w:val="00225EA4"/>
    <w:rsid w:val="00226EAF"/>
    <w:rsid w:val="00231F3A"/>
    <w:rsid w:val="00234199"/>
    <w:rsid w:val="002406EE"/>
    <w:rsid w:val="00243EC8"/>
    <w:rsid w:val="00253C30"/>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54191"/>
    <w:rsid w:val="00364B18"/>
    <w:rsid w:val="00397F41"/>
    <w:rsid w:val="003A125D"/>
    <w:rsid w:val="003A4C70"/>
    <w:rsid w:val="003B215F"/>
    <w:rsid w:val="003C799C"/>
    <w:rsid w:val="003D0399"/>
    <w:rsid w:val="003E1C71"/>
    <w:rsid w:val="003F2559"/>
    <w:rsid w:val="003F327B"/>
    <w:rsid w:val="00406166"/>
    <w:rsid w:val="0040704B"/>
    <w:rsid w:val="00410A55"/>
    <w:rsid w:val="00411300"/>
    <w:rsid w:val="00415417"/>
    <w:rsid w:val="00423218"/>
    <w:rsid w:val="00426659"/>
    <w:rsid w:val="00450352"/>
    <w:rsid w:val="00454BDB"/>
    <w:rsid w:val="00464800"/>
    <w:rsid w:val="00465132"/>
    <w:rsid w:val="004766ED"/>
    <w:rsid w:val="00480C90"/>
    <w:rsid w:val="0048396F"/>
    <w:rsid w:val="00493C18"/>
    <w:rsid w:val="004A600C"/>
    <w:rsid w:val="004A6118"/>
    <w:rsid w:val="004C478D"/>
    <w:rsid w:val="004E2C26"/>
    <w:rsid w:val="004F36FF"/>
    <w:rsid w:val="005125A8"/>
    <w:rsid w:val="00521AE8"/>
    <w:rsid w:val="00527180"/>
    <w:rsid w:val="0053378E"/>
    <w:rsid w:val="0054201E"/>
    <w:rsid w:val="00555291"/>
    <w:rsid w:val="00566AD1"/>
    <w:rsid w:val="00583EDE"/>
    <w:rsid w:val="005A6079"/>
    <w:rsid w:val="005C0E76"/>
    <w:rsid w:val="005C49D3"/>
    <w:rsid w:val="005E4616"/>
    <w:rsid w:val="005E4698"/>
    <w:rsid w:val="00610539"/>
    <w:rsid w:val="00613969"/>
    <w:rsid w:val="00625C35"/>
    <w:rsid w:val="0063680E"/>
    <w:rsid w:val="00656313"/>
    <w:rsid w:val="006565F4"/>
    <w:rsid w:val="00684EEA"/>
    <w:rsid w:val="0069689B"/>
    <w:rsid w:val="006A1551"/>
    <w:rsid w:val="006B5FF5"/>
    <w:rsid w:val="006F1620"/>
    <w:rsid w:val="006F30AF"/>
    <w:rsid w:val="00701759"/>
    <w:rsid w:val="00705C15"/>
    <w:rsid w:val="0071600E"/>
    <w:rsid w:val="007208D1"/>
    <w:rsid w:val="00747288"/>
    <w:rsid w:val="00747DD3"/>
    <w:rsid w:val="007549C8"/>
    <w:rsid w:val="00754A0B"/>
    <w:rsid w:val="007627AB"/>
    <w:rsid w:val="00766D14"/>
    <w:rsid w:val="00767A0F"/>
    <w:rsid w:val="00771B4F"/>
    <w:rsid w:val="00785FD0"/>
    <w:rsid w:val="007A05F6"/>
    <w:rsid w:val="007B6F4A"/>
    <w:rsid w:val="007C1570"/>
    <w:rsid w:val="007E1C47"/>
    <w:rsid w:val="007E337A"/>
    <w:rsid w:val="007E5C70"/>
    <w:rsid w:val="007F2FF5"/>
    <w:rsid w:val="007F3F08"/>
    <w:rsid w:val="00804CC6"/>
    <w:rsid w:val="00804E12"/>
    <w:rsid w:val="008169EE"/>
    <w:rsid w:val="00817190"/>
    <w:rsid w:val="00820EE5"/>
    <w:rsid w:val="008260E2"/>
    <w:rsid w:val="008322BD"/>
    <w:rsid w:val="00833E0A"/>
    <w:rsid w:val="00834F73"/>
    <w:rsid w:val="00864CF8"/>
    <w:rsid w:val="00872819"/>
    <w:rsid w:val="00874914"/>
    <w:rsid w:val="008826EE"/>
    <w:rsid w:val="00891422"/>
    <w:rsid w:val="00892E1A"/>
    <w:rsid w:val="008A3F29"/>
    <w:rsid w:val="008B660A"/>
    <w:rsid w:val="008C01DA"/>
    <w:rsid w:val="008D3E63"/>
    <w:rsid w:val="008F78E9"/>
    <w:rsid w:val="00911989"/>
    <w:rsid w:val="009179F9"/>
    <w:rsid w:val="00933E5E"/>
    <w:rsid w:val="00935218"/>
    <w:rsid w:val="009403F3"/>
    <w:rsid w:val="009555B7"/>
    <w:rsid w:val="009567AA"/>
    <w:rsid w:val="00967374"/>
    <w:rsid w:val="009924DC"/>
    <w:rsid w:val="009A343A"/>
    <w:rsid w:val="009B2F23"/>
    <w:rsid w:val="009B3ED0"/>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D663E"/>
    <w:rsid w:val="00AF03C5"/>
    <w:rsid w:val="00B000D8"/>
    <w:rsid w:val="00B00F75"/>
    <w:rsid w:val="00B145B6"/>
    <w:rsid w:val="00B279EB"/>
    <w:rsid w:val="00B50C81"/>
    <w:rsid w:val="00B557F8"/>
    <w:rsid w:val="00B76A27"/>
    <w:rsid w:val="00B815FC"/>
    <w:rsid w:val="00B93FBC"/>
    <w:rsid w:val="00BA7DA0"/>
    <w:rsid w:val="00BB2EE4"/>
    <w:rsid w:val="00BC2108"/>
    <w:rsid w:val="00BD0E9E"/>
    <w:rsid w:val="00BD1BEC"/>
    <w:rsid w:val="00BD32FF"/>
    <w:rsid w:val="00C02092"/>
    <w:rsid w:val="00C24D91"/>
    <w:rsid w:val="00C53F14"/>
    <w:rsid w:val="00C54118"/>
    <w:rsid w:val="00C600CF"/>
    <w:rsid w:val="00C6084F"/>
    <w:rsid w:val="00C62A66"/>
    <w:rsid w:val="00C635B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4939"/>
    <w:rsid w:val="00D7516F"/>
    <w:rsid w:val="00D8579F"/>
    <w:rsid w:val="00D95F8E"/>
    <w:rsid w:val="00DA0590"/>
    <w:rsid w:val="00DB7BEA"/>
    <w:rsid w:val="00DC1739"/>
    <w:rsid w:val="00DC1788"/>
    <w:rsid w:val="00DC7EF7"/>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7932"/>
    <w:rsid w:val="00E97830"/>
    <w:rsid w:val="00EE643C"/>
    <w:rsid w:val="00EF0683"/>
    <w:rsid w:val="00EF2EE7"/>
    <w:rsid w:val="00EF69D2"/>
    <w:rsid w:val="00EF766E"/>
    <w:rsid w:val="00F0070C"/>
    <w:rsid w:val="00F00EB7"/>
    <w:rsid w:val="00F3109C"/>
    <w:rsid w:val="00F36AB6"/>
    <w:rsid w:val="00F37A09"/>
    <w:rsid w:val="00F409CE"/>
    <w:rsid w:val="00F4379D"/>
    <w:rsid w:val="00F50D2D"/>
    <w:rsid w:val="00F53238"/>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9924D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924DC"/>
    <w:rPr>
      <w:rFonts w:eastAsiaTheme="minorHAnsi" w:cstheme="minorBidi"/>
      <w:sz w:val="24"/>
      <w:szCs w:val="22"/>
      <w:lang w:eastAsia="en-US"/>
    </w:rPr>
  </w:style>
  <w:style w:type="table" w:styleId="TableGrid">
    <w:name w:val="Table Grid"/>
    <w:basedOn w:val="TableNormal"/>
    <w:uiPriority w:val="59"/>
    <w:rsid w:val="009924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924D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924D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924DC"/>
    <w:pPr>
      <w:tabs>
        <w:tab w:val="left" w:pos="1166"/>
      </w:tabs>
      <w:spacing w:after="480" w:line="480" w:lineRule="auto"/>
    </w:pPr>
    <w:rPr>
      <w:smallCaps/>
      <w:sz w:val="24"/>
    </w:rPr>
  </w:style>
  <w:style w:type="paragraph" w:customStyle="1" w:styleId="ParaNoNdepar-AltN">
    <w:name w:val="Para. No. / Nº de par. - Alt N"/>
    <w:uiPriority w:val="99"/>
    <w:qFormat/>
    <w:rsid w:val="009924D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9924DC"/>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2104</Words>
  <Characters>10045</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2014-01-16T21:55:00Z</dcterms:created>
  <dcterms:modified xsi:type="dcterms:W3CDTF">2014-01-16T21:55:00Z</dcterms:modified>
</cp:coreProperties>
</file>