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BA1" w:rsidRPr="00666B6F" w:rsidRDefault="003B6BA1" w:rsidP="003B6BA1">
      <w:pPr>
        <w:tabs>
          <w:tab w:val="center" w:pos="4680"/>
          <w:tab w:val="right" w:pos="9360"/>
        </w:tabs>
        <w:jc w:val="center"/>
        <w:rPr>
          <w:rFonts w:eastAsiaTheme="minorHAnsi" w:cstheme="minorBidi"/>
          <w:szCs w:val="24"/>
          <w:lang w:eastAsia="en-US"/>
        </w:rPr>
      </w:pPr>
      <w:r w:rsidRPr="00666B6F">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451387807" r:id="rId8"/>
        </w:object>
      </w:r>
    </w:p>
    <w:p w:rsidR="003B6BA1" w:rsidRPr="00666B6F" w:rsidRDefault="003B6BA1" w:rsidP="003B6BA1">
      <w:pPr>
        <w:tabs>
          <w:tab w:val="center" w:pos="4680"/>
          <w:tab w:val="right" w:pos="9360"/>
        </w:tabs>
        <w:rPr>
          <w:rFonts w:eastAsiaTheme="minorHAnsi" w:cstheme="minorBidi"/>
          <w:szCs w:val="24"/>
          <w:lang w:eastAsia="en-US"/>
        </w:rPr>
      </w:pPr>
    </w:p>
    <w:p w:rsidR="003B6BA1" w:rsidRPr="00666B6F" w:rsidRDefault="003B6BA1" w:rsidP="003B6BA1">
      <w:pPr>
        <w:jc w:val="center"/>
        <w:rPr>
          <w:rFonts w:eastAsiaTheme="minorHAnsi" w:cstheme="minorBidi"/>
          <w:b/>
          <w:szCs w:val="24"/>
          <w:lang w:eastAsia="en-US"/>
        </w:rPr>
      </w:pPr>
      <w:r w:rsidRPr="00666B6F">
        <w:rPr>
          <w:rFonts w:eastAsiaTheme="minorHAnsi" w:cstheme="minorBidi"/>
          <w:b/>
          <w:szCs w:val="24"/>
          <w:lang w:eastAsia="en-US"/>
        </w:rPr>
        <w:t>SUPREME COURT OF CANADA</w:t>
      </w:r>
    </w:p>
    <w:p w:rsidR="003B6BA1" w:rsidRPr="00666B6F" w:rsidRDefault="003B6BA1" w:rsidP="003B6BA1">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3B6BA1" w:rsidRPr="00666B6F" w:rsidTr="00380C2B">
        <w:trPr>
          <w:cantSplit/>
        </w:trPr>
        <w:tc>
          <w:tcPr>
            <w:tcW w:w="6768" w:type="dxa"/>
          </w:tcPr>
          <w:p w:rsidR="003B6BA1" w:rsidRPr="00666B6F" w:rsidRDefault="003B6BA1" w:rsidP="00380C2B">
            <w:pPr>
              <w:rPr>
                <w:lang w:val="fr-CA"/>
              </w:rPr>
            </w:pPr>
            <w:r w:rsidRPr="00666B6F">
              <w:rPr>
                <w:b/>
                <w:smallCaps/>
                <w:lang w:val="fr-CA"/>
              </w:rPr>
              <w:t>Citation:</w:t>
            </w:r>
            <w:r w:rsidRPr="00666B6F">
              <w:rPr>
                <w:lang w:val="fr-CA"/>
              </w:rPr>
              <w:t xml:space="preserve"> R. </w:t>
            </w:r>
            <w:r w:rsidRPr="00666B6F">
              <w:rPr>
                <w:i/>
                <w:lang w:val="fr-CA"/>
              </w:rPr>
              <w:t>v.</w:t>
            </w:r>
            <w:r>
              <w:rPr>
                <w:lang w:val="fr-CA"/>
              </w:rPr>
              <w:t xml:space="preserve"> </w:t>
            </w:r>
            <w:proofErr w:type="spellStart"/>
            <w:r>
              <w:rPr>
                <w:lang w:val="fr-CA"/>
              </w:rPr>
              <w:t>Sanichar</w:t>
            </w:r>
            <w:proofErr w:type="spellEnd"/>
            <w:r>
              <w:rPr>
                <w:lang w:val="fr-CA"/>
              </w:rPr>
              <w:t xml:space="preserve">, </w:t>
            </w:r>
            <w:r>
              <w:t>2013 SCC 4, [2013] 1 S.C.R. 54</w:t>
            </w:r>
          </w:p>
        </w:tc>
        <w:tc>
          <w:tcPr>
            <w:tcW w:w="2808" w:type="dxa"/>
          </w:tcPr>
          <w:p w:rsidR="003B6BA1" w:rsidRPr="00666B6F" w:rsidRDefault="003B6BA1" w:rsidP="00380C2B">
            <w:r w:rsidRPr="00666B6F">
              <w:rPr>
                <w:b/>
                <w:smallCaps/>
              </w:rPr>
              <w:t>Date:</w:t>
            </w:r>
            <w:r w:rsidRPr="00666B6F">
              <w:t xml:space="preserve"> 20130124</w:t>
            </w:r>
          </w:p>
          <w:p w:rsidR="003B6BA1" w:rsidRPr="00666B6F" w:rsidRDefault="003B6BA1" w:rsidP="00380C2B">
            <w:r w:rsidRPr="00666B6F">
              <w:rPr>
                <w:b/>
                <w:smallCaps/>
              </w:rPr>
              <w:t>Docket:</w:t>
            </w:r>
            <w:r w:rsidRPr="00666B6F">
              <w:t xml:space="preserve"> 34720</w:t>
            </w:r>
          </w:p>
        </w:tc>
      </w:tr>
    </w:tbl>
    <w:p w:rsidR="003B6BA1" w:rsidRPr="00666B6F" w:rsidRDefault="003B6BA1" w:rsidP="003B6BA1">
      <w:pPr>
        <w:rPr>
          <w:rFonts w:eastAsiaTheme="minorHAnsi" w:cstheme="minorBidi"/>
          <w:szCs w:val="24"/>
          <w:lang w:eastAsia="en-US"/>
        </w:rPr>
      </w:pPr>
    </w:p>
    <w:p w:rsidR="003B6BA1" w:rsidRPr="00666B6F" w:rsidRDefault="003B6BA1" w:rsidP="003B6BA1">
      <w:pPr>
        <w:rPr>
          <w:rFonts w:eastAsiaTheme="minorHAnsi" w:cstheme="minorBidi"/>
          <w:b/>
          <w:smallCaps/>
          <w:szCs w:val="24"/>
          <w:lang w:eastAsia="en-US"/>
        </w:rPr>
      </w:pPr>
      <w:r w:rsidRPr="00666B6F">
        <w:rPr>
          <w:rFonts w:eastAsiaTheme="minorHAnsi" w:cstheme="minorBidi"/>
          <w:b/>
          <w:smallCaps/>
          <w:szCs w:val="24"/>
          <w:lang w:eastAsia="en-US"/>
        </w:rPr>
        <w:t>Between:</w:t>
      </w:r>
    </w:p>
    <w:p w:rsidR="003B6BA1" w:rsidRPr="00666B6F" w:rsidRDefault="003B6BA1" w:rsidP="003B6BA1">
      <w:pPr>
        <w:jc w:val="center"/>
        <w:rPr>
          <w:rFonts w:eastAsiaTheme="minorHAnsi" w:cstheme="minorBidi"/>
          <w:b/>
          <w:szCs w:val="24"/>
          <w:lang w:eastAsia="en-US"/>
        </w:rPr>
      </w:pPr>
      <w:r w:rsidRPr="00666B6F">
        <w:rPr>
          <w:rFonts w:eastAsiaTheme="minorHAnsi" w:cstheme="minorBidi"/>
          <w:b/>
          <w:szCs w:val="24"/>
          <w:lang w:eastAsia="en-US"/>
        </w:rPr>
        <w:t xml:space="preserve">Her Majesty </w:t>
      </w:r>
      <w:proofErr w:type="gramStart"/>
      <w:r w:rsidRPr="00666B6F">
        <w:rPr>
          <w:rFonts w:eastAsiaTheme="minorHAnsi" w:cstheme="minorBidi"/>
          <w:b/>
          <w:szCs w:val="24"/>
          <w:lang w:eastAsia="en-US"/>
        </w:rPr>
        <w:t>The</w:t>
      </w:r>
      <w:proofErr w:type="gramEnd"/>
      <w:r w:rsidRPr="00666B6F">
        <w:rPr>
          <w:rFonts w:eastAsiaTheme="minorHAnsi" w:cstheme="minorBidi"/>
          <w:b/>
          <w:szCs w:val="24"/>
          <w:lang w:eastAsia="en-US"/>
        </w:rPr>
        <w:t xml:space="preserve"> Queen</w:t>
      </w:r>
    </w:p>
    <w:p w:rsidR="003B6BA1" w:rsidRPr="00666B6F" w:rsidRDefault="003B6BA1" w:rsidP="003B6BA1">
      <w:pPr>
        <w:jc w:val="center"/>
        <w:rPr>
          <w:rFonts w:eastAsiaTheme="minorHAnsi" w:cstheme="minorBidi"/>
          <w:szCs w:val="24"/>
          <w:lang w:eastAsia="en-US"/>
        </w:rPr>
      </w:pPr>
      <w:r w:rsidRPr="00666B6F">
        <w:rPr>
          <w:rFonts w:eastAsiaTheme="minorHAnsi" w:cstheme="minorBidi"/>
          <w:szCs w:val="24"/>
          <w:lang w:eastAsia="en-US"/>
        </w:rPr>
        <w:t>Appellant</w:t>
      </w:r>
    </w:p>
    <w:p w:rsidR="003B6BA1" w:rsidRPr="00666B6F" w:rsidRDefault="003B6BA1" w:rsidP="003B6BA1">
      <w:pPr>
        <w:jc w:val="center"/>
        <w:rPr>
          <w:rFonts w:eastAsiaTheme="minorHAnsi" w:cstheme="minorBidi"/>
          <w:szCs w:val="24"/>
          <w:lang w:eastAsia="en-US"/>
        </w:rPr>
      </w:pPr>
      <w:proofErr w:type="gramStart"/>
      <w:r w:rsidRPr="00666B6F">
        <w:rPr>
          <w:rFonts w:eastAsiaTheme="minorHAnsi" w:cstheme="minorBidi"/>
          <w:szCs w:val="24"/>
          <w:lang w:eastAsia="en-US"/>
        </w:rPr>
        <w:t>and</w:t>
      </w:r>
      <w:proofErr w:type="gramEnd"/>
    </w:p>
    <w:p w:rsidR="003B6BA1" w:rsidRPr="00666B6F" w:rsidRDefault="003B6BA1" w:rsidP="003B6BA1">
      <w:pPr>
        <w:jc w:val="center"/>
        <w:rPr>
          <w:rFonts w:eastAsiaTheme="minorHAnsi" w:cstheme="minorBidi"/>
          <w:b/>
          <w:szCs w:val="24"/>
          <w:lang w:eastAsia="en-US"/>
        </w:rPr>
      </w:pPr>
      <w:r w:rsidRPr="00666B6F">
        <w:rPr>
          <w:rFonts w:eastAsiaTheme="minorHAnsi" w:cstheme="minorBidi"/>
          <w:b/>
          <w:szCs w:val="24"/>
          <w:lang w:eastAsia="en-US"/>
        </w:rPr>
        <w:t xml:space="preserve">Harry </w:t>
      </w:r>
      <w:proofErr w:type="spellStart"/>
      <w:r w:rsidRPr="00666B6F">
        <w:rPr>
          <w:rFonts w:eastAsiaTheme="minorHAnsi" w:cstheme="minorBidi"/>
          <w:b/>
          <w:szCs w:val="24"/>
          <w:lang w:eastAsia="en-US"/>
        </w:rPr>
        <w:t>Persaud</w:t>
      </w:r>
      <w:proofErr w:type="spellEnd"/>
      <w:r w:rsidRPr="00666B6F">
        <w:rPr>
          <w:rFonts w:eastAsiaTheme="minorHAnsi" w:cstheme="minorBidi"/>
          <w:b/>
          <w:szCs w:val="24"/>
          <w:lang w:eastAsia="en-US"/>
        </w:rPr>
        <w:t xml:space="preserve"> </w:t>
      </w:r>
      <w:proofErr w:type="spellStart"/>
      <w:r w:rsidRPr="00666B6F">
        <w:rPr>
          <w:rFonts w:eastAsiaTheme="minorHAnsi" w:cstheme="minorBidi"/>
          <w:b/>
          <w:szCs w:val="24"/>
          <w:lang w:eastAsia="en-US"/>
        </w:rPr>
        <w:t>Sanichar</w:t>
      </w:r>
      <w:proofErr w:type="spellEnd"/>
    </w:p>
    <w:p w:rsidR="003B6BA1" w:rsidRPr="00666B6F" w:rsidRDefault="003B6BA1" w:rsidP="003B6BA1">
      <w:pPr>
        <w:jc w:val="center"/>
        <w:rPr>
          <w:rFonts w:eastAsiaTheme="minorHAnsi" w:cstheme="minorBidi"/>
          <w:szCs w:val="24"/>
          <w:lang w:eastAsia="en-US"/>
        </w:rPr>
      </w:pPr>
      <w:r w:rsidRPr="00666B6F">
        <w:rPr>
          <w:rFonts w:eastAsiaTheme="minorHAnsi" w:cstheme="minorBidi"/>
          <w:szCs w:val="24"/>
          <w:lang w:eastAsia="en-US"/>
        </w:rPr>
        <w:t>Respondent</w:t>
      </w:r>
    </w:p>
    <w:p w:rsidR="003B6BA1" w:rsidRPr="00666B6F" w:rsidRDefault="003B6BA1" w:rsidP="003B6BA1">
      <w:pPr>
        <w:rPr>
          <w:rFonts w:eastAsiaTheme="minorHAnsi" w:cstheme="minorBidi"/>
          <w:szCs w:val="24"/>
          <w:lang w:eastAsia="en-US"/>
        </w:rPr>
      </w:pPr>
    </w:p>
    <w:p w:rsidR="003B6BA1" w:rsidRPr="00666B6F" w:rsidRDefault="003B6BA1" w:rsidP="003B6BA1">
      <w:pPr>
        <w:rPr>
          <w:rFonts w:eastAsiaTheme="minorHAnsi" w:cstheme="minorBidi"/>
          <w:szCs w:val="24"/>
          <w:lang w:eastAsia="en-US"/>
        </w:rPr>
      </w:pPr>
    </w:p>
    <w:p w:rsidR="003B6BA1" w:rsidRPr="00666B6F" w:rsidRDefault="003B6BA1" w:rsidP="003B6BA1">
      <w:pPr>
        <w:rPr>
          <w:rFonts w:eastAsiaTheme="minorHAnsi" w:cstheme="minorBidi"/>
          <w:szCs w:val="24"/>
          <w:lang w:eastAsia="en-US"/>
        </w:rPr>
      </w:pPr>
    </w:p>
    <w:p w:rsidR="003B6BA1" w:rsidRPr="00666B6F" w:rsidRDefault="003B6BA1" w:rsidP="003B6BA1">
      <w:pPr>
        <w:rPr>
          <w:rFonts w:eastAsiaTheme="minorHAnsi" w:cstheme="minorBidi"/>
          <w:szCs w:val="24"/>
          <w:lang w:eastAsia="en-US"/>
        </w:rPr>
      </w:pPr>
      <w:r w:rsidRPr="00666B6F">
        <w:rPr>
          <w:rFonts w:eastAsiaTheme="minorHAnsi" w:cstheme="minorBidi"/>
          <w:b/>
          <w:smallCaps/>
          <w:szCs w:val="24"/>
          <w:lang w:eastAsia="en-US"/>
        </w:rPr>
        <w:t>Coram:</w:t>
      </w:r>
      <w:r w:rsidRPr="00666B6F">
        <w:rPr>
          <w:rFonts w:eastAsiaTheme="minorHAnsi" w:cstheme="minorBidi"/>
          <w:szCs w:val="24"/>
          <w:lang w:eastAsia="en-US"/>
        </w:rPr>
        <w:t xml:space="preserve"> McLachlin C.J. and Fish, </w:t>
      </w:r>
      <w:proofErr w:type="spellStart"/>
      <w:r w:rsidRPr="00666B6F">
        <w:rPr>
          <w:rFonts w:eastAsiaTheme="minorHAnsi" w:cstheme="minorBidi"/>
          <w:szCs w:val="24"/>
          <w:lang w:eastAsia="en-US"/>
        </w:rPr>
        <w:t>Abella</w:t>
      </w:r>
      <w:proofErr w:type="spellEnd"/>
      <w:r w:rsidRPr="00666B6F">
        <w:rPr>
          <w:rFonts w:eastAsiaTheme="minorHAnsi" w:cstheme="minorBidi"/>
          <w:szCs w:val="24"/>
          <w:lang w:eastAsia="en-US"/>
        </w:rPr>
        <w:t xml:space="preserve">, Rothstein, </w:t>
      </w:r>
      <w:proofErr w:type="spellStart"/>
      <w:r w:rsidRPr="00666B6F">
        <w:rPr>
          <w:rFonts w:eastAsiaTheme="minorHAnsi" w:cstheme="minorBidi"/>
          <w:szCs w:val="24"/>
          <w:lang w:eastAsia="en-US"/>
        </w:rPr>
        <w:t>Moldaver</w:t>
      </w:r>
      <w:proofErr w:type="spellEnd"/>
      <w:r w:rsidRPr="00666B6F">
        <w:rPr>
          <w:rFonts w:eastAsiaTheme="minorHAnsi" w:cstheme="minorBidi"/>
          <w:szCs w:val="24"/>
          <w:lang w:eastAsia="en-US"/>
        </w:rPr>
        <w:t xml:space="preserve">, </w:t>
      </w:r>
      <w:proofErr w:type="spellStart"/>
      <w:r w:rsidRPr="00666B6F">
        <w:rPr>
          <w:rFonts w:eastAsiaTheme="minorHAnsi" w:cstheme="minorBidi"/>
          <w:szCs w:val="24"/>
          <w:lang w:eastAsia="en-US"/>
        </w:rPr>
        <w:t>Karakatsanis</w:t>
      </w:r>
      <w:proofErr w:type="spellEnd"/>
      <w:r w:rsidRPr="00666B6F">
        <w:rPr>
          <w:rFonts w:eastAsiaTheme="minorHAnsi" w:cstheme="minorBidi"/>
          <w:szCs w:val="24"/>
          <w:lang w:eastAsia="en-US"/>
        </w:rPr>
        <w:t xml:space="preserve"> and Wagner JJ.</w:t>
      </w:r>
    </w:p>
    <w:p w:rsidR="003B6BA1" w:rsidRPr="00666B6F" w:rsidRDefault="003B6BA1" w:rsidP="003B6BA1">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3B6BA1" w:rsidRPr="00666B6F" w:rsidTr="00380C2B">
        <w:trPr>
          <w:cantSplit/>
        </w:trPr>
        <w:tc>
          <w:tcPr>
            <w:tcW w:w="3618" w:type="dxa"/>
          </w:tcPr>
          <w:p w:rsidR="003B6BA1" w:rsidRPr="00666B6F" w:rsidRDefault="003B6BA1" w:rsidP="00380C2B">
            <w:pPr>
              <w:rPr>
                <w:b/>
                <w:smallCaps/>
              </w:rPr>
            </w:pPr>
            <w:r w:rsidRPr="00666B6F">
              <w:rPr>
                <w:b/>
                <w:smallCaps/>
              </w:rPr>
              <w:t>Reasons for Judgment:</w:t>
            </w:r>
          </w:p>
          <w:p w:rsidR="003B6BA1" w:rsidRPr="00666B6F" w:rsidRDefault="003B6BA1" w:rsidP="00380C2B">
            <w:r w:rsidRPr="00666B6F">
              <w:t>(</w:t>
            </w:r>
            <w:proofErr w:type="spellStart"/>
            <w:r w:rsidRPr="00666B6F">
              <w:t>paras</w:t>
            </w:r>
            <w:proofErr w:type="spellEnd"/>
            <w:r w:rsidRPr="00666B6F">
              <w:t>. 1 to 4)</w:t>
            </w:r>
          </w:p>
          <w:p w:rsidR="003B6BA1" w:rsidRPr="00666B6F" w:rsidRDefault="003B6BA1" w:rsidP="00380C2B"/>
          <w:p w:rsidR="003B6BA1" w:rsidRPr="00666B6F" w:rsidRDefault="003B6BA1" w:rsidP="00380C2B">
            <w:r w:rsidRPr="00666B6F">
              <w:rPr>
                <w:b/>
                <w:smallCaps/>
              </w:rPr>
              <w:t>Dissenting Reasons:</w:t>
            </w:r>
          </w:p>
          <w:p w:rsidR="003B6BA1" w:rsidRPr="00666B6F" w:rsidRDefault="003B6BA1" w:rsidP="00380C2B">
            <w:r w:rsidRPr="00666B6F">
              <w:t>(</w:t>
            </w:r>
            <w:proofErr w:type="spellStart"/>
            <w:r w:rsidRPr="00666B6F">
              <w:t>paras</w:t>
            </w:r>
            <w:proofErr w:type="spellEnd"/>
            <w:r w:rsidRPr="00666B6F">
              <w:t>. 5 to 22)</w:t>
            </w:r>
          </w:p>
        </w:tc>
        <w:tc>
          <w:tcPr>
            <w:tcW w:w="5958" w:type="dxa"/>
          </w:tcPr>
          <w:p w:rsidR="003B6BA1" w:rsidRPr="00666B6F" w:rsidRDefault="003B6BA1" w:rsidP="00380C2B">
            <w:proofErr w:type="spellStart"/>
            <w:r w:rsidRPr="00666B6F">
              <w:t>Karakatsanis</w:t>
            </w:r>
            <w:proofErr w:type="spellEnd"/>
            <w:r w:rsidRPr="00666B6F">
              <w:t xml:space="preserve"> J. (McLachlin C.J. and </w:t>
            </w:r>
            <w:proofErr w:type="spellStart"/>
            <w:r w:rsidRPr="00666B6F">
              <w:t>Abella</w:t>
            </w:r>
            <w:proofErr w:type="spellEnd"/>
            <w:r w:rsidRPr="00666B6F">
              <w:t xml:space="preserve">, Rothstein, </w:t>
            </w:r>
            <w:proofErr w:type="spellStart"/>
            <w:r w:rsidRPr="00666B6F">
              <w:t>Moldaver</w:t>
            </w:r>
            <w:proofErr w:type="spellEnd"/>
            <w:r w:rsidRPr="00666B6F">
              <w:t xml:space="preserve"> and Wagner JJ. concurring)</w:t>
            </w:r>
          </w:p>
          <w:p w:rsidR="003B6BA1" w:rsidRPr="00666B6F" w:rsidRDefault="003B6BA1" w:rsidP="00380C2B"/>
          <w:p w:rsidR="003B6BA1" w:rsidRPr="00666B6F" w:rsidRDefault="003B6BA1" w:rsidP="00380C2B">
            <w:r w:rsidRPr="00666B6F">
              <w:t>Fish J.</w:t>
            </w:r>
          </w:p>
        </w:tc>
      </w:tr>
    </w:tbl>
    <w:p w:rsidR="003B6BA1" w:rsidRPr="00666B6F" w:rsidRDefault="003B6BA1" w:rsidP="003B6BA1">
      <w:pPr>
        <w:rPr>
          <w:rFonts w:eastAsiaTheme="minorHAnsi" w:cstheme="minorBidi"/>
          <w:szCs w:val="24"/>
          <w:lang w:eastAsia="en-US"/>
        </w:rPr>
      </w:pPr>
    </w:p>
    <w:p w:rsidR="003B6BA1" w:rsidRPr="00666B6F" w:rsidRDefault="003B6BA1" w:rsidP="003B6BA1">
      <w:pPr>
        <w:rPr>
          <w:rFonts w:eastAsiaTheme="minorHAnsi" w:cstheme="minorBidi"/>
          <w:szCs w:val="24"/>
          <w:lang w:eastAsia="en-US"/>
        </w:rPr>
      </w:pPr>
    </w:p>
    <w:p w:rsidR="003B6BA1" w:rsidRPr="00666B6F" w:rsidRDefault="00EB0D5E" w:rsidP="003B6BA1">
      <w:pPr>
        <w:rPr>
          <w:rFonts w:eastAsiaTheme="minorHAnsi" w:cstheme="minorBidi"/>
          <w:szCs w:val="24"/>
          <w:lang w:eastAsia="en-US"/>
        </w:rPr>
      </w:pPr>
      <w:r w:rsidRPr="00EB0D5E">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3B6BA1" w:rsidRPr="00870E8D" w:rsidRDefault="003B6BA1" w:rsidP="003B6BA1">
      <w:pPr>
        <w:rPr>
          <w:smallCaps/>
        </w:rPr>
      </w:pPr>
      <w:r w:rsidRPr="00870E8D">
        <w:rPr>
          <w:smallCaps/>
        </w:rPr>
        <w:br w:type="page"/>
      </w:r>
    </w:p>
    <w:p w:rsidR="008322BD" w:rsidRPr="009A75F4" w:rsidRDefault="009A75F4" w:rsidP="004E7320">
      <w:pPr>
        <w:spacing w:after="720" w:line="480" w:lineRule="auto"/>
        <w:jc w:val="both"/>
      </w:pPr>
      <w:r>
        <w:lastRenderedPageBreak/>
        <w:t>R</w:t>
      </w:r>
      <w:r w:rsidR="008F78E9" w:rsidRPr="009A75F4">
        <w:t>.</w:t>
      </w:r>
      <w:r w:rsidR="00480C90" w:rsidRPr="009A75F4">
        <w:t xml:space="preserve"> </w:t>
      </w:r>
      <w:r w:rsidR="009B57B3" w:rsidRPr="009A75F4">
        <w:rPr>
          <w:i/>
        </w:rPr>
        <w:t>v.</w:t>
      </w:r>
      <w:r w:rsidR="00B000D8" w:rsidRPr="009A75F4">
        <w:t xml:space="preserve"> </w:t>
      </w:r>
      <w:proofErr w:type="spellStart"/>
      <w:r>
        <w:t>S</w:t>
      </w:r>
      <w:r w:rsidR="008F78E9" w:rsidRPr="009A75F4">
        <w:t>anichar</w:t>
      </w:r>
      <w:proofErr w:type="spellEnd"/>
      <w:r>
        <w:t>, 2013 SCC 4, [2013] 1 S.C.R. 54</w:t>
      </w:r>
    </w:p>
    <w:p w:rsidR="00D62408" w:rsidRPr="00B80A10" w:rsidRDefault="007C2279">
      <w:pPr>
        <w:pStyle w:val="SCCLsocLastPartyInRole"/>
      </w:pPr>
      <w:r w:rsidRPr="00B80A10">
        <w:t xml:space="preserve">Her Majesty </w:t>
      </w:r>
      <w:proofErr w:type="gramStart"/>
      <w:r w:rsidRPr="00B80A10">
        <w:t>T</w:t>
      </w:r>
      <w:r w:rsidR="00DF40E1" w:rsidRPr="00B80A10">
        <w:t>he</w:t>
      </w:r>
      <w:proofErr w:type="gramEnd"/>
      <w:r w:rsidR="00DF40E1" w:rsidRPr="00B80A10">
        <w:t xml:space="preserve"> Queen</w:t>
      </w:r>
      <w:r w:rsidR="00DF40E1" w:rsidRPr="00B80A10">
        <w:rPr>
          <w:rStyle w:val="SCCLsocPartyRole"/>
        </w:rPr>
        <w:tab/>
        <w:t>Appellant</w:t>
      </w:r>
    </w:p>
    <w:p w:rsidR="00D62408" w:rsidRPr="00B80A10" w:rsidRDefault="00DF40E1">
      <w:pPr>
        <w:pStyle w:val="SCCLsocVersus"/>
      </w:pPr>
      <w:proofErr w:type="gramStart"/>
      <w:r w:rsidRPr="00B80A10">
        <w:t>v</w:t>
      </w:r>
      <w:proofErr w:type="gramEnd"/>
      <w:r w:rsidRPr="00B80A10">
        <w:t>.</w:t>
      </w:r>
    </w:p>
    <w:p w:rsidR="00D62408" w:rsidRPr="00B80A10" w:rsidRDefault="00DF40E1">
      <w:pPr>
        <w:pStyle w:val="SCCLsocLastPartyInRole"/>
      </w:pPr>
      <w:r w:rsidRPr="00B80A10">
        <w:t xml:space="preserve">Harry </w:t>
      </w:r>
      <w:proofErr w:type="spellStart"/>
      <w:r w:rsidRPr="00B80A10">
        <w:t>Persaud</w:t>
      </w:r>
      <w:proofErr w:type="spellEnd"/>
      <w:r w:rsidRPr="00B80A10">
        <w:t xml:space="preserve"> </w:t>
      </w:r>
      <w:proofErr w:type="spellStart"/>
      <w:r w:rsidRPr="00B80A10">
        <w:t>Sanichar</w:t>
      </w:r>
      <w:proofErr w:type="spellEnd"/>
      <w:r w:rsidRPr="00B80A10">
        <w:rPr>
          <w:rStyle w:val="SCCLsocPartyRole"/>
        </w:rPr>
        <w:tab/>
        <w:t>Respondent</w:t>
      </w:r>
    </w:p>
    <w:p w:rsidR="00426659" w:rsidRPr="00B80A10" w:rsidRDefault="00426659" w:rsidP="004E7320">
      <w:pPr>
        <w:spacing w:after="720"/>
        <w:jc w:val="both"/>
        <w:rPr>
          <w:b/>
        </w:rPr>
      </w:pPr>
      <w:r w:rsidRPr="00B80A10">
        <w:rPr>
          <w:b/>
        </w:rPr>
        <w:t xml:space="preserve">Indexed as:  R. </w:t>
      </w:r>
      <w:r w:rsidRPr="00B80A10">
        <w:rPr>
          <w:b/>
          <w:i/>
        </w:rPr>
        <w:t>v.</w:t>
      </w:r>
      <w:r w:rsidRPr="00B80A10">
        <w:rPr>
          <w:b/>
        </w:rPr>
        <w:t xml:space="preserve"> </w:t>
      </w:r>
      <w:proofErr w:type="spellStart"/>
      <w:r w:rsidRPr="00B80A10">
        <w:rPr>
          <w:b/>
        </w:rPr>
        <w:t>Sanichar</w:t>
      </w:r>
      <w:proofErr w:type="spellEnd"/>
    </w:p>
    <w:p w:rsidR="00426659" w:rsidRPr="00B80A10" w:rsidRDefault="004F36FF" w:rsidP="004E7320">
      <w:pPr>
        <w:pStyle w:val="SCCSystemYear"/>
        <w:spacing w:after="720"/>
        <w:jc w:val="both"/>
      </w:pPr>
      <w:r w:rsidRPr="00B80A10">
        <w:t>2013</w:t>
      </w:r>
      <w:r w:rsidR="003D0399" w:rsidRPr="00B80A10">
        <w:t xml:space="preserve"> </w:t>
      </w:r>
      <w:r w:rsidR="00B444DC" w:rsidRPr="00B80A10">
        <w:t>SCC 4</w:t>
      </w:r>
    </w:p>
    <w:p w:rsidR="008322BD" w:rsidRPr="00B80A10" w:rsidRDefault="004E7320" w:rsidP="004E7320">
      <w:pPr>
        <w:spacing w:after="720"/>
        <w:jc w:val="both"/>
      </w:pPr>
      <w:r w:rsidRPr="00B80A10">
        <w:t>File No.:  </w:t>
      </w:r>
      <w:r w:rsidR="009B57B3" w:rsidRPr="00B80A10">
        <w:t>34720.</w:t>
      </w:r>
    </w:p>
    <w:p w:rsidR="008322BD" w:rsidRPr="00B80A10" w:rsidRDefault="004E7320" w:rsidP="004E7320">
      <w:pPr>
        <w:spacing w:after="720"/>
        <w:jc w:val="both"/>
      </w:pPr>
      <w:r w:rsidRPr="00B80A10">
        <w:t>2012:  December </w:t>
      </w:r>
      <w:r w:rsidR="004F36FF" w:rsidRPr="00B80A10">
        <w:t>6</w:t>
      </w:r>
      <w:r w:rsidR="009B57B3" w:rsidRPr="00B80A10">
        <w:t xml:space="preserve">; </w:t>
      </w:r>
      <w:r w:rsidRPr="00B80A10">
        <w:t>2013:  January </w:t>
      </w:r>
      <w:r w:rsidR="00071803" w:rsidRPr="00B80A10">
        <w:t>24</w:t>
      </w:r>
      <w:r w:rsidR="009B57B3" w:rsidRPr="00B80A10">
        <w:t>.</w:t>
      </w:r>
    </w:p>
    <w:p w:rsidR="008322BD" w:rsidRPr="00B80A10" w:rsidRDefault="004E7320" w:rsidP="004E7320">
      <w:pPr>
        <w:spacing w:after="720"/>
        <w:jc w:val="both"/>
      </w:pPr>
      <w:r w:rsidRPr="00B80A10">
        <w:t>Present:  </w:t>
      </w:r>
      <w:r w:rsidR="009B57B3" w:rsidRPr="00B80A10">
        <w:t xml:space="preserve">McLachlin C.J. and Fish, </w:t>
      </w:r>
      <w:proofErr w:type="spellStart"/>
      <w:r w:rsidR="009B57B3" w:rsidRPr="00B80A10">
        <w:t>Abella</w:t>
      </w:r>
      <w:proofErr w:type="spellEnd"/>
      <w:r w:rsidR="009B57B3" w:rsidRPr="00B80A10">
        <w:t xml:space="preserve">, Rothstein, </w:t>
      </w:r>
      <w:proofErr w:type="spellStart"/>
      <w:r w:rsidR="009B57B3" w:rsidRPr="00B80A10">
        <w:t>Moldaver</w:t>
      </w:r>
      <w:proofErr w:type="spellEnd"/>
      <w:r w:rsidR="009B57B3" w:rsidRPr="00B80A10">
        <w:t xml:space="preserve">, </w:t>
      </w:r>
      <w:proofErr w:type="spellStart"/>
      <w:r w:rsidR="009B57B3" w:rsidRPr="00B80A10">
        <w:t>Karakatsanis</w:t>
      </w:r>
      <w:proofErr w:type="spellEnd"/>
      <w:r w:rsidR="009B57B3" w:rsidRPr="00B80A10">
        <w:t xml:space="preserve"> and Wagner JJ.</w:t>
      </w:r>
    </w:p>
    <w:p w:rsidR="008322BD" w:rsidRPr="00B80A10" w:rsidRDefault="00656313" w:rsidP="004E7320">
      <w:pPr>
        <w:pStyle w:val="SCCLowerCourtNameLowercase"/>
        <w:spacing w:after="720" w:line="240" w:lineRule="auto"/>
      </w:pPr>
      <w:r w:rsidRPr="00B80A10">
        <w:t>o</w:t>
      </w:r>
      <w:r w:rsidR="00170592" w:rsidRPr="00B80A10">
        <w:t>n</w:t>
      </w:r>
      <w:r w:rsidR="00224FC0" w:rsidRPr="00B80A10">
        <w:t xml:space="preserve"> </w:t>
      </w:r>
      <w:r w:rsidRPr="00B80A10">
        <w:t>a</w:t>
      </w:r>
      <w:r w:rsidR="00170592" w:rsidRPr="00B80A10">
        <w:t>ppeal</w:t>
      </w:r>
      <w:r w:rsidR="00224FC0" w:rsidRPr="00B80A10">
        <w:t xml:space="preserve"> </w:t>
      </w:r>
      <w:r w:rsidR="00170592" w:rsidRPr="00B80A10">
        <w:t>from</w:t>
      </w:r>
      <w:r w:rsidR="009567AA" w:rsidRPr="00B80A10">
        <w:t xml:space="preserve"> the</w:t>
      </w:r>
      <w:r w:rsidR="00224FC0" w:rsidRPr="00B80A10">
        <w:t xml:space="preserve"> </w:t>
      </w:r>
      <w:r w:rsidR="009B57B3" w:rsidRPr="00B80A10">
        <w:t xml:space="preserve">court of appeal for </w:t>
      </w:r>
      <w:proofErr w:type="spellStart"/>
      <w:r w:rsidR="009B57B3" w:rsidRPr="00B80A10">
        <w:t>ontario</w:t>
      </w:r>
      <w:proofErr w:type="spellEnd"/>
    </w:p>
    <w:p w:rsidR="0058661E" w:rsidRPr="00B80A10" w:rsidRDefault="009B57B3" w:rsidP="0058661E">
      <w:pPr>
        <w:pStyle w:val="SCCNormalDoubleSpacing"/>
        <w:rPr>
          <w:i/>
        </w:rPr>
      </w:pPr>
      <w:r w:rsidRPr="00B80A10">
        <w:tab/>
      </w:r>
      <w:r w:rsidR="0058661E" w:rsidRPr="00B80A10">
        <w:rPr>
          <w:i/>
        </w:rPr>
        <w:t xml:space="preserve">Criminal law </w:t>
      </w:r>
      <w:r w:rsidR="004E7320" w:rsidRPr="00B80A10">
        <w:rPr>
          <w:i/>
        </w:rPr>
        <w:t>—</w:t>
      </w:r>
      <w:r w:rsidR="0058661E" w:rsidRPr="00B80A10">
        <w:rPr>
          <w:i/>
        </w:rPr>
        <w:t xml:space="preserve"> Appeals </w:t>
      </w:r>
      <w:r w:rsidR="004E7320" w:rsidRPr="00B80A10">
        <w:rPr>
          <w:i/>
        </w:rPr>
        <w:t>—</w:t>
      </w:r>
      <w:r w:rsidR="00042BBA" w:rsidRPr="00B80A10">
        <w:rPr>
          <w:i/>
        </w:rPr>
        <w:t xml:space="preserve"> </w:t>
      </w:r>
      <w:r w:rsidR="0058661E" w:rsidRPr="00B80A10">
        <w:rPr>
          <w:i/>
        </w:rPr>
        <w:t xml:space="preserve">Trial judge convicting accused of several charges involving physical and sexual abuse </w:t>
      </w:r>
      <w:r w:rsidR="004E7320" w:rsidRPr="00B80A10">
        <w:rPr>
          <w:i/>
        </w:rPr>
        <w:t>—</w:t>
      </w:r>
      <w:r w:rsidR="00042BBA" w:rsidRPr="00B80A10">
        <w:rPr>
          <w:i/>
        </w:rPr>
        <w:t xml:space="preserve"> </w:t>
      </w:r>
      <w:r w:rsidR="0058661E" w:rsidRPr="00B80A10">
        <w:rPr>
          <w:i/>
        </w:rPr>
        <w:t xml:space="preserve">Court of Appeal setting aside convictions and ordering new trial </w:t>
      </w:r>
      <w:r w:rsidR="004E7320" w:rsidRPr="00B80A10">
        <w:rPr>
          <w:i/>
        </w:rPr>
        <w:t>—</w:t>
      </w:r>
      <w:r w:rsidR="00042BBA" w:rsidRPr="00B80A10">
        <w:rPr>
          <w:i/>
        </w:rPr>
        <w:t xml:space="preserve"> </w:t>
      </w:r>
      <w:r w:rsidR="0058661E" w:rsidRPr="00B80A10">
        <w:rPr>
          <w:i/>
        </w:rPr>
        <w:t xml:space="preserve">Whether appeal raises question of law </w:t>
      </w:r>
      <w:r w:rsidR="004E7320" w:rsidRPr="00B80A10">
        <w:rPr>
          <w:i/>
        </w:rPr>
        <w:t>—</w:t>
      </w:r>
      <w:r w:rsidR="00042BBA" w:rsidRPr="00B80A10">
        <w:rPr>
          <w:i/>
        </w:rPr>
        <w:t xml:space="preserve"> </w:t>
      </w:r>
      <w:r w:rsidR="0058661E" w:rsidRPr="00B80A10">
        <w:rPr>
          <w:i/>
        </w:rPr>
        <w:t>Whether Court of Appeal erred in setting aside convictions and ordering new trial.</w:t>
      </w:r>
    </w:p>
    <w:p w:rsidR="0058661E" w:rsidRPr="00B80A10" w:rsidRDefault="0058661E" w:rsidP="0058661E">
      <w:pPr>
        <w:pStyle w:val="SCCNormalDoubleSpacing"/>
      </w:pPr>
    </w:p>
    <w:p w:rsidR="0058661E" w:rsidRPr="00B80A10" w:rsidRDefault="0058661E" w:rsidP="0058661E">
      <w:pPr>
        <w:pStyle w:val="SCCNormalDoubleSpacing"/>
      </w:pPr>
      <w:r w:rsidRPr="00B80A10">
        <w:lastRenderedPageBreak/>
        <w:tab/>
      </w:r>
      <w:r w:rsidRPr="00B80A10">
        <w:rPr>
          <w:i/>
        </w:rPr>
        <w:t>Held</w:t>
      </w:r>
      <w:r w:rsidRPr="00451516">
        <w:t xml:space="preserve"> </w:t>
      </w:r>
      <w:r w:rsidR="004E7320" w:rsidRPr="00451516">
        <w:t>(Fish </w:t>
      </w:r>
      <w:r w:rsidRPr="00451516">
        <w:t>J. dissenting):</w:t>
      </w:r>
      <w:r w:rsidRPr="00B80A10">
        <w:t xml:space="preserve">  The motion to quash the appeal should be dismissed. </w:t>
      </w:r>
      <w:r w:rsidR="004E7320" w:rsidRPr="00B80A10">
        <w:t xml:space="preserve"> </w:t>
      </w:r>
      <w:r w:rsidRPr="00B80A10">
        <w:t xml:space="preserve">The appeal should be allowed and the convictions should be restored. </w:t>
      </w:r>
    </w:p>
    <w:p w:rsidR="0058661E" w:rsidRPr="00B80A10" w:rsidRDefault="0058661E" w:rsidP="0058661E">
      <w:pPr>
        <w:pStyle w:val="SCCNormalDoubleSpacing"/>
      </w:pPr>
    </w:p>
    <w:p w:rsidR="0058661E" w:rsidRPr="00B80A10" w:rsidRDefault="0058661E" w:rsidP="0058661E">
      <w:pPr>
        <w:pStyle w:val="SCCNormalDoubleSpacing"/>
      </w:pPr>
      <w:r w:rsidRPr="00B80A10">
        <w:tab/>
      </w:r>
      <w:r w:rsidRPr="00B80A10">
        <w:rPr>
          <w:i/>
        </w:rPr>
        <w:t xml:space="preserve">Per </w:t>
      </w:r>
      <w:r w:rsidR="00042BBA" w:rsidRPr="00B80A10">
        <w:t xml:space="preserve">McLachlin C.J. and </w:t>
      </w:r>
      <w:proofErr w:type="spellStart"/>
      <w:r w:rsidR="00042BBA" w:rsidRPr="00B80A10">
        <w:t>Abella</w:t>
      </w:r>
      <w:proofErr w:type="spellEnd"/>
      <w:r w:rsidR="00042BBA" w:rsidRPr="00B80A10">
        <w:t xml:space="preserve">, Rothstein, </w:t>
      </w:r>
      <w:proofErr w:type="spellStart"/>
      <w:r w:rsidR="00042BBA" w:rsidRPr="00B80A10">
        <w:t>Moldaver</w:t>
      </w:r>
      <w:proofErr w:type="spellEnd"/>
      <w:r w:rsidR="00042BBA" w:rsidRPr="00B80A10">
        <w:t xml:space="preserve">, </w:t>
      </w:r>
      <w:proofErr w:type="spellStart"/>
      <w:r w:rsidR="00042BBA" w:rsidRPr="001538BD">
        <w:t>Karakatsanis</w:t>
      </w:r>
      <w:proofErr w:type="spellEnd"/>
      <w:r w:rsidR="00042BBA" w:rsidRPr="001538BD">
        <w:t xml:space="preserve"> </w:t>
      </w:r>
      <w:r w:rsidR="00042BBA" w:rsidRPr="00B80A10">
        <w:t>and Wagner JJ.</w:t>
      </w:r>
      <w:r w:rsidRPr="00B80A10">
        <w:t xml:space="preserve">: </w:t>
      </w:r>
      <w:r w:rsidR="00042BBA" w:rsidRPr="00B80A10">
        <w:t xml:space="preserve"> </w:t>
      </w:r>
      <w:r w:rsidRPr="00B80A10">
        <w:t>The trial judge did not apply wrong legal principles in assessing the reliability of the complainant’s evidence or in his application of the burden of proof. This appeal raises a question of law, namely whether the trial judge was required to self-instruct on the dangers of convicting because the complainant’s evidence related to events from the distant past; suffered from various frailties; and stood alone where confirmatory evidence might reasonably have been expected to exist.</w:t>
      </w:r>
    </w:p>
    <w:p w:rsidR="0058661E" w:rsidRPr="00B80A10" w:rsidRDefault="0058661E" w:rsidP="0058661E">
      <w:pPr>
        <w:pStyle w:val="SCCNormalDoubleSpacing"/>
      </w:pPr>
    </w:p>
    <w:p w:rsidR="0058661E" w:rsidRPr="00B80A10" w:rsidRDefault="0058661E" w:rsidP="0058661E">
      <w:pPr>
        <w:pStyle w:val="SCCNormalDoubleSpacing"/>
      </w:pPr>
      <w:r w:rsidRPr="00B80A10">
        <w:tab/>
      </w:r>
      <w:r w:rsidRPr="00B80A10">
        <w:rPr>
          <w:i/>
        </w:rPr>
        <w:t>Per</w:t>
      </w:r>
      <w:r w:rsidR="004E7320" w:rsidRPr="00B80A10">
        <w:t xml:space="preserve"> Fish </w:t>
      </w:r>
      <w:r w:rsidRPr="00B80A10">
        <w:t xml:space="preserve">J. (dissenting): </w:t>
      </w:r>
      <w:r w:rsidR="00042BBA" w:rsidRPr="00B80A10">
        <w:t xml:space="preserve"> </w:t>
      </w:r>
      <w:r w:rsidRPr="00B80A10">
        <w:t xml:space="preserve">The reasons of the majority in the Court of Appeal contain no assertion </w:t>
      </w:r>
      <w:r w:rsidR="004E7320" w:rsidRPr="00B80A10">
        <w:t>—</w:t>
      </w:r>
      <w:r w:rsidRPr="00B80A10">
        <w:t xml:space="preserve"> either express or implied </w:t>
      </w:r>
      <w:r w:rsidR="004E7320" w:rsidRPr="00B80A10">
        <w:t>—</w:t>
      </w:r>
      <w:r w:rsidR="00042BBA" w:rsidRPr="00B80A10">
        <w:t xml:space="preserve"> </w:t>
      </w:r>
      <w:r w:rsidRPr="00B80A10">
        <w:t xml:space="preserve">that the trial judge was required as a matter of law to self-instruct on the dangers mentioned by Justice </w:t>
      </w:r>
      <w:proofErr w:type="spellStart"/>
      <w:r w:rsidRPr="00B80A10">
        <w:t>Karakatsanis</w:t>
      </w:r>
      <w:proofErr w:type="spellEnd"/>
      <w:r w:rsidRPr="00B80A10">
        <w:t xml:space="preserve">. </w:t>
      </w:r>
      <w:r w:rsidR="004E7320" w:rsidRPr="00B80A10">
        <w:t xml:space="preserve"> </w:t>
      </w:r>
      <w:r w:rsidRPr="00B80A10">
        <w:t>Moreover, the dissent in the Court of Appeal is not based on any disagreement, real or imputed, with the majority’s reasons regarding self-instruction. Rather, it relates to questions of fact or, at best, questions of mix</w:t>
      </w:r>
      <w:r w:rsidR="004E7320" w:rsidRPr="00B80A10">
        <w:t>ed fact and law. Pursuant to s. </w:t>
      </w:r>
      <w:r w:rsidRPr="00B80A10">
        <w:t>693(1</w:t>
      </w:r>
      <w:proofErr w:type="gramStart"/>
      <w:r w:rsidRPr="00B80A10">
        <w:t>)(</w:t>
      </w:r>
      <w:proofErr w:type="gramEnd"/>
      <w:r w:rsidRPr="00B80A10">
        <w:rPr>
          <w:i/>
        </w:rPr>
        <w:t>a</w:t>
      </w:r>
      <w:r w:rsidRPr="00B80A10">
        <w:t xml:space="preserve">) of the </w:t>
      </w:r>
      <w:r w:rsidRPr="00B80A10">
        <w:rPr>
          <w:i/>
        </w:rPr>
        <w:t>Criminal Code</w:t>
      </w:r>
      <w:r w:rsidRPr="00B80A10">
        <w:t>, the Crown may only appeal to this Court on any question of law on which a judge of the court of appeal dissents, which plainly is not the case here.</w:t>
      </w:r>
    </w:p>
    <w:p w:rsidR="007E1C47" w:rsidRPr="00B80A10" w:rsidRDefault="002E6705" w:rsidP="00A3184B">
      <w:pPr>
        <w:pStyle w:val="SCCNormalDoubleSpacing"/>
        <w:keepNext/>
        <w:keepLines/>
        <w:spacing w:after="720" w:line="240" w:lineRule="auto"/>
        <w:rPr>
          <w:b/>
        </w:rPr>
      </w:pPr>
      <w:r w:rsidRPr="00B80A10">
        <w:rPr>
          <w:b/>
        </w:rPr>
        <w:lastRenderedPageBreak/>
        <w:t>Cases Cited</w:t>
      </w:r>
    </w:p>
    <w:p w:rsidR="00A149DF" w:rsidRPr="00B80A10" w:rsidRDefault="00F62BE8" w:rsidP="00A3184B">
      <w:pPr>
        <w:pStyle w:val="SCCNormalDoubleSpacing"/>
        <w:keepNext/>
        <w:keepLines/>
        <w:spacing w:after="720" w:line="240" w:lineRule="auto"/>
      </w:pPr>
      <w:proofErr w:type="gramStart"/>
      <w:r w:rsidRPr="00B80A10">
        <w:t xml:space="preserve">By </w:t>
      </w:r>
      <w:proofErr w:type="spellStart"/>
      <w:r w:rsidRPr="00B80A10">
        <w:t>Karakatsanis</w:t>
      </w:r>
      <w:proofErr w:type="spellEnd"/>
      <w:r w:rsidRPr="00B80A10">
        <w:t xml:space="preserve"> J.</w:t>
      </w:r>
      <w:proofErr w:type="gramEnd"/>
    </w:p>
    <w:p w:rsidR="004E2C26" w:rsidRPr="00B80A10" w:rsidRDefault="002E6705" w:rsidP="00A3184B">
      <w:pPr>
        <w:pStyle w:val="SCCNormalDoubleSpacing"/>
        <w:keepNext/>
        <w:keepLines/>
        <w:spacing w:after="720" w:line="240" w:lineRule="auto"/>
      </w:pPr>
      <w:r w:rsidRPr="00B80A10">
        <w:tab/>
      </w:r>
      <w:r w:rsidRPr="00B80A10">
        <w:rPr>
          <w:b/>
        </w:rPr>
        <w:t>Referred to:</w:t>
      </w:r>
      <w:r w:rsidR="00BD0E9E" w:rsidRPr="00B80A10">
        <w:t xml:space="preserve"> </w:t>
      </w:r>
      <w:r w:rsidR="007C2279" w:rsidRPr="00B80A10">
        <w:t xml:space="preserve"> </w:t>
      </w:r>
      <w:r w:rsidR="007C2279" w:rsidRPr="00B80A10">
        <w:rPr>
          <w:i/>
        </w:rPr>
        <w:t>R. v. J.M.H.</w:t>
      </w:r>
      <w:r w:rsidR="007C2279" w:rsidRPr="00B80A10">
        <w:t>, 2011 SCC 45, [2011] 3 S.C.R. 197.</w:t>
      </w:r>
    </w:p>
    <w:p w:rsidR="00F62BE8" w:rsidRPr="00B80A10" w:rsidRDefault="00F62BE8" w:rsidP="00A3184B">
      <w:pPr>
        <w:pStyle w:val="SCCNormalDoubleSpacing"/>
        <w:keepNext/>
        <w:keepLines/>
        <w:spacing w:after="720" w:line="240" w:lineRule="auto"/>
      </w:pPr>
      <w:r w:rsidRPr="00B80A10">
        <w:t>By Fish J.</w:t>
      </w:r>
      <w:r w:rsidR="00C32331" w:rsidRPr="00B80A10">
        <w:t xml:space="preserve"> (dissenting)</w:t>
      </w:r>
    </w:p>
    <w:p w:rsidR="00F62BE8" w:rsidRPr="00B80A10" w:rsidRDefault="00F62BE8" w:rsidP="00A3184B">
      <w:pPr>
        <w:pStyle w:val="SCCNormalDoubleSpacing"/>
        <w:keepNext/>
        <w:keepLines/>
        <w:spacing w:after="720" w:line="240" w:lineRule="auto"/>
      </w:pPr>
      <w:r w:rsidRPr="00B80A10">
        <w:tab/>
      </w:r>
      <w:r w:rsidRPr="00B80A10">
        <w:rPr>
          <w:i/>
        </w:rPr>
        <w:t>R. v. McGrath</w:t>
      </w:r>
      <w:r w:rsidRPr="00B80A10">
        <w:t>, [2000] O.J. No. 5735 (QL).</w:t>
      </w:r>
    </w:p>
    <w:p w:rsidR="00E10DF3" w:rsidRPr="00B80A10" w:rsidRDefault="00E10DF3" w:rsidP="00E10DF3">
      <w:pPr>
        <w:pStyle w:val="SCCNormalDoubleSpacing"/>
        <w:keepNext/>
        <w:spacing w:after="720" w:line="240" w:lineRule="auto"/>
        <w:rPr>
          <w:szCs w:val="24"/>
        </w:rPr>
      </w:pPr>
      <w:r w:rsidRPr="00B80A10">
        <w:rPr>
          <w:b/>
          <w:szCs w:val="24"/>
        </w:rPr>
        <w:t>Statutes and Regulations Cited</w:t>
      </w:r>
    </w:p>
    <w:p w:rsidR="00E10DF3" w:rsidRPr="005E18E9" w:rsidRDefault="00E10DF3" w:rsidP="00A3184B">
      <w:pPr>
        <w:pStyle w:val="SCCNormalDoubleSpacing"/>
        <w:spacing w:after="720" w:line="240" w:lineRule="auto"/>
        <w:ind w:left="547" w:hanging="547"/>
        <w:rPr>
          <w:lang w:val="fr-CA"/>
        </w:rPr>
      </w:pPr>
      <w:r w:rsidRPr="005E18E9">
        <w:rPr>
          <w:i/>
          <w:lang w:val="fr-CA"/>
        </w:rPr>
        <w:t>Criminal Code</w:t>
      </w:r>
      <w:r w:rsidRPr="005E18E9">
        <w:rPr>
          <w:lang w:val="fr-CA"/>
        </w:rPr>
        <w:t>, R.S.C. 1985, c. C</w:t>
      </w:r>
      <w:r w:rsidRPr="005E18E9">
        <w:rPr>
          <w:lang w:val="fr-CA"/>
        </w:rPr>
        <w:noBreakHyphen/>
        <w:t>46, s. 693(1</w:t>
      </w:r>
      <w:proofErr w:type="gramStart"/>
      <w:r w:rsidRPr="005E18E9">
        <w:rPr>
          <w:lang w:val="fr-CA"/>
        </w:rPr>
        <w:t>)(</w:t>
      </w:r>
      <w:proofErr w:type="gramEnd"/>
      <w:r w:rsidRPr="005E18E9">
        <w:rPr>
          <w:i/>
          <w:lang w:val="fr-CA"/>
        </w:rPr>
        <w:t>a</w:t>
      </w:r>
      <w:r w:rsidRPr="005E18E9">
        <w:rPr>
          <w:lang w:val="fr-CA"/>
        </w:rPr>
        <w:t>).</w:t>
      </w:r>
    </w:p>
    <w:p w:rsidR="00656313" w:rsidRPr="00B80A10" w:rsidRDefault="007C2279" w:rsidP="00A3184B">
      <w:pPr>
        <w:pStyle w:val="SCCNormalDoubleSpacing"/>
        <w:spacing w:after="480"/>
      </w:pPr>
      <w:r w:rsidRPr="005E18E9">
        <w:rPr>
          <w:lang w:val="fr-CA"/>
        </w:rPr>
        <w:tab/>
      </w:r>
      <w:r w:rsidR="009B57B3" w:rsidRPr="00B80A10">
        <w:t xml:space="preserve">APPEAL from a judgment of the </w:t>
      </w:r>
      <w:r w:rsidRPr="00B80A10">
        <w:t xml:space="preserve">Ontario </w:t>
      </w:r>
      <w:r w:rsidR="009B57B3" w:rsidRPr="00B80A10">
        <w:t>Court of Appeal</w:t>
      </w:r>
      <w:r w:rsidR="00A3184B" w:rsidRPr="00B80A10">
        <w:t xml:space="preserve"> (</w:t>
      </w:r>
      <w:proofErr w:type="spellStart"/>
      <w:r w:rsidR="00A3184B" w:rsidRPr="00B80A10">
        <w:t>Laskin</w:t>
      </w:r>
      <w:proofErr w:type="spellEnd"/>
      <w:r w:rsidR="00A3184B" w:rsidRPr="00B80A10">
        <w:t xml:space="preserve">, </w:t>
      </w:r>
      <w:proofErr w:type="spellStart"/>
      <w:r w:rsidR="00A3184B" w:rsidRPr="00B80A10">
        <w:t>Cronk</w:t>
      </w:r>
      <w:proofErr w:type="spellEnd"/>
      <w:r w:rsidR="00A3184B" w:rsidRPr="00B80A10">
        <w:t xml:space="preserve"> and Blair </w:t>
      </w:r>
      <w:r w:rsidR="00DF40E1" w:rsidRPr="00B80A10">
        <w:t>JJ.A.), 2012 ONCA 117, 288 O.A.C. 164, 280 C.C.C. (3d) 500</w:t>
      </w:r>
      <w:r w:rsidR="00DA460F" w:rsidRPr="00B80A10">
        <w:t xml:space="preserve">, 92 C.R. (6th) 303, </w:t>
      </w:r>
      <w:r w:rsidR="00A3184B" w:rsidRPr="00B80A10">
        <w:t>[2012] O.J. No. </w:t>
      </w:r>
      <w:r w:rsidR="00DA460F" w:rsidRPr="00B80A10">
        <w:t xml:space="preserve">748 (QL), 2012 </w:t>
      </w:r>
      <w:proofErr w:type="spellStart"/>
      <w:r w:rsidR="00DA460F" w:rsidRPr="00B80A10">
        <w:t>CarswellOnt</w:t>
      </w:r>
      <w:proofErr w:type="spellEnd"/>
      <w:r w:rsidR="00DA460F" w:rsidRPr="00B80A10">
        <w:t xml:space="preserve"> 1914, </w:t>
      </w:r>
      <w:r w:rsidR="00DF40E1" w:rsidRPr="00B80A10">
        <w:t xml:space="preserve">setting aside the </w:t>
      </w:r>
      <w:proofErr w:type="spellStart"/>
      <w:r w:rsidR="00DF40E1" w:rsidRPr="00B80A10">
        <w:t>accused’s</w:t>
      </w:r>
      <w:proofErr w:type="spellEnd"/>
      <w:r w:rsidR="00DF40E1" w:rsidRPr="00B80A10">
        <w:t xml:space="preserve"> convictions </w:t>
      </w:r>
      <w:r w:rsidR="00A3184B" w:rsidRPr="00B80A10">
        <w:t xml:space="preserve">entered by </w:t>
      </w:r>
      <w:proofErr w:type="spellStart"/>
      <w:r w:rsidR="00A3184B" w:rsidRPr="00B80A10">
        <w:t>Newbould</w:t>
      </w:r>
      <w:proofErr w:type="spellEnd"/>
      <w:r w:rsidR="00A3184B" w:rsidRPr="00B80A10">
        <w:t> </w:t>
      </w:r>
      <w:r w:rsidR="00DA460F" w:rsidRPr="00B80A10">
        <w:t>J.</w:t>
      </w:r>
      <w:r w:rsidR="00DF40E1" w:rsidRPr="00B80A10">
        <w:t xml:space="preserve">, </w:t>
      </w:r>
      <w:r w:rsidR="00A3184B" w:rsidRPr="00B80A10">
        <w:t>[2008] O.J. No. </w:t>
      </w:r>
      <w:r w:rsidR="00DF40E1" w:rsidRPr="00B80A10">
        <w:t>4993 (QL)</w:t>
      </w:r>
      <w:r w:rsidR="00DA460F" w:rsidRPr="00B80A10">
        <w:t>, and ordering a new trial</w:t>
      </w:r>
      <w:r w:rsidRPr="00B80A10">
        <w:t xml:space="preserve">.  Appeal </w:t>
      </w:r>
      <w:r w:rsidR="009E4F8F" w:rsidRPr="00B80A10">
        <w:t>allowed</w:t>
      </w:r>
      <w:r w:rsidR="00A3184B" w:rsidRPr="00B80A10">
        <w:t>, Fish </w:t>
      </w:r>
      <w:r w:rsidR="00F62BE8" w:rsidRPr="00B80A10">
        <w:t>J. dissenting</w:t>
      </w:r>
      <w:r w:rsidRPr="00B80A10">
        <w:t>.</w:t>
      </w:r>
    </w:p>
    <w:p w:rsidR="00D62408" w:rsidRPr="00B80A10" w:rsidRDefault="00DF40E1" w:rsidP="00A3184B">
      <w:pPr>
        <w:pStyle w:val="SCCNormalDoubleSpacing"/>
        <w:spacing w:after="480"/>
      </w:pPr>
      <w:r w:rsidRPr="00B80A10">
        <w:rPr>
          <w:i/>
        </w:rPr>
        <w:tab/>
      </w:r>
      <w:proofErr w:type="gramStart"/>
      <w:r w:rsidRPr="00B80A10">
        <w:rPr>
          <w:i/>
        </w:rPr>
        <w:t>Christine Bartlett-Hughes</w:t>
      </w:r>
      <w:r w:rsidRPr="00B80A10">
        <w:t xml:space="preserve"> and </w:t>
      </w:r>
      <w:r w:rsidRPr="00B80A10">
        <w:rPr>
          <w:i/>
        </w:rPr>
        <w:t xml:space="preserve">Holly </w:t>
      </w:r>
      <w:proofErr w:type="spellStart"/>
      <w:r w:rsidRPr="00B80A10">
        <w:rPr>
          <w:i/>
        </w:rPr>
        <w:t>Loubert</w:t>
      </w:r>
      <w:proofErr w:type="spellEnd"/>
      <w:r w:rsidRPr="00B80A10">
        <w:t>, for the appellant.</w:t>
      </w:r>
      <w:proofErr w:type="gramEnd"/>
    </w:p>
    <w:p w:rsidR="008240F4" w:rsidRDefault="00DF40E1" w:rsidP="008240F4">
      <w:pPr>
        <w:pStyle w:val="SCCNormalDoubleSpacing"/>
        <w:spacing w:after="480"/>
      </w:pPr>
      <w:r w:rsidRPr="00B80A10">
        <w:rPr>
          <w:i/>
        </w:rPr>
        <w:tab/>
      </w:r>
      <w:proofErr w:type="gramStart"/>
      <w:r w:rsidRPr="00B80A10">
        <w:rPr>
          <w:i/>
        </w:rPr>
        <w:t xml:space="preserve">Mark C. </w:t>
      </w:r>
      <w:proofErr w:type="spellStart"/>
      <w:r w:rsidRPr="00B80A10">
        <w:rPr>
          <w:i/>
        </w:rPr>
        <w:t>Halfyard</w:t>
      </w:r>
      <w:proofErr w:type="spellEnd"/>
      <w:r w:rsidRPr="00B80A10">
        <w:t xml:space="preserve"> and </w:t>
      </w:r>
      <w:r w:rsidRPr="00B80A10">
        <w:rPr>
          <w:i/>
        </w:rPr>
        <w:t xml:space="preserve">Michael </w:t>
      </w:r>
      <w:proofErr w:type="spellStart"/>
      <w:r w:rsidRPr="00B80A10">
        <w:rPr>
          <w:i/>
        </w:rPr>
        <w:t>Dineen</w:t>
      </w:r>
      <w:proofErr w:type="spellEnd"/>
      <w:r w:rsidRPr="00B80A10">
        <w:t>, for the respondent.</w:t>
      </w:r>
      <w:proofErr w:type="gramEnd"/>
    </w:p>
    <w:p w:rsidR="008240F4" w:rsidRDefault="008240F4" w:rsidP="008240F4">
      <w:pPr>
        <w:pStyle w:val="SCCNormalDoubleSpacing"/>
        <w:spacing w:after="480"/>
      </w:pPr>
    </w:p>
    <w:p w:rsidR="008240F4" w:rsidRDefault="001538BD" w:rsidP="008240F4">
      <w:pPr>
        <w:pStyle w:val="SCCNormalDoubleSpacing"/>
        <w:spacing w:after="480"/>
      </w:pPr>
      <w:r>
        <w:lastRenderedPageBreak/>
        <w:tab/>
      </w:r>
      <w:proofErr w:type="gramStart"/>
      <w:r>
        <w:t xml:space="preserve">The judgment of McLachlin C.J. and </w:t>
      </w:r>
      <w:proofErr w:type="spellStart"/>
      <w:r>
        <w:t>Abella</w:t>
      </w:r>
      <w:proofErr w:type="spellEnd"/>
      <w:r>
        <w:t xml:space="preserve">, Rothstein, </w:t>
      </w:r>
      <w:proofErr w:type="spellStart"/>
      <w:r>
        <w:t>Moldaver</w:t>
      </w:r>
      <w:proofErr w:type="spellEnd"/>
      <w:r>
        <w:t xml:space="preserve">, </w:t>
      </w:r>
      <w:proofErr w:type="spellStart"/>
      <w:r>
        <w:t>Karakatsanis</w:t>
      </w:r>
      <w:proofErr w:type="spellEnd"/>
      <w:r>
        <w:t xml:space="preserve"> and Wagner JJ.</w:t>
      </w:r>
      <w:proofErr w:type="gramEnd"/>
      <w:r>
        <w:t xml:space="preserve"> </w:t>
      </w:r>
      <w:proofErr w:type="gramStart"/>
      <w:r>
        <w:t>was</w:t>
      </w:r>
      <w:proofErr w:type="gramEnd"/>
      <w:r>
        <w:t xml:space="preserve"> delivered by</w:t>
      </w:r>
    </w:p>
    <w:p w:rsidR="008240F4" w:rsidRPr="009273B5" w:rsidRDefault="001538BD" w:rsidP="008240F4">
      <w:pPr>
        <w:pStyle w:val="ParaNoNdepar-AltN"/>
        <w:rPr>
          <w:rFonts w:cs="Times New Roman"/>
        </w:rPr>
      </w:pPr>
      <w:proofErr w:type="spellStart"/>
      <w:r w:rsidRPr="001538BD">
        <w:rPr>
          <w:smallCaps/>
        </w:rPr>
        <w:t>Karakatsanis</w:t>
      </w:r>
      <w:proofErr w:type="spellEnd"/>
      <w:r w:rsidRPr="001538BD">
        <w:rPr>
          <w:smallCaps/>
        </w:rPr>
        <w:t xml:space="preserve"> J.</w:t>
      </w:r>
      <w:r w:rsidRPr="009273B5">
        <w:t xml:space="preserve"> — </w:t>
      </w:r>
      <w:r w:rsidR="008240F4" w:rsidRPr="009273B5">
        <w:rPr>
          <w:rFonts w:cs="Times New Roman"/>
        </w:rPr>
        <w:t xml:space="preserve">We are satisfied, for the reasons of </w:t>
      </w:r>
      <w:proofErr w:type="spellStart"/>
      <w:r w:rsidR="008240F4" w:rsidRPr="009273B5">
        <w:rPr>
          <w:rFonts w:cs="Times New Roman"/>
        </w:rPr>
        <w:t>Laskin</w:t>
      </w:r>
      <w:proofErr w:type="spellEnd"/>
      <w:r w:rsidR="008240F4" w:rsidRPr="009273B5">
        <w:rPr>
          <w:rFonts w:cs="Times New Roman"/>
        </w:rPr>
        <w:t xml:space="preserve"> J.A., that the trial judge did not err, and more particularly, did not apply wrong legal principles in assessing the reliability of the complainant’s evidence or in his application of the burden of proof.</w:t>
      </w:r>
    </w:p>
    <w:p w:rsidR="008240F4" w:rsidRPr="009273B5" w:rsidRDefault="008240F4" w:rsidP="008240F4">
      <w:pPr>
        <w:pStyle w:val="ParaNoNdepar-AltN"/>
        <w:rPr>
          <w:rFonts w:cs="Times New Roman"/>
        </w:rPr>
      </w:pPr>
      <w:r w:rsidRPr="009273B5">
        <w:rPr>
          <w:rFonts w:cs="Times New Roman"/>
        </w:rPr>
        <w:t>The majority of the Ontario Court of Appeal found that the approach taken by the trial judge in assessing the complainant’s evidence was based on wrong legal principles (2012 ONCA 117, 288 O.A.C. 164).  In particular, the majority held that in the circumstances of this case, the trial judge was required to self-instruct on the dangers of convicting because the complainant’s evidence related to events from the distant past; suffered from various frailties; and stood alone where confirmatory evidence might reasonably have been expected to exist, and his failure to do so constituted a legal error.</w:t>
      </w:r>
    </w:p>
    <w:p w:rsidR="008240F4" w:rsidRPr="009273B5" w:rsidRDefault="008240F4" w:rsidP="008240F4">
      <w:pPr>
        <w:pStyle w:val="ParaNoNdepar-AltN"/>
        <w:rPr>
          <w:rFonts w:cs="Times New Roman"/>
        </w:rPr>
      </w:pPr>
      <w:proofErr w:type="spellStart"/>
      <w:r w:rsidRPr="009273B5">
        <w:rPr>
          <w:rFonts w:cs="Times New Roman"/>
        </w:rPr>
        <w:t>Laskin</w:t>
      </w:r>
      <w:proofErr w:type="spellEnd"/>
      <w:r w:rsidRPr="009273B5">
        <w:rPr>
          <w:rFonts w:cs="Times New Roman"/>
        </w:rPr>
        <w:t xml:space="preserve"> J.A. disagreed.  In his view, the issue of whether to self-instruct in this manner was discretionary on the part of the trial judge and there was no requirement that he do so as a matter of law.  We agree with his assessment of the matter.  Viewed in that light, his dissenting reasons raise a question of law:  see </w:t>
      </w:r>
      <w:r w:rsidRPr="009273B5">
        <w:rPr>
          <w:rFonts w:cs="Times New Roman"/>
          <w:i/>
        </w:rPr>
        <w:t>R. v. J.M.H.</w:t>
      </w:r>
      <w:r w:rsidRPr="009273B5">
        <w:rPr>
          <w:rFonts w:cs="Times New Roman"/>
        </w:rPr>
        <w:t xml:space="preserve">, 2011 SCC 45, [2011] 3 S.C.R. 197, at </w:t>
      </w:r>
      <w:proofErr w:type="spellStart"/>
      <w:r w:rsidRPr="009273B5">
        <w:rPr>
          <w:rFonts w:cs="Times New Roman"/>
        </w:rPr>
        <w:t>paras</w:t>
      </w:r>
      <w:proofErr w:type="spellEnd"/>
      <w:r w:rsidRPr="009273B5">
        <w:rPr>
          <w:rFonts w:cs="Times New Roman"/>
        </w:rPr>
        <w:t>. 29-30.</w:t>
      </w:r>
    </w:p>
    <w:p w:rsidR="008240F4" w:rsidRPr="008240F4" w:rsidRDefault="008240F4" w:rsidP="008240F4">
      <w:pPr>
        <w:pStyle w:val="ParaNoNdepar-AltN"/>
      </w:pPr>
      <w:r w:rsidRPr="009273B5">
        <w:rPr>
          <w:rFonts w:cs="Times New Roman"/>
        </w:rPr>
        <w:lastRenderedPageBreak/>
        <w:t xml:space="preserve">The respondent’s motion to quash the appeal is dismissed.  The appeal is allowed and the convictions are restored, for the reasons of </w:t>
      </w:r>
      <w:proofErr w:type="spellStart"/>
      <w:r w:rsidRPr="009273B5">
        <w:rPr>
          <w:rFonts w:cs="Times New Roman"/>
        </w:rPr>
        <w:t>Laskin</w:t>
      </w:r>
      <w:proofErr w:type="spellEnd"/>
      <w:r w:rsidRPr="009273B5">
        <w:rPr>
          <w:rFonts w:cs="Times New Roman"/>
        </w:rPr>
        <w:t xml:space="preserve"> J.A.</w:t>
      </w:r>
    </w:p>
    <w:p w:rsidR="008240F4" w:rsidRDefault="001538BD" w:rsidP="008240F4">
      <w:pPr>
        <w:pStyle w:val="ParaNoNdepar-AltN"/>
        <w:numPr>
          <w:ilvl w:val="0"/>
          <w:numId w:val="0"/>
        </w:numPr>
        <w:tabs>
          <w:tab w:val="left" w:pos="1166"/>
        </w:tabs>
      </w:pPr>
      <w:r>
        <w:tab/>
        <w:t xml:space="preserve">The following are the reasons delivered by </w:t>
      </w:r>
    </w:p>
    <w:p w:rsidR="008240F4" w:rsidRPr="002B3760" w:rsidRDefault="001538BD" w:rsidP="008240F4">
      <w:pPr>
        <w:pStyle w:val="ParaNoNdepar-AltN"/>
        <w:tabs>
          <w:tab w:val="clear" w:pos="1166"/>
          <w:tab w:val="num" w:pos="1152"/>
        </w:tabs>
      </w:pPr>
      <w:r w:rsidRPr="001538BD">
        <w:rPr>
          <w:smallCaps/>
        </w:rPr>
        <w:t>Fish J.</w:t>
      </w:r>
      <w:r w:rsidRPr="002B3760">
        <w:t xml:space="preserve"> </w:t>
      </w:r>
      <w:r>
        <w:t xml:space="preserve">(dissenting) </w:t>
      </w:r>
      <w:r w:rsidRPr="002B3760">
        <w:t xml:space="preserve">— </w:t>
      </w:r>
      <w:r w:rsidR="008240F4" w:rsidRPr="002B3760">
        <w:t xml:space="preserve">Unlike Justice </w:t>
      </w:r>
      <w:proofErr w:type="spellStart"/>
      <w:r w:rsidR="008240F4" w:rsidRPr="002B3760">
        <w:t>Karakatsanis</w:t>
      </w:r>
      <w:proofErr w:type="spellEnd"/>
      <w:r w:rsidR="008240F4" w:rsidRPr="002B3760">
        <w:t xml:space="preserve">, and with the greatest of respect, I would grant the respondent’s motion to quash this appeal.  </w:t>
      </w:r>
    </w:p>
    <w:p w:rsidR="008240F4" w:rsidRPr="002B3760" w:rsidRDefault="008240F4" w:rsidP="008240F4">
      <w:pPr>
        <w:pStyle w:val="ParaNoNdepar-AltN"/>
        <w:tabs>
          <w:tab w:val="clear" w:pos="1166"/>
          <w:tab w:val="num" w:pos="1152"/>
        </w:tabs>
        <w:rPr>
          <w:rFonts w:cs="Times New Roman"/>
        </w:rPr>
      </w:pPr>
      <w:r w:rsidRPr="002B3760">
        <w:rPr>
          <w:rFonts w:cs="Times New Roman"/>
        </w:rPr>
        <w:t>My colleague writes:</w:t>
      </w:r>
    </w:p>
    <w:p w:rsidR="008240F4" w:rsidRPr="002B3760" w:rsidRDefault="008240F4" w:rsidP="008240F4">
      <w:pPr>
        <w:pStyle w:val="Citation-AltC"/>
      </w:pPr>
      <w:r w:rsidRPr="002B3760">
        <w:t xml:space="preserve">. . . the majority [in the Court of Appeal] held that in the circumstances of this case, </w:t>
      </w:r>
      <w:r w:rsidRPr="002B3760">
        <w:rPr>
          <w:i/>
        </w:rPr>
        <w:t>the trial judge</w:t>
      </w:r>
      <w:r w:rsidRPr="002B3760">
        <w:t xml:space="preserve"> </w:t>
      </w:r>
      <w:r w:rsidRPr="002B3760">
        <w:rPr>
          <w:i/>
        </w:rPr>
        <w:t>was required</w:t>
      </w:r>
      <w:r w:rsidRPr="002B3760">
        <w:t xml:space="preserve"> to self-instruct on the dangers of convicting because the complainant’s evidence related to events from the distant past; suffered from various frailties; and stood alone where confirmatory evidence might reasonably have been expected to exist, </w:t>
      </w:r>
      <w:r w:rsidRPr="002B3760">
        <w:rPr>
          <w:i/>
        </w:rPr>
        <w:t>and his failure to do so constituted a legal error</w:t>
      </w:r>
      <w:r w:rsidRPr="002B3760">
        <w:t xml:space="preserve">. </w:t>
      </w:r>
      <w:r>
        <w:t>[</w:t>
      </w:r>
      <w:r w:rsidR="009376EA">
        <w:t>Emphasis added</w:t>
      </w:r>
      <w:r>
        <w:t xml:space="preserve">; </w:t>
      </w:r>
      <w:proofErr w:type="spellStart"/>
      <w:r>
        <w:t>para</w:t>
      </w:r>
      <w:proofErr w:type="spellEnd"/>
      <w:r>
        <w:t>. 2.]</w:t>
      </w:r>
    </w:p>
    <w:p w:rsidR="008240F4" w:rsidRPr="002B3760" w:rsidRDefault="008240F4" w:rsidP="008240F4">
      <w:pPr>
        <w:pStyle w:val="ParaNoNdepar-AltN"/>
        <w:tabs>
          <w:tab w:val="clear" w:pos="1166"/>
          <w:tab w:val="num" w:pos="1152"/>
        </w:tabs>
        <w:rPr>
          <w:rFonts w:cs="Times New Roman"/>
        </w:rPr>
      </w:pPr>
      <w:r w:rsidRPr="002B3760">
        <w:rPr>
          <w:rFonts w:cs="Times New Roman"/>
        </w:rPr>
        <w:t>I have three observations in this regard.</w:t>
      </w:r>
    </w:p>
    <w:p w:rsidR="008240F4" w:rsidRPr="002B3760" w:rsidRDefault="008240F4" w:rsidP="008240F4">
      <w:pPr>
        <w:pStyle w:val="ParaNoNdepar-AltN"/>
        <w:tabs>
          <w:tab w:val="clear" w:pos="1166"/>
          <w:tab w:val="num" w:pos="1152"/>
        </w:tabs>
        <w:rPr>
          <w:rFonts w:cs="Times New Roman"/>
        </w:rPr>
      </w:pPr>
      <w:r w:rsidRPr="002B3760">
        <w:rPr>
          <w:rFonts w:cs="Times New Roman"/>
        </w:rPr>
        <w:t xml:space="preserve">First, I am unable to find in the reasons of the majority any assertion ― express or implied ― that the trial judge was required as a matter of law to self-instruct on the dangers mentioned by my colleague.  </w:t>
      </w:r>
    </w:p>
    <w:p w:rsidR="008240F4" w:rsidRPr="002B3760" w:rsidRDefault="008240F4" w:rsidP="008240F4">
      <w:pPr>
        <w:pStyle w:val="ParaNoNdepar-AltN"/>
        <w:tabs>
          <w:tab w:val="clear" w:pos="1166"/>
          <w:tab w:val="num" w:pos="1152"/>
        </w:tabs>
        <w:rPr>
          <w:rFonts w:cs="Times New Roman"/>
        </w:rPr>
      </w:pPr>
      <w:r w:rsidRPr="002B3760">
        <w:rPr>
          <w:rFonts w:cs="Times New Roman"/>
        </w:rPr>
        <w:t xml:space="preserve">Rather, Blair J.A., speaking for the majority, merely described as “sensible” the “idea that trial judges </w:t>
      </w:r>
      <w:r w:rsidRPr="002B3760">
        <w:rPr>
          <w:rFonts w:cs="Times New Roman"/>
          <w:i/>
        </w:rPr>
        <w:t xml:space="preserve">should consider </w:t>
      </w:r>
      <w:r w:rsidRPr="002B3760">
        <w:rPr>
          <w:rFonts w:cs="Times New Roman"/>
        </w:rPr>
        <w:t>the ‘need</w:t>
      </w:r>
      <w:r w:rsidRPr="002B3760">
        <w:rPr>
          <w:rFonts w:cs="Times New Roman"/>
          <w:i/>
        </w:rPr>
        <w:t xml:space="preserve"> </w:t>
      </w:r>
      <w:r w:rsidRPr="002B3760">
        <w:rPr>
          <w:rFonts w:cs="Times New Roman"/>
        </w:rPr>
        <w:t>to self-instruct on the frailties of evidence concerning ev</w:t>
      </w:r>
      <w:r>
        <w:rPr>
          <w:rFonts w:cs="Times New Roman"/>
        </w:rPr>
        <w:t>ents</w:t>
      </w:r>
      <w:r w:rsidRPr="002B3760">
        <w:rPr>
          <w:rFonts w:cs="Times New Roman"/>
        </w:rPr>
        <w:t xml:space="preserve"> from the distant past’ </w:t>
      </w:r>
      <w:r>
        <w:rPr>
          <w:rFonts w:cs="Times New Roman"/>
        </w:rPr>
        <w:t xml:space="preserve">. . . </w:t>
      </w:r>
      <w:r w:rsidRPr="002B3760">
        <w:rPr>
          <w:rFonts w:cs="Times New Roman"/>
        </w:rPr>
        <w:t xml:space="preserve">for all of the reasons </w:t>
      </w:r>
      <w:r w:rsidRPr="002B3760">
        <w:rPr>
          <w:rFonts w:cs="Times New Roman"/>
        </w:rPr>
        <w:lastRenderedPageBreak/>
        <w:t xml:space="preserve">summarized in </w:t>
      </w:r>
      <w:r w:rsidRPr="002B3760">
        <w:rPr>
          <w:rFonts w:cs="Times New Roman"/>
          <w:i/>
        </w:rPr>
        <w:t>McGrath</w:t>
      </w:r>
      <w:r w:rsidRPr="002B3760">
        <w:rPr>
          <w:rFonts w:cs="Times New Roman"/>
        </w:rPr>
        <w:t>” (</w:t>
      </w:r>
      <w:r>
        <w:rPr>
          <w:rFonts w:cs="Times New Roman"/>
        </w:rPr>
        <w:t>2012 ONCA 117, 288 O.A.C. 164</w:t>
      </w:r>
      <w:r w:rsidR="001538BD">
        <w:rPr>
          <w:rFonts w:cs="Times New Roman"/>
        </w:rPr>
        <w:t>,</w:t>
      </w:r>
      <w:r>
        <w:rPr>
          <w:rFonts w:cs="Times New Roman"/>
        </w:rPr>
        <w:t xml:space="preserve"> </w:t>
      </w:r>
      <w:r w:rsidRPr="002B3760">
        <w:rPr>
          <w:rFonts w:cs="Times New Roman"/>
        </w:rPr>
        <w:t xml:space="preserve">at </w:t>
      </w:r>
      <w:proofErr w:type="spellStart"/>
      <w:r w:rsidRPr="002B3760">
        <w:rPr>
          <w:rFonts w:cs="Times New Roman"/>
        </w:rPr>
        <w:t>para</w:t>
      </w:r>
      <w:proofErr w:type="spellEnd"/>
      <w:r w:rsidRPr="002B3760">
        <w:rPr>
          <w:rFonts w:cs="Times New Roman"/>
        </w:rPr>
        <w:t>. 41</w:t>
      </w:r>
      <w:r w:rsidR="001538BD">
        <w:rPr>
          <w:rFonts w:cs="Times New Roman"/>
        </w:rPr>
        <w:t>;</w:t>
      </w:r>
      <w:r w:rsidRPr="002B3760">
        <w:rPr>
          <w:rFonts w:cs="Times New Roman"/>
        </w:rPr>
        <w:t xml:space="preserve"> citing </w:t>
      </w:r>
      <w:r w:rsidRPr="002B3760">
        <w:rPr>
          <w:rFonts w:cs="Times New Roman"/>
          <w:i/>
        </w:rPr>
        <w:t>R. v. McGrath</w:t>
      </w:r>
      <w:r w:rsidRPr="002B3760">
        <w:rPr>
          <w:rFonts w:cs="Times New Roman"/>
        </w:rPr>
        <w:t>, [2000] O.J. No. 5735</w:t>
      </w:r>
      <w:r>
        <w:rPr>
          <w:rFonts w:cs="Times New Roman"/>
        </w:rPr>
        <w:t xml:space="preserve"> (QL) (S.C.J.)</w:t>
      </w:r>
      <w:r w:rsidRPr="002B3760">
        <w:rPr>
          <w:rFonts w:cs="Times New Roman"/>
        </w:rPr>
        <w:t xml:space="preserve">, at </w:t>
      </w:r>
      <w:proofErr w:type="spellStart"/>
      <w:r w:rsidRPr="002B3760">
        <w:rPr>
          <w:rFonts w:cs="Times New Roman"/>
        </w:rPr>
        <w:t>paras</w:t>
      </w:r>
      <w:proofErr w:type="spellEnd"/>
      <w:r w:rsidRPr="002B3760">
        <w:rPr>
          <w:rFonts w:cs="Times New Roman"/>
        </w:rPr>
        <w:t>. 11-15</w:t>
      </w:r>
      <w:r w:rsidR="009376EA">
        <w:rPr>
          <w:rFonts w:cs="Times New Roman"/>
        </w:rPr>
        <w:t xml:space="preserve"> (emphasis added)</w:t>
      </w:r>
      <w:r w:rsidRPr="002B3760">
        <w:rPr>
          <w:rFonts w:cs="Times New Roman"/>
        </w:rPr>
        <w:t xml:space="preserve">). </w:t>
      </w:r>
    </w:p>
    <w:p w:rsidR="008240F4" w:rsidRPr="002B3760" w:rsidRDefault="008240F4" w:rsidP="008240F4">
      <w:pPr>
        <w:pStyle w:val="ParaNoNdepar-AltN"/>
        <w:tabs>
          <w:tab w:val="clear" w:pos="1166"/>
          <w:tab w:val="num" w:pos="1152"/>
        </w:tabs>
        <w:rPr>
          <w:rFonts w:cs="Times New Roman"/>
        </w:rPr>
      </w:pPr>
      <w:r w:rsidRPr="002B3760">
        <w:rPr>
          <w:rFonts w:cs="Times New Roman"/>
        </w:rPr>
        <w:t>Moreover, there is no dispute that the factors set out by my colleague are all present in this case.  And I agree that it is sensible, as Justice Blair held, for trial judges to “consider the need to self-instruct” on the frailties of the evidence in cases where these factors are likewise present.</w:t>
      </w:r>
    </w:p>
    <w:p w:rsidR="008240F4" w:rsidRPr="002B3760" w:rsidRDefault="008240F4" w:rsidP="008240F4">
      <w:pPr>
        <w:pStyle w:val="ParaNoNdepar-AltN"/>
        <w:tabs>
          <w:tab w:val="clear" w:pos="1166"/>
          <w:tab w:val="num" w:pos="1152"/>
        </w:tabs>
        <w:rPr>
          <w:rFonts w:cs="Times New Roman"/>
        </w:rPr>
      </w:pPr>
      <w:r w:rsidRPr="002B3760">
        <w:rPr>
          <w:rFonts w:cs="Times New Roman"/>
        </w:rPr>
        <w:t xml:space="preserve">My second observation is that nothing in the reasons of </w:t>
      </w:r>
      <w:proofErr w:type="spellStart"/>
      <w:r w:rsidRPr="002B3760">
        <w:rPr>
          <w:rFonts w:cs="Times New Roman"/>
        </w:rPr>
        <w:t>Laskin</w:t>
      </w:r>
      <w:proofErr w:type="spellEnd"/>
      <w:r w:rsidRPr="002B3760">
        <w:rPr>
          <w:rFonts w:cs="Times New Roman"/>
        </w:rPr>
        <w:t xml:space="preserve"> J.A., the dissenting justice in the Court of Appeal, suggests that he was of a different view in this regard. On the contrary, Justice </w:t>
      </w:r>
      <w:proofErr w:type="spellStart"/>
      <w:r w:rsidRPr="002B3760">
        <w:rPr>
          <w:rFonts w:cs="Times New Roman"/>
        </w:rPr>
        <w:t>Laskin</w:t>
      </w:r>
      <w:proofErr w:type="spellEnd"/>
      <w:r w:rsidRPr="002B3760">
        <w:rPr>
          <w:rFonts w:cs="Times New Roman"/>
        </w:rPr>
        <w:t xml:space="preserve"> agreed that it may be sensible for trial judges to consider the need to self-instruct in such cases, but added that they are not legally required to do so expressly</w:t>
      </w:r>
      <w:r w:rsidRPr="002B3760">
        <w:rPr>
          <w:rFonts w:cs="Times New Roman"/>
          <w:i/>
        </w:rPr>
        <w:t xml:space="preserve"> </w:t>
      </w:r>
      <w:r w:rsidRPr="002B3760">
        <w:rPr>
          <w:rFonts w:cs="Times New Roman"/>
        </w:rPr>
        <w:t>(</w:t>
      </w:r>
      <w:proofErr w:type="spellStart"/>
      <w:r w:rsidRPr="002B3760">
        <w:rPr>
          <w:rFonts w:cs="Times New Roman"/>
        </w:rPr>
        <w:t>paras</w:t>
      </w:r>
      <w:proofErr w:type="spellEnd"/>
      <w:r w:rsidRPr="002B3760">
        <w:rPr>
          <w:rFonts w:cs="Times New Roman"/>
        </w:rPr>
        <w:t xml:space="preserve">. 70-71). </w:t>
      </w:r>
    </w:p>
    <w:p w:rsidR="008240F4" w:rsidRPr="002B3760" w:rsidRDefault="008240F4" w:rsidP="008240F4">
      <w:pPr>
        <w:pStyle w:val="ParaNoNdepar-AltN"/>
        <w:tabs>
          <w:tab w:val="clear" w:pos="1166"/>
          <w:tab w:val="num" w:pos="1152"/>
        </w:tabs>
        <w:rPr>
          <w:rFonts w:cs="Times New Roman"/>
        </w:rPr>
      </w:pPr>
      <w:r w:rsidRPr="002B3760">
        <w:rPr>
          <w:rFonts w:cs="Times New Roman"/>
        </w:rPr>
        <w:t>Justice Blair did not say that they were.  Rather, as we have seen, he simply found it logical or prudent ― “sensible”, as he put it ― for trial judges to</w:t>
      </w:r>
      <w:r w:rsidRPr="002B3760">
        <w:rPr>
          <w:rFonts w:cs="Times New Roman"/>
          <w:i/>
        </w:rPr>
        <w:t xml:space="preserve"> consider</w:t>
      </w:r>
      <w:r w:rsidRPr="002B3760">
        <w:rPr>
          <w:rFonts w:cs="Times New Roman"/>
        </w:rPr>
        <w:t xml:space="preserve"> </w:t>
      </w:r>
      <w:r w:rsidRPr="002B3760">
        <w:rPr>
          <w:rFonts w:cs="Times New Roman"/>
          <w:i/>
        </w:rPr>
        <w:t>the need</w:t>
      </w:r>
      <w:r w:rsidRPr="002B3760">
        <w:rPr>
          <w:rFonts w:cs="Times New Roman"/>
        </w:rPr>
        <w:t xml:space="preserve"> for a self-instruction of this sort. He then took care to add that “[e</w:t>
      </w:r>
      <w:r>
        <w:rPr>
          <w:rFonts w:cs="Times New Roman"/>
        </w:rPr>
        <w:t>]</w:t>
      </w:r>
      <w:r w:rsidRPr="002B3760">
        <w:rPr>
          <w:rFonts w:cs="Times New Roman"/>
        </w:rPr>
        <w:t xml:space="preserve">ach case will depend upon its own circumstances”, and made plain that he did </w:t>
      </w:r>
      <w:r>
        <w:rPr>
          <w:rFonts w:cs="Times New Roman"/>
        </w:rPr>
        <w:t>“</w:t>
      </w:r>
      <w:r w:rsidRPr="002B3760">
        <w:rPr>
          <w:rFonts w:cs="Times New Roman"/>
        </w:rPr>
        <w:t>not mean to suggest that some type of formal instruction need necessarily be given”</w:t>
      </w:r>
      <w:r>
        <w:rPr>
          <w:rFonts w:cs="Times New Roman"/>
        </w:rPr>
        <w:t xml:space="preserve"> (</w:t>
      </w:r>
      <w:proofErr w:type="spellStart"/>
      <w:r>
        <w:rPr>
          <w:rFonts w:cs="Times New Roman"/>
        </w:rPr>
        <w:t>para</w:t>
      </w:r>
      <w:proofErr w:type="spellEnd"/>
      <w:r>
        <w:rPr>
          <w:rFonts w:cs="Times New Roman"/>
        </w:rPr>
        <w:t>. 41)</w:t>
      </w:r>
      <w:r w:rsidRPr="002B3760">
        <w:rPr>
          <w:rFonts w:cs="Times New Roman"/>
        </w:rPr>
        <w:t xml:space="preserve">.  </w:t>
      </w:r>
    </w:p>
    <w:p w:rsidR="008240F4" w:rsidRPr="002B3760" w:rsidRDefault="008240F4" w:rsidP="008240F4">
      <w:pPr>
        <w:pStyle w:val="ParaNoNdepar-AltN"/>
        <w:tabs>
          <w:tab w:val="clear" w:pos="1166"/>
          <w:tab w:val="num" w:pos="1152"/>
        </w:tabs>
        <w:rPr>
          <w:rFonts w:cs="Times New Roman"/>
        </w:rPr>
      </w:pPr>
      <w:r w:rsidRPr="002B3760">
        <w:rPr>
          <w:rFonts w:cs="Times New Roman"/>
        </w:rPr>
        <w:t xml:space="preserve">Justice Blair’s ensuing statement confirms, in my view, that an express self-instruction was </w:t>
      </w:r>
      <w:r w:rsidRPr="002B3760">
        <w:rPr>
          <w:rFonts w:cs="Times New Roman"/>
          <w:i/>
        </w:rPr>
        <w:t>not</w:t>
      </w:r>
      <w:r w:rsidRPr="002B3760">
        <w:rPr>
          <w:rFonts w:cs="Times New Roman"/>
        </w:rPr>
        <w:t xml:space="preserve"> legally required by the majority in the court below, even where the factors mentioned by Justice </w:t>
      </w:r>
      <w:proofErr w:type="spellStart"/>
      <w:r w:rsidRPr="002B3760">
        <w:rPr>
          <w:rFonts w:cs="Times New Roman"/>
        </w:rPr>
        <w:t>Karakatsanis</w:t>
      </w:r>
      <w:proofErr w:type="spellEnd"/>
      <w:r w:rsidRPr="002B3760">
        <w:rPr>
          <w:rFonts w:cs="Times New Roman"/>
        </w:rPr>
        <w:t xml:space="preserve"> are present, as in this case.</w:t>
      </w:r>
    </w:p>
    <w:p w:rsidR="008240F4" w:rsidRPr="002B3760" w:rsidRDefault="008240F4" w:rsidP="008240F4">
      <w:pPr>
        <w:pStyle w:val="ParaNoNdepar-AltN"/>
        <w:tabs>
          <w:tab w:val="clear" w:pos="1166"/>
          <w:tab w:val="num" w:pos="1152"/>
        </w:tabs>
        <w:rPr>
          <w:rFonts w:cs="Times New Roman"/>
        </w:rPr>
      </w:pPr>
      <w:r w:rsidRPr="002B3760">
        <w:rPr>
          <w:rFonts w:cs="Times New Roman"/>
        </w:rPr>
        <w:lastRenderedPageBreak/>
        <w:t xml:space="preserve">What </w:t>
      </w:r>
      <w:r w:rsidRPr="002B3760">
        <w:rPr>
          <w:rFonts w:cs="Times New Roman"/>
          <w:i/>
        </w:rPr>
        <w:t>is</w:t>
      </w:r>
      <w:r w:rsidRPr="002B3760">
        <w:rPr>
          <w:rFonts w:cs="Times New Roman"/>
        </w:rPr>
        <w:t xml:space="preserve"> required, the majority held, is that “the trial judge’s reasons should demonstrate that he or she is alert to the frailties of, and the risks associated with, such evidence</w:t>
      </w:r>
      <w:r>
        <w:rPr>
          <w:rFonts w:cs="Times New Roman"/>
        </w:rPr>
        <w:t>,</w:t>
      </w:r>
      <w:r w:rsidRPr="002B3760">
        <w:rPr>
          <w:rFonts w:cs="Times New Roman"/>
        </w:rPr>
        <w:t xml:space="preserve"> and to the need to address it with that careful scrutiny” ― and, even then, only “</w:t>
      </w:r>
      <w:r>
        <w:rPr>
          <w:rFonts w:cs="Times New Roman"/>
        </w:rPr>
        <w:t>[</w:t>
      </w:r>
      <w:r w:rsidRPr="002B3760">
        <w:rPr>
          <w:rFonts w:cs="Times New Roman"/>
        </w:rPr>
        <w:t>w</w:t>
      </w:r>
      <w:r>
        <w:rPr>
          <w:rFonts w:cs="Times New Roman"/>
        </w:rPr>
        <w:t>]</w:t>
      </w:r>
      <w:r w:rsidRPr="002B3760">
        <w:rPr>
          <w:rFonts w:cs="Times New Roman"/>
        </w:rPr>
        <w:t>here .</w:t>
      </w:r>
      <w:r>
        <w:rPr>
          <w:rFonts w:cs="Times New Roman"/>
        </w:rPr>
        <w:t xml:space="preserve"> </w:t>
      </w:r>
      <w:r w:rsidRPr="002B3760">
        <w:rPr>
          <w:rFonts w:cs="Times New Roman"/>
        </w:rPr>
        <w:t>.</w:t>
      </w:r>
      <w:r>
        <w:rPr>
          <w:rFonts w:cs="Times New Roman"/>
        </w:rPr>
        <w:t xml:space="preserve"> </w:t>
      </w:r>
      <w:r w:rsidRPr="002B3760">
        <w:rPr>
          <w:rFonts w:cs="Times New Roman"/>
        </w:rPr>
        <w:t xml:space="preserve">. there are </w:t>
      </w:r>
      <w:r w:rsidRPr="002B3760">
        <w:rPr>
          <w:rFonts w:cs="Times New Roman"/>
          <w:i/>
        </w:rPr>
        <w:t>objective reasons</w:t>
      </w:r>
      <w:r w:rsidRPr="002B3760">
        <w:rPr>
          <w:rFonts w:cs="Times New Roman"/>
        </w:rPr>
        <w:t xml:space="preserve"> to scrutinize carefully the reliability of a witness whose testimony is central to the proof of guilt” (</w:t>
      </w:r>
      <w:proofErr w:type="spellStart"/>
      <w:r w:rsidRPr="002B3760">
        <w:rPr>
          <w:rFonts w:cs="Times New Roman"/>
        </w:rPr>
        <w:t>para</w:t>
      </w:r>
      <w:proofErr w:type="spellEnd"/>
      <w:r w:rsidRPr="002B3760">
        <w:rPr>
          <w:rFonts w:cs="Times New Roman"/>
        </w:rPr>
        <w:t>. 41</w:t>
      </w:r>
      <w:r w:rsidR="005D3228">
        <w:rPr>
          <w:rFonts w:cs="Times New Roman"/>
        </w:rPr>
        <w:t xml:space="preserve"> (emphasis added)</w:t>
      </w:r>
      <w:r w:rsidRPr="002B3760">
        <w:rPr>
          <w:rFonts w:cs="Times New Roman"/>
        </w:rPr>
        <w:t xml:space="preserve">). </w:t>
      </w:r>
    </w:p>
    <w:p w:rsidR="008240F4" w:rsidRPr="002B3760" w:rsidRDefault="008240F4" w:rsidP="008240F4">
      <w:pPr>
        <w:pStyle w:val="ParaNoNdepar-AltN"/>
        <w:tabs>
          <w:tab w:val="clear" w:pos="1166"/>
          <w:tab w:val="num" w:pos="1152"/>
        </w:tabs>
        <w:rPr>
          <w:rFonts w:cs="Times New Roman"/>
        </w:rPr>
      </w:pPr>
      <w:r w:rsidRPr="002B3760">
        <w:rPr>
          <w:rFonts w:cs="Times New Roman"/>
        </w:rPr>
        <w:t>This was so in the present case, according to Justice Blair, and applied as well “in this type of case generally”</w:t>
      </w:r>
      <w:r>
        <w:rPr>
          <w:rFonts w:cs="Times New Roman"/>
        </w:rPr>
        <w:t xml:space="preserve"> (</w:t>
      </w:r>
      <w:proofErr w:type="spellStart"/>
      <w:r>
        <w:rPr>
          <w:rFonts w:cs="Times New Roman"/>
        </w:rPr>
        <w:t>para</w:t>
      </w:r>
      <w:proofErr w:type="spellEnd"/>
      <w:r>
        <w:rPr>
          <w:rFonts w:cs="Times New Roman"/>
        </w:rPr>
        <w:t>. 41)</w:t>
      </w:r>
      <w:r w:rsidRPr="002B3760">
        <w:rPr>
          <w:rFonts w:cs="Times New Roman"/>
        </w:rPr>
        <w:t>.</w:t>
      </w:r>
    </w:p>
    <w:p w:rsidR="008240F4" w:rsidRPr="002B3760" w:rsidRDefault="008240F4" w:rsidP="008240F4">
      <w:pPr>
        <w:pStyle w:val="ParaNoNdepar-AltN"/>
        <w:tabs>
          <w:tab w:val="clear" w:pos="1166"/>
          <w:tab w:val="num" w:pos="1152"/>
        </w:tabs>
        <w:rPr>
          <w:rFonts w:cs="Times New Roman"/>
        </w:rPr>
      </w:pPr>
      <w:r w:rsidRPr="002B3760">
        <w:rPr>
          <w:rFonts w:cs="Times New Roman"/>
        </w:rPr>
        <w:t xml:space="preserve">On a fair reading of these passages, and with respect, I am unable to agree with Justice </w:t>
      </w:r>
      <w:proofErr w:type="spellStart"/>
      <w:r w:rsidRPr="002B3760">
        <w:rPr>
          <w:rFonts w:cs="Times New Roman"/>
        </w:rPr>
        <w:t>Karakatsanis</w:t>
      </w:r>
      <w:proofErr w:type="spellEnd"/>
      <w:r w:rsidRPr="002B3760">
        <w:rPr>
          <w:rFonts w:cs="Times New Roman"/>
        </w:rPr>
        <w:t xml:space="preserve"> that the majority in the Court of Appeal</w:t>
      </w:r>
      <w:r>
        <w:rPr>
          <w:rFonts w:cs="Times New Roman"/>
        </w:rPr>
        <w:t xml:space="preserve"> </w:t>
      </w:r>
      <w:r w:rsidRPr="002B3760">
        <w:rPr>
          <w:rFonts w:cs="Times New Roman"/>
        </w:rPr>
        <w:t>held that</w:t>
      </w:r>
      <w:r>
        <w:rPr>
          <w:rFonts w:cs="Times New Roman"/>
        </w:rPr>
        <w:t xml:space="preserve"> </w:t>
      </w:r>
      <w:r w:rsidRPr="002B3760">
        <w:rPr>
          <w:rFonts w:cs="Times New Roman"/>
        </w:rPr>
        <w:t xml:space="preserve">the trial judge was </w:t>
      </w:r>
      <w:r w:rsidRPr="002B3760">
        <w:rPr>
          <w:rFonts w:cs="Times New Roman"/>
          <w:i/>
        </w:rPr>
        <w:t xml:space="preserve">legally </w:t>
      </w:r>
      <w:proofErr w:type="gramStart"/>
      <w:r w:rsidRPr="002B3760">
        <w:rPr>
          <w:rFonts w:cs="Times New Roman"/>
          <w:i/>
        </w:rPr>
        <w:t>required</w:t>
      </w:r>
      <w:r w:rsidRPr="002B3760">
        <w:rPr>
          <w:rFonts w:cs="Times New Roman"/>
        </w:rPr>
        <w:t xml:space="preserve">  “</w:t>
      </w:r>
      <w:proofErr w:type="gramEnd"/>
      <w:r w:rsidRPr="002B3760">
        <w:rPr>
          <w:rFonts w:cs="Times New Roman"/>
        </w:rPr>
        <w:t>to self-instruct on the dangers of convicting because the complainant’s evidence related to events from the distant past; suffered from various frailties; and stood alone where confirmatory evidence might reasonably have</w:t>
      </w:r>
      <w:r>
        <w:rPr>
          <w:rFonts w:cs="Times New Roman"/>
        </w:rPr>
        <w:t xml:space="preserve"> been</w:t>
      </w:r>
      <w:r w:rsidRPr="002B3760">
        <w:rPr>
          <w:rFonts w:cs="Times New Roman"/>
        </w:rPr>
        <w:t xml:space="preserve"> expected to exist”.  </w:t>
      </w:r>
    </w:p>
    <w:p w:rsidR="008240F4" w:rsidRPr="002B3760" w:rsidRDefault="008240F4" w:rsidP="008240F4">
      <w:pPr>
        <w:pStyle w:val="ParaNoNdepar-AltN"/>
        <w:tabs>
          <w:tab w:val="clear" w:pos="1166"/>
          <w:tab w:val="num" w:pos="1152"/>
        </w:tabs>
        <w:rPr>
          <w:rFonts w:cs="Times New Roman"/>
        </w:rPr>
      </w:pPr>
      <w:r w:rsidRPr="002B3760">
        <w:rPr>
          <w:rFonts w:cs="Times New Roman"/>
        </w:rPr>
        <w:t xml:space="preserve">My third observation ― in itself dispositive of the present appeal ― is this: Justice </w:t>
      </w:r>
      <w:proofErr w:type="spellStart"/>
      <w:r w:rsidRPr="002B3760">
        <w:rPr>
          <w:rFonts w:cs="Times New Roman"/>
        </w:rPr>
        <w:t>Laskin’s</w:t>
      </w:r>
      <w:proofErr w:type="spellEnd"/>
      <w:r w:rsidRPr="002B3760">
        <w:rPr>
          <w:rFonts w:cs="Times New Roman"/>
        </w:rPr>
        <w:t xml:space="preserve"> dissent was </w:t>
      </w:r>
      <w:r w:rsidRPr="002B3760">
        <w:rPr>
          <w:rFonts w:cs="Times New Roman"/>
          <w:i/>
        </w:rPr>
        <w:t>not</w:t>
      </w:r>
      <w:r w:rsidRPr="002B3760">
        <w:rPr>
          <w:rFonts w:cs="Times New Roman"/>
        </w:rPr>
        <w:t xml:space="preserve"> based on his disagreement, real or imputed, with the majority’s reasons regarding self-instruction by the trial judge in this case, or self-instruction by trial judges generally in cases of this sort.  That is apparent both from the Order of the Court of Appeal and, perhaps more significantly, from Justice </w:t>
      </w:r>
      <w:proofErr w:type="spellStart"/>
      <w:r w:rsidRPr="002B3760">
        <w:rPr>
          <w:rFonts w:cs="Times New Roman"/>
        </w:rPr>
        <w:t>Laskin’s</w:t>
      </w:r>
      <w:proofErr w:type="spellEnd"/>
      <w:r w:rsidRPr="002B3760">
        <w:rPr>
          <w:rFonts w:cs="Times New Roman"/>
        </w:rPr>
        <w:t xml:space="preserve"> own reasons.</w:t>
      </w:r>
    </w:p>
    <w:p w:rsidR="008240F4" w:rsidRPr="002B3760" w:rsidRDefault="008240F4" w:rsidP="008240F4">
      <w:pPr>
        <w:pStyle w:val="ParaNoNdepar-AltN"/>
        <w:tabs>
          <w:tab w:val="clear" w:pos="1166"/>
          <w:tab w:val="num" w:pos="1152"/>
        </w:tabs>
        <w:rPr>
          <w:rFonts w:cs="Times New Roman"/>
        </w:rPr>
      </w:pPr>
      <w:r w:rsidRPr="002B3760">
        <w:rPr>
          <w:rFonts w:cs="Times New Roman"/>
        </w:rPr>
        <w:lastRenderedPageBreak/>
        <w:t>According to the Order:</w:t>
      </w:r>
    </w:p>
    <w:p w:rsidR="008240F4" w:rsidRPr="002B3760" w:rsidRDefault="001538BD" w:rsidP="005D3228">
      <w:pPr>
        <w:pStyle w:val="Citation-AltC"/>
        <w:tabs>
          <w:tab w:val="left" w:pos="1620"/>
        </w:tabs>
      </w:pPr>
      <w:r>
        <w:tab/>
      </w:r>
      <w:r w:rsidR="008240F4" w:rsidRPr="001538BD">
        <w:rPr>
          <w:b/>
        </w:rPr>
        <w:t>THIS COURT ORDERS</w:t>
      </w:r>
      <w:r w:rsidR="008240F4" w:rsidRPr="002B3760">
        <w:t xml:space="preserve"> that the appeal is allowed and a new trial ordered. </w:t>
      </w:r>
    </w:p>
    <w:p w:rsidR="008240F4" w:rsidRPr="002B3760" w:rsidRDefault="008240F4" w:rsidP="008240F4">
      <w:pPr>
        <w:pStyle w:val="Citation-AltC"/>
      </w:pPr>
    </w:p>
    <w:p w:rsidR="008240F4" w:rsidRPr="002B3760" w:rsidRDefault="001538BD" w:rsidP="005D3228">
      <w:pPr>
        <w:pStyle w:val="Citation-AltC"/>
        <w:tabs>
          <w:tab w:val="left" w:pos="1620"/>
        </w:tabs>
      </w:pPr>
      <w:r>
        <w:tab/>
      </w:r>
      <w:r w:rsidR="008240F4" w:rsidRPr="001538BD">
        <w:rPr>
          <w:b/>
        </w:rPr>
        <w:t>THE HONOURABLE JUSTICE LASKIN DISSENTING HELD</w:t>
      </w:r>
      <w:r w:rsidR="008240F4" w:rsidRPr="002B3760">
        <w:t xml:space="preserve"> that the learned trial judge did not err in his approach to the assessment of the reliability of the </w:t>
      </w:r>
      <w:r w:rsidR="008240F4">
        <w:t>[</w:t>
      </w:r>
      <w:r w:rsidR="008240F4" w:rsidRPr="002B3760">
        <w:t>complain</w:t>
      </w:r>
      <w:r w:rsidR="008240F4">
        <w:t>an</w:t>
      </w:r>
      <w:r w:rsidR="008240F4" w:rsidRPr="002B3760">
        <w:t>t</w:t>
      </w:r>
      <w:r w:rsidR="008240F4">
        <w:t>]</w:t>
      </w:r>
      <w:r w:rsidR="008240F4" w:rsidRPr="002B3760">
        <w:t xml:space="preserve">’s evidence.  Further, he held that the trial judge did not err in holding that the absence of police and school records corroborating the </w:t>
      </w:r>
      <w:r w:rsidR="008240F4">
        <w:t>[</w:t>
      </w:r>
      <w:r w:rsidR="008240F4" w:rsidRPr="002B3760">
        <w:t>complain</w:t>
      </w:r>
      <w:r w:rsidR="008240F4">
        <w:t>an</w:t>
      </w:r>
      <w:r w:rsidR="008240F4" w:rsidRPr="002B3760">
        <w:t>t</w:t>
      </w:r>
      <w:r w:rsidR="008240F4">
        <w:t>]</w:t>
      </w:r>
      <w:r w:rsidR="008240F4" w:rsidRPr="002B3760">
        <w:t>’s evidence that she had reported that sexual abuse had taken place did not create a reasonable doubt when weighed against the other evidence of the complainant.  Accordingly he would have dismissed the appeal.</w:t>
      </w:r>
      <w:r w:rsidR="008240F4">
        <w:t xml:space="preserve">  </w:t>
      </w:r>
      <w:proofErr w:type="gramStart"/>
      <w:r w:rsidR="008240F4">
        <w:t>[A.R., vol.</w:t>
      </w:r>
      <w:proofErr w:type="gramEnd"/>
      <w:r w:rsidR="008240F4">
        <w:t xml:space="preserve"> I, at p. 106]</w:t>
      </w:r>
    </w:p>
    <w:p w:rsidR="008240F4" w:rsidRPr="002B3760" w:rsidRDefault="008240F4" w:rsidP="008240F4">
      <w:pPr>
        <w:pStyle w:val="ParaNoNdepar-AltN"/>
        <w:tabs>
          <w:tab w:val="clear" w:pos="1166"/>
          <w:tab w:val="num" w:pos="1152"/>
        </w:tabs>
        <w:rPr>
          <w:rFonts w:cs="Times New Roman"/>
        </w:rPr>
      </w:pPr>
      <w:r w:rsidRPr="002B3760">
        <w:rPr>
          <w:rFonts w:cs="Times New Roman"/>
        </w:rPr>
        <w:t xml:space="preserve">The Order of the Court </w:t>
      </w:r>
      <w:r>
        <w:rPr>
          <w:rFonts w:cs="Times New Roman"/>
        </w:rPr>
        <w:t xml:space="preserve">of Appeal </w:t>
      </w:r>
      <w:r w:rsidRPr="002B3760">
        <w:rPr>
          <w:rFonts w:cs="Times New Roman"/>
        </w:rPr>
        <w:t xml:space="preserve">is in full conformity with Justice </w:t>
      </w:r>
      <w:proofErr w:type="spellStart"/>
      <w:r w:rsidRPr="002B3760">
        <w:rPr>
          <w:rFonts w:cs="Times New Roman"/>
        </w:rPr>
        <w:t>Laskin’s</w:t>
      </w:r>
      <w:proofErr w:type="spellEnd"/>
      <w:r w:rsidRPr="002B3760">
        <w:rPr>
          <w:rFonts w:cs="Times New Roman"/>
        </w:rPr>
        <w:t xml:space="preserve"> expressly stated reasons for disagreeing with the majority.  He sets out the grounds of his dissent in these terms:</w:t>
      </w:r>
    </w:p>
    <w:p w:rsidR="008240F4" w:rsidRPr="002B3760" w:rsidRDefault="008240F4" w:rsidP="008240F4">
      <w:pPr>
        <w:pStyle w:val="Citation-AltC"/>
        <w:ind w:firstLine="274"/>
      </w:pPr>
      <w:r w:rsidRPr="002B3760">
        <w:t xml:space="preserve">I have read the reasons of my colleague, Blair J.A.  He would allow the appeal, set aside the convictions and order a new trial.  He would do so for two reasons.  First, he concludes that the trial judge did not properly assess the reliability of the complainant’s evidence.  Second, he concludes that the trial judge failed to consider whether the absence of documentary evidence that might have corroborated the complainant’s evidence gave rise to a reasonable doubt. </w:t>
      </w:r>
    </w:p>
    <w:p w:rsidR="008240F4" w:rsidRPr="002B3760" w:rsidRDefault="008240F4" w:rsidP="008240F4">
      <w:pPr>
        <w:pStyle w:val="Citation-AltC"/>
      </w:pPr>
    </w:p>
    <w:p w:rsidR="008240F4" w:rsidRPr="002B3760" w:rsidRDefault="008240F4" w:rsidP="008240F4">
      <w:pPr>
        <w:pStyle w:val="Citation-AltC"/>
        <w:ind w:firstLine="274"/>
      </w:pPr>
      <w:r w:rsidRPr="002B3760">
        <w:t xml:space="preserve">I respectfully disagree with both of these conclusions.  Throughout his lengthy reasons, the trial judge considered not just the credibility, but the reliability of the complainant’s evidence.  Indeed, at several points he did so expressly.  He addressed various concerns about the complainant’s testimony that bore on the accuracy of her evidence.  And, perhaps most important, he held that it would be unsafe to act on two of the alleged incidents of sexual abuse and disregarded the complainant’s evidence of those incidents.  He did so not because he found her evidence lacking in credibility, but because he found that her evidence on those two incidents was not sufficiently reliable. </w:t>
      </w:r>
    </w:p>
    <w:p w:rsidR="008240F4" w:rsidRPr="002B3760" w:rsidRDefault="008240F4" w:rsidP="008240F4">
      <w:pPr>
        <w:pStyle w:val="Citation-AltC"/>
      </w:pPr>
    </w:p>
    <w:p w:rsidR="008240F4" w:rsidRPr="002B3760" w:rsidRDefault="008240F4" w:rsidP="008240F4">
      <w:pPr>
        <w:pStyle w:val="Citation-AltC"/>
        <w:ind w:firstLine="274"/>
      </w:pPr>
      <w:r w:rsidRPr="002B3760">
        <w:t xml:space="preserve">The trial judge also considered the effect of the absence of police and school records, but remained convinced beyond a reasonable doubt of the </w:t>
      </w:r>
      <w:r w:rsidRPr="002B3760">
        <w:lastRenderedPageBreak/>
        <w:t>appellant’s guilt on the basis of the complainant’s evidence.  Th</w:t>
      </w:r>
      <w:r>
        <w:t>at</w:t>
      </w:r>
      <w:r w:rsidRPr="002B3760">
        <w:t xml:space="preserve"> was his call to make.  I would dismiss the appeal.</w:t>
      </w:r>
      <w:r>
        <w:t xml:space="preserve"> [</w:t>
      </w:r>
      <w:proofErr w:type="spellStart"/>
      <w:proofErr w:type="gramStart"/>
      <w:r>
        <w:t>paras</w:t>
      </w:r>
      <w:proofErr w:type="spellEnd"/>
      <w:proofErr w:type="gramEnd"/>
      <w:r>
        <w:t>. 64-66]</w:t>
      </w:r>
      <w:r w:rsidRPr="002B3760">
        <w:t xml:space="preserve"> </w:t>
      </w:r>
    </w:p>
    <w:p w:rsidR="008240F4" w:rsidRPr="002B3760" w:rsidRDefault="008240F4" w:rsidP="008240F4">
      <w:pPr>
        <w:pStyle w:val="ParaNoNdepar-AltN"/>
        <w:tabs>
          <w:tab w:val="clear" w:pos="1166"/>
          <w:tab w:val="num" w:pos="1152"/>
        </w:tabs>
        <w:rPr>
          <w:rFonts w:cs="Times New Roman"/>
        </w:rPr>
      </w:pPr>
      <w:r w:rsidRPr="002B3760">
        <w:rPr>
          <w:rFonts w:cs="Times New Roman"/>
        </w:rPr>
        <w:t xml:space="preserve">Neither the Order of the Court of Appeal nor the reasons of Justice </w:t>
      </w:r>
      <w:proofErr w:type="spellStart"/>
      <w:r w:rsidRPr="002B3760">
        <w:rPr>
          <w:rFonts w:cs="Times New Roman"/>
        </w:rPr>
        <w:t>Laskin</w:t>
      </w:r>
      <w:proofErr w:type="spellEnd"/>
      <w:r w:rsidRPr="002B3760">
        <w:rPr>
          <w:rFonts w:cs="Times New Roman"/>
        </w:rPr>
        <w:t xml:space="preserve"> are capable of supporting the Crown’s submission that this appeal raises a question of law.  The grounds of Justice </w:t>
      </w:r>
      <w:proofErr w:type="spellStart"/>
      <w:r w:rsidRPr="002B3760">
        <w:rPr>
          <w:rFonts w:cs="Times New Roman"/>
        </w:rPr>
        <w:t>Laskin’s</w:t>
      </w:r>
      <w:proofErr w:type="spellEnd"/>
      <w:r w:rsidRPr="002B3760">
        <w:rPr>
          <w:rFonts w:cs="Times New Roman"/>
        </w:rPr>
        <w:t xml:space="preserve"> dissent raise questions of fact or, at best, questions of mixed fact and law.</w:t>
      </w:r>
    </w:p>
    <w:p w:rsidR="008240F4" w:rsidRPr="002B3760" w:rsidRDefault="008240F4" w:rsidP="008240F4">
      <w:pPr>
        <w:pStyle w:val="ParaNoNdepar-AltN"/>
        <w:tabs>
          <w:tab w:val="clear" w:pos="1166"/>
          <w:tab w:val="num" w:pos="1152"/>
        </w:tabs>
        <w:rPr>
          <w:rFonts w:cs="Times New Roman"/>
        </w:rPr>
      </w:pPr>
      <w:r w:rsidRPr="002B3760">
        <w:rPr>
          <w:rFonts w:cs="Times New Roman"/>
        </w:rPr>
        <w:t>Pursuant to s. 693(1</w:t>
      </w:r>
      <w:proofErr w:type="gramStart"/>
      <w:r w:rsidRPr="002B3760">
        <w:rPr>
          <w:rFonts w:cs="Times New Roman"/>
        </w:rPr>
        <w:t>)(</w:t>
      </w:r>
      <w:proofErr w:type="gramEnd"/>
      <w:r w:rsidRPr="002B3760">
        <w:rPr>
          <w:rFonts w:cs="Times New Roman"/>
          <w:i/>
        </w:rPr>
        <w:t>a</w:t>
      </w:r>
      <w:r w:rsidRPr="002B3760">
        <w:rPr>
          <w:rFonts w:cs="Times New Roman"/>
        </w:rPr>
        <w:t xml:space="preserve">) of the </w:t>
      </w:r>
      <w:r w:rsidRPr="002B3760">
        <w:rPr>
          <w:rFonts w:cs="Times New Roman"/>
          <w:i/>
        </w:rPr>
        <w:t>Criminal Code</w:t>
      </w:r>
      <w:r w:rsidRPr="002B3760">
        <w:rPr>
          <w:rFonts w:cs="Times New Roman"/>
        </w:rPr>
        <w:t xml:space="preserve">, R.S.C. 1985, c. C-46, the Crown may only appeal to this Court “on any question of law on which a judge of the court of appeal dissents”, which plainly is not the case here. </w:t>
      </w:r>
    </w:p>
    <w:p w:rsidR="008240F4" w:rsidRPr="008240F4" w:rsidRDefault="008240F4" w:rsidP="00A3184B">
      <w:pPr>
        <w:pStyle w:val="ParaNoNdepar-AltN"/>
        <w:tabs>
          <w:tab w:val="clear" w:pos="1166"/>
          <w:tab w:val="num" w:pos="1152"/>
        </w:tabs>
        <w:rPr>
          <w:rFonts w:cs="Times New Roman"/>
        </w:rPr>
      </w:pPr>
      <w:r w:rsidRPr="002B3760">
        <w:rPr>
          <w:rFonts w:cs="Times New Roman"/>
        </w:rPr>
        <w:t xml:space="preserve">With respect for those who are of a different view, I would therefore quash this appeal for want of jurisdiction. </w:t>
      </w:r>
    </w:p>
    <w:p w:rsidR="009B57B3" w:rsidRPr="00B80A10" w:rsidRDefault="007C2279" w:rsidP="00A3184B">
      <w:pPr>
        <w:pStyle w:val="SCCNormalDoubleSpacing"/>
        <w:spacing w:after="480"/>
      </w:pPr>
      <w:r w:rsidRPr="00B80A10">
        <w:tab/>
      </w:r>
      <w:r w:rsidR="00656313" w:rsidRPr="00B80A10">
        <w:rPr>
          <w:i/>
        </w:rPr>
        <w:t>Appeal</w:t>
      </w:r>
      <w:r w:rsidRPr="00B80A10">
        <w:rPr>
          <w:i/>
        </w:rPr>
        <w:t xml:space="preserve"> </w:t>
      </w:r>
      <w:r w:rsidR="009E4F8F" w:rsidRPr="00B80A10">
        <w:rPr>
          <w:i/>
        </w:rPr>
        <w:t>allowed</w:t>
      </w:r>
      <w:r w:rsidR="00F62BE8" w:rsidRPr="00B80A10">
        <w:rPr>
          <w:i/>
        </w:rPr>
        <w:t xml:space="preserve">, </w:t>
      </w:r>
      <w:r w:rsidR="00F62BE8" w:rsidRPr="00B80A10">
        <w:rPr>
          <w:smallCaps/>
        </w:rPr>
        <w:t>Fish J.</w:t>
      </w:r>
      <w:r w:rsidR="00F62BE8" w:rsidRPr="00B80A10">
        <w:rPr>
          <w:i/>
        </w:rPr>
        <w:t xml:space="preserve"> dissenting</w:t>
      </w:r>
      <w:r w:rsidRPr="00B80A10">
        <w:rPr>
          <w:i/>
        </w:rPr>
        <w:t>.</w:t>
      </w:r>
    </w:p>
    <w:p w:rsidR="007C2279" w:rsidRPr="00B80A10" w:rsidRDefault="007C2279" w:rsidP="00A3184B">
      <w:pPr>
        <w:pStyle w:val="SCCLawFirm"/>
        <w:spacing w:after="480"/>
      </w:pPr>
      <w:r w:rsidRPr="00B80A10">
        <w:tab/>
        <w:t>Solicitor for the appellant:  Attorney General of Ontario, Toronto.</w:t>
      </w:r>
    </w:p>
    <w:p w:rsidR="009B57B3" w:rsidRDefault="007C2279" w:rsidP="008240F4">
      <w:pPr>
        <w:pStyle w:val="SCCLawFirm"/>
        <w:rPr>
          <w:b/>
          <w:i w:val="0"/>
        </w:rPr>
      </w:pPr>
      <w:r w:rsidRPr="00B80A10">
        <w:tab/>
        <w:t xml:space="preserve">Solicitors for the respondent:  </w:t>
      </w:r>
      <w:proofErr w:type="spellStart"/>
      <w:r w:rsidRPr="00B80A10">
        <w:t>Rusonik</w:t>
      </w:r>
      <w:proofErr w:type="spellEnd"/>
      <w:r w:rsidRPr="00B80A10">
        <w:t xml:space="preserve">, O’Connor, Robbins, Ross, Gorham &amp; </w:t>
      </w:r>
      <w:proofErr w:type="spellStart"/>
      <w:r w:rsidRPr="00B80A10">
        <w:t>Angelini</w:t>
      </w:r>
      <w:proofErr w:type="spellEnd"/>
      <w:r w:rsidRPr="00B80A10">
        <w:t>, Toronto.</w:t>
      </w:r>
      <w:r w:rsidR="00DF40E1" w:rsidRPr="00B80A10">
        <w:tab/>
      </w:r>
    </w:p>
    <w:p w:rsidR="008240F4" w:rsidRPr="008240F4" w:rsidRDefault="008240F4" w:rsidP="008240F4">
      <w:pPr>
        <w:pStyle w:val="SCCNormalDoubleSpacing"/>
      </w:pPr>
    </w:p>
    <w:sectPr w:rsidR="008240F4" w:rsidRPr="008240F4"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0E1" w:rsidRDefault="00DF40E1">
      <w:r>
        <w:separator/>
      </w:r>
    </w:p>
  </w:endnote>
  <w:endnote w:type="continuationSeparator" w:id="0">
    <w:p w:rsidR="00DF40E1" w:rsidRDefault="00DF40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0E1" w:rsidRDefault="00DF40E1">
      <w:r>
        <w:separator/>
      </w:r>
    </w:p>
  </w:footnote>
  <w:footnote w:type="continuationSeparator" w:id="0">
    <w:p w:rsidR="00DF40E1" w:rsidRDefault="00DF40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0E1" w:rsidRPr="00450352" w:rsidRDefault="00DF40E1"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8545"/>
  </w:hdrShapeDefaults>
  <w:footnotePr>
    <w:footnote w:id="-1"/>
    <w:footnote w:id="0"/>
  </w:footnotePr>
  <w:endnotePr>
    <w:endnote w:id="-1"/>
    <w:endnote w:id="0"/>
  </w:endnotePr>
  <w:compat/>
  <w:rsids>
    <w:rsidRoot w:val="0031414C"/>
    <w:rsid w:val="00000ED4"/>
    <w:rsid w:val="00025198"/>
    <w:rsid w:val="00042BBA"/>
    <w:rsid w:val="000578A3"/>
    <w:rsid w:val="000648CC"/>
    <w:rsid w:val="00071803"/>
    <w:rsid w:val="00093A81"/>
    <w:rsid w:val="000C59B8"/>
    <w:rsid w:val="000C6AF0"/>
    <w:rsid w:val="000E314F"/>
    <w:rsid w:val="00104F33"/>
    <w:rsid w:val="00111DE2"/>
    <w:rsid w:val="00116B38"/>
    <w:rsid w:val="00135406"/>
    <w:rsid w:val="00135972"/>
    <w:rsid w:val="001426A9"/>
    <w:rsid w:val="001538BD"/>
    <w:rsid w:val="00154D7C"/>
    <w:rsid w:val="001570B0"/>
    <w:rsid w:val="0015752C"/>
    <w:rsid w:val="00157737"/>
    <w:rsid w:val="00165277"/>
    <w:rsid w:val="00170592"/>
    <w:rsid w:val="00186351"/>
    <w:rsid w:val="00195D83"/>
    <w:rsid w:val="001A00C1"/>
    <w:rsid w:val="001B33E0"/>
    <w:rsid w:val="001B4573"/>
    <w:rsid w:val="001C5B12"/>
    <w:rsid w:val="001C779F"/>
    <w:rsid w:val="001D2AC1"/>
    <w:rsid w:val="001D4E88"/>
    <w:rsid w:val="00220FC2"/>
    <w:rsid w:val="002222F4"/>
    <w:rsid w:val="00224FC0"/>
    <w:rsid w:val="00225EA4"/>
    <w:rsid w:val="00226EAF"/>
    <w:rsid w:val="00231F3A"/>
    <w:rsid w:val="00234199"/>
    <w:rsid w:val="002406EE"/>
    <w:rsid w:val="00243EC8"/>
    <w:rsid w:val="00270D93"/>
    <w:rsid w:val="002745CC"/>
    <w:rsid w:val="002B7924"/>
    <w:rsid w:val="002D28C3"/>
    <w:rsid w:val="002D39A4"/>
    <w:rsid w:val="002E6705"/>
    <w:rsid w:val="00301D08"/>
    <w:rsid w:val="0030329A"/>
    <w:rsid w:val="0031086F"/>
    <w:rsid w:val="0031414C"/>
    <w:rsid w:val="00314E01"/>
    <w:rsid w:val="0032089D"/>
    <w:rsid w:val="003271E6"/>
    <w:rsid w:val="003310DE"/>
    <w:rsid w:val="003323B0"/>
    <w:rsid w:val="0035169A"/>
    <w:rsid w:val="0035259D"/>
    <w:rsid w:val="00364B18"/>
    <w:rsid w:val="003A125D"/>
    <w:rsid w:val="003A4C70"/>
    <w:rsid w:val="003B215F"/>
    <w:rsid w:val="003B6BA1"/>
    <w:rsid w:val="003C799C"/>
    <w:rsid w:val="003D0399"/>
    <w:rsid w:val="003E1C71"/>
    <w:rsid w:val="003F327B"/>
    <w:rsid w:val="00406166"/>
    <w:rsid w:val="0040704B"/>
    <w:rsid w:val="00410A55"/>
    <w:rsid w:val="00411300"/>
    <w:rsid w:val="00415417"/>
    <w:rsid w:val="00426659"/>
    <w:rsid w:val="00450352"/>
    <w:rsid w:val="00451516"/>
    <w:rsid w:val="00454BDB"/>
    <w:rsid w:val="00464800"/>
    <w:rsid w:val="00465132"/>
    <w:rsid w:val="00480C90"/>
    <w:rsid w:val="0048396F"/>
    <w:rsid w:val="00493C18"/>
    <w:rsid w:val="004A600C"/>
    <w:rsid w:val="004A6118"/>
    <w:rsid w:val="004C0261"/>
    <w:rsid w:val="004C478D"/>
    <w:rsid w:val="004E2C26"/>
    <w:rsid w:val="004E7320"/>
    <w:rsid w:val="004F36FF"/>
    <w:rsid w:val="004F60AE"/>
    <w:rsid w:val="005125A8"/>
    <w:rsid w:val="00521AE8"/>
    <w:rsid w:val="00527180"/>
    <w:rsid w:val="0054201E"/>
    <w:rsid w:val="00555291"/>
    <w:rsid w:val="00566AD1"/>
    <w:rsid w:val="00583EDE"/>
    <w:rsid w:val="0058661E"/>
    <w:rsid w:val="005A6079"/>
    <w:rsid w:val="005D3228"/>
    <w:rsid w:val="005E18E9"/>
    <w:rsid w:val="005E4698"/>
    <w:rsid w:val="00610539"/>
    <w:rsid w:val="00613969"/>
    <w:rsid w:val="00625C35"/>
    <w:rsid w:val="00656313"/>
    <w:rsid w:val="006565F4"/>
    <w:rsid w:val="00684EEA"/>
    <w:rsid w:val="0069689B"/>
    <w:rsid w:val="006A1551"/>
    <w:rsid w:val="006B5FF5"/>
    <w:rsid w:val="006F30AF"/>
    <w:rsid w:val="00701759"/>
    <w:rsid w:val="00705C15"/>
    <w:rsid w:val="0071600E"/>
    <w:rsid w:val="007208D1"/>
    <w:rsid w:val="007367AE"/>
    <w:rsid w:val="00747288"/>
    <w:rsid w:val="00747DD3"/>
    <w:rsid w:val="007549C8"/>
    <w:rsid w:val="00754A0B"/>
    <w:rsid w:val="00766D14"/>
    <w:rsid w:val="00767A0F"/>
    <w:rsid w:val="007810DF"/>
    <w:rsid w:val="007A05F6"/>
    <w:rsid w:val="007B19AA"/>
    <w:rsid w:val="007B6F4A"/>
    <w:rsid w:val="007C2279"/>
    <w:rsid w:val="007E1C47"/>
    <w:rsid w:val="007E337A"/>
    <w:rsid w:val="007E5C70"/>
    <w:rsid w:val="007F2FF5"/>
    <w:rsid w:val="007F3F08"/>
    <w:rsid w:val="00804CC6"/>
    <w:rsid w:val="00817190"/>
    <w:rsid w:val="00820EE5"/>
    <w:rsid w:val="008240F4"/>
    <w:rsid w:val="008260E2"/>
    <w:rsid w:val="008322BD"/>
    <w:rsid w:val="00833E0A"/>
    <w:rsid w:val="00834F73"/>
    <w:rsid w:val="00864CF8"/>
    <w:rsid w:val="00872819"/>
    <w:rsid w:val="00874914"/>
    <w:rsid w:val="00891422"/>
    <w:rsid w:val="00892E1A"/>
    <w:rsid w:val="008A3F29"/>
    <w:rsid w:val="008B660A"/>
    <w:rsid w:val="008C01DA"/>
    <w:rsid w:val="008F78E9"/>
    <w:rsid w:val="00911989"/>
    <w:rsid w:val="009179F9"/>
    <w:rsid w:val="00933E5E"/>
    <w:rsid w:val="00935218"/>
    <w:rsid w:val="009376EA"/>
    <w:rsid w:val="009403F3"/>
    <w:rsid w:val="009555B7"/>
    <w:rsid w:val="009567AA"/>
    <w:rsid w:val="00967374"/>
    <w:rsid w:val="00975F7B"/>
    <w:rsid w:val="009A343A"/>
    <w:rsid w:val="009A75F4"/>
    <w:rsid w:val="009B01AD"/>
    <w:rsid w:val="009B2F23"/>
    <w:rsid w:val="009B57B3"/>
    <w:rsid w:val="009C5B92"/>
    <w:rsid w:val="009D2920"/>
    <w:rsid w:val="009D5AEB"/>
    <w:rsid w:val="009E4F8F"/>
    <w:rsid w:val="009F0E33"/>
    <w:rsid w:val="00A030CE"/>
    <w:rsid w:val="00A149DF"/>
    <w:rsid w:val="00A1755C"/>
    <w:rsid w:val="00A21B90"/>
    <w:rsid w:val="00A3184B"/>
    <w:rsid w:val="00A41805"/>
    <w:rsid w:val="00A42DCD"/>
    <w:rsid w:val="00A52AFB"/>
    <w:rsid w:val="00A548CB"/>
    <w:rsid w:val="00A5521C"/>
    <w:rsid w:val="00A643E7"/>
    <w:rsid w:val="00A73C38"/>
    <w:rsid w:val="00AB670D"/>
    <w:rsid w:val="00AF03C5"/>
    <w:rsid w:val="00B000D8"/>
    <w:rsid w:val="00B00F75"/>
    <w:rsid w:val="00B145B6"/>
    <w:rsid w:val="00B279EB"/>
    <w:rsid w:val="00B444DC"/>
    <w:rsid w:val="00B50C81"/>
    <w:rsid w:val="00B557F8"/>
    <w:rsid w:val="00B80A10"/>
    <w:rsid w:val="00B815FC"/>
    <w:rsid w:val="00B92646"/>
    <w:rsid w:val="00B93FBC"/>
    <w:rsid w:val="00BA7DA0"/>
    <w:rsid w:val="00BB2EE4"/>
    <w:rsid w:val="00BC2108"/>
    <w:rsid w:val="00BD0E9E"/>
    <w:rsid w:val="00BD1BEC"/>
    <w:rsid w:val="00BD32FF"/>
    <w:rsid w:val="00BE21D9"/>
    <w:rsid w:val="00C02092"/>
    <w:rsid w:val="00C24D91"/>
    <w:rsid w:val="00C32331"/>
    <w:rsid w:val="00C53F14"/>
    <w:rsid w:val="00C600CF"/>
    <w:rsid w:val="00C6084F"/>
    <w:rsid w:val="00C62A66"/>
    <w:rsid w:val="00C71458"/>
    <w:rsid w:val="00C77613"/>
    <w:rsid w:val="00C828E7"/>
    <w:rsid w:val="00C86719"/>
    <w:rsid w:val="00C921DD"/>
    <w:rsid w:val="00CA6391"/>
    <w:rsid w:val="00CB386F"/>
    <w:rsid w:val="00CC34BD"/>
    <w:rsid w:val="00CE161A"/>
    <w:rsid w:val="00CE3171"/>
    <w:rsid w:val="00CF1601"/>
    <w:rsid w:val="00D0172F"/>
    <w:rsid w:val="00D068A7"/>
    <w:rsid w:val="00D17476"/>
    <w:rsid w:val="00D32086"/>
    <w:rsid w:val="00D37A3F"/>
    <w:rsid w:val="00D4431D"/>
    <w:rsid w:val="00D45A61"/>
    <w:rsid w:val="00D4667A"/>
    <w:rsid w:val="00D514BA"/>
    <w:rsid w:val="00D62408"/>
    <w:rsid w:val="00D63A1C"/>
    <w:rsid w:val="00D7516F"/>
    <w:rsid w:val="00D8579F"/>
    <w:rsid w:val="00D95F8E"/>
    <w:rsid w:val="00DA0590"/>
    <w:rsid w:val="00DA460F"/>
    <w:rsid w:val="00DB7BEA"/>
    <w:rsid w:val="00DC1739"/>
    <w:rsid w:val="00DC1788"/>
    <w:rsid w:val="00DE319C"/>
    <w:rsid w:val="00DF0CA8"/>
    <w:rsid w:val="00DF2B48"/>
    <w:rsid w:val="00DF40E1"/>
    <w:rsid w:val="00DF49A7"/>
    <w:rsid w:val="00E07EE2"/>
    <w:rsid w:val="00E07FD1"/>
    <w:rsid w:val="00E10DF3"/>
    <w:rsid w:val="00E24573"/>
    <w:rsid w:val="00E25E1E"/>
    <w:rsid w:val="00E27EE7"/>
    <w:rsid w:val="00E35404"/>
    <w:rsid w:val="00E45109"/>
    <w:rsid w:val="00E47B7A"/>
    <w:rsid w:val="00E56A44"/>
    <w:rsid w:val="00E60269"/>
    <w:rsid w:val="00E77932"/>
    <w:rsid w:val="00E97830"/>
    <w:rsid w:val="00EB0D5E"/>
    <w:rsid w:val="00EE643C"/>
    <w:rsid w:val="00EF0683"/>
    <w:rsid w:val="00EF69D2"/>
    <w:rsid w:val="00EF766E"/>
    <w:rsid w:val="00F0070C"/>
    <w:rsid w:val="00F00EB7"/>
    <w:rsid w:val="00F36AB6"/>
    <w:rsid w:val="00F37A09"/>
    <w:rsid w:val="00F409CE"/>
    <w:rsid w:val="00F4379D"/>
    <w:rsid w:val="00F50D2D"/>
    <w:rsid w:val="00F56C8B"/>
    <w:rsid w:val="00F62BE8"/>
    <w:rsid w:val="00F66810"/>
    <w:rsid w:val="00F846D9"/>
    <w:rsid w:val="00F84DF4"/>
    <w:rsid w:val="00F85C97"/>
    <w:rsid w:val="00FB37D2"/>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SCCCoram">
    <w:name w:val="SCC.Coram"/>
    <w:basedOn w:val="Normal"/>
    <w:next w:val="Normal"/>
    <w:link w:val="SCCCoramChar"/>
    <w:rsid w:val="008240F4"/>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8240F4"/>
    <w:rPr>
      <w:rFonts w:eastAsiaTheme="minorHAnsi" w:cstheme="minorBidi"/>
      <w:sz w:val="24"/>
      <w:szCs w:val="22"/>
      <w:lang w:eastAsia="en-US"/>
    </w:rPr>
  </w:style>
  <w:style w:type="table" w:styleId="TableGrid">
    <w:name w:val="Table Grid"/>
    <w:basedOn w:val="TableNormal"/>
    <w:uiPriority w:val="59"/>
    <w:rsid w:val="008240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udgeJuge">
    <w:name w:val="Judge / Juge"/>
    <w:uiPriority w:val="3"/>
    <w:rsid w:val="008240F4"/>
    <w:pPr>
      <w:tabs>
        <w:tab w:val="left" w:pos="1166"/>
      </w:tabs>
      <w:spacing w:after="480" w:line="480" w:lineRule="auto"/>
    </w:pPr>
    <w:rPr>
      <w:smallCaps/>
      <w:sz w:val="24"/>
    </w:rPr>
  </w:style>
  <w:style w:type="paragraph" w:customStyle="1" w:styleId="ParaNoNdepar-AltN">
    <w:name w:val="Para. No. / Nº de par. - Alt N"/>
    <w:qFormat/>
    <w:rsid w:val="008240F4"/>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Citation-AltC">
    <w:name w:val="Citation - Alt C"/>
    <w:uiPriority w:val="2"/>
    <w:qFormat/>
    <w:rsid w:val="008240F4"/>
    <w:pPr>
      <w:spacing w:after="720"/>
      <w:ind w:left="1166"/>
      <w:contextualSpacing/>
      <w:jc w:val="both"/>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1991</Words>
  <Characters>10027</Characters>
  <Application>Microsoft Office Word</Application>
  <DocSecurity>0</DocSecurity>
  <Lines>83</Lines>
  <Paragraphs>23</Paragraphs>
  <ScaleCrop>false</ScaleCrop>
  <LinksUpToDate>false</LinksUpToDate>
  <CharactersWithSpaces>11995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2014-01-16T19:28:00Z</dcterms:created>
  <dcterms:modified xsi:type="dcterms:W3CDTF">2014-01-16T19:28:00Z</dcterms:modified>
</cp:coreProperties>
</file>