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41" w:rsidRPr="00B10DEF" w:rsidRDefault="00AC7D41" w:rsidP="00AC7D41">
      <w:pPr>
        <w:tabs>
          <w:tab w:val="center" w:pos="4680"/>
          <w:tab w:val="right" w:pos="9360"/>
        </w:tabs>
        <w:jc w:val="center"/>
        <w:rPr>
          <w:rFonts w:eastAsiaTheme="minorHAnsi" w:cstheme="minorBidi"/>
          <w:szCs w:val="24"/>
          <w:lang w:eastAsia="en-US"/>
        </w:rPr>
      </w:pPr>
      <w:r w:rsidRPr="00B10DE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1396408" r:id="rId8"/>
        </w:object>
      </w:r>
    </w:p>
    <w:p w:rsidR="00AC7D41" w:rsidRPr="00B10DEF" w:rsidRDefault="00AC7D41" w:rsidP="00AC7D41">
      <w:pPr>
        <w:tabs>
          <w:tab w:val="center" w:pos="4680"/>
          <w:tab w:val="right" w:pos="9360"/>
        </w:tabs>
        <w:rPr>
          <w:rFonts w:eastAsiaTheme="minorHAnsi" w:cstheme="minorBidi"/>
          <w:szCs w:val="24"/>
          <w:lang w:eastAsia="en-US"/>
        </w:rPr>
      </w:pPr>
    </w:p>
    <w:p w:rsidR="00AC7D41" w:rsidRPr="00B10DEF" w:rsidRDefault="00AC7D41" w:rsidP="00AC7D41">
      <w:pPr>
        <w:jc w:val="center"/>
        <w:rPr>
          <w:rFonts w:eastAsiaTheme="minorHAnsi" w:cstheme="minorBidi"/>
          <w:b/>
          <w:szCs w:val="24"/>
          <w:lang w:eastAsia="en-US"/>
        </w:rPr>
      </w:pPr>
      <w:r w:rsidRPr="00B10DEF">
        <w:rPr>
          <w:rFonts w:eastAsiaTheme="minorHAnsi" w:cstheme="minorBidi"/>
          <w:b/>
          <w:szCs w:val="24"/>
          <w:lang w:eastAsia="en-US"/>
        </w:rPr>
        <w:t>SUPREME COURT OF CANADA</w:t>
      </w:r>
    </w:p>
    <w:p w:rsidR="00AC7D41" w:rsidRPr="00B10DEF" w:rsidRDefault="00AC7D41" w:rsidP="00AC7D4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C7D41" w:rsidRPr="00B10DEF" w:rsidTr="006D7515">
        <w:trPr>
          <w:cantSplit/>
        </w:trPr>
        <w:tc>
          <w:tcPr>
            <w:tcW w:w="6768" w:type="dxa"/>
          </w:tcPr>
          <w:p w:rsidR="00AC7D41" w:rsidRPr="006C6C47" w:rsidRDefault="00AC7D41" w:rsidP="006D7515">
            <w:pPr>
              <w:rPr>
                <w:lang w:val="fr-FR"/>
              </w:rPr>
            </w:pPr>
            <w:r w:rsidRPr="00B10DEF">
              <w:rPr>
                <w:b/>
                <w:smallCaps/>
                <w:lang w:val="fr-CA"/>
              </w:rPr>
              <w:t>Citation</w:t>
            </w:r>
            <w:proofErr w:type="gramStart"/>
            <w:r w:rsidRPr="00B10DEF">
              <w:rPr>
                <w:b/>
                <w:smallCaps/>
                <w:lang w:val="fr-CA"/>
              </w:rPr>
              <w:t>:</w:t>
            </w:r>
            <w:r w:rsidRPr="00B10DEF">
              <w:rPr>
                <w:lang w:val="fr-CA"/>
              </w:rPr>
              <w:t xml:space="preserve"> </w:t>
            </w:r>
            <w:r>
              <w:rPr>
                <w:lang w:val="fr-CA"/>
              </w:rPr>
              <w:t xml:space="preserve"> </w:t>
            </w:r>
            <w:r w:rsidRPr="00792F99">
              <w:rPr>
                <w:lang w:val="fr-CA"/>
              </w:rPr>
              <w:t>R</w:t>
            </w:r>
            <w:proofErr w:type="gramEnd"/>
            <w:r w:rsidRPr="00792F99">
              <w:rPr>
                <w:lang w:val="fr-CA"/>
              </w:rPr>
              <w:t xml:space="preserve">. </w:t>
            </w:r>
            <w:r w:rsidRPr="00792F99">
              <w:rPr>
                <w:i/>
                <w:lang w:val="fr-CA"/>
              </w:rPr>
              <w:t>v.</w:t>
            </w:r>
            <w:r w:rsidRPr="00792F99">
              <w:rPr>
                <w:lang w:val="fr-CA"/>
              </w:rPr>
              <w:t xml:space="preserve"> Bélanger, 2013 SCC 7, [2013] 1 S.C.R. 401</w:t>
            </w:r>
          </w:p>
          <w:p w:rsidR="00AC7D41" w:rsidRPr="00B10DEF" w:rsidRDefault="00AC7D41" w:rsidP="006D7515">
            <w:pPr>
              <w:rPr>
                <w:lang w:val="fr-CA"/>
              </w:rPr>
            </w:pPr>
          </w:p>
        </w:tc>
        <w:tc>
          <w:tcPr>
            <w:tcW w:w="2808" w:type="dxa"/>
          </w:tcPr>
          <w:p w:rsidR="00AC7D41" w:rsidRDefault="00AC7D41" w:rsidP="006D7515">
            <w:r w:rsidRPr="00B10DEF">
              <w:rPr>
                <w:b/>
                <w:smallCaps/>
              </w:rPr>
              <w:t>Date:</w:t>
            </w:r>
            <w:r>
              <w:t xml:space="preserve"> 20130212</w:t>
            </w:r>
          </w:p>
          <w:p w:rsidR="00AC7D41" w:rsidRPr="00B10DEF" w:rsidRDefault="00AC7D41" w:rsidP="006D7515">
            <w:r w:rsidRPr="00B10DEF">
              <w:rPr>
                <w:b/>
                <w:smallCaps/>
              </w:rPr>
              <w:t>Docket:</w:t>
            </w:r>
            <w:r w:rsidRPr="00B10DEF">
              <w:t xml:space="preserve"> 3</w:t>
            </w:r>
            <w:r>
              <w:t>4512</w:t>
            </w:r>
          </w:p>
        </w:tc>
      </w:tr>
    </w:tbl>
    <w:p w:rsidR="00AC7D41" w:rsidRPr="00B10DEF" w:rsidRDefault="00AC7D41" w:rsidP="00AC7D41">
      <w:pPr>
        <w:rPr>
          <w:rFonts w:eastAsiaTheme="minorHAnsi" w:cstheme="minorBidi"/>
          <w:szCs w:val="24"/>
          <w:lang w:eastAsia="en-US"/>
        </w:rPr>
      </w:pPr>
    </w:p>
    <w:p w:rsidR="00AC7D41" w:rsidRPr="00B10DEF" w:rsidRDefault="00AC7D41" w:rsidP="00AC7D41">
      <w:pPr>
        <w:rPr>
          <w:rFonts w:eastAsiaTheme="minorHAnsi" w:cstheme="minorBidi"/>
          <w:b/>
          <w:smallCaps/>
          <w:szCs w:val="24"/>
          <w:lang w:eastAsia="en-US"/>
        </w:rPr>
      </w:pPr>
      <w:r w:rsidRPr="00B10DEF">
        <w:rPr>
          <w:rFonts w:eastAsiaTheme="minorHAnsi" w:cstheme="minorBidi"/>
          <w:b/>
          <w:smallCaps/>
          <w:szCs w:val="24"/>
          <w:lang w:eastAsia="en-US"/>
        </w:rPr>
        <w:t>Between:</w:t>
      </w:r>
    </w:p>
    <w:p w:rsidR="00AC7D41" w:rsidRPr="00B10DEF" w:rsidRDefault="00AC7D41" w:rsidP="00AC7D41">
      <w:pPr>
        <w:jc w:val="center"/>
        <w:rPr>
          <w:rFonts w:eastAsiaTheme="minorHAnsi" w:cstheme="minorBidi"/>
          <w:b/>
          <w:szCs w:val="24"/>
          <w:lang w:eastAsia="en-US"/>
        </w:rPr>
      </w:pPr>
      <w:r w:rsidRPr="00AC7D41">
        <w:rPr>
          <w:rFonts w:eastAsiaTheme="minorHAnsi" w:cstheme="minorBidi"/>
          <w:b/>
          <w:szCs w:val="24"/>
          <w:lang w:val="en-US" w:eastAsia="en-US"/>
        </w:rPr>
        <w:t xml:space="preserve">Her Majesty </w:t>
      </w:r>
      <w:proofErr w:type="gramStart"/>
      <w:r w:rsidRPr="00AC7D41">
        <w:rPr>
          <w:rFonts w:eastAsiaTheme="minorHAnsi" w:cstheme="minorBidi"/>
          <w:b/>
          <w:szCs w:val="24"/>
          <w:lang w:val="en-US" w:eastAsia="en-US"/>
        </w:rPr>
        <w:t>The</w:t>
      </w:r>
      <w:proofErr w:type="gramEnd"/>
      <w:r w:rsidRPr="00AC7D41">
        <w:rPr>
          <w:rFonts w:eastAsiaTheme="minorHAnsi" w:cstheme="minorBidi"/>
          <w:b/>
          <w:szCs w:val="24"/>
          <w:lang w:val="en-US" w:eastAsia="en-US"/>
        </w:rPr>
        <w:t xml:space="preserve"> Queen</w:t>
      </w:r>
    </w:p>
    <w:p w:rsidR="00AC7D41" w:rsidRPr="00AC7D41" w:rsidRDefault="00AC7D41" w:rsidP="00AC7D41">
      <w:pPr>
        <w:jc w:val="center"/>
        <w:rPr>
          <w:rFonts w:eastAsiaTheme="minorHAnsi" w:cstheme="minorBidi"/>
          <w:szCs w:val="24"/>
          <w:lang w:val="en-US" w:eastAsia="en-US"/>
        </w:rPr>
      </w:pPr>
      <w:r w:rsidRPr="00AC7D41">
        <w:rPr>
          <w:rFonts w:eastAsiaTheme="minorHAnsi" w:cstheme="minorBidi"/>
          <w:szCs w:val="24"/>
          <w:lang w:val="en-US" w:eastAsia="en-US"/>
        </w:rPr>
        <w:t>Appellant</w:t>
      </w:r>
    </w:p>
    <w:p w:rsidR="00AC7D41" w:rsidRPr="00AC7D41" w:rsidRDefault="00AC7D41" w:rsidP="00AC7D41">
      <w:pPr>
        <w:jc w:val="center"/>
        <w:rPr>
          <w:rFonts w:eastAsiaTheme="minorHAnsi" w:cstheme="minorBidi"/>
          <w:szCs w:val="24"/>
          <w:lang w:val="en-US" w:eastAsia="en-US"/>
        </w:rPr>
      </w:pPr>
      <w:proofErr w:type="gramStart"/>
      <w:r w:rsidRPr="00AC7D41">
        <w:rPr>
          <w:rFonts w:eastAsiaTheme="minorHAnsi" w:cstheme="minorBidi"/>
          <w:szCs w:val="24"/>
          <w:lang w:val="en-US" w:eastAsia="en-US"/>
        </w:rPr>
        <w:t>and</w:t>
      </w:r>
      <w:proofErr w:type="gramEnd"/>
    </w:p>
    <w:p w:rsidR="00AC7D41" w:rsidRPr="00AC7D41" w:rsidRDefault="00AC7D41" w:rsidP="00AC7D41">
      <w:pPr>
        <w:jc w:val="center"/>
        <w:rPr>
          <w:rFonts w:eastAsiaTheme="minorHAnsi" w:cstheme="minorBidi"/>
          <w:b/>
          <w:szCs w:val="24"/>
          <w:lang w:val="en-US" w:eastAsia="en-US"/>
        </w:rPr>
      </w:pPr>
      <w:proofErr w:type="spellStart"/>
      <w:r w:rsidRPr="00AC7D41">
        <w:rPr>
          <w:rFonts w:eastAsiaTheme="minorHAnsi" w:cstheme="minorBidi"/>
          <w:b/>
          <w:szCs w:val="24"/>
          <w:lang w:val="en-US" w:eastAsia="en-US"/>
        </w:rPr>
        <w:t>Frédérick</w:t>
      </w:r>
      <w:proofErr w:type="spellEnd"/>
      <w:r w:rsidRPr="00AC7D41">
        <w:rPr>
          <w:rFonts w:eastAsiaTheme="minorHAnsi" w:cstheme="minorBidi"/>
          <w:b/>
          <w:szCs w:val="24"/>
          <w:lang w:val="en-US" w:eastAsia="en-US"/>
        </w:rPr>
        <w:t xml:space="preserve"> Bélanger</w:t>
      </w:r>
    </w:p>
    <w:p w:rsidR="00AC7D41" w:rsidRPr="00AC7D41" w:rsidRDefault="00AC7D41" w:rsidP="00AC7D41">
      <w:pPr>
        <w:jc w:val="center"/>
        <w:rPr>
          <w:rFonts w:eastAsiaTheme="minorHAnsi" w:cstheme="minorBidi"/>
          <w:szCs w:val="24"/>
          <w:lang w:val="en-US" w:eastAsia="en-US"/>
        </w:rPr>
      </w:pPr>
      <w:r w:rsidRPr="00AC7D41">
        <w:rPr>
          <w:rFonts w:eastAsiaTheme="minorHAnsi" w:cstheme="minorBidi"/>
          <w:szCs w:val="24"/>
          <w:lang w:val="en-US" w:eastAsia="en-US"/>
        </w:rPr>
        <w:t>Respondent</w:t>
      </w:r>
    </w:p>
    <w:p w:rsidR="00AC7D41" w:rsidRDefault="00AC7D41" w:rsidP="00AC7D41">
      <w:pPr>
        <w:rPr>
          <w:rFonts w:eastAsiaTheme="minorHAnsi" w:cstheme="minorBidi"/>
          <w:szCs w:val="24"/>
          <w:lang w:eastAsia="en-US"/>
        </w:rPr>
      </w:pPr>
    </w:p>
    <w:p w:rsidR="00AC7D41" w:rsidRDefault="00AC7D41" w:rsidP="00AC7D41">
      <w:pPr>
        <w:rPr>
          <w:rFonts w:eastAsiaTheme="minorHAnsi" w:cstheme="minorBidi"/>
          <w:szCs w:val="24"/>
          <w:lang w:eastAsia="en-US"/>
        </w:rPr>
      </w:pPr>
    </w:p>
    <w:p w:rsidR="00AC7D41" w:rsidRDefault="00AC7D41" w:rsidP="00AC7D41">
      <w:pPr>
        <w:jc w:val="center"/>
        <w:rPr>
          <w:rFonts w:eastAsiaTheme="minorHAnsi" w:cstheme="minorBidi"/>
          <w:szCs w:val="24"/>
          <w:lang w:eastAsia="en-US"/>
        </w:rPr>
      </w:pPr>
      <w:r w:rsidRPr="00A82C08">
        <w:rPr>
          <w:b/>
          <w:smallCaps/>
        </w:rPr>
        <w:t>Official English Translation</w:t>
      </w:r>
    </w:p>
    <w:p w:rsidR="00AC7D41" w:rsidRPr="00B10DEF" w:rsidRDefault="00AC7D41" w:rsidP="00AC7D41">
      <w:pPr>
        <w:rPr>
          <w:rFonts w:eastAsiaTheme="minorHAnsi" w:cstheme="minorBidi"/>
          <w:szCs w:val="24"/>
          <w:lang w:eastAsia="en-US"/>
        </w:rPr>
      </w:pPr>
    </w:p>
    <w:p w:rsidR="00AC7D41" w:rsidRPr="00B10DEF" w:rsidRDefault="00AC7D41" w:rsidP="00AC7D41">
      <w:pPr>
        <w:rPr>
          <w:rFonts w:eastAsiaTheme="minorHAnsi" w:cstheme="minorBidi"/>
          <w:szCs w:val="24"/>
          <w:lang w:eastAsia="en-US"/>
        </w:rPr>
      </w:pPr>
      <w:r w:rsidRPr="00B10DEF">
        <w:rPr>
          <w:rFonts w:eastAsiaTheme="minorHAnsi" w:cstheme="minorBidi"/>
          <w:b/>
          <w:smallCaps/>
          <w:szCs w:val="24"/>
          <w:lang w:eastAsia="en-US"/>
        </w:rPr>
        <w:t>Coram:</w:t>
      </w:r>
      <w:r w:rsidRPr="00B10DEF">
        <w:rPr>
          <w:rFonts w:eastAsiaTheme="minorHAnsi" w:cstheme="minorBidi"/>
          <w:szCs w:val="24"/>
          <w:lang w:eastAsia="en-US"/>
        </w:rPr>
        <w:t xml:space="preserve"> </w:t>
      </w:r>
      <w:r>
        <w:t xml:space="preserve">McLachlin C.J. and </w:t>
      </w:r>
      <w:proofErr w:type="spellStart"/>
      <w:r>
        <w:t>LeBel</w:t>
      </w:r>
      <w:proofErr w:type="spellEnd"/>
      <w:r>
        <w:t xml:space="preserve">, Fish,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AC7D41" w:rsidRPr="00B10DEF" w:rsidRDefault="00AC7D41" w:rsidP="00AC7D4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C7D41" w:rsidRPr="00B10DEF" w:rsidTr="006D7515">
        <w:trPr>
          <w:cantSplit/>
        </w:trPr>
        <w:tc>
          <w:tcPr>
            <w:tcW w:w="3618" w:type="dxa"/>
          </w:tcPr>
          <w:p w:rsidR="00AC7D41" w:rsidRPr="00B10DEF" w:rsidRDefault="00AC7D41" w:rsidP="006D7515">
            <w:pPr>
              <w:rPr>
                <w:b/>
                <w:smallCaps/>
              </w:rPr>
            </w:pPr>
            <w:r w:rsidRPr="00B10DEF">
              <w:rPr>
                <w:b/>
                <w:smallCaps/>
              </w:rPr>
              <w:t>Reasons for Judgment:</w:t>
            </w:r>
          </w:p>
          <w:p w:rsidR="00AC7D41" w:rsidRPr="0022613A" w:rsidRDefault="00AC7D41" w:rsidP="006D7515">
            <w:r>
              <w:t>(</w:t>
            </w:r>
            <w:proofErr w:type="spellStart"/>
            <w:r>
              <w:t>paras</w:t>
            </w:r>
            <w:proofErr w:type="spellEnd"/>
            <w:r>
              <w:t>. 1 to 6</w:t>
            </w:r>
            <w:r w:rsidRPr="00B10DEF">
              <w:t>)</w:t>
            </w:r>
          </w:p>
          <w:p w:rsidR="00AC7D41" w:rsidRPr="00B10DEF" w:rsidRDefault="00AC7D41" w:rsidP="006D7515"/>
        </w:tc>
        <w:tc>
          <w:tcPr>
            <w:tcW w:w="5958" w:type="dxa"/>
          </w:tcPr>
          <w:p w:rsidR="00AC7D41" w:rsidRPr="00B10DEF" w:rsidRDefault="00AC7D41" w:rsidP="006D7515">
            <w:r>
              <w:t>Wagner</w:t>
            </w:r>
            <w:r w:rsidRPr="00B10DEF">
              <w:t xml:space="preserve"> J. (</w:t>
            </w:r>
            <w:r>
              <w:t xml:space="preserve">McLachlin C.J. and </w:t>
            </w:r>
            <w:proofErr w:type="spellStart"/>
            <w:r>
              <w:t>LeBel</w:t>
            </w:r>
            <w:proofErr w:type="spellEnd"/>
            <w:r>
              <w:t xml:space="preserve">, Fish,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w:t>
            </w:r>
            <w:r w:rsidRPr="006C6C47">
              <w:t>JJ</w:t>
            </w:r>
            <w:r w:rsidRPr="00B10DEF">
              <w:t>. concurring)</w:t>
            </w:r>
          </w:p>
          <w:p w:rsidR="00AC7D41" w:rsidRPr="00B10DEF" w:rsidRDefault="00AC7D41" w:rsidP="006D7515"/>
        </w:tc>
      </w:tr>
    </w:tbl>
    <w:p w:rsidR="00AC7D41" w:rsidRPr="00B10DEF" w:rsidRDefault="007B4312" w:rsidP="00AC7D41">
      <w:pPr>
        <w:rPr>
          <w:rFonts w:eastAsiaTheme="minorHAnsi" w:cstheme="minorBidi"/>
          <w:szCs w:val="24"/>
          <w:lang w:eastAsia="en-US"/>
        </w:rPr>
      </w:pPr>
      <w:r w:rsidRPr="007B4312">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AC7D41" w:rsidRDefault="00AC7D41" w:rsidP="00AC7D41">
      <w:pPr>
        <w:rPr>
          <w:smallCaps/>
        </w:rPr>
      </w:pPr>
    </w:p>
    <w:p w:rsidR="00AC7D41" w:rsidRDefault="00AC7D41" w:rsidP="00AC7D41"/>
    <w:p w:rsidR="00AC7D41" w:rsidRPr="00AC7D41" w:rsidRDefault="00AC7D41">
      <w:pPr>
        <w:rPr>
          <w:lang w:val="en-US"/>
        </w:rPr>
      </w:pPr>
      <w:r w:rsidRPr="00AC7D41">
        <w:rPr>
          <w:lang w:val="en-US"/>
        </w:rPr>
        <w:br w:type="page"/>
      </w:r>
    </w:p>
    <w:p w:rsidR="00766D14" w:rsidRPr="00AC7D41" w:rsidRDefault="00303AE1" w:rsidP="003E3091">
      <w:pPr>
        <w:spacing w:after="720"/>
        <w:jc w:val="both"/>
        <w:rPr>
          <w:lang w:val="fr-CA"/>
        </w:rPr>
      </w:pPr>
      <w:r w:rsidRPr="00AC7D41">
        <w:rPr>
          <w:lang w:val="fr-CA"/>
        </w:rPr>
        <w:lastRenderedPageBreak/>
        <w:t xml:space="preserve">R. </w:t>
      </w:r>
      <w:r w:rsidRPr="00AC7D41">
        <w:rPr>
          <w:i/>
          <w:lang w:val="fr-CA"/>
        </w:rPr>
        <w:t>v.</w:t>
      </w:r>
      <w:r w:rsidRPr="00AC7D41">
        <w:rPr>
          <w:lang w:val="fr-CA"/>
        </w:rPr>
        <w:t xml:space="preserve"> Bélanger, 2013 SCC 7, [2013] 1 S.C.R. 401</w:t>
      </w:r>
    </w:p>
    <w:p w:rsidR="00467D45" w:rsidRDefault="006B5DBD">
      <w:pPr>
        <w:pStyle w:val="SCCLsocLastPartyInRole"/>
      </w:pPr>
      <w:r>
        <w:t xml:space="preserve">Her Majesty </w:t>
      </w:r>
      <w:proofErr w:type="gramStart"/>
      <w:r>
        <w:t>The</w:t>
      </w:r>
      <w:proofErr w:type="gramEnd"/>
      <w:r>
        <w:t xml:space="preserve"> Queen</w:t>
      </w:r>
      <w:r>
        <w:rPr>
          <w:rStyle w:val="SCCLsocPartyRole"/>
        </w:rPr>
        <w:tab/>
        <w:t>Appellant</w:t>
      </w:r>
    </w:p>
    <w:p w:rsidR="00467D45" w:rsidRDefault="006B5DBD">
      <w:pPr>
        <w:pStyle w:val="SCCLsocVersus"/>
      </w:pPr>
      <w:proofErr w:type="gramStart"/>
      <w:r>
        <w:t>v</w:t>
      </w:r>
      <w:proofErr w:type="gramEnd"/>
      <w:r>
        <w:t>.</w:t>
      </w:r>
    </w:p>
    <w:p w:rsidR="00467D45" w:rsidRDefault="006B5DBD">
      <w:pPr>
        <w:pStyle w:val="SCCLsocLastPartyInRole"/>
      </w:pPr>
      <w:proofErr w:type="spellStart"/>
      <w:r>
        <w:t>Frédérick</w:t>
      </w:r>
      <w:proofErr w:type="spellEnd"/>
      <w:r>
        <w:t xml:space="preserve"> Bélanger</w:t>
      </w:r>
      <w:r>
        <w:rPr>
          <w:rStyle w:val="SCCLsocPartyRole"/>
        </w:rPr>
        <w:tab/>
        <w:t>Respondent</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26659" w:rsidRPr="00426659" w:rsidRDefault="00426659" w:rsidP="00FC4EFB">
      <w:pPr>
        <w:jc w:val="both"/>
        <w:rPr>
          <w:b/>
        </w:rPr>
      </w:pPr>
      <w:r w:rsidRPr="00426659">
        <w:rPr>
          <w:b/>
        </w:rPr>
        <w:t>Indexed as:</w:t>
      </w:r>
      <w:r>
        <w:rPr>
          <w:b/>
        </w:rPr>
        <w:t xml:space="preserve"> </w:t>
      </w:r>
      <w:r w:rsidRPr="00426659">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Bélanger</w:t>
      </w:r>
    </w:p>
    <w:p w:rsidR="00426659" w:rsidRDefault="00426659" w:rsidP="00FC4EFB">
      <w:pPr>
        <w:jc w:val="both"/>
      </w:pPr>
    </w:p>
    <w:p w:rsidR="00A149DF" w:rsidRDefault="00A149DF" w:rsidP="00FC4EFB">
      <w:pPr>
        <w:jc w:val="both"/>
      </w:pPr>
    </w:p>
    <w:p w:rsidR="00A149DF" w:rsidRDefault="00A149DF" w:rsidP="00FC4EFB">
      <w:pPr>
        <w:jc w:val="both"/>
      </w:pPr>
    </w:p>
    <w:p w:rsidR="00426659" w:rsidRPr="00C02092" w:rsidRDefault="004F36FF" w:rsidP="00FC4EFB">
      <w:pPr>
        <w:pStyle w:val="SCCSystemYear"/>
        <w:jc w:val="both"/>
      </w:pPr>
      <w:r>
        <w:t>2013</w:t>
      </w:r>
      <w:r w:rsidR="003D0399">
        <w:t xml:space="preserve"> </w:t>
      </w:r>
      <w:r w:rsidR="00426659" w:rsidRPr="00C02092">
        <w:t>SCC </w:t>
      </w:r>
      <w:r w:rsidR="006B5DBD">
        <w:t>7</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File No.:  </w:t>
      </w:r>
      <w:r>
        <w:t>34512</w:t>
      </w:r>
      <w:r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4F36FF" w:rsidP="00FC4EFB">
      <w:pPr>
        <w:jc w:val="both"/>
      </w:pPr>
      <w:r>
        <w:t>2013:  February 12</w:t>
      </w:r>
      <w:r w:rsidR="002F07BD">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Present:  </w:t>
      </w:r>
      <w:r>
        <w:t xml:space="preserve">McLachlin C.J. and </w:t>
      </w:r>
      <w:proofErr w:type="spellStart"/>
      <w:r>
        <w:t>LeBel</w:t>
      </w:r>
      <w:proofErr w:type="spellEnd"/>
      <w:r>
        <w:t xml:space="preserve">, Fish,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E97830" w:rsidRDefault="00E97830" w:rsidP="00FC4EFB">
      <w:pPr>
        <w:jc w:val="both"/>
      </w:pPr>
    </w:p>
    <w:p w:rsidR="006A1551" w:rsidRDefault="006A1551" w:rsidP="00FC4EFB">
      <w:pPr>
        <w:jc w:val="both"/>
      </w:pPr>
    </w:p>
    <w:p w:rsidR="006A1551" w:rsidRDefault="006A1551" w:rsidP="00FC4EFB">
      <w:pPr>
        <w:jc w:val="both"/>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F4656A">
        <w:t>for</w:t>
      </w:r>
      <w:r w:rsidR="009B57B3">
        <w:t xml:space="preserve"> </w:t>
      </w:r>
      <w:proofErr w:type="spellStart"/>
      <w:r w:rsidR="009B57B3">
        <w:t>quebec</w:t>
      </w:r>
      <w:proofErr w:type="spellEnd"/>
      <w:r w:rsidR="009B57B3">
        <w:t xml:space="preserve"> </w:t>
      </w:r>
    </w:p>
    <w:p w:rsidR="003A4C70" w:rsidRPr="001426A9" w:rsidRDefault="003A4C70" w:rsidP="00FC4EFB">
      <w:pPr>
        <w:pStyle w:val="SCCNormalDoubleSpacing"/>
      </w:pPr>
    </w:p>
    <w:p w:rsidR="002368F5" w:rsidRPr="002368F5" w:rsidRDefault="002368F5" w:rsidP="002368F5">
      <w:pPr>
        <w:pStyle w:val="SCCNormalDoubleSpacing"/>
        <w:rPr>
          <w:i/>
        </w:rPr>
      </w:pPr>
      <w:r w:rsidRPr="002368F5">
        <w:lastRenderedPageBreak/>
        <w:tab/>
      </w:r>
      <w:r w:rsidR="00827745">
        <w:rPr>
          <w:i/>
        </w:rPr>
        <w:t>Criminal law — Offences —</w:t>
      </w:r>
      <w:r w:rsidRPr="002368F5">
        <w:rPr>
          <w:i/>
        </w:rPr>
        <w:t xml:space="preserve"> </w:t>
      </w:r>
      <w:r>
        <w:rPr>
          <w:i/>
        </w:rPr>
        <w:t>Dangerous driving</w:t>
      </w:r>
      <w:r w:rsidR="00827745">
        <w:rPr>
          <w:i/>
        </w:rPr>
        <w:t xml:space="preserve"> — Elements of offence —</w:t>
      </w:r>
      <w:r w:rsidRPr="002368F5">
        <w:rPr>
          <w:i/>
        </w:rPr>
        <w:t xml:space="preserve"> </w:t>
      </w:r>
      <w:r>
        <w:rPr>
          <w:i/>
        </w:rPr>
        <w:t>Trial judge taking all relevant factors into account and making no error in finding accused guilty</w:t>
      </w:r>
      <w:r w:rsidRPr="002368F5">
        <w:rPr>
          <w:i/>
        </w:rPr>
        <w:t xml:space="preserve">. </w:t>
      </w:r>
    </w:p>
    <w:p w:rsidR="00A149DF" w:rsidRDefault="00A149DF" w:rsidP="00FC4EFB">
      <w:pPr>
        <w:pStyle w:val="SCCNormalDoubleSpacing"/>
      </w:pPr>
    </w:p>
    <w:p w:rsidR="00A149DF" w:rsidRDefault="009B57B3" w:rsidP="00FC4EFB">
      <w:pPr>
        <w:pStyle w:val="SCCNormalDoubleSpacing"/>
      </w:pPr>
      <w:r w:rsidRPr="001426A9">
        <w:tab/>
      </w:r>
    </w:p>
    <w:p w:rsidR="003B215F" w:rsidRDefault="002E6705" w:rsidP="00407180">
      <w:pPr>
        <w:pStyle w:val="SCCNormalDoubleSpacing"/>
        <w:spacing w:after="480" w:line="240" w:lineRule="auto"/>
      </w:pPr>
      <w:r w:rsidRPr="00314E01">
        <w:rPr>
          <w:b/>
        </w:rPr>
        <w:t>Statutes and Regulations Cite</w:t>
      </w:r>
      <w:r w:rsidR="00A41805">
        <w:rPr>
          <w:b/>
        </w:rPr>
        <w:t>d</w:t>
      </w:r>
    </w:p>
    <w:p w:rsidR="00A41805" w:rsidRDefault="00A41805" w:rsidP="00FC4EFB">
      <w:pPr>
        <w:pStyle w:val="SCCNormalDoubleSpacing"/>
        <w:spacing w:line="240" w:lineRule="auto"/>
        <w:ind w:left="540" w:hanging="540"/>
      </w:pPr>
    </w:p>
    <w:p w:rsidR="00407180" w:rsidRPr="00AC7D41" w:rsidRDefault="00407180" w:rsidP="00407180">
      <w:pPr>
        <w:pStyle w:val="ListParagraph"/>
        <w:tabs>
          <w:tab w:val="left" w:pos="1134"/>
        </w:tabs>
        <w:spacing w:after="480" w:line="480" w:lineRule="auto"/>
        <w:ind w:left="0"/>
        <w:contextualSpacing w:val="0"/>
        <w:jc w:val="both"/>
        <w:rPr>
          <w:lang w:val="en-US"/>
        </w:rPr>
      </w:pPr>
      <w:r w:rsidRPr="00AC7D41">
        <w:rPr>
          <w:i/>
          <w:lang w:val="en-US"/>
        </w:rPr>
        <w:t>Criminal Code</w:t>
      </w:r>
      <w:r w:rsidRPr="00AC7D41">
        <w:rPr>
          <w:lang w:val="en-US"/>
        </w:rPr>
        <w:t xml:space="preserve">, </w:t>
      </w:r>
      <w:r w:rsidR="000331E5" w:rsidRPr="00AC7D41">
        <w:rPr>
          <w:lang w:val="en-US"/>
        </w:rPr>
        <w:t xml:space="preserve">R.S.C. 1985, c. C-46, </w:t>
      </w:r>
      <w:r w:rsidRPr="00AC7D41">
        <w:rPr>
          <w:lang w:val="en-US"/>
        </w:rPr>
        <w:t>s. 249.</w:t>
      </w:r>
    </w:p>
    <w:p w:rsidR="00A149DF" w:rsidRPr="00AC7D41" w:rsidRDefault="00A149DF" w:rsidP="00FC4EFB">
      <w:pPr>
        <w:pStyle w:val="SCCNormalDoubleSpacing"/>
        <w:spacing w:line="240" w:lineRule="auto"/>
        <w:ind w:left="540" w:hanging="540"/>
        <w:rPr>
          <w:lang w:val="en-US"/>
        </w:rPr>
      </w:pPr>
    </w:p>
    <w:p w:rsidR="00656313" w:rsidRDefault="009B57B3" w:rsidP="00407180">
      <w:pPr>
        <w:pStyle w:val="SCCNormalDoubleSpacing"/>
        <w:spacing w:after="480"/>
      </w:pPr>
      <w:r w:rsidRPr="00AC7D41">
        <w:rPr>
          <w:lang w:val="en-US"/>
        </w:rPr>
        <w:tab/>
      </w:r>
      <w:r w:rsidRPr="001426A9">
        <w:t xml:space="preserve">APPEAL from a judgment of the </w:t>
      </w:r>
      <w:r w:rsidR="00F61DD2">
        <w:t xml:space="preserve">Quebec </w:t>
      </w:r>
      <w:r>
        <w:t xml:space="preserve">Court of Appeal </w:t>
      </w:r>
      <w:r w:rsidR="00F4656A">
        <w:t xml:space="preserve">(Brossard, Doyon and </w:t>
      </w:r>
      <w:proofErr w:type="spellStart"/>
      <w:r w:rsidR="00F4656A">
        <w:t>Kasirer</w:t>
      </w:r>
      <w:proofErr w:type="spellEnd"/>
      <w:r w:rsidR="00F4656A">
        <w:t xml:space="preserve"> JJ.A.), 2011 QCCA 1598, </w:t>
      </w:r>
      <w:r w:rsidR="008D5EA4">
        <w:t>SOQUIJ AZ-50784910</w:t>
      </w:r>
      <w:r w:rsidR="00F61DD2">
        <w:t xml:space="preserve">, </w:t>
      </w:r>
      <w:r w:rsidR="00F42AB7">
        <w:t xml:space="preserve">[2011] Q.J. No. 12012, </w:t>
      </w:r>
      <w:r w:rsidR="00F4656A">
        <w:t xml:space="preserve">2011 </w:t>
      </w:r>
      <w:proofErr w:type="spellStart"/>
      <w:r w:rsidR="00F4656A">
        <w:t>CarswellQue</w:t>
      </w:r>
      <w:proofErr w:type="spellEnd"/>
      <w:r w:rsidR="00F4656A">
        <w:t xml:space="preserve"> 15741</w:t>
      </w:r>
      <w:r w:rsidR="00F42AB7">
        <w:t>,</w:t>
      </w:r>
      <w:r w:rsidR="00F42AB7" w:rsidRPr="00F42AB7">
        <w:t xml:space="preserve"> </w:t>
      </w:r>
      <w:r w:rsidR="00093A88">
        <w:t xml:space="preserve">setting aside </w:t>
      </w:r>
      <w:r w:rsidR="00D161E1">
        <w:t>the conviction for dangerous operation of a motor vehicle entered by</w:t>
      </w:r>
      <w:r w:rsidR="00F42AB7">
        <w:t xml:space="preserve"> </w:t>
      </w:r>
      <w:proofErr w:type="spellStart"/>
      <w:r w:rsidR="00F42AB7" w:rsidRPr="00F42AB7">
        <w:t>Aubry</w:t>
      </w:r>
      <w:proofErr w:type="spellEnd"/>
      <w:r w:rsidR="00F42AB7">
        <w:t xml:space="preserve"> J.</w:t>
      </w:r>
      <w:r w:rsidR="00F42AB7" w:rsidRPr="00F42AB7">
        <w:t xml:space="preserve">, 2010 QCCQ 13775, </w:t>
      </w:r>
      <w:r w:rsidR="00E20F71">
        <w:t xml:space="preserve">SOQUIJ AZ-50721988, </w:t>
      </w:r>
      <w:r w:rsidR="00F42AB7" w:rsidRPr="00F42AB7">
        <w:t>[2010] J.Q. n</w:t>
      </w:r>
      <w:r w:rsidR="00F42AB7" w:rsidRPr="00F42AB7">
        <w:rPr>
          <w:vertAlign w:val="superscript"/>
        </w:rPr>
        <w:t>o</w:t>
      </w:r>
      <w:r w:rsidR="00F42AB7" w:rsidRPr="00F42AB7">
        <w:t xml:space="preserve"> 24271, 2010 </w:t>
      </w:r>
      <w:proofErr w:type="spellStart"/>
      <w:r w:rsidR="00F42AB7" w:rsidRPr="00F42AB7">
        <w:t>CarswellQue</w:t>
      </w:r>
      <w:proofErr w:type="spellEnd"/>
      <w:r w:rsidR="00F42AB7" w:rsidRPr="00F42AB7">
        <w:t xml:space="preserve"> 15068.</w:t>
      </w:r>
      <w:r w:rsidR="002164EB">
        <w:t xml:space="preserve"> Appeal </w:t>
      </w:r>
      <w:r w:rsidR="007938A1">
        <w:t>allowed.</w:t>
      </w:r>
    </w:p>
    <w:p w:rsidR="00467D45" w:rsidRDefault="006B5DBD" w:rsidP="00407180">
      <w:pPr>
        <w:pStyle w:val="SCCNormalDoubleSpacing"/>
        <w:spacing w:after="480"/>
      </w:pPr>
      <w:r>
        <w:rPr>
          <w:rStyle w:val="SCCCounselNameChar"/>
        </w:rPr>
        <w:tab/>
      </w:r>
      <w:proofErr w:type="gramStart"/>
      <w:r>
        <w:rPr>
          <w:rStyle w:val="SCCCounselNameChar"/>
        </w:rPr>
        <w:t>Robin Tremblay</w:t>
      </w:r>
      <w:r>
        <w:rPr>
          <w:rStyle w:val="SCCCounselSeparatorChar"/>
        </w:rPr>
        <w:t xml:space="preserve"> and </w:t>
      </w:r>
      <w:r>
        <w:rPr>
          <w:rStyle w:val="SCCCounselNameChar"/>
        </w:rPr>
        <w:t xml:space="preserve">Guy </w:t>
      </w:r>
      <w:proofErr w:type="spellStart"/>
      <w:r>
        <w:rPr>
          <w:rStyle w:val="SCCCounselNameChar"/>
        </w:rPr>
        <w:t>Loisel</w:t>
      </w:r>
      <w:proofErr w:type="spellEnd"/>
      <w:r>
        <w:rPr>
          <w:rStyle w:val="SCCCounselPartyRoleChar"/>
        </w:rPr>
        <w:t>, for the appellant.</w:t>
      </w:r>
      <w:proofErr w:type="gramEnd"/>
    </w:p>
    <w:p w:rsidR="00467D45" w:rsidRPr="00450838" w:rsidRDefault="006B5DBD" w:rsidP="00407180">
      <w:pPr>
        <w:pStyle w:val="SCCNormalDoubleSpacing"/>
        <w:spacing w:after="480"/>
        <w:rPr>
          <w:rStyle w:val="SCCCounselPartyRoleChar"/>
        </w:rPr>
      </w:pPr>
      <w:r>
        <w:rPr>
          <w:rStyle w:val="SCCCounselNameChar"/>
        </w:rPr>
        <w:tab/>
      </w:r>
      <w:proofErr w:type="gramStart"/>
      <w:r w:rsidRPr="00450838">
        <w:rPr>
          <w:rStyle w:val="SCCCounselNameChar"/>
        </w:rPr>
        <w:t xml:space="preserve">Jean-Claude </w:t>
      </w:r>
      <w:proofErr w:type="spellStart"/>
      <w:r w:rsidRPr="00450838">
        <w:rPr>
          <w:rStyle w:val="SCCCounselNameChar"/>
        </w:rPr>
        <w:t>Dufour</w:t>
      </w:r>
      <w:proofErr w:type="spellEnd"/>
      <w:r w:rsidRPr="00450838">
        <w:rPr>
          <w:rStyle w:val="SCCCounselSeparatorChar"/>
        </w:rPr>
        <w:t xml:space="preserve"> and </w:t>
      </w:r>
      <w:r w:rsidRPr="00450838">
        <w:rPr>
          <w:rStyle w:val="SCCCounselNameChar"/>
        </w:rPr>
        <w:t>Patrick Jacques</w:t>
      </w:r>
      <w:r w:rsidRPr="00450838">
        <w:rPr>
          <w:rStyle w:val="SCCCounselPartyRoleChar"/>
        </w:rPr>
        <w:t>, for the respondent.</w:t>
      </w:r>
      <w:proofErr w:type="gramEnd"/>
    </w:p>
    <w:p w:rsidR="00B36137" w:rsidRPr="00407180" w:rsidRDefault="00407180" w:rsidP="00407180">
      <w:pPr>
        <w:pStyle w:val="SCCNormalDoubleSpacing"/>
        <w:spacing w:after="480"/>
        <w:rPr>
          <w:rStyle w:val="SCCCounselPartyRoleChar"/>
        </w:rPr>
      </w:pPr>
      <w:r w:rsidRPr="00450838">
        <w:rPr>
          <w:rStyle w:val="SCCCounselPartyRoleChar"/>
        </w:rPr>
        <w:tab/>
      </w:r>
      <w:r w:rsidR="00D161E1">
        <w:rPr>
          <w:rStyle w:val="SCCCounselPartyRoleChar"/>
        </w:rPr>
        <w:t>English version of the judgment of the Court delivered orally by</w:t>
      </w:r>
    </w:p>
    <w:p w:rsidR="00EA7802" w:rsidRDefault="00B36137" w:rsidP="00EA7802">
      <w:pPr>
        <w:pStyle w:val="ListParagraph"/>
        <w:numPr>
          <w:ilvl w:val="0"/>
          <w:numId w:val="1"/>
        </w:numPr>
        <w:tabs>
          <w:tab w:val="left" w:pos="1134"/>
        </w:tabs>
        <w:spacing w:after="480" w:line="480" w:lineRule="auto"/>
        <w:ind w:left="0" w:firstLine="0"/>
        <w:contextualSpacing w:val="0"/>
        <w:jc w:val="both"/>
      </w:pPr>
      <w:r w:rsidRPr="00EA7802">
        <w:rPr>
          <w:smallCaps/>
        </w:rPr>
        <w:t>Wagner J.</w:t>
      </w:r>
      <w:r w:rsidRPr="00DF384B">
        <w:t xml:space="preserve"> — The Crown appeals from a judgment in which the Quebec Court of Appeal reversed the trial judge’s decision and acquitted the respondent of dangerous operation of his motor vehicle and of </w:t>
      </w:r>
      <w:r>
        <w:t xml:space="preserve">thereby </w:t>
      </w:r>
      <w:r w:rsidRPr="00DF384B">
        <w:t xml:space="preserve">causing bodily harm to </w:t>
      </w:r>
      <w:r w:rsidRPr="00DF384B">
        <w:lastRenderedPageBreak/>
        <w:t>Michel Bisson and the death of Michel Rostand, contrary to s. 249</w:t>
      </w:r>
      <w:r>
        <w:t xml:space="preserve"> of the</w:t>
      </w:r>
      <w:r w:rsidRPr="00DF384B">
        <w:t xml:space="preserve"> </w:t>
      </w:r>
      <w:r w:rsidRPr="00EA7802">
        <w:rPr>
          <w:i/>
        </w:rPr>
        <w:t>Criminal Code</w:t>
      </w:r>
      <w:r w:rsidR="00747F24" w:rsidRPr="00747F24">
        <w:t>, R.S.C. 1985, c. C-46</w:t>
      </w:r>
      <w:r>
        <w:t>.</w:t>
      </w:r>
    </w:p>
    <w:p w:rsidR="00B36137" w:rsidRDefault="00B36137" w:rsidP="00EA7802">
      <w:pPr>
        <w:pStyle w:val="ListParagraph"/>
        <w:numPr>
          <w:ilvl w:val="0"/>
          <w:numId w:val="1"/>
        </w:numPr>
        <w:tabs>
          <w:tab w:val="left" w:pos="1134"/>
        </w:tabs>
        <w:spacing w:after="480" w:line="480" w:lineRule="auto"/>
        <w:ind w:left="0" w:firstLine="0"/>
        <w:contextualSpacing w:val="0"/>
        <w:jc w:val="both"/>
      </w:pPr>
      <w:r w:rsidRPr="00DF384B">
        <w:t xml:space="preserve">It is common ground that passing on a double line does </w:t>
      </w:r>
      <w:proofErr w:type="gramStart"/>
      <w:r w:rsidRPr="00DF384B">
        <w:t>not on its own</w:t>
      </w:r>
      <w:proofErr w:type="gramEnd"/>
      <w:r w:rsidRPr="00DF384B">
        <w:t xml:space="preserve"> suffice to establish the respondent’s criminal liability.  All the circumstances of the case must be considered.</w:t>
      </w:r>
    </w:p>
    <w:p w:rsidR="00B36137" w:rsidRDefault="00B36137" w:rsidP="00EA7802">
      <w:pPr>
        <w:pStyle w:val="ListParagraph"/>
        <w:numPr>
          <w:ilvl w:val="0"/>
          <w:numId w:val="1"/>
        </w:numPr>
        <w:tabs>
          <w:tab w:val="left" w:pos="1134"/>
        </w:tabs>
        <w:spacing w:after="480" w:line="480" w:lineRule="auto"/>
        <w:ind w:left="0" w:firstLine="0"/>
        <w:contextualSpacing w:val="0"/>
        <w:jc w:val="both"/>
      </w:pPr>
      <w:r w:rsidRPr="00DF384B">
        <w:t>The trial judge made no fatal error in finding the respondent guilty.</w:t>
      </w:r>
    </w:p>
    <w:p w:rsidR="00B36137" w:rsidRDefault="00B36137" w:rsidP="00EA7802">
      <w:pPr>
        <w:pStyle w:val="ListParagraph"/>
        <w:numPr>
          <w:ilvl w:val="0"/>
          <w:numId w:val="1"/>
        </w:numPr>
        <w:tabs>
          <w:tab w:val="left" w:pos="1134"/>
        </w:tabs>
        <w:spacing w:after="480" w:line="480" w:lineRule="auto"/>
        <w:ind w:left="0" w:firstLine="0"/>
        <w:contextualSpacing w:val="0"/>
        <w:jc w:val="both"/>
      </w:pPr>
      <w:r w:rsidRPr="00DF384B">
        <w:t>She took the relevant factors and all the circumstances into account.</w:t>
      </w:r>
    </w:p>
    <w:p w:rsidR="00B36137" w:rsidRDefault="00B36137" w:rsidP="00EA7802">
      <w:pPr>
        <w:pStyle w:val="ListParagraph"/>
        <w:numPr>
          <w:ilvl w:val="0"/>
          <w:numId w:val="1"/>
        </w:numPr>
        <w:tabs>
          <w:tab w:val="left" w:pos="1134"/>
        </w:tabs>
        <w:spacing w:after="480" w:line="480" w:lineRule="auto"/>
        <w:ind w:left="0" w:firstLine="0"/>
        <w:contextualSpacing w:val="0"/>
        <w:jc w:val="both"/>
      </w:pPr>
      <w:r w:rsidRPr="00DF384B">
        <w:t>The Court of Appeal’s intervention was therefore not warranted.</w:t>
      </w:r>
    </w:p>
    <w:p w:rsidR="00110E5A" w:rsidRDefault="00B36137" w:rsidP="00407180">
      <w:pPr>
        <w:pStyle w:val="ListParagraph"/>
        <w:numPr>
          <w:ilvl w:val="0"/>
          <w:numId w:val="1"/>
        </w:numPr>
        <w:tabs>
          <w:tab w:val="left" w:pos="1134"/>
        </w:tabs>
        <w:spacing w:after="480" w:line="480" w:lineRule="auto"/>
        <w:ind w:left="0" w:firstLine="0"/>
        <w:contextualSpacing w:val="0"/>
        <w:jc w:val="both"/>
      </w:pPr>
      <w:r w:rsidRPr="00DF384B">
        <w:t xml:space="preserve">For these reasons, the appeal is allowed.  The judgment of the Quebec Court of Appeal dated September 8, 2011 is set aside, the judgment of the Court of Québec dated September 14, 2010 is restored, and the case is remanded to the Court of Québec in the judicial district of </w:t>
      </w:r>
      <w:proofErr w:type="spellStart"/>
      <w:r w:rsidRPr="00DF384B">
        <w:t>Baie-Comeau</w:t>
      </w:r>
      <w:proofErr w:type="spellEnd"/>
      <w:r w:rsidRPr="00DF384B">
        <w:t xml:space="preserve"> for sentencing</w:t>
      </w:r>
      <w:r>
        <w:t xml:space="preserve"> submissions</w:t>
      </w:r>
      <w:r w:rsidRPr="00DF384B">
        <w:t>.</w:t>
      </w:r>
    </w:p>
    <w:p w:rsidR="00EA7802" w:rsidRPr="00AC7D41" w:rsidRDefault="00110E5A" w:rsidP="00407180">
      <w:pPr>
        <w:pStyle w:val="SCCLawFirm"/>
        <w:spacing w:after="480"/>
        <w:rPr>
          <w:lang w:val="fr-CA"/>
        </w:rPr>
      </w:pPr>
      <w:r>
        <w:tab/>
      </w:r>
      <w:proofErr w:type="spellStart"/>
      <w:r w:rsidR="00D161E1" w:rsidRPr="00AC7D41">
        <w:rPr>
          <w:lang w:val="fr-CA"/>
        </w:rPr>
        <w:t>Judgment</w:t>
      </w:r>
      <w:proofErr w:type="spellEnd"/>
      <w:r w:rsidR="00D161E1" w:rsidRPr="00AC7D41">
        <w:rPr>
          <w:lang w:val="fr-CA"/>
        </w:rPr>
        <w:t xml:space="preserve"> </w:t>
      </w:r>
      <w:proofErr w:type="spellStart"/>
      <w:r w:rsidR="00D161E1" w:rsidRPr="00AC7D41">
        <w:rPr>
          <w:lang w:val="fr-CA"/>
        </w:rPr>
        <w:t>accordingly</w:t>
      </w:r>
      <w:proofErr w:type="spellEnd"/>
      <w:r w:rsidRPr="00AC7D41">
        <w:rPr>
          <w:lang w:val="fr-CA"/>
        </w:rPr>
        <w:t>.</w:t>
      </w:r>
    </w:p>
    <w:p w:rsidR="00467D45" w:rsidRPr="006B5DBD" w:rsidRDefault="006B5DBD" w:rsidP="00407180">
      <w:pPr>
        <w:pStyle w:val="SCCLawFirm"/>
        <w:spacing w:after="480"/>
        <w:rPr>
          <w:lang w:val="fr-CA"/>
        </w:rPr>
      </w:pPr>
      <w:r w:rsidRPr="00AC7D41">
        <w:rPr>
          <w:lang w:val="fr-CA"/>
        </w:rPr>
        <w:tab/>
      </w:r>
      <w:r w:rsidRPr="006B5DBD">
        <w:rPr>
          <w:lang w:val="fr-CA"/>
        </w:rPr>
        <w:t xml:space="preserve">Solicitor for the </w:t>
      </w:r>
      <w:proofErr w:type="spellStart"/>
      <w:r w:rsidRPr="006B5DBD">
        <w:rPr>
          <w:lang w:val="fr-CA"/>
        </w:rPr>
        <w:t>appellant</w:t>
      </w:r>
      <w:proofErr w:type="spellEnd"/>
      <w:proofErr w:type="gramStart"/>
      <w:r w:rsidRPr="006B5DBD">
        <w:rPr>
          <w:lang w:val="fr-CA"/>
        </w:rPr>
        <w:t>:  Poursuites</w:t>
      </w:r>
      <w:proofErr w:type="gramEnd"/>
      <w:r w:rsidRPr="006B5DBD">
        <w:rPr>
          <w:lang w:val="fr-CA"/>
        </w:rPr>
        <w:t xml:space="preserve"> criminelles et pénales du Québec, Baie-Comeau.</w:t>
      </w:r>
    </w:p>
    <w:p w:rsidR="00FB5770" w:rsidRPr="00FB5770" w:rsidRDefault="006B5DBD" w:rsidP="00AC7D41">
      <w:pPr>
        <w:pStyle w:val="SCCLawFirm"/>
        <w:rPr>
          <w:lang w:val="fr-CA"/>
        </w:rPr>
      </w:pPr>
      <w:r w:rsidRPr="006B5DBD">
        <w:rPr>
          <w:lang w:val="fr-CA"/>
        </w:rPr>
        <w:tab/>
      </w:r>
      <w:r w:rsidRPr="00450838">
        <w:t xml:space="preserve">Solicitor for the respondent:  Jean-Claude </w:t>
      </w:r>
      <w:proofErr w:type="spellStart"/>
      <w:r w:rsidRPr="00450838">
        <w:t>Dufour</w:t>
      </w:r>
      <w:proofErr w:type="spellEnd"/>
      <w:r w:rsidRPr="00450838">
        <w:t xml:space="preserve">, </w:t>
      </w:r>
      <w:proofErr w:type="spellStart"/>
      <w:r w:rsidRPr="00450838">
        <w:t>Baie-Comeau</w:t>
      </w:r>
      <w:proofErr w:type="spellEnd"/>
      <w:r w:rsidRPr="00450838">
        <w:t>.</w:t>
      </w:r>
      <w:r w:rsidRPr="00450838">
        <w:tab/>
      </w:r>
    </w:p>
    <w:sectPr w:rsidR="00FB5770" w:rsidRPr="00FB5770"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BD" w:rsidRDefault="002F07BD">
      <w:r>
        <w:separator/>
      </w:r>
    </w:p>
  </w:endnote>
  <w:endnote w:type="continuationSeparator" w:id="0">
    <w:p w:rsidR="002F07BD" w:rsidRDefault="002F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BD" w:rsidRDefault="002F07BD">
      <w:r>
        <w:separator/>
      </w:r>
    </w:p>
  </w:footnote>
  <w:footnote w:type="continuationSeparator" w:id="0">
    <w:p w:rsidR="002F07BD" w:rsidRDefault="002F0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BD" w:rsidRPr="00450352" w:rsidRDefault="002F07B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242D"/>
    <w:multiLevelType w:val="hybridMultilevel"/>
    <w:tmpl w:val="342A9930"/>
    <w:lvl w:ilvl="0" w:tplc="A27278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rsids>
    <w:rsidRoot w:val="0031414C"/>
    <w:rsid w:val="00000ED4"/>
    <w:rsid w:val="00025198"/>
    <w:rsid w:val="000331E5"/>
    <w:rsid w:val="000578A3"/>
    <w:rsid w:val="000648CC"/>
    <w:rsid w:val="00093A88"/>
    <w:rsid w:val="000C59B8"/>
    <w:rsid w:val="000C6AF0"/>
    <w:rsid w:val="000E4517"/>
    <w:rsid w:val="00104F33"/>
    <w:rsid w:val="00110E5A"/>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164EB"/>
    <w:rsid w:val="00220FC2"/>
    <w:rsid w:val="002222F4"/>
    <w:rsid w:val="00224FC0"/>
    <w:rsid w:val="00225EA4"/>
    <w:rsid w:val="00226EAF"/>
    <w:rsid w:val="00231F3A"/>
    <w:rsid w:val="00234199"/>
    <w:rsid w:val="002368F5"/>
    <w:rsid w:val="002406EE"/>
    <w:rsid w:val="00243EC8"/>
    <w:rsid w:val="00264C3F"/>
    <w:rsid w:val="00270D93"/>
    <w:rsid w:val="002745CC"/>
    <w:rsid w:val="002B7924"/>
    <w:rsid w:val="002D28C3"/>
    <w:rsid w:val="002D39A4"/>
    <w:rsid w:val="002E6705"/>
    <w:rsid w:val="002F07BD"/>
    <w:rsid w:val="00300372"/>
    <w:rsid w:val="00301D08"/>
    <w:rsid w:val="0030329A"/>
    <w:rsid w:val="00303AE1"/>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E3091"/>
    <w:rsid w:val="003F327B"/>
    <w:rsid w:val="003F35AF"/>
    <w:rsid w:val="00406166"/>
    <w:rsid w:val="0040704B"/>
    <w:rsid w:val="00407180"/>
    <w:rsid w:val="00410A55"/>
    <w:rsid w:val="00411300"/>
    <w:rsid w:val="00415417"/>
    <w:rsid w:val="00426659"/>
    <w:rsid w:val="00450352"/>
    <w:rsid w:val="00450838"/>
    <w:rsid w:val="00454BDB"/>
    <w:rsid w:val="00464800"/>
    <w:rsid w:val="00465132"/>
    <w:rsid w:val="00467D45"/>
    <w:rsid w:val="00480C90"/>
    <w:rsid w:val="0048396F"/>
    <w:rsid w:val="00493C18"/>
    <w:rsid w:val="004A600C"/>
    <w:rsid w:val="004A6118"/>
    <w:rsid w:val="004C478D"/>
    <w:rsid w:val="004E2C26"/>
    <w:rsid w:val="004F36FF"/>
    <w:rsid w:val="005125A8"/>
    <w:rsid w:val="00521226"/>
    <w:rsid w:val="00521AE8"/>
    <w:rsid w:val="00527180"/>
    <w:rsid w:val="0054201E"/>
    <w:rsid w:val="00555291"/>
    <w:rsid w:val="00566AD1"/>
    <w:rsid w:val="00583EDE"/>
    <w:rsid w:val="005957B1"/>
    <w:rsid w:val="005A6079"/>
    <w:rsid w:val="005E4698"/>
    <w:rsid w:val="00610539"/>
    <w:rsid w:val="00613969"/>
    <w:rsid w:val="00625C35"/>
    <w:rsid w:val="00656313"/>
    <w:rsid w:val="006565F4"/>
    <w:rsid w:val="00684EEA"/>
    <w:rsid w:val="0069689B"/>
    <w:rsid w:val="006A1551"/>
    <w:rsid w:val="006B5DBD"/>
    <w:rsid w:val="006B5FF5"/>
    <w:rsid w:val="006F30AF"/>
    <w:rsid w:val="00701759"/>
    <w:rsid w:val="00705C15"/>
    <w:rsid w:val="00715559"/>
    <w:rsid w:val="0071600E"/>
    <w:rsid w:val="007208D1"/>
    <w:rsid w:val="00747288"/>
    <w:rsid w:val="00747DD3"/>
    <w:rsid w:val="00747F24"/>
    <w:rsid w:val="007549C8"/>
    <w:rsid w:val="00754A0B"/>
    <w:rsid w:val="00766D14"/>
    <w:rsid w:val="00767A0F"/>
    <w:rsid w:val="007938A1"/>
    <w:rsid w:val="007A05F6"/>
    <w:rsid w:val="007B27BD"/>
    <w:rsid w:val="007B4312"/>
    <w:rsid w:val="007B6F4A"/>
    <w:rsid w:val="007E1C47"/>
    <w:rsid w:val="007E337A"/>
    <w:rsid w:val="007E5C70"/>
    <w:rsid w:val="007F2FF5"/>
    <w:rsid w:val="007F3F08"/>
    <w:rsid w:val="00804CC6"/>
    <w:rsid w:val="00817190"/>
    <w:rsid w:val="00820EE5"/>
    <w:rsid w:val="008260E2"/>
    <w:rsid w:val="00827745"/>
    <w:rsid w:val="008322BD"/>
    <w:rsid w:val="00833E0A"/>
    <w:rsid w:val="00834F73"/>
    <w:rsid w:val="00864CF8"/>
    <w:rsid w:val="00872819"/>
    <w:rsid w:val="00874914"/>
    <w:rsid w:val="00891422"/>
    <w:rsid w:val="00892E1A"/>
    <w:rsid w:val="008A3F29"/>
    <w:rsid w:val="008B660A"/>
    <w:rsid w:val="008C01DA"/>
    <w:rsid w:val="008D5EA4"/>
    <w:rsid w:val="008F78E9"/>
    <w:rsid w:val="00911989"/>
    <w:rsid w:val="009179F9"/>
    <w:rsid w:val="00933E5E"/>
    <w:rsid w:val="00935218"/>
    <w:rsid w:val="009403F3"/>
    <w:rsid w:val="009555B7"/>
    <w:rsid w:val="009567AA"/>
    <w:rsid w:val="00967374"/>
    <w:rsid w:val="009A343A"/>
    <w:rsid w:val="009B2F23"/>
    <w:rsid w:val="009B57B3"/>
    <w:rsid w:val="009C5B92"/>
    <w:rsid w:val="009D05AF"/>
    <w:rsid w:val="009D2920"/>
    <w:rsid w:val="009D5AEB"/>
    <w:rsid w:val="009F0E33"/>
    <w:rsid w:val="00A030CE"/>
    <w:rsid w:val="00A149DF"/>
    <w:rsid w:val="00A1755C"/>
    <w:rsid w:val="00A21B90"/>
    <w:rsid w:val="00A36307"/>
    <w:rsid w:val="00A41805"/>
    <w:rsid w:val="00A42DCD"/>
    <w:rsid w:val="00A52AFB"/>
    <w:rsid w:val="00A548CB"/>
    <w:rsid w:val="00A5521C"/>
    <w:rsid w:val="00A643E7"/>
    <w:rsid w:val="00A73C38"/>
    <w:rsid w:val="00AB670D"/>
    <w:rsid w:val="00AB6CB9"/>
    <w:rsid w:val="00AC7D41"/>
    <w:rsid w:val="00AF03C5"/>
    <w:rsid w:val="00B000D8"/>
    <w:rsid w:val="00B00F75"/>
    <w:rsid w:val="00B145B6"/>
    <w:rsid w:val="00B279EB"/>
    <w:rsid w:val="00B36137"/>
    <w:rsid w:val="00B50C81"/>
    <w:rsid w:val="00B557F8"/>
    <w:rsid w:val="00B71A24"/>
    <w:rsid w:val="00B815FC"/>
    <w:rsid w:val="00B93FBC"/>
    <w:rsid w:val="00BA43C3"/>
    <w:rsid w:val="00BA7DA0"/>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B686C"/>
    <w:rsid w:val="00CC34BD"/>
    <w:rsid w:val="00CE161A"/>
    <w:rsid w:val="00CE3171"/>
    <w:rsid w:val="00CF1601"/>
    <w:rsid w:val="00D0172F"/>
    <w:rsid w:val="00D068A7"/>
    <w:rsid w:val="00D161E1"/>
    <w:rsid w:val="00D17476"/>
    <w:rsid w:val="00D32086"/>
    <w:rsid w:val="00D37A3F"/>
    <w:rsid w:val="00D4431D"/>
    <w:rsid w:val="00D4667A"/>
    <w:rsid w:val="00D63A1C"/>
    <w:rsid w:val="00D7516F"/>
    <w:rsid w:val="00D8579F"/>
    <w:rsid w:val="00D95F8E"/>
    <w:rsid w:val="00DA0590"/>
    <w:rsid w:val="00DB7BEA"/>
    <w:rsid w:val="00DC1739"/>
    <w:rsid w:val="00DC1788"/>
    <w:rsid w:val="00DE319C"/>
    <w:rsid w:val="00DE61DD"/>
    <w:rsid w:val="00DF0CA8"/>
    <w:rsid w:val="00DF2B48"/>
    <w:rsid w:val="00DF49A7"/>
    <w:rsid w:val="00DF56CC"/>
    <w:rsid w:val="00E07EE2"/>
    <w:rsid w:val="00E07FD1"/>
    <w:rsid w:val="00E20F71"/>
    <w:rsid w:val="00E24573"/>
    <w:rsid w:val="00E25E1E"/>
    <w:rsid w:val="00E27EE7"/>
    <w:rsid w:val="00E35404"/>
    <w:rsid w:val="00E45109"/>
    <w:rsid w:val="00E47B7A"/>
    <w:rsid w:val="00E56A44"/>
    <w:rsid w:val="00E60269"/>
    <w:rsid w:val="00E77932"/>
    <w:rsid w:val="00E97830"/>
    <w:rsid w:val="00EA7802"/>
    <w:rsid w:val="00EE643C"/>
    <w:rsid w:val="00EF0683"/>
    <w:rsid w:val="00EF69D2"/>
    <w:rsid w:val="00EF766E"/>
    <w:rsid w:val="00F0070C"/>
    <w:rsid w:val="00F00EB7"/>
    <w:rsid w:val="00F36AB6"/>
    <w:rsid w:val="00F37A09"/>
    <w:rsid w:val="00F409CE"/>
    <w:rsid w:val="00F42AB7"/>
    <w:rsid w:val="00F4379D"/>
    <w:rsid w:val="00F4656A"/>
    <w:rsid w:val="00F50D2D"/>
    <w:rsid w:val="00F56C8B"/>
    <w:rsid w:val="00F61DD2"/>
    <w:rsid w:val="00F66810"/>
    <w:rsid w:val="00F846D9"/>
    <w:rsid w:val="00F84DF4"/>
    <w:rsid w:val="00F85C97"/>
    <w:rsid w:val="00FB37D2"/>
    <w:rsid w:val="00FB5770"/>
    <w:rsid w:val="00FC4EFB"/>
    <w:rsid w:val="00FD068D"/>
    <w:rsid w:val="00FD4F28"/>
    <w:rsid w:val="00FE6784"/>
    <w:rsid w:val="00FE7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ListParagraph">
    <w:name w:val="List Paragraph"/>
    <w:basedOn w:val="Normal"/>
    <w:uiPriority w:val="34"/>
    <w:qFormat/>
    <w:rsid w:val="00EA7802"/>
    <w:pPr>
      <w:ind w:left="720"/>
      <w:contextualSpacing/>
    </w:pPr>
  </w:style>
  <w:style w:type="table" w:styleId="TableGrid">
    <w:name w:val="Table Grid"/>
    <w:basedOn w:val="TableNormal"/>
    <w:uiPriority w:val="59"/>
    <w:rsid w:val="00AC7D4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2014-01-16T21:54:00Z</dcterms:created>
  <dcterms:modified xsi:type="dcterms:W3CDTF">2014-01-16T21:54:00Z</dcterms:modified>
</cp:coreProperties>
</file>