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E0" w:rsidRPr="00B10DEF" w:rsidRDefault="009501E0" w:rsidP="009501E0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eastAsia="en-US"/>
        </w:rPr>
      </w:pPr>
      <w:r w:rsidRPr="00B10DEF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7" o:title=""/>
          </v:shape>
          <o:OLEObject Type="Embed" ProgID="Presentations.Drawing.13" ShapeID="_x0000_i1025" DrawAspect="Content" ObjectID="_1456830810" r:id="rId8"/>
        </w:object>
      </w:r>
    </w:p>
    <w:p w:rsidR="009501E0" w:rsidRPr="00B10DEF" w:rsidRDefault="009501E0" w:rsidP="009501E0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9501E0" w:rsidRPr="00B10DEF" w:rsidRDefault="009501E0" w:rsidP="009501E0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B10DEF">
        <w:rPr>
          <w:rFonts w:eastAsiaTheme="minorHAnsi" w:cstheme="minorBidi"/>
          <w:b/>
          <w:szCs w:val="24"/>
          <w:lang w:eastAsia="en-US"/>
        </w:rPr>
        <w:t>SUPREME COURT OF CANADA</w:t>
      </w:r>
    </w:p>
    <w:p w:rsidR="009501E0" w:rsidRPr="00B10DEF" w:rsidRDefault="009501E0" w:rsidP="009501E0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9501E0" w:rsidRPr="00B10DEF" w:rsidTr="003176FF">
        <w:trPr>
          <w:cantSplit/>
        </w:trPr>
        <w:tc>
          <w:tcPr>
            <w:tcW w:w="6768" w:type="dxa"/>
          </w:tcPr>
          <w:p w:rsidR="009501E0" w:rsidRPr="006C6C47" w:rsidRDefault="009501E0" w:rsidP="003176FF">
            <w:pPr>
              <w:rPr>
                <w:lang w:val="fr-FR"/>
              </w:rPr>
            </w:pPr>
            <w:r w:rsidRPr="00B10DEF">
              <w:rPr>
                <w:b/>
                <w:smallCaps/>
                <w:lang w:val="fr-CA"/>
              </w:rPr>
              <w:t>Citation</w:t>
            </w:r>
            <w:proofErr w:type="gramStart"/>
            <w:r w:rsidRPr="00B10DEF">
              <w:rPr>
                <w:b/>
                <w:smallCaps/>
                <w:lang w:val="fr-CA"/>
              </w:rPr>
              <w:t>:</w:t>
            </w:r>
            <w:r w:rsidRPr="00B10DEF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 w:rsidRPr="00725869">
              <w:rPr>
                <w:lang w:val="fr-CA"/>
              </w:rPr>
              <w:t>R</w:t>
            </w:r>
            <w:proofErr w:type="gramEnd"/>
            <w:r w:rsidRPr="00725869">
              <w:rPr>
                <w:lang w:val="fr-CA"/>
              </w:rPr>
              <w:t xml:space="preserve">. </w:t>
            </w:r>
            <w:r w:rsidRPr="00725869">
              <w:rPr>
                <w:i/>
                <w:lang w:val="fr-CA"/>
              </w:rPr>
              <w:t>v.</w:t>
            </w:r>
            <w:r w:rsidRPr="00725869">
              <w:rPr>
                <w:lang w:val="fr-CA"/>
              </w:rPr>
              <w:t xml:space="preserve"> Lévesque, 2013 SCC 20, [2013] 2 S.C.R. 176</w:t>
            </w:r>
          </w:p>
          <w:p w:rsidR="009501E0" w:rsidRPr="00B10DEF" w:rsidRDefault="009501E0" w:rsidP="003176FF">
            <w:pPr>
              <w:rPr>
                <w:lang w:val="fr-CA"/>
              </w:rPr>
            </w:pPr>
          </w:p>
        </w:tc>
        <w:tc>
          <w:tcPr>
            <w:tcW w:w="2808" w:type="dxa"/>
          </w:tcPr>
          <w:p w:rsidR="009501E0" w:rsidRDefault="009501E0" w:rsidP="003176FF">
            <w:r w:rsidRPr="00B10DEF">
              <w:rPr>
                <w:b/>
                <w:smallCaps/>
              </w:rPr>
              <w:t>Date:</w:t>
            </w:r>
            <w:r>
              <w:t xml:space="preserve"> 20130416</w:t>
            </w:r>
          </w:p>
          <w:p w:rsidR="009501E0" w:rsidRPr="00B10DEF" w:rsidRDefault="009501E0" w:rsidP="003176FF">
            <w:r w:rsidRPr="00B10DEF">
              <w:rPr>
                <w:b/>
                <w:smallCaps/>
              </w:rPr>
              <w:t>Docket:</w:t>
            </w:r>
            <w:r w:rsidRPr="00B10DEF">
              <w:t xml:space="preserve"> 3</w:t>
            </w:r>
            <w:r>
              <w:t>4417</w:t>
            </w:r>
          </w:p>
        </w:tc>
      </w:tr>
    </w:tbl>
    <w:p w:rsidR="009501E0" w:rsidRPr="00B10DEF" w:rsidRDefault="009501E0" w:rsidP="009501E0">
      <w:pPr>
        <w:rPr>
          <w:rFonts w:eastAsiaTheme="minorHAnsi" w:cstheme="minorBidi"/>
          <w:szCs w:val="24"/>
          <w:lang w:eastAsia="en-US"/>
        </w:rPr>
      </w:pPr>
    </w:p>
    <w:p w:rsidR="009501E0" w:rsidRPr="00B10DEF" w:rsidRDefault="009501E0" w:rsidP="009501E0">
      <w:pPr>
        <w:rPr>
          <w:rFonts w:eastAsiaTheme="minorHAnsi" w:cstheme="minorBidi"/>
          <w:b/>
          <w:smallCaps/>
          <w:szCs w:val="24"/>
          <w:lang w:eastAsia="en-US"/>
        </w:rPr>
      </w:pPr>
      <w:r w:rsidRPr="00B10DEF">
        <w:rPr>
          <w:rFonts w:eastAsiaTheme="minorHAnsi" w:cstheme="minorBidi"/>
          <w:b/>
          <w:smallCaps/>
          <w:szCs w:val="24"/>
          <w:lang w:eastAsia="en-US"/>
        </w:rPr>
        <w:t>Between:</w:t>
      </w:r>
    </w:p>
    <w:p w:rsidR="009501E0" w:rsidRPr="00B10DEF" w:rsidRDefault="009501E0" w:rsidP="009501E0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9501E0">
        <w:rPr>
          <w:rFonts w:eastAsiaTheme="minorHAnsi" w:cstheme="minorBidi"/>
          <w:b/>
          <w:szCs w:val="24"/>
          <w:lang w:val="en-US" w:eastAsia="en-US"/>
        </w:rPr>
        <w:t>Pierre Lévesque</w:t>
      </w:r>
    </w:p>
    <w:p w:rsidR="009501E0" w:rsidRPr="009501E0" w:rsidRDefault="009501E0" w:rsidP="009501E0">
      <w:pPr>
        <w:jc w:val="center"/>
        <w:rPr>
          <w:rFonts w:eastAsiaTheme="minorHAnsi" w:cstheme="minorBidi"/>
          <w:szCs w:val="24"/>
          <w:lang w:val="en-US" w:eastAsia="en-US"/>
        </w:rPr>
      </w:pPr>
      <w:r w:rsidRPr="009501E0">
        <w:rPr>
          <w:rFonts w:eastAsiaTheme="minorHAnsi" w:cstheme="minorBidi"/>
          <w:szCs w:val="24"/>
          <w:lang w:val="en-US" w:eastAsia="en-US"/>
        </w:rPr>
        <w:t>Appellant</w:t>
      </w:r>
    </w:p>
    <w:p w:rsidR="009501E0" w:rsidRPr="009501E0" w:rsidRDefault="009501E0" w:rsidP="009501E0">
      <w:pPr>
        <w:jc w:val="center"/>
        <w:rPr>
          <w:rFonts w:eastAsiaTheme="minorHAnsi" w:cstheme="minorBidi"/>
          <w:szCs w:val="24"/>
          <w:lang w:val="en-US" w:eastAsia="en-US"/>
        </w:rPr>
      </w:pPr>
      <w:r w:rsidRPr="009501E0">
        <w:rPr>
          <w:rFonts w:eastAsiaTheme="minorHAnsi" w:cstheme="minorBidi"/>
          <w:szCs w:val="24"/>
          <w:lang w:val="en-US" w:eastAsia="en-US"/>
        </w:rPr>
        <w:t>and</w:t>
      </w:r>
    </w:p>
    <w:p w:rsidR="009501E0" w:rsidRPr="009501E0" w:rsidRDefault="009501E0" w:rsidP="009501E0">
      <w:pPr>
        <w:jc w:val="center"/>
        <w:rPr>
          <w:rFonts w:eastAsiaTheme="minorHAnsi" w:cstheme="minorBidi"/>
          <w:b/>
          <w:szCs w:val="24"/>
          <w:lang w:val="en-US" w:eastAsia="en-US"/>
        </w:rPr>
      </w:pPr>
      <w:r w:rsidRPr="009501E0">
        <w:rPr>
          <w:rFonts w:eastAsiaTheme="minorHAnsi" w:cstheme="minorBidi"/>
          <w:b/>
          <w:szCs w:val="24"/>
          <w:lang w:val="en-US" w:eastAsia="en-US"/>
        </w:rPr>
        <w:t>Her Majesty The Queen</w:t>
      </w:r>
    </w:p>
    <w:p w:rsidR="009501E0" w:rsidRPr="009501E0" w:rsidRDefault="009501E0" w:rsidP="009501E0">
      <w:pPr>
        <w:jc w:val="center"/>
        <w:rPr>
          <w:rFonts w:eastAsiaTheme="minorHAnsi" w:cstheme="minorBidi"/>
          <w:szCs w:val="24"/>
          <w:lang w:val="en-US" w:eastAsia="en-US"/>
        </w:rPr>
      </w:pPr>
      <w:r w:rsidRPr="009501E0">
        <w:rPr>
          <w:rFonts w:eastAsiaTheme="minorHAnsi" w:cstheme="minorBidi"/>
          <w:szCs w:val="24"/>
          <w:lang w:val="en-US" w:eastAsia="en-US"/>
        </w:rPr>
        <w:t>Respondent</w:t>
      </w:r>
    </w:p>
    <w:p w:rsidR="009501E0" w:rsidRDefault="009501E0" w:rsidP="009501E0">
      <w:pPr>
        <w:rPr>
          <w:rFonts w:eastAsiaTheme="minorHAnsi" w:cstheme="minorBidi"/>
          <w:szCs w:val="24"/>
          <w:lang w:eastAsia="en-US"/>
        </w:rPr>
      </w:pPr>
    </w:p>
    <w:p w:rsidR="009501E0" w:rsidRDefault="009501E0" w:rsidP="009501E0">
      <w:pPr>
        <w:rPr>
          <w:rFonts w:eastAsiaTheme="minorHAnsi" w:cstheme="minorBidi"/>
          <w:szCs w:val="24"/>
          <w:lang w:eastAsia="en-US"/>
        </w:rPr>
      </w:pPr>
    </w:p>
    <w:p w:rsidR="009501E0" w:rsidRDefault="009501E0" w:rsidP="009501E0">
      <w:pPr>
        <w:jc w:val="center"/>
        <w:rPr>
          <w:rFonts w:eastAsiaTheme="minorHAnsi" w:cstheme="minorBidi"/>
          <w:szCs w:val="24"/>
          <w:lang w:eastAsia="en-US"/>
        </w:rPr>
      </w:pPr>
      <w:r w:rsidRPr="00A82C08">
        <w:rPr>
          <w:b/>
          <w:smallCaps/>
        </w:rPr>
        <w:t>Official English Translation</w:t>
      </w:r>
    </w:p>
    <w:p w:rsidR="009501E0" w:rsidRPr="00B10DEF" w:rsidRDefault="009501E0" w:rsidP="009501E0">
      <w:pPr>
        <w:rPr>
          <w:rFonts w:eastAsiaTheme="minorHAnsi" w:cstheme="minorBidi"/>
          <w:szCs w:val="24"/>
          <w:lang w:eastAsia="en-US"/>
        </w:rPr>
      </w:pPr>
    </w:p>
    <w:p w:rsidR="009501E0" w:rsidRPr="00B10DEF" w:rsidRDefault="009501E0" w:rsidP="009501E0">
      <w:pPr>
        <w:rPr>
          <w:rFonts w:eastAsiaTheme="minorHAnsi" w:cstheme="minorBidi"/>
          <w:szCs w:val="24"/>
          <w:lang w:eastAsia="en-US"/>
        </w:rPr>
      </w:pPr>
      <w:r w:rsidRPr="00B10DEF">
        <w:rPr>
          <w:rFonts w:eastAsiaTheme="minorHAnsi" w:cstheme="minorBidi"/>
          <w:b/>
          <w:smallCaps/>
          <w:szCs w:val="24"/>
          <w:lang w:eastAsia="en-US"/>
        </w:rPr>
        <w:t>Coram:</w:t>
      </w:r>
      <w:r w:rsidRPr="00B10DEF">
        <w:rPr>
          <w:rFonts w:eastAsiaTheme="minorHAnsi" w:cstheme="minorBidi"/>
          <w:szCs w:val="24"/>
          <w:lang w:eastAsia="en-US"/>
        </w:rPr>
        <w:t xml:space="preserve"> </w:t>
      </w:r>
      <w:proofErr w:type="spellStart"/>
      <w:r>
        <w:t>LeBel</w:t>
      </w:r>
      <w:proofErr w:type="spellEnd"/>
      <w:r>
        <w:t xml:space="preserve">, Fish, </w:t>
      </w:r>
      <w:proofErr w:type="spellStart"/>
      <w:r>
        <w:t>Abella</w:t>
      </w:r>
      <w:proofErr w:type="spellEnd"/>
      <w:r>
        <w:t xml:space="preserve">, Rothstein, Cromwell, </w:t>
      </w:r>
      <w:proofErr w:type="spellStart"/>
      <w:r>
        <w:t>Moldaver</w:t>
      </w:r>
      <w:proofErr w:type="spellEnd"/>
      <w:r>
        <w:t xml:space="preserve"> and </w:t>
      </w:r>
      <w:proofErr w:type="spellStart"/>
      <w:r>
        <w:t>Karakatsanis</w:t>
      </w:r>
      <w:proofErr w:type="spellEnd"/>
      <w:r>
        <w:t xml:space="preserve"> JJ.</w:t>
      </w:r>
    </w:p>
    <w:p w:rsidR="009501E0" w:rsidRPr="00B10DEF" w:rsidRDefault="009501E0" w:rsidP="009501E0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9501E0" w:rsidRPr="00B10DEF" w:rsidTr="003176FF">
        <w:trPr>
          <w:cantSplit/>
        </w:trPr>
        <w:tc>
          <w:tcPr>
            <w:tcW w:w="3618" w:type="dxa"/>
          </w:tcPr>
          <w:p w:rsidR="009501E0" w:rsidRPr="00B10DEF" w:rsidRDefault="009501E0" w:rsidP="003176FF">
            <w:pPr>
              <w:rPr>
                <w:b/>
                <w:smallCaps/>
              </w:rPr>
            </w:pPr>
            <w:r w:rsidRPr="00B10DEF">
              <w:rPr>
                <w:b/>
                <w:smallCaps/>
              </w:rPr>
              <w:t>Reasons for Judgment:</w:t>
            </w:r>
          </w:p>
          <w:p w:rsidR="009501E0" w:rsidRPr="0022613A" w:rsidRDefault="009501E0" w:rsidP="003176FF">
            <w:r>
              <w:t>(</w:t>
            </w:r>
            <w:proofErr w:type="spellStart"/>
            <w:r>
              <w:t>para</w:t>
            </w:r>
            <w:proofErr w:type="spellEnd"/>
            <w:r>
              <w:t>. 1</w:t>
            </w:r>
            <w:r w:rsidRPr="00B10DEF">
              <w:t>)</w:t>
            </w:r>
          </w:p>
          <w:p w:rsidR="009501E0" w:rsidRPr="00B10DEF" w:rsidRDefault="009501E0" w:rsidP="003176FF"/>
        </w:tc>
        <w:tc>
          <w:tcPr>
            <w:tcW w:w="5958" w:type="dxa"/>
          </w:tcPr>
          <w:p w:rsidR="009501E0" w:rsidRPr="00B10DEF" w:rsidRDefault="009501E0" w:rsidP="003176FF">
            <w:proofErr w:type="spellStart"/>
            <w:r>
              <w:t>LeBel</w:t>
            </w:r>
            <w:proofErr w:type="spellEnd"/>
            <w:r w:rsidRPr="00B10DEF">
              <w:t xml:space="preserve"> J. (</w:t>
            </w:r>
            <w:r>
              <w:t xml:space="preserve">Fish, </w:t>
            </w:r>
            <w:proofErr w:type="spellStart"/>
            <w:r>
              <w:t>Abella</w:t>
            </w:r>
            <w:proofErr w:type="spellEnd"/>
            <w:r>
              <w:t xml:space="preserve">, Rothstein, Cromwell, </w:t>
            </w:r>
            <w:proofErr w:type="spellStart"/>
            <w:r>
              <w:t>Moldaver</w:t>
            </w:r>
            <w:proofErr w:type="spellEnd"/>
            <w:r>
              <w:t xml:space="preserve"> and </w:t>
            </w:r>
            <w:proofErr w:type="spellStart"/>
            <w:r>
              <w:t>Karakatsanis</w:t>
            </w:r>
            <w:proofErr w:type="spellEnd"/>
            <w:r>
              <w:t> </w:t>
            </w:r>
            <w:r w:rsidRPr="006C6C47">
              <w:t>JJ</w:t>
            </w:r>
            <w:r w:rsidRPr="00B10DEF">
              <w:t>. concurring)</w:t>
            </w:r>
          </w:p>
          <w:p w:rsidR="009501E0" w:rsidRPr="00B10DEF" w:rsidRDefault="009501E0" w:rsidP="003176FF"/>
        </w:tc>
      </w:tr>
    </w:tbl>
    <w:p w:rsidR="009501E0" w:rsidRPr="00B10DEF" w:rsidRDefault="009501E0" w:rsidP="009501E0">
      <w:pPr>
        <w:rPr>
          <w:rFonts w:eastAsiaTheme="minorHAnsi" w:cstheme="minorBidi"/>
          <w:szCs w:val="24"/>
          <w:lang w:eastAsia="en-US"/>
        </w:rPr>
      </w:pPr>
      <w:r w:rsidRPr="00AD0185"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;mso-position-horizontal-relative:text;mso-position-vertical-relative:text" o:connectortype="straight"/>
        </w:pict>
      </w:r>
    </w:p>
    <w:p w:rsidR="009501E0" w:rsidRDefault="009501E0" w:rsidP="009501E0">
      <w:pPr>
        <w:rPr>
          <w:smallCaps/>
        </w:rPr>
      </w:pPr>
    </w:p>
    <w:p w:rsidR="009501E0" w:rsidRDefault="009501E0" w:rsidP="009501E0"/>
    <w:p w:rsidR="009501E0" w:rsidRPr="009501E0" w:rsidRDefault="009501E0">
      <w:pPr>
        <w:rPr>
          <w:rStyle w:val="SCCRespondentForRunningHeadChar"/>
          <w:smallCaps w:val="0"/>
          <w:lang w:val="en-US"/>
        </w:rPr>
      </w:pPr>
      <w:r w:rsidRPr="009501E0">
        <w:rPr>
          <w:rStyle w:val="SCCRespondentForRunningHeadChar"/>
          <w:smallCaps w:val="0"/>
          <w:lang w:val="en-US"/>
        </w:rPr>
        <w:br w:type="page"/>
      </w:r>
    </w:p>
    <w:p w:rsidR="005D0DF3" w:rsidRPr="00FF4E33" w:rsidRDefault="00FF4E33" w:rsidP="00FF4E33">
      <w:pPr>
        <w:spacing w:after="720"/>
        <w:jc w:val="both"/>
        <w:rPr>
          <w:rStyle w:val="SCCRespondentForRunningHeadChar"/>
          <w:smallCaps w:val="0"/>
          <w:lang w:val="fr-CA"/>
        </w:rPr>
      </w:pPr>
      <w:r w:rsidRPr="00FF4E33">
        <w:rPr>
          <w:rStyle w:val="SCCRespondentForRunningHeadChar"/>
          <w:smallCaps w:val="0"/>
          <w:lang w:val="fr-CA"/>
        </w:rPr>
        <w:lastRenderedPageBreak/>
        <w:t xml:space="preserve">R. </w:t>
      </w:r>
      <w:r w:rsidRPr="00FF4E33">
        <w:rPr>
          <w:rStyle w:val="SCCRespondentForRunningHeadChar"/>
          <w:i/>
          <w:smallCaps w:val="0"/>
          <w:lang w:val="fr-CA"/>
        </w:rPr>
        <w:t>v.</w:t>
      </w:r>
      <w:r w:rsidRPr="00FF4E33">
        <w:rPr>
          <w:rStyle w:val="SCCRespondentForRunningHeadChar"/>
          <w:smallCaps w:val="0"/>
          <w:lang w:val="fr-CA"/>
        </w:rPr>
        <w:t xml:space="preserve"> Lévesque</w:t>
      </w:r>
      <w:r>
        <w:rPr>
          <w:rStyle w:val="SCCRespondentForRunningHeadChar"/>
          <w:smallCaps w:val="0"/>
          <w:lang w:val="fr-CA"/>
        </w:rPr>
        <w:t>, 2013 SCC 20, [2013] 2 S.C.R. 176</w:t>
      </w:r>
    </w:p>
    <w:p w:rsidR="005D0DF3" w:rsidRPr="00813DF8" w:rsidRDefault="005D0DF3" w:rsidP="00FF4E33">
      <w:pPr>
        <w:pStyle w:val="SCCLsocParty"/>
        <w:tabs>
          <w:tab w:val="right" w:pos="8280"/>
        </w:tabs>
        <w:spacing w:after="480" w:line="480" w:lineRule="auto"/>
        <w:rPr>
          <w:lang w:val="fr-CA"/>
        </w:rPr>
      </w:pPr>
      <w:r>
        <w:rPr>
          <w:lang w:val="fr-CA"/>
        </w:rPr>
        <w:t>P</w:t>
      </w:r>
      <w:r w:rsidR="00B233A6">
        <w:rPr>
          <w:lang w:val="fr-CA"/>
        </w:rPr>
        <w:t>ierre Lévesque</w:t>
      </w:r>
      <w:r w:rsidRPr="00813DF8">
        <w:rPr>
          <w:lang w:val="fr-CA"/>
        </w:rPr>
        <w:tab/>
      </w:r>
      <w:proofErr w:type="spellStart"/>
      <w:r w:rsidRPr="00813DF8">
        <w:rPr>
          <w:b w:val="0"/>
          <w:i/>
          <w:lang w:val="fr-CA"/>
        </w:rPr>
        <w:t>Appellant</w:t>
      </w:r>
      <w:proofErr w:type="spellEnd"/>
    </w:p>
    <w:p w:rsidR="005D0DF3" w:rsidRPr="009501E0" w:rsidRDefault="005D0DF3" w:rsidP="005D0DF3">
      <w:pPr>
        <w:pStyle w:val="SCCLsocVersus"/>
        <w:spacing w:after="480" w:line="480" w:lineRule="auto"/>
        <w:rPr>
          <w:lang w:val="fr-CA"/>
        </w:rPr>
      </w:pPr>
      <w:r w:rsidRPr="009501E0">
        <w:rPr>
          <w:lang w:val="fr-CA"/>
        </w:rPr>
        <w:t>v.</w:t>
      </w:r>
    </w:p>
    <w:p w:rsidR="005D0DF3" w:rsidRPr="009501E0" w:rsidRDefault="005D0DF3" w:rsidP="00FF4E33">
      <w:pPr>
        <w:pStyle w:val="SCCLsocParty"/>
        <w:tabs>
          <w:tab w:val="right" w:pos="8280"/>
        </w:tabs>
        <w:spacing w:after="480" w:line="480" w:lineRule="auto"/>
        <w:rPr>
          <w:lang w:val="fr-CA"/>
        </w:rPr>
      </w:pPr>
      <w:proofErr w:type="spellStart"/>
      <w:r w:rsidRPr="009501E0">
        <w:rPr>
          <w:lang w:val="fr-CA"/>
        </w:rPr>
        <w:t>Her</w:t>
      </w:r>
      <w:proofErr w:type="spellEnd"/>
      <w:r w:rsidRPr="009501E0">
        <w:rPr>
          <w:lang w:val="fr-CA"/>
        </w:rPr>
        <w:t xml:space="preserve"> </w:t>
      </w:r>
      <w:proofErr w:type="spellStart"/>
      <w:r w:rsidRPr="009501E0">
        <w:rPr>
          <w:lang w:val="fr-CA"/>
        </w:rPr>
        <w:t>Majesty</w:t>
      </w:r>
      <w:proofErr w:type="spellEnd"/>
      <w:r w:rsidRPr="009501E0">
        <w:rPr>
          <w:lang w:val="fr-CA"/>
        </w:rPr>
        <w:t xml:space="preserve"> The </w:t>
      </w:r>
      <w:proofErr w:type="spellStart"/>
      <w:r w:rsidRPr="009501E0">
        <w:rPr>
          <w:lang w:val="fr-CA"/>
        </w:rPr>
        <w:t>Queen</w:t>
      </w:r>
      <w:proofErr w:type="spellEnd"/>
      <w:r w:rsidRPr="009501E0">
        <w:rPr>
          <w:lang w:val="fr-CA"/>
        </w:rPr>
        <w:tab/>
      </w:r>
      <w:proofErr w:type="spellStart"/>
      <w:r w:rsidRPr="009501E0">
        <w:rPr>
          <w:b w:val="0"/>
          <w:i/>
          <w:lang w:val="fr-CA"/>
        </w:rPr>
        <w:t>Respondent</w:t>
      </w:r>
      <w:proofErr w:type="spellEnd"/>
    </w:p>
    <w:p w:rsidR="005D0DF3" w:rsidRDefault="005D0DF3" w:rsidP="005D0DF3">
      <w:pPr>
        <w:spacing w:line="480" w:lineRule="auto"/>
        <w:jc w:val="both"/>
        <w:rPr>
          <w:b/>
        </w:rPr>
      </w:pPr>
      <w:r>
        <w:rPr>
          <w:b/>
        </w:rPr>
        <w:t>Indexed as:  R.</w:t>
      </w:r>
      <w:r>
        <w:rPr>
          <w:b/>
          <w:i/>
        </w:rPr>
        <w:t xml:space="preserve"> v</w:t>
      </w:r>
      <w:r>
        <w:rPr>
          <w:b/>
        </w:rPr>
        <w:t xml:space="preserve">. </w:t>
      </w:r>
      <w:r w:rsidR="00B233A6">
        <w:rPr>
          <w:b/>
        </w:rPr>
        <w:t>Lévesque</w:t>
      </w:r>
    </w:p>
    <w:p w:rsidR="005D0DF3" w:rsidRDefault="005D0DF3" w:rsidP="005D0DF3">
      <w:pPr>
        <w:spacing w:line="480" w:lineRule="auto"/>
        <w:jc w:val="both"/>
      </w:pPr>
    </w:p>
    <w:p w:rsidR="005D0DF3" w:rsidRDefault="00B233A6" w:rsidP="005D0DF3">
      <w:pPr>
        <w:pStyle w:val="SCCSystemYear"/>
        <w:spacing w:line="480" w:lineRule="auto"/>
        <w:jc w:val="both"/>
      </w:pPr>
      <w:r>
        <w:t>2013</w:t>
      </w:r>
      <w:r w:rsidR="005D0DF3">
        <w:t xml:space="preserve"> SCC </w:t>
      </w:r>
      <w:r>
        <w:t>20</w:t>
      </w:r>
    </w:p>
    <w:p w:rsidR="005D0DF3" w:rsidRDefault="005D0DF3" w:rsidP="005D0DF3">
      <w:pPr>
        <w:spacing w:line="480" w:lineRule="auto"/>
        <w:jc w:val="both"/>
      </w:pPr>
    </w:p>
    <w:p w:rsidR="005D0DF3" w:rsidRDefault="005D0DF3" w:rsidP="005D0DF3">
      <w:pPr>
        <w:spacing w:line="480" w:lineRule="auto"/>
        <w:jc w:val="both"/>
      </w:pPr>
      <w:r>
        <w:t>File No.:  34</w:t>
      </w:r>
      <w:r w:rsidR="00BB57F0">
        <w:t>417</w:t>
      </w:r>
      <w:r>
        <w:t>.</w:t>
      </w:r>
    </w:p>
    <w:p w:rsidR="005D0DF3" w:rsidRDefault="005D0DF3" w:rsidP="005D0DF3">
      <w:pPr>
        <w:spacing w:line="480" w:lineRule="auto"/>
        <w:jc w:val="both"/>
      </w:pPr>
    </w:p>
    <w:p w:rsidR="005D0DF3" w:rsidRDefault="005D0DF3" w:rsidP="005D0DF3">
      <w:pPr>
        <w:spacing w:line="480" w:lineRule="auto"/>
        <w:jc w:val="both"/>
      </w:pPr>
      <w:r>
        <w:t>201</w:t>
      </w:r>
      <w:r w:rsidR="00B21052">
        <w:t>3</w:t>
      </w:r>
      <w:r>
        <w:t>:  </w:t>
      </w:r>
      <w:r w:rsidR="00B21052">
        <w:t>April 16</w:t>
      </w:r>
      <w:r>
        <w:t>.</w:t>
      </w:r>
    </w:p>
    <w:p w:rsidR="005D0DF3" w:rsidRDefault="005D0DF3" w:rsidP="005D0DF3">
      <w:pPr>
        <w:spacing w:line="480" w:lineRule="auto"/>
        <w:jc w:val="both"/>
      </w:pPr>
    </w:p>
    <w:p w:rsidR="005D0DF3" w:rsidRDefault="005D0DF3" w:rsidP="005D0DF3">
      <w:pPr>
        <w:jc w:val="both"/>
      </w:pPr>
      <w:r>
        <w:t xml:space="preserve">Present:  </w:t>
      </w:r>
      <w:proofErr w:type="spellStart"/>
      <w:r w:rsidR="00347897">
        <w:t>LeBel</w:t>
      </w:r>
      <w:proofErr w:type="spellEnd"/>
      <w:r>
        <w:t xml:space="preserve">, Fish, </w:t>
      </w:r>
      <w:proofErr w:type="spellStart"/>
      <w:r>
        <w:t>Abella</w:t>
      </w:r>
      <w:proofErr w:type="spellEnd"/>
      <w:r>
        <w:t xml:space="preserve">, Rothstein, </w:t>
      </w:r>
      <w:r w:rsidR="00347897">
        <w:t xml:space="preserve">Cromwell, </w:t>
      </w:r>
      <w:proofErr w:type="spellStart"/>
      <w:r>
        <w:t>Moldaver</w:t>
      </w:r>
      <w:proofErr w:type="spellEnd"/>
      <w:r w:rsidR="00347897">
        <w:t xml:space="preserve"> and</w:t>
      </w:r>
      <w:r>
        <w:t xml:space="preserve"> </w:t>
      </w:r>
      <w:proofErr w:type="spellStart"/>
      <w:r>
        <w:t>Karakatsanis</w:t>
      </w:r>
      <w:proofErr w:type="spellEnd"/>
      <w:r>
        <w:t xml:space="preserve"> JJ.</w:t>
      </w:r>
    </w:p>
    <w:p w:rsidR="005D0DF3" w:rsidRDefault="005D0DF3" w:rsidP="005D0DF3">
      <w:pPr>
        <w:spacing w:line="480" w:lineRule="auto"/>
        <w:jc w:val="both"/>
        <w:rPr>
          <w:szCs w:val="24"/>
        </w:rPr>
      </w:pPr>
    </w:p>
    <w:p w:rsidR="005D0DF3" w:rsidRPr="00E309DB" w:rsidRDefault="005D0DF3" w:rsidP="005D0DF3">
      <w:pPr>
        <w:spacing w:line="480" w:lineRule="auto"/>
        <w:jc w:val="both"/>
        <w:rPr>
          <w:smallCaps/>
          <w:szCs w:val="24"/>
        </w:rPr>
      </w:pPr>
      <w:r w:rsidRPr="00E309DB">
        <w:rPr>
          <w:smallCaps/>
          <w:szCs w:val="24"/>
        </w:rPr>
        <w:t xml:space="preserve">on appeal from the court of appeal for </w:t>
      </w:r>
      <w:proofErr w:type="spellStart"/>
      <w:r w:rsidR="00F40934" w:rsidRPr="00E309DB">
        <w:rPr>
          <w:smallCaps/>
          <w:szCs w:val="24"/>
        </w:rPr>
        <w:t>quebec</w:t>
      </w:r>
      <w:proofErr w:type="spellEnd"/>
    </w:p>
    <w:p w:rsidR="005D0DF3" w:rsidRPr="00E309DB" w:rsidRDefault="005D0DF3" w:rsidP="005D0DF3">
      <w:pPr>
        <w:pStyle w:val="SCCNormalDoubleSpacing"/>
        <w:rPr>
          <w:szCs w:val="24"/>
        </w:rPr>
      </w:pPr>
    </w:p>
    <w:p w:rsidR="005D0DF3" w:rsidRPr="00E309DB" w:rsidRDefault="005D0DF3" w:rsidP="005D0DF3">
      <w:pPr>
        <w:pStyle w:val="SCCNormalDoubleSpacing"/>
        <w:tabs>
          <w:tab w:val="left" w:pos="1170"/>
        </w:tabs>
        <w:spacing w:after="480"/>
        <w:rPr>
          <w:i/>
          <w:szCs w:val="24"/>
        </w:rPr>
      </w:pPr>
      <w:r w:rsidRPr="00E309DB">
        <w:rPr>
          <w:szCs w:val="24"/>
        </w:rPr>
        <w:tab/>
      </w:r>
      <w:r w:rsidR="00E309DB" w:rsidRPr="00E309DB">
        <w:rPr>
          <w:i/>
          <w:szCs w:val="24"/>
        </w:rPr>
        <w:t xml:space="preserve">Criminal law </w:t>
      </w:r>
      <w:r w:rsidR="001D3672">
        <w:rPr>
          <w:i/>
          <w:szCs w:val="24"/>
        </w:rPr>
        <w:t>— Charge to jury —</w:t>
      </w:r>
      <w:r w:rsidR="00E309DB" w:rsidRPr="00E309DB">
        <w:rPr>
          <w:i/>
          <w:szCs w:val="24"/>
        </w:rPr>
        <w:t xml:space="preserve"> Trial judge giving additional instructions that </w:t>
      </w:r>
      <w:r w:rsidR="006B1294">
        <w:rPr>
          <w:i/>
          <w:szCs w:val="24"/>
        </w:rPr>
        <w:t xml:space="preserve">were </w:t>
      </w:r>
      <w:r w:rsidR="00E309DB" w:rsidRPr="00E309DB">
        <w:rPr>
          <w:i/>
          <w:szCs w:val="24"/>
        </w:rPr>
        <w:t>incomplete and confusing in response to specific question from jury on being access</w:t>
      </w:r>
      <w:r w:rsidR="001D3672">
        <w:rPr>
          <w:i/>
          <w:szCs w:val="24"/>
        </w:rPr>
        <w:t>ory and being party to offence —</w:t>
      </w:r>
      <w:r w:rsidR="00E309DB" w:rsidRPr="00E309DB">
        <w:rPr>
          <w:i/>
          <w:szCs w:val="24"/>
        </w:rPr>
        <w:t xml:space="preserve"> Jury finding accused guilty </w:t>
      </w:r>
      <w:r w:rsidR="001D3672">
        <w:rPr>
          <w:i/>
          <w:szCs w:val="24"/>
        </w:rPr>
        <w:t>—</w:t>
      </w:r>
      <w:r w:rsidR="00E309DB" w:rsidRPr="00E309DB">
        <w:rPr>
          <w:i/>
          <w:szCs w:val="24"/>
        </w:rPr>
        <w:t xml:space="preserve"> Verdict of guilty set aside and new trial ordered.</w:t>
      </w:r>
    </w:p>
    <w:p w:rsidR="005D0DF3" w:rsidRDefault="00964EC7" w:rsidP="00964EC7">
      <w:pPr>
        <w:pStyle w:val="SCCNormalDoubleSpacing"/>
        <w:tabs>
          <w:tab w:val="left" w:pos="1170"/>
        </w:tabs>
        <w:spacing w:after="240"/>
        <w:jc w:val="left"/>
        <w:rPr>
          <w:b/>
          <w:szCs w:val="24"/>
        </w:rPr>
      </w:pPr>
      <w:r w:rsidRPr="00964EC7">
        <w:rPr>
          <w:b/>
          <w:szCs w:val="24"/>
        </w:rPr>
        <w:lastRenderedPageBreak/>
        <w:t>Statutes and Regulations Cited</w:t>
      </w:r>
    </w:p>
    <w:p w:rsidR="00964EC7" w:rsidRPr="001D3672" w:rsidRDefault="00964EC7" w:rsidP="005D0DF3">
      <w:pPr>
        <w:pStyle w:val="SCCNormalDoubleSpacing"/>
        <w:tabs>
          <w:tab w:val="left" w:pos="1170"/>
        </w:tabs>
        <w:rPr>
          <w:szCs w:val="24"/>
          <w:lang w:val="en-US"/>
        </w:rPr>
      </w:pPr>
      <w:proofErr w:type="gramStart"/>
      <w:r w:rsidRPr="001D3672">
        <w:rPr>
          <w:i/>
          <w:szCs w:val="24"/>
          <w:lang w:val="en-US"/>
        </w:rPr>
        <w:t>Criminal Code</w:t>
      </w:r>
      <w:r w:rsidRPr="001D3672">
        <w:rPr>
          <w:szCs w:val="24"/>
          <w:lang w:val="en-US"/>
        </w:rPr>
        <w:t xml:space="preserve">, </w:t>
      </w:r>
      <w:r w:rsidR="00563E3D" w:rsidRPr="001D3672">
        <w:rPr>
          <w:szCs w:val="24"/>
          <w:lang w:val="en-US"/>
        </w:rPr>
        <w:t xml:space="preserve">R.S.C. 1985, c. C-46, </w:t>
      </w:r>
      <w:r w:rsidRPr="001D3672">
        <w:rPr>
          <w:szCs w:val="24"/>
          <w:lang w:val="en-US"/>
        </w:rPr>
        <w:t>ss. 2</w:t>
      </w:r>
      <w:r w:rsidR="00532D47" w:rsidRPr="001D3672">
        <w:rPr>
          <w:szCs w:val="24"/>
          <w:lang w:val="en-US"/>
        </w:rPr>
        <w:t>1</w:t>
      </w:r>
      <w:r w:rsidRPr="001D3672">
        <w:rPr>
          <w:szCs w:val="24"/>
          <w:lang w:val="en-US"/>
        </w:rPr>
        <w:t>(2), 231(5).</w:t>
      </w:r>
      <w:proofErr w:type="gramEnd"/>
    </w:p>
    <w:p w:rsidR="00964EC7" w:rsidRPr="001D3672" w:rsidRDefault="00964EC7" w:rsidP="005D0DF3">
      <w:pPr>
        <w:pStyle w:val="SCCNormalDoubleSpacing"/>
        <w:tabs>
          <w:tab w:val="left" w:pos="1170"/>
        </w:tabs>
        <w:rPr>
          <w:b/>
          <w:szCs w:val="24"/>
          <w:lang w:val="en-US"/>
        </w:rPr>
      </w:pPr>
    </w:p>
    <w:p w:rsidR="005D0DF3" w:rsidRDefault="005D0DF3" w:rsidP="005D0DF3">
      <w:pPr>
        <w:pStyle w:val="SCCNormalDoubleSpacing"/>
        <w:tabs>
          <w:tab w:val="left" w:pos="1170"/>
        </w:tabs>
        <w:spacing w:after="480"/>
      </w:pPr>
      <w:r w:rsidRPr="001D3672">
        <w:rPr>
          <w:lang w:val="en-US"/>
        </w:rPr>
        <w:tab/>
      </w:r>
      <w:r>
        <w:t xml:space="preserve">APPEAL from a judgment of the </w:t>
      </w:r>
      <w:r w:rsidR="00B06F40">
        <w:t>Quebec</w:t>
      </w:r>
      <w:r>
        <w:t xml:space="preserve"> Court of Appeal (</w:t>
      </w:r>
      <w:r w:rsidR="00B06F40">
        <w:t>Thibault</w:t>
      </w:r>
      <w:r w:rsidR="00532D47">
        <w:t xml:space="preserve"> and</w:t>
      </w:r>
      <w:r w:rsidR="00B06F40">
        <w:t xml:space="preserve"> </w:t>
      </w:r>
      <w:proofErr w:type="spellStart"/>
      <w:r w:rsidR="00B06F40">
        <w:t>Rochette</w:t>
      </w:r>
      <w:proofErr w:type="spellEnd"/>
      <w:r w:rsidR="00B06F40">
        <w:t xml:space="preserve"> </w:t>
      </w:r>
      <w:r w:rsidR="00532D47">
        <w:t>JJ.A</w:t>
      </w:r>
      <w:r w:rsidR="004B689E">
        <w:t>.</w:t>
      </w:r>
      <w:r w:rsidR="00532D47">
        <w:t xml:space="preserve"> </w:t>
      </w:r>
      <w:r w:rsidR="00B06F40">
        <w:t xml:space="preserve">and </w:t>
      </w:r>
      <w:proofErr w:type="spellStart"/>
      <w:r w:rsidR="00B06F40">
        <w:t>Viens</w:t>
      </w:r>
      <w:proofErr w:type="spellEnd"/>
      <w:r w:rsidR="00B06F40">
        <w:t xml:space="preserve"> </w:t>
      </w:r>
      <w:r>
        <w:t>J.</w:t>
      </w:r>
      <w:r w:rsidR="00532D47">
        <w:t xml:space="preserve"> (</w:t>
      </w:r>
      <w:r w:rsidR="00532D47">
        <w:rPr>
          <w:i/>
        </w:rPr>
        <w:t>ad hoc</w:t>
      </w:r>
      <w:r>
        <w:t>)</w:t>
      </w:r>
      <w:r w:rsidR="00532D47">
        <w:t>)</w:t>
      </w:r>
      <w:r>
        <w:t xml:space="preserve">, </w:t>
      </w:r>
      <w:r w:rsidR="0009714A">
        <w:t>2011 QCCA 1203</w:t>
      </w:r>
      <w:r>
        <w:t xml:space="preserve">, </w:t>
      </w:r>
      <w:r w:rsidR="000F63FE">
        <w:t xml:space="preserve">SOQUIJ AZ-50763975, </w:t>
      </w:r>
      <w:r w:rsidR="00024A1B">
        <w:t xml:space="preserve">[2011] Q.J. No. 8124 </w:t>
      </w:r>
      <w:r>
        <w:t>(QL), 201</w:t>
      </w:r>
      <w:r w:rsidR="007320DD">
        <w:t>1</w:t>
      </w:r>
      <w:r>
        <w:t xml:space="preserve"> </w:t>
      </w:r>
      <w:proofErr w:type="spellStart"/>
      <w:r>
        <w:t>Carswell</w:t>
      </w:r>
      <w:r w:rsidR="00024A1B">
        <w:t>Que</w:t>
      </w:r>
      <w:proofErr w:type="spellEnd"/>
      <w:r>
        <w:t xml:space="preserve"> 15</w:t>
      </w:r>
      <w:r w:rsidR="00024A1B">
        <w:t>728</w:t>
      </w:r>
      <w:r>
        <w:t xml:space="preserve">, </w:t>
      </w:r>
      <w:r w:rsidRPr="0009714A">
        <w:t xml:space="preserve">upholding the </w:t>
      </w:r>
      <w:proofErr w:type="spellStart"/>
      <w:r w:rsidR="0009714A" w:rsidRPr="00532D47">
        <w:t>accused’s</w:t>
      </w:r>
      <w:proofErr w:type="spellEnd"/>
      <w:r w:rsidR="0009714A" w:rsidRPr="00532D47">
        <w:t xml:space="preserve"> convictions</w:t>
      </w:r>
      <w:r w:rsidRPr="00532D47">
        <w:t xml:space="preserve"> for</w:t>
      </w:r>
      <w:r w:rsidR="0009714A" w:rsidRPr="00532D47">
        <w:t xml:space="preserve"> </w:t>
      </w:r>
      <w:r w:rsidR="00532D47">
        <w:t>first degree</w:t>
      </w:r>
      <w:r w:rsidR="0009714A" w:rsidRPr="00532D47">
        <w:t xml:space="preserve"> murder</w:t>
      </w:r>
      <w:r w:rsidRPr="005F14F2">
        <w:t>.</w:t>
      </w:r>
      <w:r>
        <w:t xml:space="preserve">  Appeal </w:t>
      </w:r>
      <w:r w:rsidR="0009714A">
        <w:t>allowed</w:t>
      </w:r>
      <w:r>
        <w:t>.</w:t>
      </w:r>
    </w:p>
    <w:p w:rsidR="005D0DF3" w:rsidRDefault="005D0DF3" w:rsidP="005D0DF3">
      <w:pPr>
        <w:pStyle w:val="SCCNormalDoubleSpacing"/>
        <w:tabs>
          <w:tab w:val="left" w:pos="1170"/>
        </w:tabs>
        <w:spacing w:after="480"/>
        <w:rPr>
          <w:rStyle w:val="SCCCounselPartyRoleChar"/>
        </w:rPr>
      </w:pPr>
      <w:r>
        <w:rPr>
          <w:rStyle w:val="SCCCounselNameChar"/>
        </w:rPr>
        <w:tab/>
      </w:r>
      <w:proofErr w:type="gramStart"/>
      <w:r w:rsidR="006A2B73">
        <w:rPr>
          <w:rStyle w:val="SCCCounselNameChar"/>
        </w:rPr>
        <w:t xml:space="preserve">Sophie </w:t>
      </w:r>
      <w:proofErr w:type="spellStart"/>
      <w:r w:rsidR="006A2B73">
        <w:rPr>
          <w:rStyle w:val="SCCCounselNameChar"/>
        </w:rPr>
        <w:t>Dubé</w:t>
      </w:r>
      <w:proofErr w:type="spellEnd"/>
      <w:r w:rsidR="006A2B73" w:rsidRPr="006A2B73">
        <w:rPr>
          <w:rStyle w:val="SCCCounselNameChar"/>
          <w:i w:val="0"/>
        </w:rPr>
        <w:t xml:space="preserve"> and</w:t>
      </w:r>
      <w:r w:rsidR="006A2B73">
        <w:rPr>
          <w:rStyle w:val="SCCCounselNameChar"/>
        </w:rPr>
        <w:t xml:space="preserve"> Caroline Gravel</w:t>
      </w:r>
      <w:r>
        <w:rPr>
          <w:rStyle w:val="SCCCounselPartyRoleChar"/>
        </w:rPr>
        <w:t>, for the appellant.</w:t>
      </w:r>
      <w:proofErr w:type="gramEnd"/>
    </w:p>
    <w:p w:rsidR="005D0DF3" w:rsidRPr="002345A5" w:rsidRDefault="005D0DF3" w:rsidP="005D0DF3">
      <w:pPr>
        <w:pStyle w:val="SCCNormalDoubleSpacing"/>
        <w:tabs>
          <w:tab w:val="left" w:pos="1170"/>
        </w:tabs>
        <w:spacing w:after="480"/>
        <w:rPr>
          <w:rStyle w:val="SCCCounselPartyRoleChar"/>
          <w:lang w:val="en-US"/>
        </w:rPr>
      </w:pPr>
      <w:r>
        <w:rPr>
          <w:rStyle w:val="SCCCounselPartyRoleChar"/>
        </w:rPr>
        <w:tab/>
      </w:r>
      <w:proofErr w:type="gramStart"/>
      <w:r w:rsidR="006A2B73">
        <w:rPr>
          <w:rStyle w:val="SCCCounselPartyRoleChar"/>
          <w:i/>
        </w:rPr>
        <w:t xml:space="preserve">René </w:t>
      </w:r>
      <w:proofErr w:type="spellStart"/>
      <w:r w:rsidR="006A2B73">
        <w:rPr>
          <w:rStyle w:val="SCCCounselPartyRoleChar"/>
          <w:i/>
        </w:rPr>
        <w:t>Verret</w:t>
      </w:r>
      <w:proofErr w:type="spellEnd"/>
      <w:r w:rsidR="006A2B73" w:rsidRPr="006A2B73">
        <w:rPr>
          <w:rStyle w:val="SCCCounselPartyRoleChar"/>
        </w:rPr>
        <w:t xml:space="preserve"> and</w:t>
      </w:r>
      <w:r w:rsidR="006A2B73">
        <w:rPr>
          <w:rStyle w:val="SCCCounselPartyRoleChar"/>
          <w:i/>
        </w:rPr>
        <w:t xml:space="preserve"> Jean Campeau</w:t>
      </w:r>
      <w:r w:rsidRPr="002345A5">
        <w:rPr>
          <w:rStyle w:val="SCCCounselPartyRoleChar"/>
          <w:lang w:val="en-US"/>
        </w:rPr>
        <w:t>, for the respondent.</w:t>
      </w:r>
      <w:proofErr w:type="gramEnd"/>
    </w:p>
    <w:p w:rsidR="005D0DF3" w:rsidRDefault="005D0DF3" w:rsidP="005D0DF3">
      <w:pPr>
        <w:pStyle w:val="SCCNormalDoubleSpacing"/>
        <w:tabs>
          <w:tab w:val="left" w:pos="1170"/>
        </w:tabs>
        <w:spacing w:after="480"/>
        <w:rPr>
          <w:szCs w:val="24"/>
        </w:rPr>
      </w:pPr>
      <w:r w:rsidRPr="002345A5">
        <w:rPr>
          <w:szCs w:val="24"/>
          <w:lang w:val="en-US"/>
        </w:rPr>
        <w:tab/>
      </w:r>
      <w:r w:rsidR="00FD4DF7">
        <w:rPr>
          <w:szCs w:val="24"/>
        </w:rPr>
        <w:t>English version</w:t>
      </w:r>
      <w:r w:rsidR="00781729">
        <w:rPr>
          <w:szCs w:val="24"/>
        </w:rPr>
        <w:t xml:space="preserve"> of the</w:t>
      </w:r>
      <w:r w:rsidR="00FD4DF7">
        <w:rPr>
          <w:szCs w:val="24"/>
        </w:rPr>
        <w:t xml:space="preserve"> </w:t>
      </w:r>
      <w:r>
        <w:rPr>
          <w:szCs w:val="24"/>
        </w:rPr>
        <w:t xml:space="preserve">judgment of the Court delivered orally by </w:t>
      </w:r>
    </w:p>
    <w:p w:rsidR="005D0DF3" w:rsidRDefault="00FD4DF7" w:rsidP="005D0DF3">
      <w:pPr>
        <w:pStyle w:val="ParaNoNdepar-AltN"/>
        <w:tabs>
          <w:tab w:val="clear" w:pos="1512"/>
          <w:tab w:val="num" w:pos="1170"/>
        </w:tabs>
        <w:ind w:left="0"/>
      </w:pPr>
      <w:proofErr w:type="spellStart"/>
      <w:r w:rsidRPr="00DE12CC">
        <w:rPr>
          <w:smallCaps/>
        </w:rPr>
        <w:t>LeBel</w:t>
      </w:r>
      <w:proofErr w:type="spellEnd"/>
      <w:r w:rsidRPr="00DE12CC">
        <w:rPr>
          <w:smallCaps/>
        </w:rPr>
        <w:t xml:space="preserve"> J.</w:t>
      </w:r>
      <w:r w:rsidRPr="00DE12CC">
        <w:t xml:space="preserve"> </w:t>
      </w:r>
      <w:r w:rsidRPr="00DE12CC">
        <w:rPr>
          <w:smallCaps/>
        </w:rPr>
        <w:t xml:space="preserve">— </w:t>
      </w:r>
      <w:r w:rsidRPr="00DE12CC">
        <w:t xml:space="preserve">The Court is unanimously of the view that the appeal should be allowed.  </w:t>
      </w:r>
      <w:r>
        <w:t xml:space="preserve">The judge who presided over the appellant’s trial gave, in response to a specific question from the </w:t>
      </w:r>
      <w:r w:rsidRPr="00DE12CC">
        <w:t xml:space="preserve">jury </w:t>
      </w:r>
      <w:r>
        <w:t>on being an accessory and being a party to an offence</w:t>
      </w:r>
      <w:r w:rsidRPr="00DE12CC">
        <w:t xml:space="preserve">, </w:t>
      </w:r>
      <w:r>
        <w:t>additional instructions that were incomplete and confusing</w:t>
      </w:r>
      <w:r w:rsidRPr="00DE12CC">
        <w:t xml:space="preserve">. </w:t>
      </w:r>
      <w:r>
        <w:t xml:space="preserve"> Moreover, although we need not rule on this issue for the purposes of this </w:t>
      </w:r>
      <w:r w:rsidRPr="00DE12CC">
        <w:t>appe</w:t>
      </w:r>
      <w:r>
        <w:t>a</w:t>
      </w:r>
      <w:r w:rsidRPr="00DE12CC">
        <w:t xml:space="preserve">l, </w:t>
      </w:r>
      <w:r>
        <w:t xml:space="preserve">the </w:t>
      </w:r>
      <w:r w:rsidRPr="00DE12CC">
        <w:t xml:space="preserve">nature </w:t>
      </w:r>
      <w:r>
        <w:t xml:space="preserve">of the charges against the appellant raises the </w:t>
      </w:r>
      <w:r w:rsidRPr="00DE12CC">
        <w:t xml:space="preserve">question </w:t>
      </w:r>
      <w:r>
        <w:t>whether it would be possible to base a conviction for first degree murder under s</w:t>
      </w:r>
      <w:r w:rsidRPr="00DE12CC">
        <w:t>.</w:t>
      </w:r>
      <w:r>
        <w:t> </w:t>
      </w:r>
      <w:r w:rsidRPr="00DE12CC">
        <w:t xml:space="preserve">231(5) </w:t>
      </w:r>
      <w:r w:rsidR="003A5699" w:rsidRPr="003A5699">
        <w:t xml:space="preserve">of the </w:t>
      </w:r>
      <w:r w:rsidR="003A5699" w:rsidRPr="003A5699">
        <w:rPr>
          <w:i/>
        </w:rPr>
        <w:t>Criminal Code</w:t>
      </w:r>
      <w:r w:rsidR="003A5699" w:rsidRPr="003A5699">
        <w:t>, R.S.C. 1985, c</w:t>
      </w:r>
      <w:r w:rsidR="003A5699">
        <w:t>.</w:t>
      </w:r>
      <w:r w:rsidR="003A5699" w:rsidRPr="003A5699">
        <w:t xml:space="preserve"> C-46,</w:t>
      </w:r>
      <w:r w:rsidRPr="003A5699">
        <w:t xml:space="preserve"> </w:t>
      </w:r>
      <w:r>
        <w:t>on the accused being a party to the offence within the meaning of s</w:t>
      </w:r>
      <w:r w:rsidRPr="00DE12CC">
        <w:t>. 21(2)</w:t>
      </w:r>
      <w:r w:rsidR="004B689E">
        <w:t>.</w:t>
      </w:r>
      <w:r w:rsidRPr="00DE12CC">
        <w:t xml:space="preserve"> </w:t>
      </w:r>
      <w:r>
        <w:t xml:space="preserve">For these reasons, the appeal is </w:t>
      </w:r>
      <w:proofErr w:type="gramStart"/>
      <w:r>
        <w:t>allowed,</w:t>
      </w:r>
      <w:proofErr w:type="gramEnd"/>
      <w:r>
        <w:t xml:space="preserve"> the </w:t>
      </w:r>
      <w:r w:rsidRPr="00DE12CC">
        <w:t xml:space="preserve">verdict </w:t>
      </w:r>
      <w:r>
        <w:t>of guilty is set aside, and the Court orders that a new trial be held in respect of the same charges</w:t>
      </w:r>
      <w:r w:rsidRPr="00DE12CC">
        <w:t>.</w:t>
      </w:r>
    </w:p>
    <w:p w:rsidR="005D0DF3" w:rsidRDefault="005D0DF3" w:rsidP="005D0DF3">
      <w:pPr>
        <w:pStyle w:val="SCCNormalDoubleSpacing"/>
        <w:tabs>
          <w:tab w:val="left" w:pos="1170"/>
        </w:tabs>
        <w:spacing w:after="480"/>
        <w:rPr>
          <w:rStyle w:val="SCCCounselPartyRoleChar"/>
          <w:i/>
        </w:rPr>
      </w:pPr>
      <w:r>
        <w:rPr>
          <w:i/>
        </w:rPr>
        <w:lastRenderedPageBreak/>
        <w:tab/>
      </w:r>
      <w:proofErr w:type="gramStart"/>
      <w:r w:rsidRPr="0027441D">
        <w:rPr>
          <w:i/>
        </w:rPr>
        <w:t>Judgment accordingly.</w:t>
      </w:r>
      <w:proofErr w:type="gramEnd"/>
    </w:p>
    <w:p w:rsidR="005D0DF3" w:rsidRPr="00964EC7" w:rsidRDefault="005D0DF3" w:rsidP="005D0DF3">
      <w:pPr>
        <w:pStyle w:val="SCCNormalDoubleSpacing"/>
        <w:tabs>
          <w:tab w:val="left" w:pos="1170"/>
        </w:tabs>
        <w:spacing w:after="480"/>
        <w:rPr>
          <w:lang w:val="en-US"/>
        </w:rPr>
      </w:pPr>
      <w:r>
        <w:tab/>
      </w:r>
      <w:r w:rsidRPr="00964EC7">
        <w:rPr>
          <w:i/>
          <w:lang w:val="en-US"/>
        </w:rPr>
        <w:t>Solicitors for the appellant:  </w:t>
      </w:r>
      <w:r w:rsidR="00EF0A1D" w:rsidRPr="00964EC7">
        <w:rPr>
          <w:i/>
          <w:lang w:val="en-US"/>
        </w:rPr>
        <w:t xml:space="preserve">Stein </w:t>
      </w:r>
      <w:proofErr w:type="spellStart"/>
      <w:r w:rsidR="00EF0A1D" w:rsidRPr="00964EC7">
        <w:rPr>
          <w:i/>
          <w:lang w:val="en-US"/>
        </w:rPr>
        <w:t>Monast</w:t>
      </w:r>
      <w:proofErr w:type="spellEnd"/>
      <w:r w:rsidRPr="00964EC7">
        <w:rPr>
          <w:i/>
          <w:lang w:val="en-US"/>
        </w:rPr>
        <w:t xml:space="preserve">, </w:t>
      </w:r>
      <w:r w:rsidR="00EF0A1D" w:rsidRPr="00964EC7">
        <w:rPr>
          <w:i/>
          <w:lang w:val="en-US"/>
        </w:rPr>
        <w:t>Québec</w:t>
      </w:r>
      <w:r w:rsidRPr="00964EC7">
        <w:rPr>
          <w:i/>
          <w:lang w:val="en-US"/>
        </w:rPr>
        <w:t>.</w:t>
      </w:r>
    </w:p>
    <w:p w:rsidR="005D0DF3" w:rsidRPr="00EF0A1D" w:rsidRDefault="005D0DF3" w:rsidP="005D0DF3">
      <w:pPr>
        <w:pStyle w:val="SCCNormalDoubleSpacing"/>
        <w:tabs>
          <w:tab w:val="left" w:pos="1170"/>
        </w:tabs>
        <w:spacing w:after="480"/>
        <w:rPr>
          <w:lang w:val="fr-CA"/>
        </w:rPr>
      </w:pPr>
      <w:r w:rsidRPr="00964EC7">
        <w:rPr>
          <w:lang w:val="en-US"/>
        </w:rPr>
        <w:tab/>
      </w:r>
      <w:r w:rsidRPr="00EF0A1D">
        <w:rPr>
          <w:i/>
          <w:lang w:val="fr-CA"/>
        </w:rPr>
        <w:t xml:space="preserve">Solicitor for the </w:t>
      </w:r>
      <w:proofErr w:type="spellStart"/>
      <w:r w:rsidRPr="00EF0A1D">
        <w:rPr>
          <w:i/>
          <w:lang w:val="fr-CA"/>
        </w:rPr>
        <w:t>respondent</w:t>
      </w:r>
      <w:proofErr w:type="spellEnd"/>
      <w:r w:rsidRPr="00EF0A1D">
        <w:rPr>
          <w:i/>
          <w:lang w:val="fr-CA"/>
        </w:rPr>
        <w:t>:</w:t>
      </w:r>
      <w:proofErr w:type="gramStart"/>
      <w:r w:rsidRPr="00EF0A1D">
        <w:rPr>
          <w:i/>
          <w:lang w:val="fr-CA"/>
        </w:rPr>
        <w:t>  </w:t>
      </w:r>
      <w:r w:rsidR="00EF0A1D" w:rsidRPr="00EF0A1D">
        <w:rPr>
          <w:i/>
          <w:lang w:val="fr-CA"/>
        </w:rPr>
        <w:t>Poursuites</w:t>
      </w:r>
      <w:proofErr w:type="gramEnd"/>
      <w:r w:rsidR="00EF0A1D" w:rsidRPr="00EF0A1D">
        <w:rPr>
          <w:i/>
          <w:lang w:val="fr-CA"/>
        </w:rPr>
        <w:t xml:space="preserve"> criminelles et</w:t>
      </w:r>
      <w:r w:rsidR="00EF0A1D">
        <w:rPr>
          <w:i/>
          <w:lang w:val="fr-CA"/>
        </w:rPr>
        <w:t xml:space="preserve"> pénales du Québec</w:t>
      </w:r>
      <w:r w:rsidRPr="00EF0A1D">
        <w:rPr>
          <w:i/>
          <w:lang w:val="fr-CA"/>
        </w:rPr>
        <w:t xml:space="preserve">, </w:t>
      </w:r>
      <w:r w:rsidR="00C4161E">
        <w:rPr>
          <w:i/>
          <w:lang w:val="fr-CA"/>
        </w:rPr>
        <w:t>Québec</w:t>
      </w:r>
      <w:r w:rsidRPr="00EF0A1D">
        <w:rPr>
          <w:i/>
          <w:lang w:val="fr-CA"/>
        </w:rPr>
        <w:t>.</w:t>
      </w:r>
    </w:p>
    <w:p w:rsidR="005D0DF3" w:rsidRPr="00EF0A1D" w:rsidRDefault="005D0DF3" w:rsidP="005D0DF3">
      <w:pPr>
        <w:rPr>
          <w:lang w:val="fr-CA"/>
        </w:rPr>
      </w:pPr>
    </w:p>
    <w:sectPr w:rsidR="005D0DF3" w:rsidRPr="00EF0A1D" w:rsidSect="006003B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699" w:rsidRDefault="003A5699" w:rsidP="001035EC">
      <w:r>
        <w:separator/>
      </w:r>
    </w:p>
  </w:endnote>
  <w:endnote w:type="continuationSeparator" w:id="0">
    <w:p w:rsidR="003A5699" w:rsidRDefault="003A5699" w:rsidP="00103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699" w:rsidRDefault="003A5699" w:rsidP="001035EC">
      <w:r>
        <w:separator/>
      </w:r>
    </w:p>
  </w:footnote>
  <w:footnote w:type="continuationSeparator" w:id="0">
    <w:p w:rsidR="003A5699" w:rsidRDefault="003A5699" w:rsidP="00103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541"/>
      <w:docPartObj>
        <w:docPartGallery w:val="Page Numbers (Top of Page)"/>
        <w:docPartUnique/>
      </w:docPartObj>
    </w:sdtPr>
    <w:sdtContent>
      <w:p w:rsidR="003A5699" w:rsidRDefault="003A5699">
        <w:pPr>
          <w:pStyle w:val="Header"/>
          <w:jc w:val="center"/>
        </w:pPr>
        <w:r>
          <w:t xml:space="preserve">- </w:t>
        </w:r>
        <w:fldSimple w:instr=" PAGE   \* MERGEFORMAT ">
          <w:r w:rsidR="009501E0">
            <w:rPr>
              <w:noProof/>
            </w:rPr>
            <w:t>2</w:t>
          </w:r>
        </w:fldSimple>
        <w:r>
          <w:t xml:space="preserve"> -</w:t>
        </w:r>
      </w:p>
    </w:sdtContent>
  </w:sdt>
  <w:p w:rsidR="003A5699" w:rsidRDefault="003A56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05C00208"/>
    <w:lvl w:ilvl="0">
      <w:start w:val="1"/>
      <w:numFmt w:val="decimal"/>
      <w:pStyle w:val="ParaNoNdepar-AltN"/>
      <w:lvlText w:val="[%1]"/>
      <w:lvlJc w:val="left"/>
      <w:pPr>
        <w:tabs>
          <w:tab w:val="num" w:pos="1512"/>
        </w:tabs>
        <w:ind w:left="360" w:firstLine="0"/>
      </w:pPr>
      <w:rPr>
        <w:rFonts w:ascii="Times New Roman" w:hAnsi="Times New Roman" w:hint="default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DF3"/>
    <w:rsid w:val="00024A1B"/>
    <w:rsid w:val="00051F7F"/>
    <w:rsid w:val="0009714A"/>
    <w:rsid w:val="000F63FE"/>
    <w:rsid w:val="001035EC"/>
    <w:rsid w:val="00115744"/>
    <w:rsid w:val="0013481D"/>
    <w:rsid w:val="00145655"/>
    <w:rsid w:val="00150E8F"/>
    <w:rsid w:val="00160E84"/>
    <w:rsid w:val="001D3672"/>
    <w:rsid w:val="00217496"/>
    <w:rsid w:val="00242E70"/>
    <w:rsid w:val="002710AF"/>
    <w:rsid w:val="00293A64"/>
    <w:rsid w:val="00294A2F"/>
    <w:rsid w:val="00295F78"/>
    <w:rsid w:val="002A0198"/>
    <w:rsid w:val="002A43ED"/>
    <w:rsid w:val="0030585A"/>
    <w:rsid w:val="00347897"/>
    <w:rsid w:val="003A5699"/>
    <w:rsid w:val="003F7B01"/>
    <w:rsid w:val="00406986"/>
    <w:rsid w:val="004B689E"/>
    <w:rsid w:val="00532D47"/>
    <w:rsid w:val="0055276C"/>
    <w:rsid w:val="00563E3D"/>
    <w:rsid w:val="005C14FA"/>
    <w:rsid w:val="005C73DF"/>
    <w:rsid w:val="005D0DF3"/>
    <w:rsid w:val="006003B8"/>
    <w:rsid w:val="00697D41"/>
    <w:rsid w:val="006A2B73"/>
    <w:rsid w:val="006B1294"/>
    <w:rsid w:val="006B20A1"/>
    <w:rsid w:val="006F26ED"/>
    <w:rsid w:val="007320DD"/>
    <w:rsid w:val="00781729"/>
    <w:rsid w:val="00825940"/>
    <w:rsid w:val="008A660E"/>
    <w:rsid w:val="008E6D14"/>
    <w:rsid w:val="009501E0"/>
    <w:rsid w:val="00964EC7"/>
    <w:rsid w:val="009F024F"/>
    <w:rsid w:val="00A51AE0"/>
    <w:rsid w:val="00A643D4"/>
    <w:rsid w:val="00AE0218"/>
    <w:rsid w:val="00B06F40"/>
    <w:rsid w:val="00B21052"/>
    <w:rsid w:val="00B233A6"/>
    <w:rsid w:val="00B60F6B"/>
    <w:rsid w:val="00B71B15"/>
    <w:rsid w:val="00BB57F0"/>
    <w:rsid w:val="00BF611A"/>
    <w:rsid w:val="00C078BF"/>
    <w:rsid w:val="00C334D8"/>
    <w:rsid w:val="00C4161E"/>
    <w:rsid w:val="00C609AA"/>
    <w:rsid w:val="00CB54FB"/>
    <w:rsid w:val="00D92F85"/>
    <w:rsid w:val="00E005E9"/>
    <w:rsid w:val="00E23DE9"/>
    <w:rsid w:val="00E309DB"/>
    <w:rsid w:val="00EE3FC6"/>
    <w:rsid w:val="00EF0A1D"/>
    <w:rsid w:val="00EF7C67"/>
    <w:rsid w:val="00F02698"/>
    <w:rsid w:val="00F1312C"/>
    <w:rsid w:val="00F40934"/>
    <w:rsid w:val="00F63E92"/>
    <w:rsid w:val="00F81AFB"/>
    <w:rsid w:val="00F9794F"/>
    <w:rsid w:val="00FD4DF7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F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81A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1AFB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81AFB"/>
    <w:rPr>
      <w:i/>
      <w:iCs/>
      <w:color w:val="000000" w:themeColor="text1"/>
      <w:sz w:val="24"/>
      <w:lang w:val="en-US"/>
    </w:rPr>
  </w:style>
  <w:style w:type="character" w:customStyle="1" w:styleId="SCCNormalDoubleSpacingChar">
    <w:name w:val="SCC.Normal.DoubleSpacing Char"/>
    <w:basedOn w:val="DefaultParagraphFont"/>
    <w:link w:val="SCCNormalDoubleSpacing"/>
    <w:locked/>
    <w:rsid w:val="005D0DF3"/>
    <w:rPr>
      <w:sz w:val="24"/>
    </w:rPr>
  </w:style>
  <w:style w:type="paragraph" w:customStyle="1" w:styleId="SCCNormalDoubleSpacing">
    <w:name w:val="SCC.Normal.DoubleSpacing"/>
    <w:basedOn w:val="Normal"/>
    <w:link w:val="SCCNormalDoubleSpacingChar"/>
    <w:rsid w:val="005D0DF3"/>
    <w:pPr>
      <w:spacing w:line="480" w:lineRule="auto"/>
      <w:jc w:val="both"/>
    </w:pPr>
  </w:style>
  <w:style w:type="character" w:customStyle="1" w:styleId="SCCLsocPartyChar">
    <w:name w:val="SCC.Lsoc.Party Char"/>
    <w:basedOn w:val="DefaultParagraphFont"/>
    <w:link w:val="SCCLsocParty"/>
    <w:locked/>
    <w:rsid w:val="005D0DF3"/>
    <w:rPr>
      <w:b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5D0DF3"/>
    <w:pPr>
      <w:jc w:val="both"/>
    </w:pPr>
    <w:rPr>
      <w:b/>
    </w:rPr>
  </w:style>
  <w:style w:type="character" w:customStyle="1" w:styleId="SCCLsocVersusChar">
    <w:name w:val="SCC.Lsoc.Versus Char"/>
    <w:basedOn w:val="DefaultParagraphFont"/>
    <w:link w:val="SCCLsocVersus"/>
    <w:locked/>
    <w:rsid w:val="005D0DF3"/>
    <w:rPr>
      <w:i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5D0DF3"/>
    <w:rPr>
      <w:i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locked/>
    <w:rsid w:val="005D0DF3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5D0DF3"/>
    <w:rPr>
      <w:smallCaps/>
    </w:rPr>
  </w:style>
  <w:style w:type="character" w:customStyle="1" w:styleId="SCCSystemYearChar">
    <w:name w:val="SCC.SystemYear Char"/>
    <w:basedOn w:val="DefaultParagraphFont"/>
    <w:link w:val="SCCSystemYear"/>
    <w:locked/>
    <w:rsid w:val="005D0DF3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5D0DF3"/>
    <w:rPr>
      <w:b/>
    </w:rPr>
  </w:style>
  <w:style w:type="character" w:customStyle="1" w:styleId="SCCCounselNameChar">
    <w:name w:val="SCC.CounselName Char"/>
    <w:basedOn w:val="SCCNormalDoubleSpacingChar"/>
    <w:link w:val="SCCCounselName"/>
    <w:locked/>
    <w:rsid w:val="005D0DF3"/>
    <w:rPr>
      <w:i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5D0DF3"/>
    <w:rPr>
      <w:i/>
    </w:rPr>
  </w:style>
  <w:style w:type="character" w:customStyle="1" w:styleId="SCCCounselPartyRoleChar">
    <w:name w:val="SCC.CounselPartyRole Char"/>
    <w:basedOn w:val="SCCNormalDoubleSpacingChar"/>
    <w:link w:val="SCCCounselPartyRole"/>
    <w:locked/>
    <w:rsid w:val="005D0DF3"/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5D0DF3"/>
  </w:style>
  <w:style w:type="paragraph" w:customStyle="1" w:styleId="ParaNoNdepar-AltN">
    <w:name w:val="Para. No. / Nº de par. - Alt N"/>
    <w:qFormat/>
    <w:rsid w:val="005D0DF3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0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DF3"/>
    <w:rPr>
      <w:sz w:val="24"/>
    </w:rPr>
  </w:style>
  <w:style w:type="table" w:styleId="TableGrid">
    <w:name w:val="Table Grid"/>
    <w:basedOn w:val="TableNormal"/>
    <w:uiPriority w:val="59"/>
    <w:rsid w:val="009501E0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SCC-CSC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SCC</cp:lastModifiedBy>
  <cp:revision>7</cp:revision>
  <cp:lastPrinted>2013-05-27T18:03:00Z</cp:lastPrinted>
  <dcterms:created xsi:type="dcterms:W3CDTF">2013-05-30T15:57:00Z</dcterms:created>
  <dcterms:modified xsi:type="dcterms:W3CDTF">2014-03-20T18:27:00Z</dcterms:modified>
</cp:coreProperties>
</file>