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26D" w:rsidRPr="00FF73BD" w:rsidRDefault="0031326D" w:rsidP="0031326D">
      <w:pPr>
        <w:tabs>
          <w:tab w:val="center" w:pos="4680"/>
          <w:tab w:val="right" w:pos="9360"/>
        </w:tabs>
        <w:jc w:val="center"/>
        <w:rPr>
          <w:rFonts w:eastAsiaTheme="minorHAnsi" w:cstheme="minorBidi"/>
          <w:szCs w:val="24"/>
          <w:lang w:eastAsia="en-US"/>
        </w:rPr>
      </w:pPr>
      <w:r w:rsidRPr="00FF73BD">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4.8pt" o:ole="">
            <v:imagedata r:id="rId8" o:title=""/>
          </v:shape>
          <o:OLEObject Type="Embed" ProgID="Presentations.Drawing.13" ShapeID="_x0000_i1025" DrawAspect="Content" ObjectID="_1458374584" r:id="rId9"/>
        </w:object>
      </w:r>
    </w:p>
    <w:p w:rsidR="0031326D" w:rsidRPr="00FF73BD" w:rsidRDefault="0031326D" w:rsidP="0031326D">
      <w:pPr>
        <w:tabs>
          <w:tab w:val="center" w:pos="4680"/>
          <w:tab w:val="right" w:pos="9360"/>
        </w:tabs>
        <w:rPr>
          <w:rFonts w:eastAsiaTheme="minorHAnsi" w:cstheme="minorBidi"/>
          <w:szCs w:val="24"/>
          <w:lang w:eastAsia="en-US"/>
        </w:rPr>
      </w:pPr>
    </w:p>
    <w:p w:rsidR="0031326D" w:rsidRPr="00FF73BD" w:rsidRDefault="0031326D" w:rsidP="0031326D">
      <w:pPr>
        <w:jc w:val="center"/>
        <w:rPr>
          <w:rFonts w:eastAsiaTheme="minorHAnsi" w:cstheme="minorBidi"/>
          <w:b/>
          <w:szCs w:val="24"/>
          <w:lang w:eastAsia="en-US"/>
        </w:rPr>
      </w:pPr>
      <w:r w:rsidRPr="00FF73BD">
        <w:rPr>
          <w:rFonts w:eastAsiaTheme="minorHAnsi" w:cstheme="minorBidi"/>
          <w:b/>
          <w:szCs w:val="24"/>
          <w:lang w:eastAsia="en-US"/>
        </w:rPr>
        <w:t>SUPREME COURT OF CANADA</w:t>
      </w:r>
    </w:p>
    <w:p w:rsidR="0031326D" w:rsidRPr="00FF73BD" w:rsidRDefault="0031326D" w:rsidP="0031326D">
      <w:pPr>
        <w:rPr>
          <w:rFonts w:eastAsiaTheme="minorHAnsi"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31326D" w:rsidRPr="00FF73BD" w:rsidTr="005C299B">
        <w:trPr>
          <w:cantSplit/>
        </w:trPr>
        <w:tc>
          <w:tcPr>
            <w:tcW w:w="6768" w:type="dxa"/>
          </w:tcPr>
          <w:p w:rsidR="0031326D" w:rsidRPr="00FF73BD" w:rsidRDefault="0031326D" w:rsidP="005C299B">
            <w:r w:rsidRPr="00FF73BD">
              <w:rPr>
                <w:b/>
                <w:smallCaps/>
              </w:rPr>
              <w:t>Citation:</w:t>
            </w:r>
            <w:r w:rsidRPr="00FF73BD">
              <w:t xml:space="preserve"> </w:t>
            </w:r>
            <w:r w:rsidRPr="004E407E">
              <w:t>Daishowa-Marubeni International Ltd.</w:t>
            </w:r>
            <w:r w:rsidRPr="004E407E">
              <w:rPr>
                <w:iCs/>
              </w:rPr>
              <w:t xml:space="preserve"> </w:t>
            </w:r>
            <w:r w:rsidRPr="004E407E">
              <w:rPr>
                <w:i/>
                <w:iCs/>
              </w:rPr>
              <w:t>v.</w:t>
            </w:r>
            <w:r w:rsidRPr="004E407E">
              <w:rPr>
                <w:iCs/>
              </w:rPr>
              <w:t xml:space="preserve"> Canada,</w:t>
            </w:r>
            <w:r w:rsidRPr="00FF73BD">
              <w:t xml:space="preserve"> </w:t>
            </w:r>
          </w:p>
          <w:p w:rsidR="0031326D" w:rsidRPr="00FF73BD" w:rsidRDefault="0031326D" w:rsidP="005C299B">
            <w:r>
              <w:rPr>
                <w:rStyle w:val="SCCRespondentForRunningHeadChar"/>
                <w:smallCaps w:val="0"/>
              </w:rPr>
              <w:t>2013 SCC 29, [2013] 2 S.C.R. 336</w:t>
            </w:r>
          </w:p>
        </w:tc>
        <w:tc>
          <w:tcPr>
            <w:tcW w:w="2808" w:type="dxa"/>
          </w:tcPr>
          <w:p w:rsidR="0031326D" w:rsidRPr="00FF73BD" w:rsidRDefault="0031326D" w:rsidP="005C299B">
            <w:r w:rsidRPr="00FF73BD">
              <w:rPr>
                <w:b/>
                <w:smallCaps/>
              </w:rPr>
              <w:t>Date:</w:t>
            </w:r>
            <w:r w:rsidRPr="00FF73BD">
              <w:t xml:space="preserve"> 20130523</w:t>
            </w:r>
          </w:p>
          <w:p w:rsidR="0031326D" w:rsidRPr="00FF73BD" w:rsidRDefault="0031326D" w:rsidP="005C299B">
            <w:r w:rsidRPr="00FF73BD">
              <w:rPr>
                <w:b/>
                <w:smallCaps/>
              </w:rPr>
              <w:t>Docket:</w:t>
            </w:r>
            <w:r w:rsidRPr="00FF73BD">
              <w:t xml:space="preserve"> 34534</w:t>
            </w:r>
          </w:p>
        </w:tc>
      </w:tr>
    </w:tbl>
    <w:p w:rsidR="0031326D" w:rsidRPr="00FF73BD" w:rsidRDefault="0031326D" w:rsidP="0031326D">
      <w:pPr>
        <w:rPr>
          <w:rFonts w:eastAsiaTheme="minorHAnsi" w:cstheme="minorBidi"/>
          <w:szCs w:val="24"/>
          <w:lang w:eastAsia="en-US"/>
        </w:rPr>
      </w:pPr>
    </w:p>
    <w:p w:rsidR="0031326D" w:rsidRPr="00FF73BD" w:rsidRDefault="0031326D" w:rsidP="0031326D">
      <w:pPr>
        <w:rPr>
          <w:rFonts w:eastAsiaTheme="minorHAnsi" w:cstheme="minorBidi"/>
          <w:b/>
          <w:smallCaps/>
          <w:szCs w:val="24"/>
          <w:lang w:eastAsia="en-US"/>
        </w:rPr>
      </w:pPr>
      <w:r w:rsidRPr="00FF73BD">
        <w:rPr>
          <w:rFonts w:eastAsiaTheme="minorHAnsi" w:cstheme="minorBidi"/>
          <w:b/>
          <w:smallCaps/>
          <w:szCs w:val="24"/>
          <w:lang w:eastAsia="en-US"/>
        </w:rPr>
        <w:t>Between:</w:t>
      </w:r>
    </w:p>
    <w:p w:rsidR="0031326D" w:rsidRPr="00FF73BD" w:rsidRDefault="0031326D" w:rsidP="0031326D">
      <w:pPr>
        <w:jc w:val="center"/>
        <w:rPr>
          <w:rFonts w:eastAsiaTheme="minorHAnsi" w:cstheme="minorBidi"/>
          <w:b/>
          <w:szCs w:val="24"/>
          <w:lang w:eastAsia="en-US"/>
        </w:rPr>
      </w:pPr>
      <w:r w:rsidRPr="00FF73BD">
        <w:rPr>
          <w:rFonts w:eastAsiaTheme="minorHAnsi" w:cstheme="minorBidi"/>
          <w:b/>
          <w:szCs w:val="24"/>
          <w:lang w:eastAsia="en-US"/>
        </w:rPr>
        <w:t>Daishowa-Marubeni International Ltd.</w:t>
      </w:r>
    </w:p>
    <w:p w:rsidR="0031326D" w:rsidRPr="00FF73BD" w:rsidRDefault="0031326D" w:rsidP="0031326D">
      <w:pPr>
        <w:jc w:val="center"/>
        <w:rPr>
          <w:rFonts w:eastAsiaTheme="minorHAnsi" w:cstheme="minorBidi"/>
          <w:szCs w:val="24"/>
          <w:lang w:eastAsia="en-US"/>
        </w:rPr>
      </w:pPr>
      <w:r w:rsidRPr="00FF73BD">
        <w:rPr>
          <w:rFonts w:eastAsiaTheme="minorHAnsi" w:cstheme="minorBidi"/>
          <w:szCs w:val="24"/>
          <w:lang w:eastAsia="en-US"/>
        </w:rPr>
        <w:t>Appellant</w:t>
      </w:r>
    </w:p>
    <w:p w:rsidR="0031326D" w:rsidRPr="00FF73BD" w:rsidRDefault="0031326D" w:rsidP="0031326D">
      <w:pPr>
        <w:jc w:val="center"/>
        <w:rPr>
          <w:rFonts w:eastAsiaTheme="minorHAnsi" w:cstheme="minorBidi"/>
          <w:szCs w:val="24"/>
          <w:lang w:eastAsia="en-US"/>
        </w:rPr>
      </w:pPr>
      <w:proofErr w:type="gramStart"/>
      <w:r w:rsidRPr="00FF73BD">
        <w:rPr>
          <w:rFonts w:eastAsiaTheme="minorHAnsi" w:cstheme="minorBidi"/>
          <w:szCs w:val="24"/>
          <w:lang w:eastAsia="en-US"/>
        </w:rPr>
        <w:t>and</w:t>
      </w:r>
      <w:proofErr w:type="gramEnd"/>
    </w:p>
    <w:p w:rsidR="0031326D" w:rsidRPr="00FF73BD" w:rsidRDefault="0031326D" w:rsidP="0031326D">
      <w:pPr>
        <w:jc w:val="center"/>
        <w:rPr>
          <w:rFonts w:eastAsiaTheme="minorHAnsi" w:cstheme="minorBidi"/>
          <w:b/>
          <w:szCs w:val="24"/>
          <w:lang w:eastAsia="en-US"/>
        </w:rPr>
      </w:pPr>
      <w:r w:rsidRPr="00FF73BD">
        <w:rPr>
          <w:rFonts w:eastAsiaTheme="minorHAnsi" w:cstheme="minorBidi"/>
          <w:b/>
          <w:szCs w:val="24"/>
          <w:lang w:eastAsia="en-US"/>
        </w:rPr>
        <w:t xml:space="preserve">Her Majesty </w:t>
      </w:r>
      <w:proofErr w:type="gramStart"/>
      <w:r w:rsidRPr="00FF73BD">
        <w:rPr>
          <w:rFonts w:eastAsiaTheme="minorHAnsi" w:cstheme="minorBidi"/>
          <w:b/>
          <w:szCs w:val="24"/>
          <w:lang w:eastAsia="en-US"/>
        </w:rPr>
        <w:t>The</w:t>
      </w:r>
      <w:proofErr w:type="gramEnd"/>
      <w:r w:rsidRPr="00FF73BD">
        <w:rPr>
          <w:rFonts w:eastAsiaTheme="minorHAnsi" w:cstheme="minorBidi"/>
          <w:b/>
          <w:szCs w:val="24"/>
          <w:lang w:eastAsia="en-US"/>
        </w:rPr>
        <w:t xml:space="preserve"> Queen</w:t>
      </w:r>
    </w:p>
    <w:p w:rsidR="0031326D" w:rsidRPr="00FF73BD" w:rsidRDefault="0031326D" w:rsidP="0031326D">
      <w:pPr>
        <w:jc w:val="center"/>
        <w:rPr>
          <w:rFonts w:eastAsiaTheme="minorHAnsi" w:cstheme="minorBidi"/>
          <w:szCs w:val="24"/>
          <w:lang w:eastAsia="en-US"/>
        </w:rPr>
      </w:pPr>
      <w:r w:rsidRPr="00FF73BD">
        <w:rPr>
          <w:rFonts w:eastAsiaTheme="minorHAnsi" w:cstheme="minorBidi"/>
          <w:szCs w:val="24"/>
          <w:lang w:eastAsia="en-US"/>
        </w:rPr>
        <w:t>Respondent</w:t>
      </w:r>
    </w:p>
    <w:p w:rsidR="0031326D" w:rsidRPr="00FF73BD" w:rsidRDefault="0031326D" w:rsidP="0031326D">
      <w:pPr>
        <w:jc w:val="center"/>
        <w:rPr>
          <w:rFonts w:eastAsiaTheme="minorHAnsi" w:cstheme="minorBidi"/>
          <w:szCs w:val="24"/>
          <w:lang w:eastAsia="en-US"/>
        </w:rPr>
      </w:pPr>
      <w:r w:rsidRPr="00FF73BD">
        <w:rPr>
          <w:rFonts w:eastAsiaTheme="minorHAnsi" w:cstheme="minorBidi"/>
          <w:szCs w:val="24"/>
          <w:lang w:eastAsia="en-US"/>
        </w:rPr>
        <w:t xml:space="preserve">- </w:t>
      </w:r>
      <w:proofErr w:type="gramStart"/>
      <w:r w:rsidRPr="00FF73BD">
        <w:rPr>
          <w:rFonts w:eastAsiaTheme="minorHAnsi" w:cstheme="minorBidi"/>
          <w:szCs w:val="24"/>
          <w:lang w:eastAsia="en-US"/>
        </w:rPr>
        <w:t>and</w:t>
      </w:r>
      <w:proofErr w:type="gramEnd"/>
      <w:r w:rsidRPr="00FF73BD">
        <w:rPr>
          <w:rFonts w:eastAsiaTheme="minorHAnsi" w:cstheme="minorBidi"/>
          <w:szCs w:val="24"/>
          <w:lang w:eastAsia="en-US"/>
        </w:rPr>
        <w:t xml:space="preserve"> -</w:t>
      </w:r>
    </w:p>
    <w:p w:rsidR="0031326D" w:rsidRPr="00FF73BD" w:rsidRDefault="0031326D" w:rsidP="0031326D">
      <w:pPr>
        <w:jc w:val="center"/>
        <w:rPr>
          <w:rFonts w:eastAsiaTheme="minorHAnsi" w:cstheme="minorBidi"/>
          <w:b/>
          <w:szCs w:val="24"/>
          <w:lang w:eastAsia="en-US"/>
        </w:rPr>
      </w:pPr>
      <w:r w:rsidRPr="00FF73BD">
        <w:rPr>
          <w:rFonts w:eastAsiaTheme="minorHAnsi" w:cstheme="minorBidi"/>
          <w:b/>
          <w:szCs w:val="24"/>
          <w:lang w:eastAsia="en-US"/>
        </w:rPr>
        <w:t xml:space="preserve">Her Majesty </w:t>
      </w:r>
      <w:proofErr w:type="gramStart"/>
      <w:r w:rsidRPr="00FF73BD">
        <w:rPr>
          <w:rFonts w:eastAsiaTheme="minorHAnsi" w:cstheme="minorBidi"/>
          <w:b/>
          <w:szCs w:val="24"/>
          <w:lang w:eastAsia="en-US"/>
        </w:rPr>
        <w:t>The</w:t>
      </w:r>
      <w:proofErr w:type="gramEnd"/>
      <w:r w:rsidRPr="00FF73BD">
        <w:rPr>
          <w:rFonts w:eastAsiaTheme="minorHAnsi" w:cstheme="minorBidi"/>
          <w:b/>
          <w:szCs w:val="24"/>
          <w:lang w:eastAsia="en-US"/>
        </w:rPr>
        <w:t xml:space="preserve"> Queen in Right of Alberta, Tolko Industries Ltd., International </w:t>
      </w:r>
    </w:p>
    <w:p w:rsidR="0031326D" w:rsidRPr="00FF73BD" w:rsidRDefault="0031326D" w:rsidP="0031326D">
      <w:pPr>
        <w:jc w:val="center"/>
        <w:rPr>
          <w:rFonts w:eastAsiaTheme="minorHAnsi" w:cstheme="minorBidi"/>
          <w:b/>
          <w:szCs w:val="24"/>
          <w:lang w:eastAsia="en-US"/>
        </w:rPr>
      </w:pPr>
      <w:r w:rsidRPr="00FF73BD">
        <w:rPr>
          <w:rFonts w:eastAsiaTheme="minorHAnsi" w:cstheme="minorBidi"/>
          <w:b/>
          <w:szCs w:val="24"/>
          <w:lang w:eastAsia="en-US"/>
        </w:rPr>
        <w:t xml:space="preserve">Forest Products Ltd., West Fraser Timber Co. Ltd., Canfor Corporation and </w:t>
      </w:r>
    </w:p>
    <w:p w:rsidR="0031326D" w:rsidRPr="00FF73BD" w:rsidRDefault="0031326D" w:rsidP="0031326D">
      <w:pPr>
        <w:jc w:val="center"/>
        <w:rPr>
          <w:rFonts w:eastAsiaTheme="minorHAnsi" w:cstheme="minorBidi"/>
          <w:b/>
          <w:szCs w:val="24"/>
          <w:lang w:eastAsia="en-US"/>
        </w:rPr>
      </w:pPr>
      <w:r w:rsidRPr="00FF73BD">
        <w:rPr>
          <w:rFonts w:eastAsiaTheme="minorHAnsi" w:cstheme="minorBidi"/>
          <w:b/>
          <w:szCs w:val="24"/>
          <w:lang w:eastAsia="en-US"/>
        </w:rPr>
        <w:t>Canadian Association of Petroleum Producers</w:t>
      </w:r>
    </w:p>
    <w:p w:rsidR="0031326D" w:rsidRPr="00FF73BD" w:rsidRDefault="0031326D" w:rsidP="0031326D">
      <w:pPr>
        <w:jc w:val="center"/>
        <w:rPr>
          <w:rFonts w:eastAsiaTheme="minorHAnsi" w:cstheme="minorBidi"/>
          <w:szCs w:val="24"/>
          <w:lang w:eastAsia="en-US"/>
        </w:rPr>
      </w:pPr>
      <w:r w:rsidRPr="00FF73BD">
        <w:rPr>
          <w:rFonts w:eastAsiaTheme="minorHAnsi" w:cstheme="minorBidi"/>
          <w:szCs w:val="24"/>
          <w:lang w:eastAsia="en-US"/>
        </w:rPr>
        <w:t>Interveners</w:t>
      </w:r>
    </w:p>
    <w:p w:rsidR="0031326D" w:rsidRPr="00FF73BD" w:rsidRDefault="0031326D" w:rsidP="0031326D">
      <w:pPr>
        <w:rPr>
          <w:rFonts w:eastAsiaTheme="minorHAnsi" w:cstheme="minorBidi"/>
          <w:szCs w:val="24"/>
          <w:lang w:eastAsia="en-US"/>
        </w:rPr>
      </w:pPr>
    </w:p>
    <w:p w:rsidR="0031326D" w:rsidRPr="00FF73BD" w:rsidRDefault="0031326D" w:rsidP="0031326D">
      <w:pPr>
        <w:rPr>
          <w:rFonts w:eastAsiaTheme="minorHAnsi" w:cstheme="minorBidi"/>
          <w:szCs w:val="24"/>
          <w:lang w:eastAsia="en-US"/>
        </w:rPr>
      </w:pPr>
      <w:r w:rsidRPr="00FF73BD">
        <w:rPr>
          <w:rFonts w:eastAsiaTheme="minorHAnsi" w:cstheme="minorBidi"/>
          <w:b/>
          <w:smallCaps/>
          <w:szCs w:val="24"/>
          <w:lang w:eastAsia="en-US"/>
        </w:rPr>
        <w:t>Coram:</w:t>
      </w:r>
      <w:r w:rsidRPr="00FF73BD">
        <w:rPr>
          <w:rFonts w:eastAsiaTheme="minorHAnsi" w:cstheme="minorBidi"/>
          <w:szCs w:val="24"/>
          <w:lang w:eastAsia="en-US"/>
        </w:rPr>
        <w:t xml:space="preserve"> McLachlin C.J. and </w:t>
      </w:r>
      <w:proofErr w:type="spellStart"/>
      <w:r w:rsidRPr="00FF73BD">
        <w:rPr>
          <w:rFonts w:eastAsiaTheme="minorHAnsi" w:cstheme="minorBidi"/>
          <w:szCs w:val="24"/>
          <w:lang w:eastAsia="en-US"/>
        </w:rPr>
        <w:t>LeBel</w:t>
      </w:r>
      <w:proofErr w:type="spellEnd"/>
      <w:r w:rsidRPr="00FF73BD">
        <w:rPr>
          <w:rFonts w:eastAsiaTheme="minorHAnsi" w:cstheme="minorBidi"/>
          <w:szCs w:val="24"/>
          <w:lang w:eastAsia="en-US"/>
        </w:rPr>
        <w:t xml:space="preserve">, Fish, </w:t>
      </w:r>
      <w:proofErr w:type="spellStart"/>
      <w:r w:rsidRPr="00FF73BD">
        <w:rPr>
          <w:rFonts w:eastAsiaTheme="minorHAnsi" w:cstheme="minorBidi"/>
          <w:szCs w:val="24"/>
          <w:lang w:eastAsia="en-US"/>
        </w:rPr>
        <w:t>Abella</w:t>
      </w:r>
      <w:proofErr w:type="spellEnd"/>
      <w:r w:rsidRPr="00FF73BD">
        <w:rPr>
          <w:rFonts w:eastAsiaTheme="minorHAnsi" w:cstheme="minorBidi"/>
          <w:szCs w:val="24"/>
          <w:lang w:eastAsia="en-US"/>
        </w:rPr>
        <w:t xml:space="preserve">, Rothstein, Cromwell, </w:t>
      </w:r>
      <w:proofErr w:type="spellStart"/>
      <w:r w:rsidRPr="00FF73BD">
        <w:rPr>
          <w:rFonts w:eastAsiaTheme="minorHAnsi" w:cstheme="minorBidi"/>
          <w:szCs w:val="24"/>
          <w:lang w:eastAsia="en-US"/>
        </w:rPr>
        <w:t>Moldaver</w:t>
      </w:r>
      <w:proofErr w:type="spellEnd"/>
      <w:r w:rsidRPr="00FF73BD">
        <w:rPr>
          <w:rFonts w:eastAsiaTheme="minorHAnsi" w:cstheme="minorBidi"/>
          <w:szCs w:val="24"/>
          <w:lang w:eastAsia="en-US"/>
        </w:rPr>
        <w:t xml:space="preserve">, </w:t>
      </w:r>
      <w:proofErr w:type="spellStart"/>
      <w:r w:rsidRPr="00FF73BD">
        <w:rPr>
          <w:rFonts w:eastAsiaTheme="minorHAnsi" w:cstheme="minorBidi"/>
          <w:szCs w:val="24"/>
          <w:lang w:eastAsia="en-US"/>
        </w:rPr>
        <w:t>Karakatsanis</w:t>
      </w:r>
      <w:proofErr w:type="spellEnd"/>
      <w:r w:rsidRPr="00FF73BD">
        <w:rPr>
          <w:rFonts w:eastAsiaTheme="minorHAnsi" w:cstheme="minorBidi"/>
          <w:szCs w:val="24"/>
          <w:lang w:eastAsia="en-US"/>
        </w:rPr>
        <w:t xml:space="preserve"> and Wagner JJ.</w:t>
      </w:r>
    </w:p>
    <w:p w:rsidR="0031326D" w:rsidRPr="00FF73BD" w:rsidRDefault="0031326D" w:rsidP="0031326D">
      <w:pPr>
        <w:rPr>
          <w:rFonts w:eastAsiaTheme="minorHAnsi" w:cstheme="minorBidi"/>
          <w:szCs w:val="24"/>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31326D" w:rsidRPr="00FF73BD" w:rsidTr="005C299B">
        <w:trPr>
          <w:cantSplit/>
        </w:trPr>
        <w:tc>
          <w:tcPr>
            <w:tcW w:w="3618" w:type="dxa"/>
          </w:tcPr>
          <w:p w:rsidR="0031326D" w:rsidRPr="00FF73BD" w:rsidRDefault="0031326D" w:rsidP="005C299B">
            <w:pPr>
              <w:rPr>
                <w:b/>
                <w:smallCaps/>
              </w:rPr>
            </w:pPr>
            <w:r w:rsidRPr="00FF73BD">
              <w:rPr>
                <w:b/>
                <w:smallCaps/>
              </w:rPr>
              <w:t>Reasons for Judgment:</w:t>
            </w:r>
          </w:p>
          <w:p w:rsidR="0031326D" w:rsidRPr="00FF73BD" w:rsidRDefault="0031326D" w:rsidP="005C299B">
            <w:r w:rsidRPr="00FF73BD">
              <w:t>(</w:t>
            </w:r>
            <w:proofErr w:type="spellStart"/>
            <w:r w:rsidRPr="00FF73BD">
              <w:t>paras</w:t>
            </w:r>
            <w:proofErr w:type="spellEnd"/>
            <w:r w:rsidRPr="00FF73BD">
              <w:t>. 1 to 48)</w:t>
            </w:r>
          </w:p>
        </w:tc>
        <w:tc>
          <w:tcPr>
            <w:tcW w:w="5958" w:type="dxa"/>
          </w:tcPr>
          <w:p w:rsidR="0031326D" w:rsidRPr="00FF73BD" w:rsidRDefault="0031326D" w:rsidP="005C299B">
            <w:r w:rsidRPr="00FF73BD">
              <w:t xml:space="preserve">Rothstein J. (McLachlin C.J. and </w:t>
            </w:r>
            <w:proofErr w:type="spellStart"/>
            <w:r w:rsidRPr="00FF73BD">
              <w:t>LeBel</w:t>
            </w:r>
            <w:proofErr w:type="spellEnd"/>
            <w:r w:rsidRPr="00FF73BD">
              <w:t xml:space="preserve">, Fish, </w:t>
            </w:r>
            <w:proofErr w:type="spellStart"/>
            <w:r w:rsidRPr="00FF73BD">
              <w:t>Abella</w:t>
            </w:r>
            <w:proofErr w:type="spellEnd"/>
            <w:r w:rsidRPr="00FF73BD">
              <w:t xml:space="preserve">, Cromwell, </w:t>
            </w:r>
            <w:proofErr w:type="spellStart"/>
            <w:r w:rsidRPr="00FF73BD">
              <w:t>Moldaver</w:t>
            </w:r>
            <w:proofErr w:type="spellEnd"/>
            <w:r w:rsidRPr="00FF73BD">
              <w:t xml:space="preserve">, </w:t>
            </w:r>
            <w:proofErr w:type="spellStart"/>
            <w:r w:rsidRPr="00FF73BD">
              <w:t>Karakatsanis</w:t>
            </w:r>
            <w:proofErr w:type="spellEnd"/>
            <w:r w:rsidRPr="00FF73BD">
              <w:t xml:space="preserve"> and Wagner JJ. concurring)</w:t>
            </w:r>
          </w:p>
        </w:tc>
      </w:tr>
    </w:tbl>
    <w:p w:rsidR="0031326D" w:rsidRPr="00FF73BD" w:rsidRDefault="0031326D" w:rsidP="0031326D">
      <w:pPr>
        <w:rPr>
          <w:rFonts w:eastAsiaTheme="minorHAnsi" w:cstheme="minorBidi"/>
          <w:szCs w:val="24"/>
          <w:lang w:eastAsia="en-US"/>
        </w:rPr>
      </w:pPr>
    </w:p>
    <w:p w:rsidR="0031326D" w:rsidRPr="00FF73BD" w:rsidRDefault="0031326D" w:rsidP="0031326D">
      <w:pPr>
        <w:rPr>
          <w:rFonts w:eastAsiaTheme="minorHAnsi" w:cstheme="minorBidi"/>
          <w:szCs w:val="24"/>
          <w:lang w:eastAsia="en-US"/>
        </w:rPr>
      </w:pPr>
    </w:p>
    <w:p w:rsidR="0031326D" w:rsidRPr="00FF73BD" w:rsidRDefault="0031326D" w:rsidP="0031326D">
      <w:pPr>
        <w:rPr>
          <w:rFonts w:eastAsiaTheme="minorHAnsi" w:cstheme="minorBidi"/>
          <w:szCs w:val="24"/>
          <w:lang w:eastAsia="en-US"/>
        </w:rPr>
      </w:pPr>
      <w:r w:rsidRPr="00381A8B">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31326D" w:rsidRPr="004E407E" w:rsidRDefault="0031326D" w:rsidP="0031326D">
      <w:pPr>
        <w:rPr>
          <w:rStyle w:val="SCCAppellantForRunningHeadChar"/>
        </w:rPr>
      </w:pPr>
      <w:r w:rsidRPr="004E407E">
        <w:rPr>
          <w:rStyle w:val="SCCAppellantForRunningHeadChar"/>
        </w:rPr>
        <w:br w:type="page"/>
      </w:r>
    </w:p>
    <w:p w:rsidR="008322BD" w:rsidRPr="00CD2E73" w:rsidRDefault="00CD2E73" w:rsidP="000571FB">
      <w:pPr>
        <w:spacing w:after="720"/>
        <w:jc w:val="both"/>
        <w:rPr>
          <w:rStyle w:val="SCCRespondentForRunningHeadChar"/>
          <w:smallCaps w:val="0"/>
        </w:rPr>
      </w:pPr>
      <w:r w:rsidRPr="00CD2E73">
        <w:rPr>
          <w:rStyle w:val="SCCRespondentForRunningHeadChar"/>
          <w:smallCaps w:val="0"/>
        </w:rPr>
        <w:lastRenderedPageBreak/>
        <w:t>Daishowa</w:t>
      </w:r>
      <w:r>
        <w:rPr>
          <w:rStyle w:val="SCCRespondentForRunningHeadChar"/>
          <w:smallCaps w:val="0"/>
        </w:rPr>
        <w:t>-</w:t>
      </w:r>
      <w:r w:rsidRPr="00CD2E73">
        <w:rPr>
          <w:rStyle w:val="SCCRespondentForRunningHeadChar"/>
          <w:smallCaps w:val="0"/>
        </w:rPr>
        <w:t xml:space="preserve">Marubeni International Ltd. </w:t>
      </w:r>
      <w:r w:rsidRPr="00CD2E73">
        <w:rPr>
          <w:rStyle w:val="SCCRespondentForRunningHeadChar"/>
          <w:i/>
          <w:smallCaps w:val="0"/>
        </w:rPr>
        <w:t>v.</w:t>
      </w:r>
      <w:r w:rsidRPr="00CD2E73">
        <w:rPr>
          <w:rStyle w:val="SCCRespondentForRunningHeadChar"/>
          <w:smallCaps w:val="0"/>
        </w:rPr>
        <w:t xml:space="preserve"> Canada</w:t>
      </w:r>
      <w:r>
        <w:rPr>
          <w:rStyle w:val="SCCRespondentForRunningHeadChar"/>
          <w:smallCaps w:val="0"/>
        </w:rPr>
        <w:t>, 2013 SCC 29, [2013] 2 S.C.R. 336</w:t>
      </w:r>
    </w:p>
    <w:p w:rsidR="006C75D3" w:rsidRPr="004C7888" w:rsidRDefault="004D620C" w:rsidP="000571FB">
      <w:pPr>
        <w:pStyle w:val="SCCLsocLastPartyInRole"/>
        <w:rPr>
          <w:lang w:val="en-US"/>
        </w:rPr>
      </w:pPr>
      <w:r w:rsidRPr="004C7888">
        <w:rPr>
          <w:lang w:val="en-US"/>
        </w:rPr>
        <w:t>Daishowa</w:t>
      </w:r>
      <w:r w:rsidR="00437B97" w:rsidRPr="004C7888">
        <w:rPr>
          <w:lang w:val="en-US"/>
        </w:rPr>
        <w:noBreakHyphen/>
      </w:r>
      <w:proofErr w:type="spellStart"/>
      <w:r w:rsidRPr="004C7888">
        <w:rPr>
          <w:lang w:val="en-US"/>
        </w:rPr>
        <w:t>Marubeni</w:t>
      </w:r>
      <w:proofErr w:type="spellEnd"/>
      <w:r w:rsidRPr="004C7888">
        <w:rPr>
          <w:lang w:val="en-US"/>
        </w:rPr>
        <w:t xml:space="preserve"> International Ltd.</w:t>
      </w:r>
      <w:r w:rsidRPr="004C7888">
        <w:rPr>
          <w:rStyle w:val="SCCLsocPartyRole"/>
          <w:lang w:val="en-US"/>
        </w:rPr>
        <w:tab/>
        <w:t>Appellant</w:t>
      </w:r>
    </w:p>
    <w:p w:rsidR="006C75D3" w:rsidRPr="004C7888" w:rsidRDefault="004D620C" w:rsidP="000571FB">
      <w:pPr>
        <w:pStyle w:val="SCCLsocVersus"/>
        <w:rPr>
          <w:lang w:val="en-US"/>
        </w:rPr>
      </w:pPr>
      <w:proofErr w:type="gramStart"/>
      <w:r w:rsidRPr="004C7888">
        <w:rPr>
          <w:lang w:val="en-US"/>
        </w:rPr>
        <w:t>v</w:t>
      </w:r>
      <w:proofErr w:type="gramEnd"/>
      <w:r w:rsidRPr="004C7888">
        <w:rPr>
          <w:lang w:val="en-US"/>
        </w:rPr>
        <w:t>.</w:t>
      </w:r>
    </w:p>
    <w:p w:rsidR="006C75D3" w:rsidRPr="004C7888" w:rsidRDefault="0051585D" w:rsidP="000571FB">
      <w:pPr>
        <w:pStyle w:val="SCCLsocLastPartyInRole"/>
      </w:pPr>
      <w:r w:rsidRPr="004C7888">
        <w:t xml:space="preserve">Her Majesty </w:t>
      </w:r>
      <w:proofErr w:type="gramStart"/>
      <w:r w:rsidRPr="004C7888">
        <w:t>T</w:t>
      </w:r>
      <w:r w:rsidR="004D620C" w:rsidRPr="004C7888">
        <w:t>he</w:t>
      </w:r>
      <w:proofErr w:type="gramEnd"/>
      <w:r w:rsidR="004D620C" w:rsidRPr="004C7888">
        <w:t xml:space="preserve"> Queen</w:t>
      </w:r>
      <w:r w:rsidR="004D620C" w:rsidRPr="004C7888">
        <w:rPr>
          <w:rStyle w:val="SCCLsocPartyRole"/>
        </w:rPr>
        <w:tab/>
        <w:t>Respondent</w:t>
      </w:r>
    </w:p>
    <w:p w:rsidR="006C75D3" w:rsidRPr="004C7888" w:rsidRDefault="004D620C" w:rsidP="000571FB">
      <w:pPr>
        <w:pStyle w:val="SCCLsocOtherPartySeparator"/>
      </w:pPr>
      <w:proofErr w:type="gramStart"/>
      <w:r w:rsidRPr="004C7888">
        <w:t>and</w:t>
      </w:r>
      <w:proofErr w:type="gramEnd"/>
    </w:p>
    <w:p w:rsidR="00822511" w:rsidRPr="004C7888" w:rsidRDefault="00822511" w:rsidP="000571FB">
      <w:pPr>
        <w:pStyle w:val="SCCLsocParty"/>
      </w:pPr>
      <w:r w:rsidRPr="004C7888">
        <w:t xml:space="preserve">Her Majesty </w:t>
      </w:r>
      <w:proofErr w:type="gramStart"/>
      <w:r w:rsidR="000317EF" w:rsidRPr="004C7888">
        <w:t>T</w:t>
      </w:r>
      <w:r w:rsidRPr="004C7888">
        <w:t>he</w:t>
      </w:r>
      <w:proofErr w:type="gramEnd"/>
      <w:r w:rsidRPr="004C7888">
        <w:t xml:space="preserve"> Queen in Right of Alberta, </w:t>
      </w:r>
    </w:p>
    <w:p w:rsidR="00176711" w:rsidRPr="004C7888" w:rsidRDefault="004D620C" w:rsidP="000571FB">
      <w:pPr>
        <w:pStyle w:val="SCCLsocParty"/>
      </w:pPr>
      <w:r w:rsidRPr="004C7888">
        <w:t xml:space="preserve">Tolko Industries Ltd., International Forest Products </w:t>
      </w:r>
    </w:p>
    <w:p w:rsidR="00176711" w:rsidRPr="004C7888" w:rsidRDefault="004D620C" w:rsidP="000571FB">
      <w:pPr>
        <w:pStyle w:val="SCCLsocParty"/>
      </w:pPr>
      <w:r w:rsidRPr="004C7888">
        <w:t>Ltd</w:t>
      </w:r>
      <w:r w:rsidR="00434FCA" w:rsidRPr="004C7888">
        <w:t>.</w:t>
      </w:r>
      <w:r w:rsidRPr="004C7888">
        <w:t>, West Fraser Timber Co. Ltd.</w:t>
      </w:r>
      <w:r w:rsidR="00176711" w:rsidRPr="004C7888">
        <w:t xml:space="preserve">, </w:t>
      </w:r>
      <w:r w:rsidRPr="004C7888">
        <w:t xml:space="preserve">Canfor </w:t>
      </w:r>
    </w:p>
    <w:p w:rsidR="00176711" w:rsidRPr="004C7888" w:rsidRDefault="004D620C" w:rsidP="000571FB">
      <w:pPr>
        <w:pStyle w:val="SCCLsocParty"/>
      </w:pPr>
      <w:r w:rsidRPr="004C7888">
        <w:t>Corporation</w:t>
      </w:r>
      <w:r w:rsidR="00822511" w:rsidRPr="004C7888">
        <w:t xml:space="preserve"> and</w:t>
      </w:r>
      <w:r w:rsidR="00176711" w:rsidRPr="004C7888">
        <w:t xml:space="preserve"> </w:t>
      </w:r>
      <w:r w:rsidRPr="004C7888">
        <w:t xml:space="preserve">Canadian Association of Petroleum </w:t>
      </w:r>
    </w:p>
    <w:p w:rsidR="006C75D3" w:rsidRPr="004C7888" w:rsidRDefault="004D620C" w:rsidP="000571FB">
      <w:pPr>
        <w:pStyle w:val="SCCLsocParty"/>
        <w:spacing w:after="720"/>
      </w:pPr>
      <w:r w:rsidRPr="004C7888">
        <w:t>Producers</w:t>
      </w:r>
      <w:r w:rsidRPr="004C7888">
        <w:rPr>
          <w:rStyle w:val="SCCLsocPartyRole"/>
        </w:rPr>
        <w:tab/>
        <w:t>Interveners</w:t>
      </w:r>
    </w:p>
    <w:p w:rsidR="00426659" w:rsidRPr="004C7888" w:rsidRDefault="00426659" w:rsidP="000571FB">
      <w:pPr>
        <w:spacing w:after="720"/>
        <w:jc w:val="both"/>
        <w:rPr>
          <w:b/>
        </w:rPr>
      </w:pPr>
      <w:r w:rsidRPr="004C7888">
        <w:rPr>
          <w:b/>
        </w:rPr>
        <w:t xml:space="preserve">Indexed as:  </w:t>
      </w:r>
      <w:r w:rsidRPr="004C7888">
        <w:rPr>
          <w:rStyle w:val="SCCAppellantForIndexChar"/>
        </w:rPr>
        <w:t>Daishowa</w:t>
      </w:r>
      <w:r w:rsidR="00437B97" w:rsidRPr="004C7888">
        <w:rPr>
          <w:rStyle w:val="SCCAppellantForIndexChar"/>
        </w:rPr>
        <w:noBreakHyphen/>
      </w:r>
      <w:proofErr w:type="spellStart"/>
      <w:r w:rsidRPr="004C7888">
        <w:rPr>
          <w:rStyle w:val="SCCAppellantForIndexChar"/>
        </w:rPr>
        <w:t>Marubeni</w:t>
      </w:r>
      <w:proofErr w:type="spellEnd"/>
      <w:r w:rsidRPr="004C7888">
        <w:rPr>
          <w:rStyle w:val="SCCAppellantForIndexChar"/>
        </w:rPr>
        <w:t xml:space="preserve"> International Ltd.</w:t>
      </w:r>
      <w:r w:rsidRPr="004C7888">
        <w:rPr>
          <w:b/>
        </w:rPr>
        <w:t xml:space="preserve"> </w:t>
      </w:r>
      <w:r w:rsidRPr="004C7888">
        <w:rPr>
          <w:b/>
          <w:i/>
        </w:rPr>
        <w:t>v.</w:t>
      </w:r>
      <w:r w:rsidRPr="004C7888">
        <w:rPr>
          <w:b/>
        </w:rPr>
        <w:t xml:space="preserve"> </w:t>
      </w:r>
      <w:r w:rsidR="00176711" w:rsidRPr="004C7888">
        <w:rPr>
          <w:b/>
        </w:rPr>
        <w:t>Canada</w:t>
      </w:r>
    </w:p>
    <w:p w:rsidR="00426659" w:rsidRPr="004C7888" w:rsidRDefault="004F36FF" w:rsidP="000571FB">
      <w:pPr>
        <w:pStyle w:val="SCCSystemYear"/>
        <w:spacing w:after="720"/>
        <w:jc w:val="both"/>
      </w:pPr>
      <w:r w:rsidRPr="004C7888">
        <w:t>2013</w:t>
      </w:r>
      <w:r w:rsidR="003D0399" w:rsidRPr="004C7888">
        <w:t xml:space="preserve"> </w:t>
      </w:r>
      <w:r w:rsidR="00426659" w:rsidRPr="004C7888">
        <w:t>SCC </w:t>
      </w:r>
      <w:r w:rsidR="00B2498D" w:rsidRPr="004C7888">
        <w:t>29</w:t>
      </w:r>
    </w:p>
    <w:p w:rsidR="008322BD" w:rsidRPr="004C7888" w:rsidRDefault="009B57B3" w:rsidP="000571FB">
      <w:pPr>
        <w:spacing w:after="720"/>
        <w:jc w:val="both"/>
      </w:pPr>
      <w:r w:rsidRPr="004C7888">
        <w:t>File No.:  34534.</w:t>
      </w:r>
    </w:p>
    <w:p w:rsidR="008322BD" w:rsidRPr="004C7888" w:rsidRDefault="000571FB" w:rsidP="000571FB">
      <w:pPr>
        <w:spacing w:after="720"/>
        <w:jc w:val="both"/>
      </w:pPr>
      <w:r w:rsidRPr="004C7888">
        <w:t>2013:  February </w:t>
      </w:r>
      <w:r w:rsidR="004F36FF" w:rsidRPr="004C7888">
        <w:t>20</w:t>
      </w:r>
      <w:r w:rsidR="009B57B3" w:rsidRPr="004C7888">
        <w:t xml:space="preserve">; </w:t>
      </w:r>
      <w:r w:rsidRPr="004C7888">
        <w:t>2013:  </w:t>
      </w:r>
      <w:r w:rsidR="007C62B8" w:rsidRPr="004C7888">
        <w:t>May 23</w:t>
      </w:r>
      <w:r w:rsidR="009B57B3" w:rsidRPr="004C7888">
        <w:t>.</w:t>
      </w:r>
    </w:p>
    <w:p w:rsidR="008322BD" w:rsidRPr="004C7888" w:rsidRDefault="009B57B3" w:rsidP="000571FB">
      <w:pPr>
        <w:spacing w:after="720"/>
        <w:jc w:val="both"/>
      </w:pPr>
      <w:r w:rsidRPr="004C7888">
        <w:t xml:space="preserve">Present:  McLachlin C.J. and </w:t>
      </w:r>
      <w:proofErr w:type="spellStart"/>
      <w:r w:rsidRPr="004C7888">
        <w:t>LeBel</w:t>
      </w:r>
      <w:proofErr w:type="spellEnd"/>
      <w:r w:rsidRPr="004C7888">
        <w:t xml:space="preserve">, Fish, </w:t>
      </w:r>
      <w:proofErr w:type="spellStart"/>
      <w:r w:rsidRPr="004C7888">
        <w:t>Abella</w:t>
      </w:r>
      <w:proofErr w:type="spellEnd"/>
      <w:r w:rsidRPr="004C7888">
        <w:t xml:space="preserve">, Rothstein, Cromwell, </w:t>
      </w:r>
      <w:proofErr w:type="spellStart"/>
      <w:r w:rsidRPr="004C7888">
        <w:t>Moldaver</w:t>
      </w:r>
      <w:proofErr w:type="spellEnd"/>
      <w:r w:rsidRPr="004C7888">
        <w:t xml:space="preserve">, </w:t>
      </w:r>
      <w:proofErr w:type="spellStart"/>
      <w:r w:rsidRPr="004C7888">
        <w:t>Karakatsanis</w:t>
      </w:r>
      <w:proofErr w:type="spellEnd"/>
      <w:r w:rsidRPr="004C7888">
        <w:t xml:space="preserve"> and Wagner JJ.</w:t>
      </w:r>
    </w:p>
    <w:p w:rsidR="008322BD" w:rsidRPr="004C7888" w:rsidRDefault="00656313" w:rsidP="000571FB">
      <w:pPr>
        <w:pStyle w:val="SCCLowerCourtNameLowercase"/>
        <w:spacing w:after="720" w:line="240" w:lineRule="auto"/>
      </w:pPr>
      <w:r w:rsidRPr="004C7888">
        <w:t>o</w:t>
      </w:r>
      <w:r w:rsidR="00170592" w:rsidRPr="004C7888">
        <w:t>n</w:t>
      </w:r>
      <w:r w:rsidR="00224FC0" w:rsidRPr="004C7888">
        <w:t xml:space="preserve"> </w:t>
      </w:r>
      <w:r w:rsidRPr="004C7888">
        <w:t>a</w:t>
      </w:r>
      <w:r w:rsidR="00170592" w:rsidRPr="004C7888">
        <w:t>ppeal</w:t>
      </w:r>
      <w:r w:rsidR="00224FC0" w:rsidRPr="004C7888">
        <w:t xml:space="preserve"> </w:t>
      </w:r>
      <w:r w:rsidR="00170592" w:rsidRPr="004C7888">
        <w:t>from</w:t>
      </w:r>
      <w:r w:rsidR="009567AA" w:rsidRPr="004C7888">
        <w:t xml:space="preserve"> the</w:t>
      </w:r>
      <w:r w:rsidR="00224FC0" w:rsidRPr="004C7888">
        <w:t xml:space="preserve"> </w:t>
      </w:r>
      <w:r w:rsidR="009B57B3" w:rsidRPr="004C7888">
        <w:t>federal court of appeal</w:t>
      </w:r>
    </w:p>
    <w:p w:rsidR="001B499C" w:rsidRPr="004C7888" w:rsidRDefault="001B499C" w:rsidP="001B499C">
      <w:pPr>
        <w:pStyle w:val="SCCNormalDoubleSpacing"/>
        <w:spacing w:after="480"/>
        <w:rPr>
          <w:i/>
        </w:rPr>
      </w:pPr>
      <w:r w:rsidRPr="004C7888">
        <w:lastRenderedPageBreak/>
        <w:tab/>
      </w:r>
      <w:r w:rsidRPr="004C7888">
        <w:rPr>
          <w:i/>
        </w:rPr>
        <w:t>Taxation — Income tax — Proceeds of disposition — Sale of forest tenures — Reforestation obligations imposed on forest tenures — Value of reforestation obligations not included in vendor’s proceeds of disposition for tax purposes — Whether reforestation obligations should be included in vendor’s proceeds of disposition for tax purposes — Whether reforestation obligations are distinct debts — Whether reforestation obligations are contingent liabilities — Whether contracting parties agreeing to specific value for future reforestation obligations relevant for tax purposes — Income Tax Act, R.S.C. 1985</w:t>
      </w:r>
      <w:r w:rsidR="00306216" w:rsidRPr="004C7888">
        <w:rPr>
          <w:i/>
        </w:rPr>
        <w:t>,</w:t>
      </w:r>
      <w:r w:rsidRPr="004C7888">
        <w:rPr>
          <w:i/>
        </w:rPr>
        <w:t xml:space="preserve"> c.</w:t>
      </w:r>
      <w:r w:rsidR="00437B97" w:rsidRPr="004C7888">
        <w:rPr>
          <w:i/>
        </w:rPr>
        <w:t> </w:t>
      </w:r>
      <w:r w:rsidR="00E259F4">
        <w:rPr>
          <w:i/>
        </w:rPr>
        <w:t>1 (5th Supp.),</w:t>
      </w:r>
      <w:r w:rsidR="00437B97" w:rsidRPr="004C7888">
        <w:rPr>
          <w:i/>
        </w:rPr>
        <w:t xml:space="preserve"> s. </w:t>
      </w:r>
      <w:r w:rsidRPr="004C7888">
        <w:rPr>
          <w:i/>
        </w:rPr>
        <w:t>13(21).</w:t>
      </w:r>
    </w:p>
    <w:p w:rsidR="001B499C" w:rsidRPr="004C7888" w:rsidRDefault="00F402C9" w:rsidP="001B499C">
      <w:pPr>
        <w:pStyle w:val="SCCNormalDoubleSpacing"/>
        <w:spacing w:after="480"/>
      </w:pPr>
      <w:r w:rsidRPr="004C7888">
        <w:tab/>
      </w:r>
      <w:r w:rsidR="001B499C" w:rsidRPr="004C7888">
        <w:t>In 1999 and 2000, DMI sold two forest tenures in Alberta.</w:t>
      </w:r>
      <w:r w:rsidR="004C7888">
        <w:t xml:space="preserve"> </w:t>
      </w:r>
      <w:r w:rsidR="001B499C" w:rsidRPr="004C7888">
        <w:t xml:space="preserve"> Alberta’s regulatory regime imposed upon the licences an obligation to reforest the areas harvested, a process which generally takes eight to fourteen years.</w:t>
      </w:r>
      <w:r w:rsidR="00437B97" w:rsidRPr="004C7888">
        <w:t xml:space="preserve"> </w:t>
      </w:r>
      <w:r w:rsidRPr="004C7888">
        <w:t xml:space="preserve"> </w:t>
      </w:r>
      <w:r w:rsidR="001B499C" w:rsidRPr="004C7888">
        <w:t xml:space="preserve">Both sale agreements provided that the purchasers assumed </w:t>
      </w:r>
      <w:r w:rsidR="00306216" w:rsidRPr="004C7888">
        <w:t xml:space="preserve">the obligation to reforest. </w:t>
      </w:r>
    </w:p>
    <w:p w:rsidR="001B499C" w:rsidRPr="004C7888" w:rsidRDefault="001B499C" w:rsidP="001B499C">
      <w:pPr>
        <w:pStyle w:val="SCCNormalDoubleSpacing"/>
        <w:spacing w:after="480"/>
      </w:pPr>
      <w:r w:rsidRPr="004C7888">
        <w:tab/>
        <w:t xml:space="preserve">In the years </w:t>
      </w:r>
      <w:r w:rsidR="00306216" w:rsidRPr="004C7888">
        <w:t>in which</w:t>
      </w:r>
      <w:r w:rsidRPr="004C7888">
        <w:t xml:space="preserve"> DMI harvested timber in accordance with the forest tenures, it did not claim a tax deduction for the estimated future reforestation obligations that arose as a result of the harvesting.  In the years in which the sales took </w:t>
      </w:r>
      <w:proofErr w:type="gramStart"/>
      <w:r w:rsidRPr="004C7888">
        <w:t>place,</w:t>
      </w:r>
      <w:proofErr w:type="gramEnd"/>
      <w:r w:rsidRPr="004C7888">
        <w:t xml:space="preserve"> DMI did not include in its income any amount to reflect the purchasers’ assumption of the reforestation obligations.</w:t>
      </w:r>
    </w:p>
    <w:p w:rsidR="001B499C" w:rsidRPr="004C7888" w:rsidRDefault="001B499C" w:rsidP="001B499C">
      <w:pPr>
        <w:pStyle w:val="SCCNormalDoubleSpacing"/>
        <w:spacing w:after="480"/>
      </w:pPr>
      <w:r w:rsidRPr="004C7888">
        <w:tab/>
        <w:t>The Minister of National Revenue reassessed DMI with respect to the 1999 and 2000 taxation years to include amounts equal to the estimated cost of the reforestation obligations in the “proceeds of disposition” under s.</w:t>
      </w:r>
      <w:r w:rsidR="00437B97" w:rsidRPr="004C7888">
        <w:t> </w:t>
      </w:r>
      <w:r w:rsidRPr="004C7888">
        <w:t xml:space="preserve">13(21) of the </w:t>
      </w:r>
      <w:r w:rsidRPr="004C7888">
        <w:rPr>
          <w:i/>
        </w:rPr>
        <w:lastRenderedPageBreak/>
        <w:t>Income Tax Act</w:t>
      </w:r>
      <w:r w:rsidRPr="004C7888">
        <w:t xml:space="preserve">. </w:t>
      </w:r>
      <w:r w:rsidR="00437B97" w:rsidRPr="004C7888">
        <w:t xml:space="preserve"> </w:t>
      </w:r>
      <w:r w:rsidRPr="004C7888">
        <w:t>The Tax Court of Canada allowed DMI’s appeal of the Minister’s reassessment in part, holding that, upon sale of a forest tenure, the purchaser’s assumption of reforestation obligations is properly included in the vendor’s proceeds of disposition und</w:t>
      </w:r>
      <w:r w:rsidR="00437B97" w:rsidRPr="004C7888">
        <w:t>er s. </w:t>
      </w:r>
      <w:r w:rsidRPr="004C7888">
        <w:t xml:space="preserve">13(21), but that only a percentage of the estimated cost should have been included. </w:t>
      </w:r>
      <w:r w:rsidR="00306216" w:rsidRPr="004C7888">
        <w:t xml:space="preserve"> </w:t>
      </w:r>
      <w:r w:rsidRPr="004C7888">
        <w:t xml:space="preserve">A majority of the Court of Appeal </w:t>
      </w:r>
      <w:r w:rsidR="00306216" w:rsidRPr="004C7888">
        <w:t xml:space="preserve">held that </w:t>
      </w:r>
      <w:r w:rsidRPr="004C7888">
        <w:t xml:space="preserve">DMI was required to include the entire estimated cost of the reforestation obligations associated </w:t>
      </w:r>
      <w:proofErr w:type="gramStart"/>
      <w:r w:rsidRPr="004C7888">
        <w:t>with each tenure</w:t>
      </w:r>
      <w:proofErr w:type="gramEnd"/>
      <w:r w:rsidRPr="004C7888">
        <w:t xml:space="preserve"> in its proceeds of disposition. </w:t>
      </w:r>
    </w:p>
    <w:p w:rsidR="001B499C" w:rsidRPr="004C7888" w:rsidRDefault="001B499C" w:rsidP="001B499C">
      <w:pPr>
        <w:pStyle w:val="SCCNormalDoubleSpacing"/>
        <w:spacing w:after="480"/>
      </w:pPr>
      <w:r w:rsidRPr="004C7888">
        <w:tab/>
      </w:r>
      <w:r w:rsidRPr="004C7888">
        <w:rPr>
          <w:i/>
        </w:rPr>
        <w:t>Held</w:t>
      </w:r>
      <w:r w:rsidRPr="004C7888">
        <w:t xml:space="preserve">: </w:t>
      </w:r>
      <w:r w:rsidR="00437B97" w:rsidRPr="004C7888">
        <w:t xml:space="preserve"> </w:t>
      </w:r>
      <w:r w:rsidRPr="004C7888">
        <w:t>The appeal should be allowed and the matter should be remitted to the Minister for reassessment.</w:t>
      </w:r>
    </w:p>
    <w:p w:rsidR="001B499C" w:rsidRPr="004C7888" w:rsidRDefault="001B499C" w:rsidP="001B499C">
      <w:pPr>
        <w:pStyle w:val="SCCNormalDoubleSpacing"/>
        <w:spacing w:after="480"/>
      </w:pPr>
      <w:r w:rsidRPr="004C7888">
        <w:tab/>
        <w:t>DMI was not required to include the estimated cost of reforestation in its “proceeds of disposition” for income tax purposes.</w:t>
      </w:r>
      <w:r w:rsidR="00437B97" w:rsidRPr="004C7888">
        <w:t xml:space="preserve"> </w:t>
      </w:r>
      <w:r w:rsidRPr="004C7888">
        <w:t xml:space="preserve"> As a matter of principle, the assumption of a vendor’s liability by a purchaser may constitute part of the sale price and</w:t>
      </w:r>
      <w:r w:rsidR="00B30C8D">
        <w:t>,</w:t>
      </w:r>
      <w:r w:rsidRPr="004C7888">
        <w:t xml:space="preserve"> therefore</w:t>
      </w:r>
      <w:r w:rsidR="00B30C8D">
        <w:t>,</w:t>
      </w:r>
      <w:r w:rsidRPr="004C7888">
        <w:t xml:space="preserve"> part of the proceeds of disposition.  However, the reforestation obligation associated with </w:t>
      </w:r>
      <w:proofErr w:type="gramStart"/>
      <w:r w:rsidRPr="004C7888">
        <w:t>a forest</w:t>
      </w:r>
      <w:proofErr w:type="gramEnd"/>
      <w:r w:rsidRPr="004C7888">
        <w:t xml:space="preserve"> tenure </w:t>
      </w:r>
      <w:r w:rsidR="00306216" w:rsidRPr="004C7888">
        <w:t>is</w:t>
      </w:r>
      <w:r w:rsidRPr="004C7888">
        <w:t xml:space="preserve"> not a distinct existing liability that must be included in the proceeds disposition.  The reforestation obligation</w:t>
      </w:r>
      <w:r w:rsidR="00306216" w:rsidRPr="004C7888">
        <w:t xml:space="preserve"> i</w:t>
      </w:r>
      <w:r w:rsidRPr="004C7888">
        <w:t xml:space="preserve">s embedded in the forest tenure by virtue of Alberta’s regulatory scheme, which prevents a vendor from selling forest tenures without also assigning the </w:t>
      </w:r>
      <w:r w:rsidR="00F402C9" w:rsidRPr="004C7888">
        <w:t xml:space="preserve">reforestation obligations.  </w:t>
      </w:r>
      <w:r w:rsidRPr="004C7888">
        <w:t>As such</w:t>
      </w:r>
      <w:r w:rsidR="00306216" w:rsidRPr="004C7888">
        <w:t>, they are simply a future cost</w:t>
      </w:r>
      <w:r w:rsidRPr="004C7888">
        <w:t xml:space="preserve"> tied to the tenure that depresses the value of the tenure.  This is so irrespective of whether the contracting parties agreed to an estimated future </w:t>
      </w:r>
      <w:r w:rsidR="00F402C9" w:rsidRPr="004C7888">
        <w:t xml:space="preserve">cost for the reforestation </w:t>
      </w:r>
      <w:r w:rsidRPr="004C7888">
        <w:t xml:space="preserve">or the vendor estimated the cost of future reforestation obligations to compute its income for accounting purposes. </w:t>
      </w:r>
    </w:p>
    <w:p w:rsidR="001B499C" w:rsidRPr="004C7888" w:rsidRDefault="001B499C" w:rsidP="001B499C">
      <w:pPr>
        <w:pStyle w:val="SCCNormalDoubleSpacing"/>
        <w:spacing w:after="480"/>
      </w:pPr>
      <w:r w:rsidRPr="004C7888">
        <w:lastRenderedPageBreak/>
        <w:tab/>
        <w:t>DMI’s argument that the reforestation obligations should not be included in its proceeds of disposition because they are a “contingent liability” is misplaced because</w:t>
      </w:r>
      <w:r w:rsidR="00306216" w:rsidRPr="004C7888">
        <w:t xml:space="preserve"> </w:t>
      </w:r>
      <w:r w:rsidRPr="004C7888">
        <w:t xml:space="preserve">it implicitly assumes that the reforestation obligations are a distinct existing liability of the vendor.  As an embedded future cost, the reforestation obligations are properly excluded from proceeds of disposition regardless of whether they are contingent or absolute.  </w:t>
      </w:r>
    </w:p>
    <w:p w:rsidR="001B499C" w:rsidRPr="004C7888" w:rsidRDefault="001B499C" w:rsidP="001B499C">
      <w:pPr>
        <w:pStyle w:val="SCCNormalDoubleSpacing"/>
        <w:spacing w:after="480"/>
      </w:pPr>
      <w:r w:rsidRPr="004C7888">
        <w:tab/>
        <w:t>The conclusion that a purchaser’s assumption of the reforestation obligations is not part of the proceeds of disposition avoids the asymmetry inherent in the Min</w:t>
      </w:r>
      <w:r w:rsidR="00306216" w:rsidRPr="004C7888">
        <w:t>i</w:t>
      </w:r>
      <w:r w:rsidRPr="004C7888">
        <w:t>ster’s approach, which would tax the vendor at the time of the sale as if the reforestation obligations assumed by the purchaser were part of the sale price, but tax the purchaser as if they were not.</w:t>
      </w:r>
    </w:p>
    <w:p w:rsidR="007E1C47" w:rsidRPr="004C7888" w:rsidRDefault="002E6705" w:rsidP="000571FB">
      <w:pPr>
        <w:pStyle w:val="SCCNormalDoubleSpacing"/>
        <w:keepNext/>
        <w:spacing w:after="720" w:line="240" w:lineRule="auto"/>
        <w:rPr>
          <w:b/>
        </w:rPr>
      </w:pPr>
      <w:r w:rsidRPr="004C7888">
        <w:rPr>
          <w:b/>
        </w:rPr>
        <w:t>Cases Cited</w:t>
      </w:r>
    </w:p>
    <w:p w:rsidR="00045C57" w:rsidRPr="004C7888" w:rsidRDefault="00045C57" w:rsidP="000571FB">
      <w:pPr>
        <w:pStyle w:val="SCCNormalDoubleSpacing"/>
        <w:spacing w:after="480"/>
      </w:pPr>
      <w:r w:rsidRPr="004C7888">
        <w:rPr>
          <w:b/>
        </w:rPr>
        <w:tab/>
      </w:r>
      <w:r w:rsidR="002E6705" w:rsidRPr="004C7888">
        <w:rPr>
          <w:b/>
        </w:rPr>
        <w:t>Referred to:</w:t>
      </w:r>
      <w:r w:rsidR="00BD0E9E" w:rsidRPr="004C7888">
        <w:t xml:space="preserve"> </w:t>
      </w:r>
      <w:r w:rsidR="005917EE" w:rsidRPr="004C7888">
        <w:t xml:space="preserve"> </w:t>
      </w:r>
      <w:proofErr w:type="spellStart"/>
      <w:r w:rsidR="005917EE" w:rsidRPr="004C7888">
        <w:rPr>
          <w:i/>
        </w:rPr>
        <w:t>Telus</w:t>
      </w:r>
      <w:proofErr w:type="spellEnd"/>
      <w:r w:rsidR="005917EE" w:rsidRPr="004C7888">
        <w:rPr>
          <w:i/>
        </w:rPr>
        <w:t xml:space="preserve"> Communications (Edmonton) Inc. v. Minister of National Revenue</w:t>
      </w:r>
      <w:r w:rsidR="005917EE" w:rsidRPr="004C7888">
        <w:t xml:space="preserve">, 2009 FCA 49, </w:t>
      </w:r>
      <w:proofErr w:type="gramStart"/>
      <w:r w:rsidR="005917EE" w:rsidRPr="004C7888">
        <w:t>386 N.R. 354</w:t>
      </w:r>
      <w:proofErr w:type="gramEnd"/>
      <w:r w:rsidR="005917EE" w:rsidRPr="004C7888">
        <w:t>;</w:t>
      </w:r>
      <w:r w:rsidR="000859BA" w:rsidRPr="004C7888">
        <w:t xml:space="preserve"> </w:t>
      </w:r>
      <w:proofErr w:type="spellStart"/>
      <w:r w:rsidR="005917EE" w:rsidRPr="004C7888">
        <w:rPr>
          <w:i/>
        </w:rPr>
        <w:t>Loyens</w:t>
      </w:r>
      <w:proofErr w:type="spellEnd"/>
      <w:r w:rsidR="005917EE" w:rsidRPr="004C7888">
        <w:rPr>
          <w:i/>
        </w:rPr>
        <w:t xml:space="preserve"> v. </w:t>
      </w:r>
      <w:r w:rsidR="000859BA" w:rsidRPr="004C7888">
        <w:rPr>
          <w:i/>
        </w:rPr>
        <w:t>The Queen</w:t>
      </w:r>
      <w:r w:rsidR="005917EE" w:rsidRPr="004C7888">
        <w:t>, 2003 TCC 214, 2003 D.T.C. 355</w:t>
      </w:r>
      <w:r w:rsidR="000859BA" w:rsidRPr="004C7888">
        <w:t>;</w:t>
      </w:r>
      <w:r w:rsidR="008E6FDA" w:rsidRPr="004C7888">
        <w:t xml:space="preserve"> </w:t>
      </w:r>
      <w:r w:rsidR="005917EE" w:rsidRPr="004C7888">
        <w:rPr>
          <w:i/>
        </w:rPr>
        <w:t>Lord Elgin Hotel Ltd. v. Minister of National Revenue</w:t>
      </w:r>
      <w:r w:rsidR="005917EE" w:rsidRPr="004C7888">
        <w:t xml:space="preserve"> </w:t>
      </w:r>
      <w:r w:rsidR="008E6FDA" w:rsidRPr="004C7888">
        <w:t>(</w:t>
      </w:r>
      <w:r w:rsidR="005917EE" w:rsidRPr="004C7888">
        <w:t>1964</w:t>
      </w:r>
      <w:r w:rsidR="008E6FDA" w:rsidRPr="004C7888">
        <w:t>),</w:t>
      </w:r>
      <w:r w:rsidR="005917EE" w:rsidRPr="004C7888">
        <w:t xml:space="preserve"> 64 D.T.C. 637</w:t>
      </w:r>
      <w:r w:rsidR="00D160FD" w:rsidRPr="004C7888">
        <w:t xml:space="preserve">; </w:t>
      </w:r>
      <w:r w:rsidR="00D160FD" w:rsidRPr="004C7888">
        <w:rPr>
          <w:i/>
        </w:rPr>
        <w:t xml:space="preserve">Canada v. </w:t>
      </w:r>
      <w:proofErr w:type="spellStart"/>
      <w:r w:rsidR="00D160FD" w:rsidRPr="004C7888">
        <w:rPr>
          <w:i/>
        </w:rPr>
        <w:t>McLarty</w:t>
      </w:r>
      <w:proofErr w:type="spellEnd"/>
      <w:r w:rsidR="00D160FD" w:rsidRPr="004C7888">
        <w:t xml:space="preserve">, 2008 SCC 26, [2008] 2 S.C.R. 79; </w:t>
      </w:r>
      <w:r w:rsidR="00D160FD" w:rsidRPr="004C7888">
        <w:rPr>
          <w:i/>
        </w:rPr>
        <w:t>Winter v. Inland Revenue Commissioners</w:t>
      </w:r>
      <w:r w:rsidR="00D160FD" w:rsidRPr="004C7888">
        <w:t>, [1963] A.C. 235</w:t>
      </w:r>
      <w:r w:rsidR="00F34C93" w:rsidRPr="004C7888">
        <w:t xml:space="preserve">; </w:t>
      </w:r>
      <w:r w:rsidR="00F34C93" w:rsidRPr="004C7888">
        <w:rPr>
          <w:i/>
        </w:rPr>
        <w:t xml:space="preserve">Mandel v. </w:t>
      </w:r>
      <w:proofErr w:type="gramStart"/>
      <w:r w:rsidR="00F34C93" w:rsidRPr="004C7888">
        <w:rPr>
          <w:i/>
        </w:rPr>
        <w:t>The Queen</w:t>
      </w:r>
      <w:r w:rsidR="00F34C93" w:rsidRPr="004C7888">
        <w:t xml:space="preserve">, [1980] 1 S.C.R. 318, </w:t>
      </w:r>
      <w:proofErr w:type="spellStart"/>
      <w:r w:rsidR="00F34C93" w:rsidRPr="004C7888">
        <w:t>aff’g</w:t>
      </w:r>
      <w:proofErr w:type="spellEnd"/>
      <w:r w:rsidR="00F34C93" w:rsidRPr="004C7888">
        <w:t xml:space="preserve"> [1979] 1 F.C. 560</w:t>
      </w:r>
      <w:r w:rsidRPr="004C7888">
        <w:t xml:space="preserve">; </w:t>
      </w:r>
      <w:proofErr w:type="spellStart"/>
      <w:r w:rsidRPr="004C7888">
        <w:rPr>
          <w:i/>
        </w:rPr>
        <w:t>Canderel</w:t>
      </w:r>
      <w:proofErr w:type="spellEnd"/>
      <w:r w:rsidRPr="004C7888">
        <w:rPr>
          <w:i/>
        </w:rPr>
        <w:t xml:space="preserve"> Ltd. v. Canada</w:t>
      </w:r>
      <w:r w:rsidRPr="004C7888">
        <w:t>, [1998] 1 S.C.R. 147.</w:t>
      </w:r>
      <w:proofErr w:type="gramEnd"/>
    </w:p>
    <w:p w:rsidR="003B215F" w:rsidRPr="004C7888" w:rsidRDefault="002E6705" w:rsidP="000571FB">
      <w:pPr>
        <w:pStyle w:val="SCCNormalDoubleSpacing"/>
        <w:keepNext/>
        <w:spacing w:after="720" w:line="240" w:lineRule="auto"/>
      </w:pPr>
      <w:r w:rsidRPr="004C7888">
        <w:rPr>
          <w:b/>
        </w:rPr>
        <w:lastRenderedPageBreak/>
        <w:t>Statutes and Regulations Cite</w:t>
      </w:r>
      <w:r w:rsidR="00A41805" w:rsidRPr="004C7888">
        <w:rPr>
          <w:b/>
        </w:rPr>
        <w:t>d</w:t>
      </w:r>
    </w:p>
    <w:p w:rsidR="00063E7E" w:rsidRPr="004C7888" w:rsidRDefault="00063E7E" w:rsidP="00063E7E">
      <w:pPr>
        <w:pStyle w:val="SCCNormalDoubleSpacing"/>
        <w:spacing w:after="240" w:line="240" w:lineRule="auto"/>
        <w:ind w:left="547" w:hanging="547"/>
      </w:pPr>
      <w:r w:rsidRPr="004C7888">
        <w:rPr>
          <w:i/>
        </w:rPr>
        <w:t>Forests Act</w:t>
      </w:r>
      <w:r w:rsidRPr="004C7888">
        <w:t>, R.S.A. 1980, c. F</w:t>
      </w:r>
      <w:r w:rsidR="00437B97" w:rsidRPr="004C7888">
        <w:noBreakHyphen/>
      </w:r>
      <w:r w:rsidRPr="004C7888">
        <w:t xml:space="preserve">16, </w:t>
      </w:r>
      <w:r w:rsidR="00437B97" w:rsidRPr="004C7888">
        <w:t>ss. </w:t>
      </w:r>
      <w:r w:rsidRPr="004C7888">
        <w:t>16, 17, 28(2).</w:t>
      </w:r>
    </w:p>
    <w:p w:rsidR="00A149DF" w:rsidRPr="004C7888" w:rsidRDefault="00144935" w:rsidP="000571FB">
      <w:pPr>
        <w:pStyle w:val="SCCNormalDoubleSpacing"/>
        <w:spacing w:after="240" w:line="240" w:lineRule="auto"/>
        <w:ind w:left="547" w:hanging="547"/>
      </w:pPr>
      <w:r w:rsidRPr="004C7888">
        <w:rPr>
          <w:i/>
        </w:rPr>
        <w:t>Forests Act</w:t>
      </w:r>
      <w:r w:rsidRPr="004C7888">
        <w:t xml:space="preserve">, R.S.A. 2000, </w:t>
      </w:r>
      <w:r w:rsidR="000571FB" w:rsidRPr="004C7888">
        <w:t>c. </w:t>
      </w:r>
      <w:r w:rsidRPr="004C7888">
        <w:t>F</w:t>
      </w:r>
      <w:r w:rsidR="00437B97" w:rsidRPr="004C7888">
        <w:noBreakHyphen/>
      </w:r>
      <w:r w:rsidRPr="004C7888">
        <w:t>22.</w:t>
      </w:r>
    </w:p>
    <w:p w:rsidR="00F05004" w:rsidRPr="004C7888" w:rsidRDefault="008B1BE0" w:rsidP="000571FB">
      <w:pPr>
        <w:pStyle w:val="SCCNormalDoubleSpacing"/>
        <w:spacing w:after="240" w:line="240" w:lineRule="auto"/>
        <w:ind w:left="547" w:hanging="547"/>
      </w:pPr>
      <w:r w:rsidRPr="004C7888">
        <w:rPr>
          <w:i/>
        </w:rPr>
        <w:t>Income Tax Act</w:t>
      </w:r>
      <w:r w:rsidRPr="004C7888">
        <w:t>, R.S.C. 1985</w:t>
      </w:r>
      <w:r w:rsidR="00402D06" w:rsidRPr="004C7888">
        <w:t>,</w:t>
      </w:r>
      <w:r w:rsidR="000571FB" w:rsidRPr="004C7888">
        <w:t xml:space="preserve"> c. </w:t>
      </w:r>
      <w:r w:rsidRPr="004C7888">
        <w:t xml:space="preserve">1 (5th Supp.), </w:t>
      </w:r>
      <w:r w:rsidR="00437B97" w:rsidRPr="004C7888">
        <w:t>ss. </w:t>
      </w:r>
      <w:r w:rsidRPr="004C7888">
        <w:t>13</w:t>
      </w:r>
      <w:r w:rsidR="00D9640A" w:rsidRPr="004C7888">
        <w:t xml:space="preserve">(1), </w:t>
      </w:r>
      <w:r w:rsidRPr="004C7888">
        <w:t>(21)</w:t>
      </w:r>
      <w:r w:rsidR="003C1FCD" w:rsidRPr="004C7888">
        <w:t xml:space="preserve"> “proceeds of disposition”</w:t>
      </w:r>
      <w:r w:rsidR="00D9640A" w:rsidRPr="004C7888">
        <w:t xml:space="preserve">, </w:t>
      </w:r>
      <w:r w:rsidR="008A2E42" w:rsidRPr="004C7888">
        <w:t>“timber resource property”</w:t>
      </w:r>
      <w:r w:rsidR="00CB1027" w:rsidRPr="004C7888">
        <w:t>, “</w:t>
      </w:r>
      <w:proofErr w:type="spellStart"/>
      <w:r w:rsidR="00CB1027" w:rsidRPr="004C7888">
        <w:t>undepreciated</w:t>
      </w:r>
      <w:proofErr w:type="spellEnd"/>
      <w:r w:rsidR="00CB1027" w:rsidRPr="004C7888">
        <w:t xml:space="preserve"> capital cost”</w:t>
      </w:r>
      <w:r w:rsidR="00CD6027">
        <w:t xml:space="preserve"> (variable G)</w:t>
      </w:r>
      <w:r w:rsidR="008A2E42" w:rsidRPr="004C7888">
        <w:t xml:space="preserve">, </w:t>
      </w:r>
      <w:r w:rsidR="00D9640A" w:rsidRPr="004C7888">
        <w:t>39(</w:t>
      </w:r>
      <w:r w:rsidR="00CB1027" w:rsidRPr="004C7888">
        <w:t>1</w:t>
      </w:r>
      <w:proofErr w:type="gramStart"/>
      <w:r w:rsidR="00D9640A" w:rsidRPr="004C7888">
        <w:t>)(</w:t>
      </w:r>
      <w:proofErr w:type="gramEnd"/>
      <w:r w:rsidR="00D9640A" w:rsidRPr="004C7888">
        <w:rPr>
          <w:i/>
        </w:rPr>
        <w:t>a</w:t>
      </w:r>
      <w:r w:rsidR="00D9640A" w:rsidRPr="004C7888">
        <w:t>)(</w:t>
      </w:r>
      <w:r w:rsidR="00CB1027" w:rsidRPr="004C7888">
        <w:t>i</w:t>
      </w:r>
      <w:r w:rsidR="00D9640A" w:rsidRPr="004C7888">
        <w:t>v)</w:t>
      </w:r>
      <w:r w:rsidRPr="004C7888">
        <w:t>.</w:t>
      </w:r>
    </w:p>
    <w:p w:rsidR="008B1BE0" w:rsidRPr="004C7888" w:rsidRDefault="006415EF" w:rsidP="000571FB">
      <w:pPr>
        <w:pStyle w:val="SCCNormalDoubleSpacing"/>
        <w:spacing w:after="240" w:line="240" w:lineRule="auto"/>
        <w:ind w:left="547" w:hanging="547"/>
      </w:pPr>
      <w:r w:rsidRPr="004C7888">
        <w:rPr>
          <w:i/>
        </w:rPr>
        <w:t>Income Tax Regulations</w:t>
      </w:r>
      <w:r w:rsidRPr="004C7888">
        <w:t>,</w:t>
      </w:r>
      <w:r w:rsidRPr="004C7888">
        <w:rPr>
          <w:i/>
        </w:rPr>
        <w:t xml:space="preserve"> </w:t>
      </w:r>
      <w:r w:rsidRPr="004C7888">
        <w:t>C.R.C.</w:t>
      </w:r>
      <w:r w:rsidR="000571FB" w:rsidRPr="004C7888">
        <w:t xml:space="preserve"> 1978, c. </w:t>
      </w:r>
      <w:r w:rsidRPr="004C7888">
        <w:t>945, S</w:t>
      </w:r>
      <w:r w:rsidR="00437B97" w:rsidRPr="004C7888">
        <w:t>ch. </w:t>
      </w:r>
      <w:r w:rsidR="000571FB" w:rsidRPr="004C7888">
        <w:t>II, Class </w:t>
      </w:r>
      <w:r w:rsidRPr="004C7888">
        <w:t>33.</w:t>
      </w:r>
    </w:p>
    <w:p w:rsidR="00144935" w:rsidRPr="004C7888" w:rsidRDefault="00F05004" w:rsidP="000571FB">
      <w:pPr>
        <w:pStyle w:val="SCCNormalDoubleSpacing"/>
        <w:spacing w:after="720" w:line="240" w:lineRule="auto"/>
        <w:ind w:left="547" w:hanging="547"/>
      </w:pPr>
      <w:r w:rsidRPr="004C7888">
        <w:rPr>
          <w:i/>
        </w:rPr>
        <w:t>Timber Management Regulation</w:t>
      </w:r>
      <w:r w:rsidR="00106772" w:rsidRPr="004C7888">
        <w:rPr>
          <w:i/>
        </w:rPr>
        <w:t>s</w:t>
      </w:r>
      <w:r w:rsidRPr="004C7888">
        <w:t>, Alta. Reg. 60/73</w:t>
      </w:r>
      <w:r w:rsidR="000571FB" w:rsidRPr="004C7888">
        <w:t>, s. </w:t>
      </w:r>
      <w:r w:rsidRPr="004C7888">
        <w:t>154.</w:t>
      </w:r>
    </w:p>
    <w:p w:rsidR="002E6705" w:rsidRPr="004C7888" w:rsidRDefault="002E6705" w:rsidP="000571FB">
      <w:pPr>
        <w:pStyle w:val="SCCNormalDoubleSpacing"/>
        <w:keepNext/>
        <w:spacing w:after="720" w:line="240" w:lineRule="auto"/>
        <w:rPr>
          <w:b/>
        </w:rPr>
      </w:pPr>
      <w:r w:rsidRPr="004C7888">
        <w:rPr>
          <w:b/>
        </w:rPr>
        <w:t>Authors Cited</w:t>
      </w:r>
    </w:p>
    <w:p w:rsidR="00A149DF" w:rsidRPr="004C7888" w:rsidRDefault="00A000FF" w:rsidP="000571FB">
      <w:pPr>
        <w:pStyle w:val="SCCNormalDoubleSpacing"/>
        <w:spacing w:after="240" w:line="240" w:lineRule="auto"/>
        <w:ind w:left="547" w:hanging="547"/>
      </w:pPr>
      <w:r w:rsidRPr="004C7888">
        <w:t xml:space="preserve">Canada.  </w:t>
      </w:r>
      <w:proofErr w:type="gramStart"/>
      <w:r w:rsidRPr="004C7888">
        <w:t>Canada Customs and Revenue Agency.</w:t>
      </w:r>
      <w:proofErr w:type="gramEnd"/>
      <w:r w:rsidRPr="004C7888">
        <w:t xml:space="preserve">  Interpretation Bulletin IT</w:t>
      </w:r>
      <w:r w:rsidR="00437B97" w:rsidRPr="004C7888">
        <w:noBreakHyphen/>
      </w:r>
      <w:r w:rsidRPr="004C7888">
        <w:t xml:space="preserve">481 (Consolidated), </w:t>
      </w:r>
      <w:r w:rsidR="002B2273" w:rsidRPr="004C7888">
        <w:t>“</w:t>
      </w:r>
      <w:r w:rsidRPr="004C7888">
        <w:t>Timber Resource Property and Timber Limits</w:t>
      </w:r>
      <w:r w:rsidR="002B2273" w:rsidRPr="004C7888">
        <w:t>”</w:t>
      </w:r>
      <w:r w:rsidRPr="004C7888">
        <w:t>, January 13, 2004.</w:t>
      </w:r>
    </w:p>
    <w:p w:rsidR="00A149DF" w:rsidRPr="004C7888" w:rsidRDefault="00FA2414" w:rsidP="000571FB">
      <w:pPr>
        <w:pStyle w:val="SCCNormalDoubleSpacing"/>
        <w:spacing w:after="240" w:line="240" w:lineRule="auto"/>
        <w:ind w:left="547" w:hanging="547"/>
      </w:pPr>
      <w:proofErr w:type="gramStart"/>
      <w:r w:rsidRPr="004C7888">
        <w:t>Colborne, Michael, and Steve Suarez.</w:t>
      </w:r>
      <w:proofErr w:type="gramEnd"/>
      <w:r w:rsidRPr="004C7888">
        <w:t xml:space="preserve">  </w:t>
      </w:r>
      <w:r w:rsidR="00DD1B3E" w:rsidRPr="004C7888">
        <w:t>“</w:t>
      </w:r>
      <w:r w:rsidRPr="004C7888">
        <w:t>Timber!  Consequences of Assuming Reforestation Obligations” (2012), 6</w:t>
      </w:r>
      <w:r w:rsidR="00D2127D" w:rsidRPr="004C7888">
        <w:t>0</w:t>
      </w:r>
      <w:r w:rsidRPr="004C7888">
        <w:t xml:space="preserve"> </w:t>
      </w:r>
      <w:r w:rsidRPr="004C7888">
        <w:rPr>
          <w:i/>
        </w:rPr>
        <w:t>Can. Tax J.</w:t>
      </w:r>
      <w:r w:rsidRPr="004C7888">
        <w:t xml:space="preserve"> 137.</w:t>
      </w:r>
    </w:p>
    <w:p w:rsidR="008D0BD8" w:rsidRPr="004C7888" w:rsidRDefault="008D0BD8" w:rsidP="000571FB">
      <w:pPr>
        <w:pStyle w:val="SCCNormalDoubleSpacing"/>
        <w:spacing w:after="240" w:line="240" w:lineRule="auto"/>
        <w:ind w:left="547" w:hanging="547"/>
      </w:pPr>
      <w:proofErr w:type="spellStart"/>
      <w:r w:rsidRPr="004C7888">
        <w:t>Frankovic</w:t>
      </w:r>
      <w:proofErr w:type="spellEnd"/>
      <w:r w:rsidRPr="004C7888">
        <w:t xml:space="preserve">, Joseph.  </w:t>
      </w:r>
      <w:proofErr w:type="gramStart"/>
      <w:r w:rsidRPr="004C7888">
        <w:t xml:space="preserve">“Supreme Court to Hear </w:t>
      </w:r>
      <w:r w:rsidRPr="004C7888">
        <w:rPr>
          <w:i/>
        </w:rPr>
        <w:t>Daishowa</w:t>
      </w:r>
      <w:r w:rsidRPr="004C7888">
        <w:t xml:space="preserve"> Appeal — Back to Basics on Basis and Proceeds” (July 12, 2012), CCH </w:t>
      </w:r>
      <w:r w:rsidRPr="004C7888">
        <w:rPr>
          <w:i/>
        </w:rPr>
        <w:t xml:space="preserve">Tax Topics </w:t>
      </w:r>
      <w:r w:rsidR="00437B97" w:rsidRPr="004C7888">
        <w:t>No. </w:t>
      </w:r>
      <w:r w:rsidRPr="004C7888">
        <w:t>2105.</w:t>
      </w:r>
      <w:proofErr w:type="gramEnd"/>
      <w:r w:rsidRPr="004C7888">
        <w:t xml:space="preserve"> </w:t>
      </w:r>
    </w:p>
    <w:p w:rsidR="008D0BD8" w:rsidRPr="004C7888" w:rsidRDefault="008D1A1B" w:rsidP="000571FB">
      <w:pPr>
        <w:pStyle w:val="SCCNormalDoubleSpacing"/>
        <w:spacing w:after="240" w:line="240" w:lineRule="auto"/>
        <w:ind w:left="547" w:hanging="547"/>
      </w:pPr>
      <w:r w:rsidRPr="004C7888">
        <w:t>Gamble,</w:t>
      </w:r>
      <w:r w:rsidR="000571FB" w:rsidRPr="004C7888">
        <w:t xml:space="preserve"> Ian </w:t>
      </w:r>
      <w:r w:rsidRPr="004C7888">
        <w:t xml:space="preserve">J.  </w:t>
      </w:r>
      <w:proofErr w:type="gramStart"/>
      <w:r w:rsidRPr="004C7888">
        <w:rPr>
          <w:i/>
        </w:rPr>
        <w:t>Taxation of Canadian Mining</w:t>
      </w:r>
      <w:r w:rsidRPr="004C7888">
        <w:t>.</w:t>
      </w:r>
      <w:proofErr w:type="gramEnd"/>
      <w:r w:rsidRPr="004C7888">
        <w:t xml:space="preserve">  Toronto:  </w:t>
      </w:r>
      <w:proofErr w:type="spellStart"/>
      <w:r w:rsidRPr="004C7888">
        <w:t>Carswell</w:t>
      </w:r>
      <w:proofErr w:type="spellEnd"/>
      <w:r w:rsidRPr="004C7888">
        <w:t>, 2004.</w:t>
      </w:r>
    </w:p>
    <w:p w:rsidR="008D0BD8" w:rsidRPr="004C7888" w:rsidRDefault="002B3EEC" w:rsidP="000571FB">
      <w:pPr>
        <w:pStyle w:val="SCCNormalDoubleSpacing"/>
        <w:spacing w:after="240" w:line="240" w:lineRule="auto"/>
        <w:ind w:left="547" w:hanging="547"/>
      </w:pPr>
      <w:r w:rsidRPr="004C7888">
        <w:t>Hogg,</w:t>
      </w:r>
      <w:r w:rsidR="000571FB" w:rsidRPr="004C7888">
        <w:t xml:space="preserve"> Peter </w:t>
      </w:r>
      <w:r w:rsidRPr="004C7888">
        <w:t>W.,</w:t>
      </w:r>
      <w:r w:rsidR="000571FB" w:rsidRPr="004C7888">
        <w:t xml:space="preserve"> Joanne </w:t>
      </w:r>
      <w:r w:rsidRPr="004C7888">
        <w:t xml:space="preserve">E. Magee and </w:t>
      </w:r>
      <w:proofErr w:type="spellStart"/>
      <w:r w:rsidRPr="004C7888">
        <w:t>Jinyan</w:t>
      </w:r>
      <w:proofErr w:type="spellEnd"/>
      <w:r w:rsidRPr="004C7888">
        <w:t xml:space="preserve"> Li.  </w:t>
      </w:r>
      <w:r w:rsidRPr="004C7888">
        <w:rPr>
          <w:i/>
        </w:rPr>
        <w:t>Principles of Canadian Income Tax Law</w:t>
      </w:r>
      <w:r w:rsidRPr="004C7888">
        <w:t xml:space="preserve">, 7th </w:t>
      </w:r>
      <w:proofErr w:type="gramStart"/>
      <w:r w:rsidRPr="004C7888">
        <w:t>ed</w:t>
      </w:r>
      <w:proofErr w:type="gramEnd"/>
      <w:r w:rsidRPr="004C7888">
        <w:t xml:space="preserve">.  </w:t>
      </w:r>
      <w:r w:rsidR="00B30C8D">
        <w:t>Toronto</w:t>
      </w:r>
      <w:r w:rsidR="00F16812">
        <w:t xml:space="preserve">: </w:t>
      </w:r>
      <w:proofErr w:type="spellStart"/>
      <w:r w:rsidRPr="004C7888">
        <w:t>Carswell</w:t>
      </w:r>
      <w:proofErr w:type="spellEnd"/>
      <w:r w:rsidRPr="004C7888">
        <w:t>, 2010.</w:t>
      </w:r>
    </w:p>
    <w:p w:rsidR="008C11F8" w:rsidRPr="004C7888" w:rsidRDefault="008C11F8" w:rsidP="000571FB">
      <w:pPr>
        <w:pStyle w:val="SCCNormalDoubleSpacing"/>
        <w:spacing w:after="720" w:line="240" w:lineRule="auto"/>
        <w:ind w:left="547" w:hanging="547"/>
      </w:pPr>
      <w:r w:rsidRPr="004C7888">
        <w:t xml:space="preserve">Krishna, Vern.  </w:t>
      </w:r>
      <w:r w:rsidRPr="004C7888">
        <w:rPr>
          <w:i/>
        </w:rPr>
        <w:t>The Fundamentals of Canadian Income Tax</w:t>
      </w:r>
      <w:r w:rsidRPr="004C7888">
        <w:t xml:space="preserve">, 9th </w:t>
      </w:r>
      <w:proofErr w:type="gramStart"/>
      <w:r w:rsidRPr="004C7888">
        <w:t>ed</w:t>
      </w:r>
      <w:proofErr w:type="gramEnd"/>
      <w:r w:rsidRPr="004C7888">
        <w:t>.  Toronto:  Thomson/</w:t>
      </w:r>
      <w:proofErr w:type="spellStart"/>
      <w:r w:rsidRPr="004C7888">
        <w:t>Carswell</w:t>
      </w:r>
      <w:proofErr w:type="spellEnd"/>
      <w:r w:rsidRPr="004C7888">
        <w:t>, 2006.</w:t>
      </w:r>
    </w:p>
    <w:p w:rsidR="0041490A" w:rsidRPr="004C7888" w:rsidRDefault="009B57B3" w:rsidP="000571FB">
      <w:pPr>
        <w:pStyle w:val="SCCNormalDoubleSpacing"/>
        <w:spacing w:after="480"/>
        <w:rPr>
          <w:lang w:val="en-US"/>
        </w:rPr>
      </w:pPr>
      <w:r w:rsidRPr="004C7888">
        <w:tab/>
        <w:t>APPEAL from a judgment of the Federal Court of Appeal</w:t>
      </w:r>
      <w:r w:rsidR="0041490A" w:rsidRPr="004C7888">
        <w:t xml:space="preserve"> (</w:t>
      </w:r>
      <w:proofErr w:type="spellStart"/>
      <w:r w:rsidR="0041490A" w:rsidRPr="004C7888">
        <w:rPr>
          <w:lang w:val="en-US"/>
        </w:rPr>
        <w:t>Nadon</w:t>
      </w:r>
      <w:proofErr w:type="spellEnd"/>
      <w:r w:rsidR="0041490A" w:rsidRPr="004C7888">
        <w:rPr>
          <w:lang w:val="en-US"/>
        </w:rPr>
        <w:t xml:space="preserve">, </w:t>
      </w:r>
      <w:proofErr w:type="spellStart"/>
      <w:r w:rsidR="0041490A" w:rsidRPr="004C7888">
        <w:rPr>
          <w:lang w:val="en-US"/>
        </w:rPr>
        <w:t>Layden</w:t>
      </w:r>
      <w:r w:rsidR="00437B97" w:rsidRPr="004C7888">
        <w:rPr>
          <w:lang w:val="en-US"/>
        </w:rPr>
        <w:noBreakHyphen/>
      </w:r>
      <w:r w:rsidR="0041490A" w:rsidRPr="004C7888">
        <w:rPr>
          <w:lang w:val="en-US"/>
        </w:rPr>
        <w:t>Stevenson</w:t>
      </w:r>
      <w:proofErr w:type="spellEnd"/>
      <w:r w:rsidR="0041490A" w:rsidRPr="004C7888">
        <w:rPr>
          <w:lang w:val="en-US"/>
        </w:rPr>
        <w:t xml:space="preserve"> and Mainville</w:t>
      </w:r>
      <w:r w:rsidR="004C7888">
        <w:rPr>
          <w:lang w:val="en-US"/>
        </w:rPr>
        <w:t> </w:t>
      </w:r>
      <w:r w:rsidR="0041490A" w:rsidRPr="004C7888">
        <w:rPr>
          <w:lang w:val="en-US"/>
        </w:rPr>
        <w:t xml:space="preserve">JJ.A.), 2011 FCA 267, 422 N.R. 108, 2011 D.T.C. 5157, [2012] 1 C.T.C. 116, [2011] F.C.J. </w:t>
      </w:r>
      <w:r w:rsidR="00437B97" w:rsidRPr="004C7888">
        <w:rPr>
          <w:lang w:val="en-US"/>
        </w:rPr>
        <w:t>No. </w:t>
      </w:r>
      <w:r w:rsidR="0041490A" w:rsidRPr="004C7888">
        <w:rPr>
          <w:lang w:val="en-US"/>
        </w:rPr>
        <w:t xml:space="preserve">1351 (QL), </w:t>
      </w:r>
      <w:r w:rsidR="00432837" w:rsidRPr="004C7888">
        <w:rPr>
          <w:lang w:val="en-US"/>
        </w:rPr>
        <w:t xml:space="preserve">2011 </w:t>
      </w:r>
      <w:proofErr w:type="spellStart"/>
      <w:r w:rsidR="0041490A" w:rsidRPr="004C7888">
        <w:rPr>
          <w:lang w:val="en-US"/>
        </w:rPr>
        <w:t>CarswellNat</w:t>
      </w:r>
      <w:proofErr w:type="spellEnd"/>
      <w:r w:rsidR="0041490A" w:rsidRPr="004C7888">
        <w:rPr>
          <w:lang w:val="en-US"/>
        </w:rPr>
        <w:t xml:space="preserve"> 3</w:t>
      </w:r>
      <w:r w:rsidR="00432837" w:rsidRPr="004C7888">
        <w:rPr>
          <w:lang w:val="en-US"/>
        </w:rPr>
        <w:t>7</w:t>
      </w:r>
      <w:r w:rsidR="0041490A" w:rsidRPr="004C7888">
        <w:rPr>
          <w:lang w:val="en-US"/>
        </w:rPr>
        <w:t xml:space="preserve">70, </w:t>
      </w:r>
      <w:r w:rsidR="001C0B40" w:rsidRPr="004C7888">
        <w:rPr>
          <w:lang w:val="en-US"/>
        </w:rPr>
        <w:lastRenderedPageBreak/>
        <w:t>setting aside</w:t>
      </w:r>
      <w:r w:rsidR="0041490A" w:rsidRPr="004C7888">
        <w:rPr>
          <w:lang w:val="en-US"/>
        </w:rPr>
        <w:t xml:space="preserve"> a decision of </w:t>
      </w:r>
      <w:r w:rsidR="00C62B67" w:rsidRPr="004C7888">
        <w:rPr>
          <w:lang w:val="en-US"/>
        </w:rPr>
        <w:t xml:space="preserve">Miller </w:t>
      </w:r>
      <w:r w:rsidR="0041490A" w:rsidRPr="004C7888">
        <w:rPr>
          <w:lang w:val="en-US"/>
        </w:rPr>
        <w:t xml:space="preserve">J., 2010 TCC 317, 2010 D.T.C. 1216, [2010] 5 C.T.C. 2289, [2010] T.C.J. </w:t>
      </w:r>
      <w:r w:rsidR="00437B97" w:rsidRPr="004C7888">
        <w:rPr>
          <w:lang w:val="en-US"/>
        </w:rPr>
        <w:t>No. </w:t>
      </w:r>
      <w:r w:rsidR="0041490A" w:rsidRPr="004C7888">
        <w:rPr>
          <w:lang w:val="en-US"/>
        </w:rPr>
        <w:t xml:space="preserve">228 (QL), 2010 </w:t>
      </w:r>
      <w:proofErr w:type="spellStart"/>
      <w:r w:rsidR="0041490A" w:rsidRPr="004C7888">
        <w:rPr>
          <w:lang w:val="en-US"/>
        </w:rPr>
        <w:t>CarswellNat</w:t>
      </w:r>
      <w:proofErr w:type="spellEnd"/>
      <w:r w:rsidR="0041490A" w:rsidRPr="004C7888">
        <w:rPr>
          <w:lang w:val="en-US"/>
        </w:rPr>
        <w:t xml:space="preserve"> 1649.  Appeal</w:t>
      </w:r>
      <w:r w:rsidR="00DA68BB" w:rsidRPr="004C7888">
        <w:rPr>
          <w:lang w:val="en-US"/>
        </w:rPr>
        <w:t xml:space="preserve"> allowed.</w:t>
      </w:r>
    </w:p>
    <w:p w:rsidR="006C75D3" w:rsidRPr="004C7888" w:rsidRDefault="004D620C" w:rsidP="000571FB">
      <w:pPr>
        <w:pStyle w:val="SCCNormalDoubleSpacing"/>
        <w:spacing w:before="480" w:after="480"/>
      </w:pPr>
      <w:r w:rsidRPr="004C7888">
        <w:rPr>
          <w:rStyle w:val="SCCCounselNameChar"/>
        </w:rPr>
        <w:tab/>
      </w:r>
      <w:proofErr w:type="gramStart"/>
      <w:r w:rsidRPr="004C7888">
        <w:rPr>
          <w:rStyle w:val="SCCCounselNameChar"/>
        </w:rPr>
        <w:t>John</w:t>
      </w:r>
      <w:r w:rsidR="000571FB" w:rsidRPr="004C7888">
        <w:rPr>
          <w:rStyle w:val="SCCCounselNameChar"/>
        </w:rPr>
        <w:t> </w:t>
      </w:r>
      <w:r w:rsidRPr="004C7888">
        <w:rPr>
          <w:rStyle w:val="SCCCounselNameChar"/>
        </w:rPr>
        <w:t>H. Saunders</w:t>
      </w:r>
      <w:r w:rsidRPr="004C7888">
        <w:rPr>
          <w:rStyle w:val="SCCCounselPartyRoleChar"/>
        </w:rPr>
        <w:t>, for the appellant.</w:t>
      </w:r>
      <w:proofErr w:type="gramEnd"/>
    </w:p>
    <w:p w:rsidR="006C75D3" w:rsidRPr="004C7888" w:rsidRDefault="004D620C" w:rsidP="000571FB">
      <w:pPr>
        <w:pStyle w:val="SCCNormalDoubleSpacing"/>
        <w:spacing w:before="480" w:after="480"/>
      </w:pPr>
      <w:r w:rsidRPr="004C7888">
        <w:rPr>
          <w:rStyle w:val="SCCCounselNameChar"/>
        </w:rPr>
        <w:tab/>
      </w:r>
      <w:proofErr w:type="gramStart"/>
      <w:r w:rsidRPr="004C7888">
        <w:rPr>
          <w:rStyle w:val="SCCCounselNameChar"/>
        </w:rPr>
        <w:t>David</w:t>
      </w:r>
      <w:r w:rsidR="000571FB" w:rsidRPr="004C7888">
        <w:rPr>
          <w:rStyle w:val="SCCCounselNameChar"/>
        </w:rPr>
        <w:t> </w:t>
      </w:r>
      <w:r w:rsidR="00975FF2" w:rsidRPr="004C7888">
        <w:rPr>
          <w:rStyle w:val="SCCCounselNameChar"/>
        </w:rPr>
        <w:t xml:space="preserve">W. </w:t>
      </w:r>
      <w:proofErr w:type="spellStart"/>
      <w:r w:rsidRPr="004C7888">
        <w:rPr>
          <w:rStyle w:val="SCCCounselNameChar"/>
        </w:rPr>
        <w:t>Jacyk</w:t>
      </w:r>
      <w:proofErr w:type="spellEnd"/>
      <w:r w:rsidRPr="004C7888">
        <w:rPr>
          <w:rStyle w:val="SCCCounselSeparatorChar"/>
        </w:rPr>
        <w:t xml:space="preserve"> and </w:t>
      </w:r>
      <w:r w:rsidR="000571FB" w:rsidRPr="004C7888">
        <w:rPr>
          <w:rStyle w:val="SCCCounselSeparatorChar"/>
          <w:i/>
        </w:rPr>
        <w:t>Lisa </w:t>
      </w:r>
      <w:r w:rsidR="00975FF2" w:rsidRPr="004C7888">
        <w:rPr>
          <w:rStyle w:val="SCCCounselSeparatorChar"/>
          <w:i/>
        </w:rPr>
        <w:t xml:space="preserve">M. </w:t>
      </w:r>
      <w:proofErr w:type="spellStart"/>
      <w:r w:rsidR="00975FF2" w:rsidRPr="004C7888">
        <w:rPr>
          <w:rStyle w:val="SCCCounselSeparatorChar"/>
          <w:i/>
        </w:rPr>
        <w:t>Macdonell</w:t>
      </w:r>
      <w:proofErr w:type="spellEnd"/>
      <w:r w:rsidRPr="004C7888">
        <w:rPr>
          <w:rStyle w:val="SCCCounselPartyRoleChar"/>
        </w:rPr>
        <w:t>, for the respondent.</w:t>
      </w:r>
      <w:proofErr w:type="gramEnd"/>
    </w:p>
    <w:p w:rsidR="00822511" w:rsidRPr="004C7888" w:rsidRDefault="000571FB" w:rsidP="000571FB">
      <w:pPr>
        <w:pStyle w:val="SCCNormalDoubleSpacing"/>
        <w:spacing w:before="480" w:after="480"/>
      </w:pPr>
      <w:r w:rsidRPr="004C7888">
        <w:rPr>
          <w:rStyle w:val="SCCCounselNameChar"/>
        </w:rPr>
        <w:tab/>
        <w:t>Marta </w:t>
      </w:r>
      <w:r w:rsidR="00822511" w:rsidRPr="004C7888">
        <w:rPr>
          <w:rStyle w:val="SCCCounselNameChar"/>
        </w:rPr>
        <w:t>E. Burns</w:t>
      </w:r>
      <w:r w:rsidR="00822511" w:rsidRPr="004C7888">
        <w:rPr>
          <w:rStyle w:val="SCCCounselPartyRoleChar"/>
        </w:rPr>
        <w:t xml:space="preserve">, </w:t>
      </w:r>
      <w:r w:rsidR="00822511" w:rsidRPr="004C7888">
        <w:rPr>
          <w:rStyle w:val="SCCCounselPartyRoleChar"/>
          <w:i/>
        </w:rPr>
        <w:t xml:space="preserve">Michael </w:t>
      </w:r>
      <w:proofErr w:type="spellStart"/>
      <w:r w:rsidR="00822511" w:rsidRPr="004C7888">
        <w:rPr>
          <w:rStyle w:val="SCCCounselPartyRoleChar"/>
          <w:i/>
        </w:rPr>
        <w:t>Sobkin</w:t>
      </w:r>
      <w:proofErr w:type="spellEnd"/>
      <w:r w:rsidR="00822511" w:rsidRPr="004C7888">
        <w:rPr>
          <w:rStyle w:val="SCCCounselPartyRoleChar"/>
        </w:rPr>
        <w:t xml:space="preserve">, </w:t>
      </w:r>
      <w:r w:rsidRPr="004C7888">
        <w:rPr>
          <w:rStyle w:val="SCCCounselNameChar"/>
        </w:rPr>
        <w:t>Jeffrey W. </w:t>
      </w:r>
      <w:r w:rsidR="00822511" w:rsidRPr="004C7888">
        <w:rPr>
          <w:rStyle w:val="SCCCounselNameChar"/>
        </w:rPr>
        <w:t>A. Moore</w:t>
      </w:r>
      <w:r w:rsidR="00822511" w:rsidRPr="004C7888">
        <w:rPr>
          <w:rStyle w:val="SCCCounselSeparatorChar"/>
        </w:rPr>
        <w:t xml:space="preserve"> and </w:t>
      </w:r>
      <w:r w:rsidR="00822511" w:rsidRPr="004C7888">
        <w:rPr>
          <w:rStyle w:val="SCCCounselSeparatorChar"/>
          <w:i/>
        </w:rPr>
        <w:t>Monica Johnson</w:t>
      </w:r>
      <w:r w:rsidR="00822511" w:rsidRPr="004C7888">
        <w:rPr>
          <w:rStyle w:val="SCCCounselSeparatorChar"/>
        </w:rPr>
        <w:t xml:space="preserve">, </w:t>
      </w:r>
      <w:r w:rsidR="00DB1ADE">
        <w:rPr>
          <w:rStyle w:val="SCCCounselPartyRoleChar"/>
        </w:rPr>
        <w:t>for the intervener Her Majesty T</w:t>
      </w:r>
      <w:r w:rsidR="00822511" w:rsidRPr="004C7888">
        <w:rPr>
          <w:rStyle w:val="SCCCounselPartyRoleChar"/>
        </w:rPr>
        <w:t>he Queen in Right of Alberta.</w:t>
      </w:r>
    </w:p>
    <w:p w:rsidR="006C75D3" w:rsidRPr="004C7888" w:rsidRDefault="000571FB" w:rsidP="000571FB">
      <w:pPr>
        <w:pStyle w:val="SCCNormalDoubleSpacing"/>
        <w:spacing w:before="480" w:after="480"/>
      </w:pPr>
      <w:r w:rsidRPr="004C7888">
        <w:rPr>
          <w:rStyle w:val="SCCCounselNameChar"/>
        </w:rPr>
        <w:tab/>
        <w:t>Warren </w:t>
      </w:r>
      <w:r w:rsidR="004D620C" w:rsidRPr="004C7888">
        <w:rPr>
          <w:rStyle w:val="SCCCounselNameChar"/>
        </w:rPr>
        <w:t>J.</w:t>
      </w:r>
      <w:r w:rsidRPr="004C7888">
        <w:rPr>
          <w:rStyle w:val="SCCCounselNameChar"/>
        </w:rPr>
        <w:t> </w:t>
      </w:r>
      <w:r w:rsidR="004D620C" w:rsidRPr="004C7888">
        <w:rPr>
          <w:rStyle w:val="SCCCounselNameChar"/>
        </w:rPr>
        <w:t>A. Mitchell</w:t>
      </w:r>
      <w:r w:rsidR="004D620C" w:rsidRPr="004C7888">
        <w:rPr>
          <w:rStyle w:val="SCCCounselNameChar"/>
          <w:i w:val="0"/>
        </w:rPr>
        <w:t xml:space="preserve">, </w:t>
      </w:r>
      <w:r w:rsidR="004D620C" w:rsidRPr="004C7888">
        <w:rPr>
          <w:rStyle w:val="SCCCounselNameChar"/>
        </w:rPr>
        <w:t>Q.C.</w:t>
      </w:r>
      <w:r w:rsidR="004D620C" w:rsidRPr="004C7888">
        <w:rPr>
          <w:rStyle w:val="SCCCounselPartyRoleChar"/>
        </w:rPr>
        <w:t xml:space="preserve">, </w:t>
      </w:r>
      <w:r w:rsidR="00853D06" w:rsidRPr="004C7888">
        <w:rPr>
          <w:rStyle w:val="SCCCounselPartyRoleChar"/>
          <w:i/>
        </w:rPr>
        <w:t>Ian Gamble</w:t>
      </w:r>
      <w:r w:rsidR="00853D06" w:rsidRPr="004C7888">
        <w:rPr>
          <w:rStyle w:val="SCCCounselPartyRoleChar"/>
        </w:rPr>
        <w:t xml:space="preserve"> and </w:t>
      </w:r>
      <w:r w:rsidR="00853D06" w:rsidRPr="004C7888">
        <w:rPr>
          <w:rStyle w:val="SCCCounselPartyRoleChar"/>
          <w:i/>
        </w:rPr>
        <w:t xml:space="preserve">Leah </w:t>
      </w:r>
      <w:proofErr w:type="spellStart"/>
      <w:r w:rsidR="00853D06" w:rsidRPr="004C7888">
        <w:rPr>
          <w:rStyle w:val="SCCCounselPartyRoleChar"/>
          <w:i/>
        </w:rPr>
        <w:t>Plumridge</w:t>
      </w:r>
      <w:proofErr w:type="spellEnd"/>
      <w:r w:rsidR="00853D06" w:rsidRPr="004C7888">
        <w:rPr>
          <w:rStyle w:val="SCCCounselPartyRoleChar"/>
        </w:rPr>
        <w:t xml:space="preserve">, </w:t>
      </w:r>
      <w:r w:rsidR="004D620C" w:rsidRPr="004C7888">
        <w:rPr>
          <w:rStyle w:val="SCCCounselPartyRoleChar"/>
        </w:rPr>
        <w:t>for the intervener</w:t>
      </w:r>
      <w:r w:rsidR="00853D06" w:rsidRPr="004C7888">
        <w:rPr>
          <w:rStyle w:val="SCCCounselPartyRoleChar"/>
        </w:rPr>
        <w:t>s</w:t>
      </w:r>
      <w:r w:rsidR="004D620C" w:rsidRPr="004C7888">
        <w:rPr>
          <w:rStyle w:val="SCCCounselPartyRoleChar"/>
        </w:rPr>
        <w:t xml:space="preserve"> Tolko Industries Ltd., International Forest Products L</w:t>
      </w:r>
      <w:r w:rsidR="00434FCA" w:rsidRPr="004C7888">
        <w:rPr>
          <w:rStyle w:val="SCCCounselPartyRoleChar"/>
        </w:rPr>
        <w:t>td.</w:t>
      </w:r>
      <w:r w:rsidR="004D620C" w:rsidRPr="004C7888">
        <w:rPr>
          <w:rStyle w:val="SCCCounselPartyRoleChar"/>
        </w:rPr>
        <w:t>, West Fraser Timber Co. Ltd. and</w:t>
      </w:r>
      <w:r w:rsidR="001B31E2">
        <w:rPr>
          <w:rStyle w:val="SCCCounselPartyRoleChar"/>
        </w:rPr>
        <w:t xml:space="preserve"> </w:t>
      </w:r>
      <w:r w:rsidR="00F16812">
        <w:rPr>
          <w:rStyle w:val="SCCCounselPartyRoleChar"/>
        </w:rPr>
        <w:t>t</w:t>
      </w:r>
      <w:r w:rsidR="001B31E2">
        <w:rPr>
          <w:rStyle w:val="SCCCounselPartyRoleChar"/>
        </w:rPr>
        <w:t>he</w:t>
      </w:r>
      <w:r w:rsidR="004D620C" w:rsidRPr="004C7888">
        <w:rPr>
          <w:rStyle w:val="SCCCounselPartyRoleChar"/>
        </w:rPr>
        <w:t xml:space="preserve"> Canfor Corporation.</w:t>
      </w:r>
    </w:p>
    <w:p w:rsidR="006C75D3" w:rsidRPr="004C7888" w:rsidRDefault="004D620C" w:rsidP="000571FB">
      <w:pPr>
        <w:pStyle w:val="SCCNormalDoubleSpacing"/>
        <w:spacing w:before="480" w:after="480"/>
      </w:pPr>
      <w:r w:rsidRPr="004C7888">
        <w:rPr>
          <w:rStyle w:val="SCCCounselNameChar"/>
        </w:rPr>
        <w:tab/>
      </w:r>
      <w:proofErr w:type="gramStart"/>
      <w:r w:rsidRPr="004C7888">
        <w:rPr>
          <w:rStyle w:val="SCCCounselNameChar"/>
        </w:rPr>
        <w:t xml:space="preserve">Al </w:t>
      </w:r>
      <w:proofErr w:type="spellStart"/>
      <w:r w:rsidRPr="004C7888">
        <w:rPr>
          <w:rStyle w:val="SCCCounselNameChar"/>
        </w:rPr>
        <w:t>Meghji</w:t>
      </w:r>
      <w:proofErr w:type="spellEnd"/>
      <w:r w:rsidR="00853D06" w:rsidRPr="004C7888">
        <w:rPr>
          <w:rStyle w:val="SCCCounselSeparatorChar"/>
        </w:rPr>
        <w:t xml:space="preserve"> and</w:t>
      </w:r>
      <w:r w:rsidRPr="004C7888">
        <w:rPr>
          <w:rStyle w:val="SCCCounselSeparatorChar"/>
        </w:rPr>
        <w:t xml:space="preserve"> </w:t>
      </w:r>
      <w:r w:rsidRPr="004C7888">
        <w:rPr>
          <w:rStyle w:val="SCCCounselNameChar"/>
        </w:rPr>
        <w:t xml:space="preserve">Monica </w:t>
      </w:r>
      <w:proofErr w:type="spellStart"/>
      <w:r w:rsidRPr="004C7888">
        <w:rPr>
          <w:rStyle w:val="SCCCounselNameChar"/>
        </w:rPr>
        <w:t>Biringer</w:t>
      </w:r>
      <w:proofErr w:type="spellEnd"/>
      <w:r w:rsidRPr="004C7888">
        <w:rPr>
          <w:rStyle w:val="SCCCounselPartyRoleChar"/>
        </w:rPr>
        <w:t xml:space="preserve">, for the intervener </w:t>
      </w:r>
      <w:r w:rsidR="00853D06" w:rsidRPr="004C7888">
        <w:rPr>
          <w:rStyle w:val="SCCCounselPartyRoleChar"/>
        </w:rPr>
        <w:t xml:space="preserve">the </w:t>
      </w:r>
      <w:r w:rsidRPr="004C7888">
        <w:rPr>
          <w:rStyle w:val="SCCCounselPartyRoleChar"/>
        </w:rPr>
        <w:t>Canadian Association of Petroleum Producers.</w:t>
      </w:r>
      <w:proofErr w:type="gramEnd"/>
    </w:p>
    <w:p w:rsidR="000255CA" w:rsidRPr="00CA5D92" w:rsidRDefault="00CA5D92" w:rsidP="000255CA">
      <w:pPr>
        <w:pStyle w:val="JudgeJuge"/>
        <w:rPr>
          <w:smallCaps w:val="0"/>
        </w:rPr>
      </w:pPr>
      <w:r w:rsidRPr="00CA5D92">
        <w:rPr>
          <w:smallCaps w:val="0"/>
        </w:rPr>
        <w:tab/>
        <w:t xml:space="preserve">The </w:t>
      </w:r>
      <w:r>
        <w:rPr>
          <w:smallCaps w:val="0"/>
        </w:rPr>
        <w:t>judgment of the Court was delivered by</w:t>
      </w:r>
    </w:p>
    <w:p w:rsidR="000255CA" w:rsidRPr="00652AE4" w:rsidRDefault="000255CA" w:rsidP="000255CA">
      <w:pPr>
        <w:pStyle w:val="JudgeJuge"/>
      </w:pPr>
      <w:r w:rsidRPr="00652AE4">
        <w:tab/>
        <w:t xml:space="preserve">Rothstein J. — </w:t>
      </w:r>
    </w:p>
    <w:p w:rsidR="000255CA" w:rsidRPr="00652AE4" w:rsidRDefault="003F5179" w:rsidP="00F16812">
      <w:pPr>
        <w:pStyle w:val="TitleTitre-AltT"/>
        <w:tabs>
          <w:tab w:val="clear" w:pos="360"/>
          <w:tab w:val="left" w:pos="540"/>
        </w:tabs>
        <w:ind w:left="540" w:hanging="540"/>
        <w:rPr>
          <w:rFonts w:cs="Times New Roman"/>
          <w:u w:val="single"/>
        </w:rPr>
      </w:pPr>
      <w:r>
        <w:rPr>
          <w:rFonts w:cs="Times New Roman"/>
        </w:rPr>
        <w:t>I.</w:t>
      </w:r>
      <w:r>
        <w:rPr>
          <w:rFonts w:cs="Times New Roman"/>
        </w:rPr>
        <w:tab/>
      </w:r>
      <w:r w:rsidR="000255CA" w:rsidRPr="00652AE4">
        <w:rPr>
          <w:rFonts w:cs="Times New Roman"/>
          <w:u w:val="single"/>
        </w:rPr>
        <w:t>Introduction</w:t>
      </w:r>
    </w:p>
    <w:p w:rsidR="000255CA" w:rsidRPr="00652AE4" w:rsidRDefault="000255CA" w:rsidP="000255CA">
      <w:pPr>
        <w:pStyle w:val="ParaNoNdepar-AltN"/>
        <w:rPr>
          <w:rFonts w:cs="Times New Roman"/>
        </w:rPr>
      </w:pPr>
      <w:r w:rsidRPr="00652AE4">
        <w:rPr>
          <w:rFonts w:cs="Times New Roman"/>
        </w:rPr>
        <w:lastRenderedPageBreak/>
        <w:t xml:space="preserve">In this appeal, the Court is called upon to answer the age-old question:  If a tree falls in the forest and you are not around to replant it, how does it affect your taxes?  </w:t>
      </w:r>
    </w:p>
    <w:p w:rsidR="000255CA" w:rsidRPr="00652AE4" w:rsidRDefault="000255CA" w:rsidP="000255CA">
      <w:pPr>
        <w:pStyle w:val="ParaNoNdepar-AltN"/>
        <w:rPr>
          <w:rFonts w:cs="Times New Roman"/>
        </w:rPr>
      </w:pPr>
      <w:r w:rsidRPr="00652AE4">
        <w:rPr>
          <w:rFonts w:cs="Times New Roman"/>
        </w:rPr>
        <w:t xml:space="preserve">Daishowa-Marubeni International Ltd. (“DMI”) was the owner of forest tenures in Alberta under which it was licensed to cut timber from designated provincial Crown land.  In accordance with Alberta’s regulatory regime, DMI’s licence to cut timber was subject to a corresponding obligation to reforest the areas it harvested, in the manner specified by Alberta regulations.  DMI sold two of its forest tenures and, under the terms of each sale agreement, the purchaser of each tenure assumed the obligation to reforest that arose from DMI’s past harvesting.  </w:t>
      </w:r>
    </w:p>
    <w:p w:rsidR="000255CA" w:rsidRPr="00652AE4" w:rsidRDefault="000255CA" w:rsidP="000255CA">
      <w:pPr>
        <w:pStyle w:val="ParaNoNdepar-AltN"/>
        <w:rPr>
          <w:rFonts w:cs="Times New Roman"/>
        </w:rPr>
      </w:pPr>
      <w:r w:rsidRPr="00652AE4">
        <w:rPr>
          <w:rFonts w:cs="Times New Roman"/>
        </w:rPr>
        <w:t xml:space="preserve">The issue in this case is whether DMI was required to include in its “proceeds of disposition” for each sale an estimate of the cost of the reforestation obligations that the purchasers assumed.  In my view, DMI was not required to do so.  The obligation to reforest areas harvested in accordance with </w:t>
      </w:r>
      <w:proofErr w:type="gramStart"/>
      <w:r w:rsidRPr="00652AE4">
        <w:rPr>
          <w:rFonts w:cs="Times New Roman"/>
        </w:rPr>
        <w:t>a forest</w:t>
      </w:r>
      <w:proofErr w:type="gramEnd"/>
      <w:r w:rsidRPr="00652AE4">
        <w:rPr>
          <w:rFonts w:cs="Times New Roman"/>
        </w:rPr>
        <w:t xml:space="preserve"> tenure in Alberta is a future expense that is embedded in the tenure.  As such, the obligation serves to depress the value of the forest tenure.  It is not a separate existing debt of the vendor that is assumed by the purchaser as part of the sale price of the forest tenure.  </w:t>
      </w:r>
    </w:p>
    <w:p w:rsidR="000255CA" w:rsidRPr="00652AE4" w:rsidRDefault="003F5179" w:rsidP="00F16812">
      <w:pPr>
        <w:pStyle w:val="TitleTitre-AltT"/>
        <w:tabs>
          <w:tab w:val="clear" w:pos="360"/>
          <w:tab w:val="left" w:pos="540"/>
        </w:tabs>
        <w:ind w:left="540" w:hanging="540"/>
        <w:rPr>
          <w:rFonts w:cs="Times New Roman"/>
          <w:u w:val="single"/>
        </w:rPr>
      </w:pPr>
      <w:r>
        <w:rPr>
          <w:rFonts w:cs="Times New Roman"/>
        </w:rPr>
        <w:t>II.</w:t>
      </w:r>
      <w:r>
        <w:rPr>
          <w:rFonts w:cs="Times New Roman"/>
        </w:rPr>
        <w:tab/>
      </w:r>
      <w:r w:rsidR="000255CA" w:rsidRPr="00652AE4">
        <w:rPr>
          <w:rFonts w:cs="Times New Roman"/>
          <w:u w:val="single"/>
        </w:rPr>
        <w:t>Facts</w:t>
      </w:r>
    </w:p>
    <w:p w:rsidR="000255CA" w:rsidRPr="00652AE4" w:rsidRDefault="000255CA" w:rsidP="000255CA">
      <w:pPr>
        <w:pStyle w:val="ParaNoNdepar-AltN"/>
        <w:rPr>
          <w:rFonts w:cs="Times New Roman"/>
        </w:rPr>
      </w:pPr>
      <w:r w:rsidRPr="00652AE4">
        <w:rPr>
          <w:rFonts w:cs="Times New Roman"/>
        </w:rPr>
        <w:t xml:space="preserve">Prior to 1999, DMI operated two timber divisions that were referred to throughout these proceedings as the High Level Division and the Brewster Lumber </w:t>
      </w:r>
      <w:r w:rsidRPr="00652AE4">
        <w:rPr>
          <w:rFonts w:cs="Times New Roman"/>
        </w:rPr>
        <w:lastRenderedPageBreak/>
        <w:t xml:space="preserve">Division.  Both divisions carried on the business of harvesting logs and manufacturing finished timber.  To carry on that business, each division held a forest tenure that allowed it to cut and remove timber from an area of land owned by the province of Alberta.  The High Level Division’s forest tenure arose from a Forest Management Agreement that DMI signed with the province under </w:t>
      </w:r>
      <w:r>
        <w:rPr>
          <w:rFonts w:cs="Times New Roman"/>
        </w:rPr>
        <w:t>s. 16 of the</w:t>
      </w:r>
      <w:r w:rsidRPr="00652AE4">
        <w:rPr>
          <w:rFonts w:cs="Times New Roman"/>
        </w:rPr>
        <w:t xml:space="preserve"> </w:t>
      </w:r>
      <w:r w:rsidRPr="00652AE4">
        <w:rPr>
          <w:rFonts w:cs="Times New Roman"/>
          <w:i/>
        </w:rPr>
        <w:t>Forests Act</w:t>
      </w:r>
      <w:r w:rsidRPr="00652AE4">
        <w:rPr>
          <w:rFonts w:cs="Times New Roman"/>
        </w:rPr>
        <w:t xml:space="preserve">, R.S.A. 1980, </w:t>
      </w:r>
      <w:proofErr w:type="gramStart"/>
      <w:r w:rsidRPr="00652AE4">
        <w:rPr>
          <w:rFonts w:cs="Times New Roman"/>
        </w:rPr>
        <w:t>c</w:t>
      </w:r>
      <w:proofErr w:type="gramEnd"/>
      <w:r w:rsidRPr="00652AE4">
        <w:rPr>
          <w:rFonts w:cs="Times New Roman"/>
        </w:rPr>
        <w:t>. F-16, which</w:t>
      </w:r>
      <w:r>
        <w:rPr>
          <w:rFonts w:cs="Times New Roman"/>
        </w:rPr>
        <w:t>, for the purposes of this case,</w:t>
      </w:r>
      <w:r w:rsidRPr="00652AE4">
        <w:rPr>
          <w:rFonts w:cs="Times New Roman"/>
        </w:rPr>
        <w:t xml:space="preserve"> is substantially similar to the </w:t>
      </w:r>
      <w:r w:rsidRPr="00652AE4">
        <w:rPr>
          <w:rFonts w:cs="Times New Roman"/>
          <w:i/>
        </w:rPr>
        <w:t>Forests Act</w:t>
      </w:r>
      <w:r w:rsidRPr="00652AE4">
        <w:rPr>
          <w:rFonts w:cs="Times New Roman"/>
        </w:rPr>
        <w:t xml:space="preserve">, R.S.A. 2000, c. F-22, which is currently in force.  The Brewster Lumber Division’s forest tenure arose from timber quotas issued by the province; see </w:t>
      </w:r>
      <w:r w:rsidRPr="00652AE4">
        <w:rPr>
          <w:rFonts w:cs="Times New Roman"/>
          <w:i/>
        </w:rPr>
        <w:t>Forests Act</w:t>
      </w:r>
      <w:r w:rsidRPr="00652AE4">
        <w:rPr>
          <w:rFonts w:cs="Times New Roman"/>
        </w:rPr>
        <w:t xml:space="preserve">, s. 17.  </w:t>
      </w:r>
    </w:p>
    <w:p w:rsidR="000255CA" w:rsidRPr="00652AE4" w:rsidRDefault="000255CA" w:rsidP="000255CA">
      <w:pPr>
        <w:pStyle w:val="ParaNoNdepar-AltN"/>
        <w:rPr>
          <w:rFonts w:cs="Times New Roman"/>
        </w:rPr>
      </w:pPr>
      <w:r w:rsidRPr="00652AE4">
        <w:rPr>
          <w:rFonts w:cs="Times New Roman"/>
        </w:rPr>
        <w:t xml:space="preserve">In addition to permitting DMI’s divisions to cut and remove timber, the Forest Management Agreement and timber quotas obliged each division to undertake certain reforestation or </w:t>
      </w:r>
      <w:proofErr w:type="spellStart"/>
      <w:r w:rsidRPr="00652AE4">
        <w:rPr>
          <w:rFonts w:cs="Times New Roman"/>
        </w:rPr>
        <w:t>silviculture</w:t>
      </w:r>
      <w:proofErr w:type="spellEnd"/>
      <w:r w:rsidRPr="00652AE4">
        <w:rPr>
          <w:rFonts w:cs="Times New Roman"/>
        </w:rPr>
        <w:t xml:space="preserve"> activities after it harvested the timber, in a manner specified by Alberta regulations.  These reforestation obligations require a tenure holder, over time, to engage in activities that include brush disposal, scarification, mounding, planting, seeding, applying herbicides, </w:t>
      </w:r>
      <w:proofErr w:type="spellStart"/>
      <w:r w:rsidRPr="00652AE4">
        <w:rPr>
          <w:rFonts w:cs="Times New Roman"/>
        </w:rPr>
        <w:t>brushweeding</w:t>
      </w:r>
      <w:proofErr w:type="spellEnd"/>
      <w:r w:rsidRPr="00652AE4">
        <w:rPr>
          <w:rFonts w:cs="Times New Roman"/>
        </w:rPr>
        <w:t xml:space="preserve">, and manual or chemical tending.  The tenure holder is also required to complete and submit to the province multiple surveys to demonstrate its progress in reforesting.  The tenure holder is relieved of its obligation to reforest when it satisfies the province that the reforested area has reached a threshold level of growth, referred to as “free-to-grow” status.  This process generally takes eight to fourteen years.  Alternatively, the province may relieve the holder of its obligation to reforest if natural processes, such as wildfire or flooding, make it impossible to achieve the regeneration standard. </w:t>
      </w:r>
    </w:p>
    <w:p w:rsidR="000255CA" w:rsidRPr="00652AE4" w:rsidRDefault="000255CA" w:rsidP="000255CA">
      <w:pPr>
        <w:pStyle w:val="ParaNoNdepar-AltN"/>
        <w:rPr>
          <w:rFonts w:cs="Times New Roman"/>
        </w:rPr>
      </w:pPr>
      <w:r w:rsidRPr="00652AE4">
        <w:rPr>
          <w:rFonts w:cs="Times New Roman"/>
        </w:rPr>
        <w:lastRenderedPageBreak/>
        <w:t xml:space="preserve">In 1999 and 2000, DMI sold its High Level and Brewster Lumber divisions, along with each division’s forest tenure.  With respect to the High Level Division, DMI entered into a sale agreement with Tolko Industries Ltd. on October 6, 1999.  The agreement provided that Tolko would pay a purchase price of $169 million for the division, plus an estimated value of the net purchased working capital.  According to the agreement, $20 million of the purchase price was allocated to the value of the High Level Division’s forest tenure.  </w:t>
      </w:r>
    </w:p>
    <w:p w:rsidR="000255CA" w:rsidRPr="00652AE4" w:rsidRDefault="000255CA" w:rsidP="000255CA">
      <w:pPr>
        <w:pStyle w:val="ParaNoNdepar-AltN"/>
        <w:rPr>
          <w:rFonts w:cs="Times New Roman"/>
        </w:rPr>
      </w:pPr>
      <w:r w:rsidRPr="00652AE4">
        <w:rPr>
          <w:rFonts w:cs="Times New Roman"/>
        </w:rPr>
        <w:t xml:space="preserve">The agreement to sell the High Level Division provided that Tolko would assume the reforestation obligations that had arisen as a result of DMI’s past harvesting.  The agreement stated that “DMI estimates in good faith that the aggregate value of the current and long term reforestation liabilities will be $11 million”.  It required DMI to prepare a final estimate of the reforestation obligations after the closing date and provided for the purchase price to be adjusted in the event that the post-closing estimate of the reforestation obligations differed from DMI’s original estimate.  That is, if the post-closing estimate was greater than DMI’s initial estimate of $11 million, DMI was required to pay Tolko the difference.  If the post-closing estimate was lower than DMI’s initial estimate, Tolko was required to pay DMI the difference.  </w:t>
      </w:r>
    </w:p>
    <w:p w:rsidR="000255CA" w:rsidRPr="00652AE4" w:rsidRDefault="000255CA" w:rsidP="000255CA">
      <w:pPr>
        <w:pStyle w:val="ParaNoNdepar-AltN"/>
        <w:rPr>
          <w:rFonts w:cs="Times New Roman"/>
        </w:rPr>
      </w:pPr>
      <w:r w:rsidRPr="00652AE4">
        <w:rPr>
          <w:rFonts w:cs="Times New Roman"/>
        </w:rPr>
        <w:t xml:space="preserve">On November 1, 1999, Tolko paid DMI $169 million, plus an additional $16.6 million for net purchased working capital.  After the closing date, DMI </w:t>
      </w:r>
      <w:r w:rsidRPr="00652AE4">
        <w:rPr>
          <w:rFonts w:cs="Times New Roman"/>
        </w:rPr>
        <w:lastRenderedPageBreak/>
        <w:t xml:space="preserve">tendered a final estimate of the reforestation obligations that was $296,225 greater than its initial $11 million estimate.  DMI accordingly returned $296,225 to Tolko.  </w:t>
      </w:r>
    </w:p>
    <w:p w:rsidR="000255CA" w:rsidRPr="00652AE4" w:rsidRDefault="000255CA" w:rsidP="000255CA">
      <w:pPr>
        <w:pStyle w:val="ParaNoNdepar-AltN"/>
        <w:rPr>
          <w:rFonts w:cs="Times New Roman"/>
        </w:rPr>
      </w:pPr>
      <w:r w:rsidRPr="00652AE4">
        <w:rPr>
          <w:rFonts w:cs="Times New Roman"/>
        </w:rPr>
        <w:t xml:space="preserve">DMI sold the Brewster Lumber Division, including its forest tenure, to </w:t>
      </w:r>
      <w:proofErr w:type="spellStart"/>
      <w:r w:rsidRPr="00652AE4">
        <w:rPr>
          <w:rFonts w:cs="Times New Roman"/>
        </w:rPr>
        <w:t>Seehta</w:t>
      </w:r>
      <w:proofErr w:type="spellEnd"/>
      <w:r w:rsidRPr="00652AE4">
        <w:rPr>
          <w:rFonts w:cs="Times New Roman"/>
        </w:rPr>
        <w:t xml:space="preserve"> Forest Products Ltd. on August 11, 2000.  According to the sale agreement, the purchase price for the division was $6.1 million, plus or minus any difference between the preliminary estimate of the net purchased working capital and a final estimate of the net purchased working capital.  Similar to the High Level agreement, the agreement also provided that </w:t>
      </w:r>
      <w:proofErr w:type="spellStart"/>
      <w:r w:rsidRPr="00652AE4">
        <w:rPr>
          <w:rFonts w:cs="Times New Roman"/>
        </w:rPr>
        <w:t>Seehta</w:t>
      </w:r>
      <w:proofErr w:type="spellEnd"/>
      <w:r w:rsidRPr="00652AE4">
        <w:rPr>
          <w:rFonts w:cs="Times New Roman"/>
        </w:rPr>
        <w:t xml:space="preserve"> would assume all obligations to reforest land that was previously harvested pursuant to Brewster Lumber’s forest tenure.  The agreement did not, however, specify an estimated cost of performing the reforestation obligations. </w:t>
      </w:r>
    </w:p>
    <w:p w:rsidR="000255CA" w:rsidRPr="00652AE4" w:rsidRDefault="000255CA" w:rsidP="000255CA">
      <w:pPr>
        <w:pStyle w:val="ParaNoNdepar-AltN"/>
        <w:rPr>
          <w:rFonts w:cs="Times New Roman"/>
        </w:rPr>
      </w:pPr>
      <w:r w:rsidRPr="00652AE4">
        <w:rPr>
          <w:rFonts w:cs="Times New Roman"/>
        </w:rPr>
        <w:t xml:space="preserve">In accordance with ss. 16(3) and 28(2) of the </w:t>
      </w:r>
      <w:r w:rsidRPr="00652AE4">
        <w:rPr>
          <w:rFonts w:cs="Times New Roman"/>
          <w:i/>
        </w:rPr>
        <w:t>Forests Act</w:t>
      </w:r>
      <w:r w:rsidRPr="00652AE4">
        <w:rPr>
          <w:rFonts w:cs="Times New Roman"/>
        </w:rPr>
        <w:t xml:space="preserve"> and</w:t>
      </w:r>
      <w:r>
        <w:rPr>
          <w:rFonts w:cs="Times New Roman"/>
        </w:rPr>
        <w:t xml:space="preserve"> </w:t>
      </w:r>
      <w:r w:rsidRPr="00652AE4">
        <w:rPr>
          <w:rFonts w:cs="Times New Roman"/>
          <w:i/>
        </w:rPr>
        <w:t>The Timber Management Regulations</w:t>
      </w:r>
      <w:r w:rsidRPr="00652AE4">
        <w:rPr>
          <w:rFonts w:cs="Times New Roman"/>
        </w:rPr>
        <w:t xml:space="preserve">, Alta. Reg. 60/73, s. 154, DMI sought the province of Alberta’s consent to assign each of the forest tenures.  The province consented to both assignments.  The parties are in agreement that Alberta approves the assignment of </w:t>
      </w:r>
      <w:proofErr w:type="gramStart"/>
      <w:r w:rsidRPr="00652AE4">
        <w:rPr>
          <w:rFonts w:cs="Times New Roman"/>
        </w:rPr>
        <w:t>a forest</w:t>
      </w:r>
      <w:proofErr w:type="gramEnd"/>
      <w:r w:rsidRPr="00652AE4">
        <w:rPr>
          <w:rFonts w:cs="Times New Roman"/>
        </w:rPr>
        <w:t xml:space="preserve"> tenure only if the reforestation obligations that arose from the vendor’s harvesting are undertaken by the purchaser of the tenure.  Alberta, an intervener in these proceedings, takes the position that, upon assignment of </w:t>
      </w:r>
      <w:proofErr w:type="gramStart"/>
      <w:r w:rsidRPr="00652AE4">
        <w:rPr>
          <w:rFonts w:cs="Times New Roman"/>
        </w:rPr>
        <w:t>a forest</w:t>
      </w:r>
      <w:proofErr w:type="gramEnd"/>
      <w:r w:rsidRPr="00652AE4">
        <w:rPr>
          <w:rFonts w:cs="Times New Roman"/>
        </w:rPr>
        <w:t xml:space="preserve"> tenure, the vendor is relieved of any liability for completing the reforestation obligations.  Upon assignment, the purchaser is solely responsible for carrying out the reforestation activities.  </w:t>
      </w:r>
    </w:p>
    <w:p w:rsidR="000255CA" w:rsidRPr="00652AE4" w:rsidRDefault="000255CA" w:rsidP="000255CA">
      <w:pPr>
        <w:pStyle w:val="ParaNoNdepar-AltN"/>
        <w:rPr>
          <w:rFonts w:cs="Times New Roman"/>
        </w:rPr>
      </w:pPr>
      <w:r w:rsidRPr="00652AE4">
        <w:rPr>
          <w:rFonts w:cs="Times New Roman"/>
        </w:rPr>
        <w:lastRenderedPageBreak/>
        <w:t xml:space="preserve">In the years in which DMI harvested timber, for </w:t>
      </w:r>
      <w:r w:rsidRPr="00652AE4">
        <w:rPr>
          <w:rFonts w:cs="Times New Roman"/>
          <w:i/>
        </w:rPr>
        <w:t>accounting</w:t>
      </w:r>
      <w:r w:rsidRPr="00652AE4">
        <w:rPr>
          <w:rFonts w:cs="Times New Roman"/>
        </w:rPr>
        <w:t xml:space="preserve"> purposes, it charged to earnings the estimated cost of future reforestation obligations in the year of the harvesting that gave rise to those obligations.  However, each year, for </w:t>
      </w:r>
      <w:r w:rsidRPr="00652AE4">
        <w:rPr>
          <w:rFonts w:cs="Times New Roman"/>
          <w:i/>
        </w:rPr>
        <w:t>tax</w:t>
      </w:r>
      <w:r w:rsidRPr="00652AE4">
        <w:rPr>
          <w:rFonts w:cs="Times New Roman"/>
        </w:rPr>
        <w:t xml:space="preserve"> purposes, DMI added back to its income the amounts it had charged to earnings for accounting purposes.  Thus, DMI claimed no tax deduction for the estimated future reforestation obligations that arose as it harvested timber.  </w:t>
      </w:r>
    </w:p>
    <w:p w:rsidR="000255CA" w:rsidRPr="00652AE4" w:rsidRDefault="000255CA" w:rsidP="000255CA">
      <w:pPr>
        <w:pStyle w:val="ParaNoNdepar-AltN"/>
        <w:rPr>
          <w:rFonts w:cs="Times New Roman"/>
        </w:rPr>
      </w:pPr>
      <w:r w:rsidRPr="00652AE4">
        <w:rPr>
          <w:rFonts w:cs="Times New Roman"/>
        </w:rPr>
        <w:t xml:space="preserve">In the years in which the sales took </w:t>
      </w:r>
      <w:proofErr w:type="gramStart"/>
      <w:r w:rsidRPr="00652AE4">
        <w:rPr>
          <w:rFonts w:cs="Times New Roman"/>
        </w:rPr>
        <w:t>place,</w:t>
      </w:r>
      <w:proofErr w:type="gramEnd"/>
      <w:r w:rsidRPr="00652AE4">
        <w:rPr>
          <w:rFonts w:cs="Times New Roman"/>
        </w:rPr>
        <w:t xml:space="preserve"> DMI increased its income for accounting purposes by including the amounts charged </w:t>
      </w:r>
      <w:r>
        <w:rPr>
          <w:rFonts w:cs="Times New Roman"/>
        </w:rPr>
        <w:t xml:space="preserve">previously </w:t>
      </w:r>
      <w:r w:rsidRPr="00652AE4">
        <w:rPr>
          <w:rFonts w:cs="Times New Roman"/>
        </w:rPr>
        <w:t xml:space="preserve">to earnings, to reflect </w:t>
      </w:r>
      <w:r>
        <w:rPr>
          <w:rFonts w:cs="Times New Roman"/>
        </w:rPr>
        <w:t xml:space="preserve">the fact </w:t>
      </w:r>
      <w:r w:rsidRPr="00652AE4">
        <w:rPr>
          <w:rFonts w:cs="Times New Roman"/>
        </w:rPr>
        <w:t>that it would no longer have to pay the future reforestation costs associated with the forest tenures it had sold.  In filing its income tax return for those years, DMI did not include in its income any amount to reflect the purchasers’ assumption of the reforestation obligations.</w:t>
      </w:r>
    </w:p>
    <w:p w:rsidR="000255CA" w:rsidRPr="00652AE4" w:rsidRDefault="000255CA" w:rsidP="000255CA">
      <w:pPr>
        <w:pStyle w:val="ParaNoNdepar-AltN"/>
        <w:rPr>
          <w:rFonts w:cs="Times New Roman"/>
        </w:rPr>
      </w:pPr>
      <w:r w:rsidRPr="00652AE4">
        <w:rPr>
          <w:rFonts w:cs="Times New Roman"/>
        </w:rPr>
        <w:t xml:space="preserve">The Minister of National Revenue reassessed DMI with respect to both the 1999 and 2000 taxation years.  According to the Minister, DMI was required to include an amount equal to the estimated cost of the reforestation obligations assumed by Tolko and </w:t>
      </w:r>
      <w:proofErr w:type="spellStart"/>
      <w:r w:rsidRPr="00652AE4">
        <w:rPr>
          <w:rFonts w:cs="Times New Roman"/>
        </w:rPr>
        <w:t>Seehta</w:t>
      </w:r>
      <w:proofErr w:type="spellEnd"/>
      <w:r w:rsidRPr="00652AE4">
        <w:rPr>
          <w:rFonts w:cs="Times New Roman"/>
        </w:rPr>
        <w:t xml:space="preserve"> in its “proceeds of disposition” under s. 13(21) of the </w:t>
      </w:r>
      <w:r w:rsidRPr="00652AE4">
        <w:rPr>
          <w:rFonts w:cs="Times New Roman"/>
          <w:i/>
        </w:rPr>
        <w:t>Income Tax Act</w:t>
      </w:r>
      <w:r w:rsidRPr="00652AE4">
        <w:rPr>
          <w:rFonts w:cs="Times New Roman"/>
        </w:rPr>
        <w:t xml:space="preserve">, R.S.C. 1985, c. 1 (5th Supp.).  The reassessment included in DMI’s proceeds $11 million for the sale to Tolko, based on the estimated cost of the reforestation obligations in the sale agreement, and $2,996,380 for the sale to </w:t>
      </w:r>
      <w:proofErr w:type="spellStart"/>
      <w:r w:rsidRPr="00652AE4">
        <w:rPr>
          <w:rFonts w:cs="Times New Roman"/>
        </w:rPr>
        <w:t>Seehta</w:t>
      </w:r>
      <w:proofErr w:type="spellEnd"/>
      <w:r w:rsidRPr="00652AE4">
        <w:rPr>
          <w:rFonts w:cs="Times New Roman"/>
        </w:rPr>
        <w:t xml:space="preserve">, based on the estimated cost in DMI’s accounting records.  DMI appealed that reassessment. </w:t>
      </w:r>
    </w:p>
    <w:p w:rsidR="000255CA" w:rsidRPr="00652AE4" w:rsidRDefault="000255CA" w:rsidP="000255CA">
      <w:pPr>
        <w:pStyle w:val="ParaNoNdepar-AltN"/>
        <w:rPr>
          <w:rFonts w:cs="Times New Roman"/>
        </w:rPr>
      </w:pPr>
      <w:r w:rsidRPr="00652AE4">
        <w:rPr>
          <w:rFonts w:cs="Times New Roman"/>
        </w:rPr>
        <w:lastRenderedPageBreak/>
        <w:t>The Minister’s reassessment did not account for the $296,225 that DMI returned to Tolko based on the final estimate of the future reforestation costs in reassessing DMI for the Tolko sale, but has since taken the position that that amount should have been included in the reassessment.  Because the actual reassessment was based on the contracting parties’ initial $11 million estimate, the parties and the courts below have treated that as the amount in issue for the Tolko sale.  I do the same in these reasons.</w:t>
      </w:r>
    </w:p>
    <w:p w:rsidR="000255CA" w:rsidRPr="00652AE4" w:rsidRDefault="003F5179" w:rsidP="00F16812">
      <w:pPr>
        <w:pStyle w:val="TitleTitre-AltT"/>
        <w:tabs>
          <w:tab w:val="clear" w:pos="360"/>
          <w:tab w:val="left" w:pos="540"/>
        </w:tabs>
        <w:ind w:left="540" w:hanging="540"/>
        <w:rPr>
          <w:rFonts w:cs="Times New Roman"/>
          <w:u w:val="single"/>
        </w:rPr>
      </w:pPr>
      <w:r>
        <w:rPr>
          <w:rFonts w:cs="Times New Roman"/>
        </w:rPr>
        <w:t>III.</w:t>
      </w:r>
      <w:r w:rsidR="000255CA" w:rsidRPr="00652AE4">
        <w:rPr>
          <w:rFonts w:cs="Times New Roman"/>
        </w:rPr>
        <w:tab/>
      </w:r>
      <w:r w:rsidR="000255CA" w:rsidRPr="00652AE4">
        <w:rPr>
          <w:rFonts w:cs="Times New Roman"/>
          <w:u w:val="single"/>
        </w:rPr>
        <w:t>Procedural History</w:t>
      </w:r>
    </w:p>
    <w:p w:rsidR="000255CA" w:rsidRPr="00652AE4" w:rsidRDefault="003F5179" w:rsidP="00F16812">
      <w:pPr>
        <w:pStyle w:val="TitleTitre-AltT"/>
        <w:tabs>
          <w:tab w:val="clear" w:pos="360"/>
          <w:tab w:val="left" w:pos="540"/>
        </w:tabs>
        <w:ind w:left="540" w:hanging="540"/>
        <w:rPr>
          <w:rFonts w:cs="Times New Roman"/>
          <w:i/>
        </w:rPr>
      </w:pPr>
      <w:r>
        <w:rPr>
          <w:rFonts w:cs="Times New Roman"/>
        </w:rPr>
        <w:t>A.</w:t>
      </w:r>
      <w:r>
        <w:rPr>
          <w:rFonts w:cs="Times New Roman"/>
        </w:rPr>
        <w:tab/>
      </w:r>
      <w:r w:rsidR="000255CA" w:rsidRPr="00652AE4">
        <w:rPr>
          <w:rFonts w:cs="Times New Roman"/>
          <w:i/>
        </w:rPr>
        <w:t>Tax Court of Canada</w:t>
      </w:r>
      <w:r w:rsidR="000255CA">
        <w:rPr>
          <w:rFonts w:cs="Times New Roman"/>
          <w:i/>
        </w:rPr>
        <w:t>, 2010 TCC 317, 2010 D.T.C. 1216</w:t>
      </w:r>
    </w:p>
    <w:p w:rsidR="000255CA" w:rsidRPr="00652AE4" w:rsidRDefault="000255CA" w:rsidP="000255CA">
      <w:pPr>
        <w:pStyle w:val="ParaNoNdepar-AltN"/>
        <w:rPr>
          <w:rFonts w:cs="Times New Roman"/>
        </w:rPr>
      </w:pPr>
      <w:r w:rsidRPr="00652AE4">
        <w:rPr>
          <w:rFonts w:cs="Times New Roman"/>
        </w:rPr>
        <w:t>Miller J. allowed DMI’s appeal of the Minister’s reassessment in part.  He held that, upon sale of a forest tenure, the purchaser’s assumption of reforestation obligations is properly included in the vendor’s proceeds of disposition under s. 13(21) of the Act.</w:t>
      </w:r>
      <w:r w:rsidRPr="00652AE4">
        <w:rPr>
          <w:rFonts w:cs="Times New Roman"/>
          <w:i/>
        </w:rPr>
        <w:t xml:space="preserve">  </w:t>
      </w:r>
      <w:r w:rsidRPr="00652AE4">
        <w:rPr>
          <w:rFonts w:cs="Times New Roman"/>
        </w:rPr>
        <w:t>He concluded that the assumption of the reforestation obligations was part of the consideration tendered for the forest tenure.  Here, it was evident that the assumption of the reforestation obligations was part of the consideration received based on DMI’s admission that “[</w:t>
      </w:r>
      <w:proofErr w:type="spellStart"/>
      <w:r w:rsidRPr="00652AE4">
        <w:rPr>
          <w:rFonts w:cs="Times New Roman"/>
        </w:rPr>
        <w:t>i</w:t>
      </w:r>
      <w:proofErr w:type="spellEnd"/>
      <w:r w:rsidRPr="00652AE4">
        <w:rPr>
          <w:rFonts w:cs="Times New Roman"/>
        </w:rPr>
        <w:t xml:space="preserve">]f Tolko had not assumed the Appellant’s </w:t>
      </w:r>
      <w:proofErr w:type="spellStart"/>
      <w:r w:rsidRPr="00652AE4">
        <w:rPr>
          <w:rFonts w:cs="Times New Roman"/>
        </w:rPr>
        <w:t>silviculture</w:t>
      </w:r>
      <w:proofErr w:type="spellEnd"/>
      <w:r w:rsidRPr="00652AE4">
        <w:rPr>
          <w:rFonts w:cs="Times New Roman"/>
        </w:rPr>
        <w:t xml:space="preserve"> liability, the amount of cash or other consideration it would have paid the Appellant would have increased”: A.R., at p. 286.</w:t>
      </w:r>
    </w:p>
    <w:p w:rsidR="000255CA" w:rsidRPr="00652AE4" w:rsidRDefault="000255CA" w:rsidP="000255CA">
      <w:pPr>
        <w:pStyle w:val="ParaNoNdepar-AltN"/>
        <w:rPr>
          <w:rFonts w:cs="Times New Roman"/>
        </w:rPr>
      </w:pPr>
      <w:r w:rsidRPr="00652AE4">
        <w:rPr>
          <w:rFonts w:cs="Times New Roman"/>
        </w:rPr>
        <w:t xml:space="preserve">According to Miller J., however, it was not appropriate to add the entire estimated cost of the reforestation obligations to DMI’s proceeds of disposition.  </w:t>
      </w:r>
      <w:r w:rsidRPr="00652AE4">
        <w:rPr>
          <w:rFonts w:cs="Times New Roman"/>
        </w:rPr>
        <w:lastRenderedPageBreak/>
        <w:t xml:space="preserve">After considering a number of factors, Miller J. concluded that DMI should have included in its proceeds of disposition the estimated cost of the reforestation activities that would take place within the 12 months following each sale, plus 20 percent of the estimated cost of the activities that would take place thereafter.  </w:t>
      </w:r>
    </w:p>
    <w:p w:rsidR="000255CA" w:rsidRPr="00652AE4" w:rsidRDefault="003F5179" w:rsidP="00F16812">
      <w:pPr>
        <w:pStyle w:val="TitleTitre-AltT"/>
        <w:tabs>
          <w:tab w:val="clear" w:pos="360"/>
          <w:tab w:val="left" w:pos="540"/>
        </w:tabs>
        <w:ind w:left="540" w:hanging="540"/>
        <w:rPr>
          <w:rFonts w:cs="Times New Roman"/>
          <w:i/>
        </w:rPr>
      </w:pPr>
      <w:r>
        <w:rPr>
          <w:rFonts w:cs="Times New Roman"/>
        </w:rPr>
        <w:t>B.</w:t>
      </w:r>
      <w:r>
        <w:rPr>
          <w:rFonts w:cs="Times New Roman"/>
        </w:rPr>
        <w:tab/>
      </w:r>
      <w:r w:rsidR="000255CA" w:rsidRPr="00652AE4">
        <w:rPr>
          <w:rFonts w:cs="Times New Roman"/>
          <w:i/>
        </w:rPr>
        <w:t>Federal Court of Appeal</w:t>
      </w:r>
      <w:r w:rsidR="000255CA">
        <w:rPr>
          <w:rFonts w:cs="Times New Roman"/>
          <w:i/>
        </w:rPr>
        <w:t xml:space="preserve">, 2011 FCA 267, </w:t>
      </w:r>
      <w:proofErr w:type="gramStart"/>
      <w:r w:rsidR="000255CA">
        <w:rPr>
          <w:rFonts w:cs="Times New Roman"/>
          <w:i/>
        </w:rPr>
        <w:t>422 N.R. 108</w:t>
      </w:r>
      <w:proofErr w:type="gramEnd"/>
    </w:p>
    <w:p w:rsidR="000255CA" w:rsidRPr="00652AE4" w:rsidRDefault="000255CA" w:rsidP="000255CA">
      <w:pPr>
        <w:pStyle w:val="ParaNoNdepar-AltN"/>
        <w:rPr>
          <w:rFonts w:cs="Times New Roman"/>
        </w:rPr>
      </w:pPr>
      <w:r w:rsidRPr="00652AE4">
        <w:rPr>
          <w:rFonts w:cs="Times New Roman"/>
        </w:rPr>
        <w:t xml:space="preserve">Writing for the majority, </w:t>
      </w:r>
      <w:proofErr w:type="spellStart"/>
      <w:r w:rsidRPr="00652AE4">
        <w:rPr>
          <w:rFonts w:cs="Times New Roman"/>
        </w:rPr>
        <w:t>Nadon</w:t>
      </w:r>
      <w:proofErr w:type="spellEnd"/>
      <w:r w:rsidRPr="00652AE4">
        <w:rPr>
          <w:rFonts w:cs="Times New Roman"/>
        </w:rPr>
        <w:t xml:space="preserve"> J.A. held that DMI was required to include in its proceeds of disposition the entire estimated cost of the reforestation obligations associated with each tenure.  </w:t>
      </w:r>
    </w:p>
    <w:p w:rsidR="000255CA" w:rsidRPr="00652AE4" w:rsidRDefault="000255CA" w:rsidP="000255CA">
      <w:pPr>
        <w:pStyle w:val="ParaNoNdepar-AltN"/>
        <w:rPr>
          <w:rFonts w:cs="Times New Roman"/>
        </w:rPr>
      </w:pPr>
      <w:proofErr w:type="spellStart"/>
      <w:r w:rsidRPr="00652AE4">
        <w:rPr>
          <w:rFonts w:cs="Times New Roman"/>
        </w:rPr>
        <w:t>Nadon</w:t>
      </w:r>
      <w:proofErr w:type="spellEnd"/>
      <w:r w:rsidRPr="00652AE4">
        <w:rPr>
          <w:rFonts w:cs="Times New Roman"/>
        </w:rPr>
        <w:t xml:space="preserve"> J.A. agreed with the Tax Court that a purchaser’s assumption of reforestation obligations amounts to consideration received by the vendor. </w:t>
      </w:r>
      <w:r w:rsidRPr="00652AE4">
        <w:rPr>
          <w:rFonts w:cs="Times New Roman"/>
          <w:b/>
        </w:rPr>
        <w:t xml:space="preserve"> </w:t>
      </w:r>
      <w:r w:rsidRPr="00652AE4">
        <w:rPr>
          <w:rFonts w:cs="Times New Roman"/>
        </w:rPr>
        <w:t xml:space="preserve">According to </w:t>
      </w:r>
      <w:proofErr w:type="spellStart"/>
      <w:r w:rsidRPr="00652AE4">
        <w:rPr>
          <w:rFonts w:cs="Times New Roman"/>
        </w:rPr>
        <w:t>Nadon</w:t>
      </w:r>
      <w:proofErr w:type="spellEnd"/>
      <w:r w:rsidRPr="00652AE4">
        <w:rPr>
          <w:rFonts w:cs="Times New Roman"/>
        </w:rPr>
        <w:t xml:space="preserve"> J.A., with respect to the sale of the High Level Division to Tolko, the Tax Court erred by treating the $11 million cost of the reforestation obligations as an estimate that could be discounted for tax purposes.  The relevant inquiry was the value attributed to the reforestation obligations by the contracting parties.  Here, the sale agreement demonstrated that DMI and Tolko valued the reforestation obligations at $11 million and thus that full amount should have been added to DMI’s proceeds of disposition from the sale. </w:t>
      </w:r>
      <w:r w:rsidRPr="00652AE4">
        <w:rPr>
          <w:rFonts w:cs="Times New Roman"/>
          <w:b/>
        </w:rPr>
        <w:t xml:space="preserve"> </w:t>
      </w:r>
    </w:p>
    <w:p w:rsidR="000255CA" w:rsidRPr="00652AE4" w:rsidRDefault="000255CA" w:rsidP="000255CA">
      <w:pPr>
        <w:pStyle w:val="ParaNoNdepar-AltN"/>
        <w:rPr>
          <w:rFonts w:cs="Times New Roman"/>
        </w:rPr>
      </w:pPr>
      <w:proofErr w:type="spellStart"/>
      <w:r w:rsidRPr="00652AE4">
        <w:rPr>
          <w:rFonts w:cs="Times New Roman"/>
        </w:rPr>
        <w:t>Nadon</w:t>
      </w:r>
      <w:proofErr w:type="spellEnd"/>
      <w:r w:rsidRPr="00652AE4">
        <w:rPr>
          <w:rFonts w:cs="Times New Roman"/>
        </w:rPr>
        <w:t xml:space="preserve"> J.A. found that the trial judge’s reasons were inadequate with respect to the sale of the Brewster Lumber Division to </w:t>
      </w:r>
      <w:proofErr w:type="spellStart"/>
      <w:r w:rsidRPr="00652AE4">
        <w:rPr>
          <w:rFonts w:cs="Times New Roman"/>
        </w:rPr>
        <w:t>Seehta</w:t>
      </w:r>
      <w:proofErr w:type="spellEnd"/>
      <w:r w:rsidRPr="00652AE4">
        <w:rPr>
          <w:rFonts w:cs="Times New Roman"/>
        </w:rPr>
        <w:t xml:space="preserve"> because the trial judge did not address whether the evidence related to the transaction showed that DMI and </w:t>
      </w:r>
      <w:proofErr w:type="spellStart"/>
      <w:r w:rsidRPr="00652AE4">
        <w:rPr>
          <w:rFonts w:cs="Times New Roman"/>
        </w:rPr>
        <w:lastRenderedPageBreak/>
        <w:t>Seehta</w:t>
      </w:r>
      <w:proofErr w:type="spellEnd"/>
      <w:r w:rsidRPr="00652AE4">
        <w:rPr>
          <w:rFonts w:cs="Times New Roman"/>
        </w:rPr>
        <w:t xml:space="preserve"> had agreed to a value for the reforestation obligations.  The majority thus upheld the Minister’s reassessment with respect to the sale of the High Level Division, but remitted the matter to the Tax Court for redetermination with respect to the sale of the Brewster Lumber Division.  </w:t>
      </w:r>
    </w:p>
    <w:p w:rsidR="000255CA" w:rsidRPr="00652AE4" w:rsidRDefault="000255CA" w:rsidP="000255CA">
      <w:pPr>
        <w:pStyle w:val="ParaNoNdepar-AltN"/>
        <w:rPr>
          <w:rFonts w:cs="Times New Roman"/>
        </w:rPr>
      </w:pPr>
      <w:r w:rsidRPr="00652AE4">
        <w:rPr>
          <w:rFonts w:cs="Times New Roman"/>
        </w:rPr>
        <w:t xml:space="preserve">Mainville J.A. dissented.  In his view, the reforestation obligations “form an integral part of the forest tenures, and though they affect the value of the tenures, they are not a separate consideration of the sale transactions involving the tenures, and should thus not be added to the vendor’s proceeds of disposition resulting from those sales”: </w:t>
      </w:r>
      <w:proofErr w:type="spellStart"/>
      <w:r w:rsidRPr="00652AE4">
        <w:rPr>
          <w:rFonts w:cs="Times New Roman"/>
        </w:rPr>
        <w:t>para</w:t>
      </w:r>
      <w:proofErr w:type="spellEnd"/>
      <w:r w:rsidRPr="00652AE4">
        <w:rPr>
          <w:rFonts w:cs="Times New Roman"/>
        </w:rPr>
        <w:t>. 128.</w:t>
      </w:r>
      <w:r w:rsidRPr="00652AE4">
        <w:rPr>
          <w:rFonts w:cs="Times New Roman"/>
          <w:b/>
        </w:rPr>
        <w:t xml:space="preserve">  </w:t>
      </w:r>
      <w:r w:rsidRPr="00652AE4">
        <w:rPr>
          <w:rFonts w:cs="Times New Roman"/>
        </w:rPr>
        <w:t xml:space="preserve">For that reason, he concluded: </w:t>
      </w:r>
    </w:p>
    <w:p w:rsidR="000255CA" w:rsidRPr="00652AE4" w:rsidRDefault="000255CA" w:rsidP="000255CA">
      <w:pPr>
        <w:pStyle w:val="Citation-AltC"/>
        <w:ind w:firstLine="274"/>
        <w:rPr>
          <w:b/>
        </w:rPr>
      </w:pPr>
      <w:r w:rsidRPr="00652AE4">
        <w:t>The proper approach in these proceedings is to recognize that the reforestation liabilities at issue depress the value of the timber resources properties to which they are inextricably linked, and that consequently the vendor in this case received a lower price on the sale of these properties than it might have otherwise received.  [</w:t>
      </w:r>
      <w:proofErr w:type="spellStart"/>
      <w:r w:rsidRPr="00652AE4">
        <w:t>para</w:t>
      </w:r>
      <w:proofErr w:type="spellEnd"/>
      <w:r w:rsidRPr="00652AE4">
        <w:t>. 130]</w:t>
      </w:r>
    </w:p>
    <w:p w:rsidR="000255CA" w:rsidRPr="00652AE4" w:rsidRDefault="000255CA" w:rsidP="000255CA">
      <w:pPr>
        <w:pStyle w:val="ParaNoNdepar-AltN"/>
        <w:rPr>
          <w:rFonts w:cs="Times New Roman"/>
        </w:rPr>
      </w:pPr>
      <w:r w:rsidRPr="00652AE4">
        <w:rPr>
          <w:rFonts w:cs="Times New Roman"/>
        </w:rPr>
        <w:t xml:space="preserve">On this basis, Mainville J.A. would have allowed DMI’s appeal and dismissed the government’s cross-appeal. </w:t>
      </w:r>
    </w:p>
    <w:p w:rsidR="000255CA" w:rsidRPr="00652AE4" w:rsidRDefault="003F5179" w:rsidP="00F16812">
      <w:pPr>
        <w:pStyle w:val="TitleTitre-AltT"/>
        <w:tabs>
          <w:tab w:val="clear" w:pos="360"/>
          <w:tab w:val="left" w:pos="540"/>
        </w:tabs>
        <w:ind w:left="540" w:hanging="540"/>
        <w:rPr>
          <w:rFonts w:cs="Times New Roman"/>
          <w:u w:val="single"/>
        </w:rPr>
      </w:pPr>
      <w:r>
        <w:rPr>
          <w:rFonts w:cs="Times New Roman"/>
        </w:rPr>
        <w:t>IV.</w:t>
      </w:r>
      <w:r w:rsidR="000255CA" w:rsidRPr="00652AE4">
        <w:rPr>
          <w:rFonts w:cs="Times New Roman"/>
        </w:rPr>
        <w:tab/>
      </w:r>
      <w:r w:rsidR="000255CA" w:rsidRPr="00652AE4">
        <w:rPr>
          <w:rFonts w:cs="Times New Roman"/>
          <w:u w:val="single"/>
        </w:rPr>
        <w:t>Issues</w:t>
      </w:r>
    </w:p>
    <w:p w:rsidR="000255CA" w:rsidRPr="00652AE4" w:rsidRDefault="000255CA" w:rsidP="000255CA">
      <w:pPr>
        <w:pStyle w:val="ParaNoNdepar-AltN"/>
        <w:rPr>
          <w:rFonts w:cs="Times New Roman"/>
        </w:rPr>
      </w:pPr>
      <w:r w:rsidRPr="00652AE4">
        <w:rPr>
          <w:rFonts w:cs="Times New Roman"/>
        </w:rPr>
        <w:t>This Court granted leave on two issues:</w:t>
      </w:r>
    </w:p>
    <w:p w:rsidR="000255CA" w:rsidRPr="00652AE4" w:rsidRDefault="000255CA" w:rsidP="003F5179">
      <w:pPr>
        <w:pStyle w:val="Citation-AltC"/>
        <w:spacing w:line="480" w:lineRule="auto"/>
        <w:ind w:left="540" w:hanging="540"/>
      </w:pPr>
      <w:r w:rsidRPr="00652AE4">
        <w:lastRenderedPageBreak/>
        <w:t>1.</w:t>
      </w:r>
      <w:r w:rsidRPr="00652AE4">
        <w:tab/>
        <w:t>Are the reforestation liabilities to be included in the proceeds of disposition because the vendor is relieved of a liability or are they integral to and run with the forest tenures?</w:t>
      </w:r>
    </w:p>
    <w:p w:rsidR="000255CA" w:rsidRPr="00652AE4" w:rsidRDefault="000255CA" w:rsidP="003F5179">
      <w:pPr>
        <w:pStyle w:val="ContinueParaSuitedupar-AltP"/>
        <w:ind w:left="540" w:hanging="540"/>
        <w:rPr>
          <w:rFonts w:cs="Times New Roman"/>
        </w:rPr>
      </w:pPr>
      <w:r w:rsidRPr="00652AE4">
        <w:rPr>
          <w:rFonts w:cs="Times New Roman"/>
        </w:rPr>
        <w:t>2.</w:t>
      </w:r>
      <w:r w:rsidRPr="00652AE4">
        <w:rPr>
          <w:rFonts w:cs="Times New Roman"/>
        </w:rPr>
        <w:tab/>
        <w:t>Does it make any difference that the parties agreed to a specific amount of the future reforestation liability?</w:t>
      </w:r>
    </w:p>
    <w:p w:rsidR="000255CA" w:rsidRPr="00652AE4" w:rsidRDefault="003F5179" w:rsidP="00F16812">
      <w:pPr>
        <w:pStyle w:val="TitleTitre-AltT"/>
        <w:tabs>
          <w:tab w:val="clear" w:pos="360"/>
          <w:tab w:val="left" w:pos="540"/>
        </w:tabs>
        <w:ind w:left="540" w:hanging="540"/>
        <w:rPr>
          <w:rFonts w:cs="Times New Roman"/>
          <w:u w:val="single"/>
        </w:rPr>
      </w:pPr>
      <w:r>
        <w:rPr>
          <w:rFonts w:cs="Times New Roman"/>
        </w:rPr>
        <w:t>V.</w:t>
      </w:r>
      <w:r>
        <w:rPr>
          <w:rFonts w:cs="Times New Roman"/>
        </w:rPr>
        <w:tab/>
      </w:r>
      <w:r w:rsidR="000255CA" w:rsidRPr="00652AE4">
        <w:rPr>
          <w:rFonts w:cs="Times New Roman"/>
          <w:u w:val="single"/>
        </w:rPr>
        <w:t>Analysis</w:t>
      </w:r>
    </w:p>
    <w:p w:rsidR="000255CA" w:rsidRPr="00652AE4" w:rsidRDefault="003F5179" w:rsidP="00F16812">
      <w:pPr>
        <w:pStyle w:val="TitleTitre-AltT"/>
        <w:tabs>
          <w:tab w:val="clear" w:pos="360"/>
          <w:tab w:val="left" w:pos="540"/>
        </w:tabs>
        <w:ind w:left="540" w:hanging="540"/>
        <w:rPr>
          <w:rFonts w:cs="Times New Roman"/>
          <w:i/>
        </w:rPr>
      </w:pPr>
      <w:r>
        <w:rPr>
          <w:rFonts w:cs="Times New Roman"/>
        </w:rPr>
        <w:t>A.</w:t>
      </w:r>
      <w:r>
        <w:rPr>
          <w:rFonts w:cs="Times New Roman"/>
        </w:rPr>
        <w:tab/>
      </w:r>
      <w:r w:rsidR="000255CA" w:rsidRPr="00652AE4">
        <w:rPr>
          <w:rFonts w:cs="Times New Roman"/>
          <w:i/>
        </w:rPr>
        <w:t>Whether the Reforestation Obligations Had</w:t>
      </w:r>
      <w:r w:rsidR="00EF5211">
        <w:rPr>
          <w:rFonts w:cs="Times New Roman"/>
          <w:i/>
        </w:rPr>
        <w:t xml:space="preserve"> t</w:t>
      </w:r>
      <w:r w:rsidR="000255CA" w:rsidRPr="00652AE4">
        <w:rPr>
          <w:rFonts w:cs="Times New Roman"/>
          <w:i/>
        </w:rPr>
        <w:t>o Be Included in DMI’s Proceeds of Disposition</w:t>
      </w:r>
    </w:p>
    <w:p w:rsidR="000255CA" w:rsidRPr="00652AE4" w:rsidRDefault="000255CA" w:rsidP="000842D9">
      <w:pPr>
        <w:pStyle w:val="TitleTitre-AltT"/>
        <w:tabs>
          <w:tab w:val="clear" w:pos="360"/>
          <w:tab w:val="left" w:pos="1170"/>
        </w:tabs>
        <w:ind w:left="1890" w:hanging="1890"/>
        <w:rPr>
          <w:rFonts w:cs="Times New Roman"/>
        </w:rPr>
      </w:pPr>
      <w:r w:rsidRPr="00652AE4">
        <w:rPr>
          <w:rFonts w:cs="Times New Roman"/>
        </w:rPr>
        <w:tab/>
        <w:t>(1)</w:t>
      </w:r>
      <w:r w:rsidRPr="00652AE4">
        <w:rPr>
          <w:rFonts w:cs="Times New Roman"/>
        </w:rPr>
        <w:tab/>
      </w:r>
      <w:r w:rsidRPr="00652AE4">
        <w:rPr>
          <w:rFonts w:cs="Times New Roman"/>
          <w:u w:val="single"/>
        </w:rPr>
        <w:t>Whether Reforestation Obligations Are a Distinct Debt of DMI or Are Embedded in the Forest Tenure</w:t>
      </w:r>
    </w:p>
    <w:p w:rsidR="000255CA" w:rsidRPr="00652AE4" w:rsidRDefault="000255CA" w:rsidP="000255CA">
      <w:pPr>
        <w:pStyle w:val="ParaNoNdepar-AltN"/>
        <w:rPr>
          <w:rFonts w:cs="Times New Roman"/>
        </w:rPr>
      </w:pPr>
      <w:r w:rsidRPr="00652AE4">
        <w:rPr>
          <w:rFonts w:cs="Times New Roman"/>
        </w:rPr>
        <w:t xml:space="preserve">The parties agree that each of the forest tenures sold in this case is a “timber resource property” within the meaning of s. 13(21) of the </w:t>
      </w:r>
      <w:r w:rsidRPr="00652AE4">
        <w:rPr>
          <w:rFonts w:cs="Times New Roman"/>
          <w:i/>
        </w:rPr>
        <w:t>Income Tax Act</w:t>
      </w:r>
      <w:r w:rsidRPr="00652AE4">
        <w:rPr>
          <w:rFonts w:cs="Times New Roman"/>
        </w:rPr>
        <w:t xml:space="preserve"> because each provides “a right or licence to cut or remove timber fr</w:t>
      </w:r>
      <w:r w:rsidR="003F5179">
        <w:rPr>
          <w:rFonts w:cs="Times New Roman"/>
        </w:rPr>
        <w:t>om a limit or area in Canada”.</w:t>
      </w:r>
    </w:p>
    <w:p w:rsidR="000255CA" w:rsidRPr="00652AE4" w:rsidRDefault="000255CA" w:rsidP="000255CA">
      <w:pPr>
        <w:pStyle w:val="ParaNoNdepar-AltN"/>
        <w:rPr>
          <w:rFonts w:cs="Times New Roman"/>
        </w:rPr>
      </w:pPr>
      <w:r w:rsidRPr="00652AE4">
        <w:rPr>
          <w:rFonts w:cs="Times New Roman"/>
        </w:rPr>
        <w:t xml:space="preserve">A timber resource property is treated as a hybrid for tax purposes.  On the one hand, it is treated as a capital property for the purposes of capital cost allowance, such that the owner of a timber resource property may take an annual deduction on income equal to a percentage of the </w:t>
      </w:r>
      <w:proofErr w:type="spellStart"/>
      <w:r w:rsidRPr="00652AE4">
        <w:rPr>
          <w:rFonts w:cs="Times New Roman"/>
        </w:rPr>
        <w:t>undepreciated</w:t>
      </w:r>
      <w:proofErr w:type="spellEnd"/>
      <w:r w:rsidRPr="00652AE4">
        <w:rPr>
          <w:rFonts w:cs="Times New Roman"/>
        </w:rPr>
        <w:t xml:space="preserve"> capital cost</w:t>
      </w:r>
      <w:proofErr w:type="gramStart"/>
      <w:r w:rsidRPr="00652AE4">
        <w:rPr>
          <w:rFonts w:cs="Times New Roman"/>
        </w:rPr>
        <w:t>;  see</w:t>
      </w:r>
      <w:proofErr w:type="gramEnd"/>
      <w:r w:rsidRPr="00652AE4">
        <w:rPr>
          <w:rFonts w:cs="Times New Roman"/>
          <w:i/>
        </w:rPr>
        <w:t xml:space="preserve"> Income Tax Regulations</w:t>
      </w:r>
      <w:r w:rsidRPr="00652AE4">
        <w:rPr>
          <w:rFonts w:cs="Times New Roman"/>
        </w:rPr>
        <w:t>,</w:t>
      </w:r>
      <w:r w:rsidRPr="00652AE4">
        <w:rPr>
          <w:rFonts w:cs="Times New Roman"/>
          <w:i/>
        </w:rPr>
        <w:t xml:space="preserve"> </w:t>
      </w:r>
      <w:r w:rsidRPr="00652AE4">
        <w:rPr>
          <w:rFonts w:cs="Times New Roman"/>
        </w:rPr>
        <w:t>C.R.C. 1978, c. 945,</w:t>
      </w:r>
      <w:r w:rsidRPr="00652AE4">
        <w:rPr>
          <w:rFonts w:cs="Times New Roman"/>
          <w:i/>
        </w:rPr>
        <w:t xml:space="preserve"> </w:t>
      </w:r>
      <w:r w:rsidRPr="00652AE4">
        <w:rPr>
          <w:rFonts w:cs="Times New Roman"/>
        </w:rPr>
        <w:t xml:space="preserve">Sch. II, Class 33.  On the other hand, a timber </w:t>
      </w:r>
      <w:r w:rsidRPr="00652AE4">
        <w:rPr>
          <w:rFonts w:cs="Times New Roman"/>
        </w:rPr>
        <w:lastRenderedPageBreak/>
        <w:t xml:space="preserve">resource property is excluded from capital gains treatment:  </w:t>
      </w:r>
      <w:r w:rsidRPr="00652AE4">
        <w:rPr>
          <w:rFonts w:cs="Times New Roman"/>
          <w:i/>
        </w:rPr>
        <w:t>Income Tax Act</w:t>
      </w:r>
      <w:r w:rsidRPr="00652AE4">
        <w:rPr>
          <w:rFonts w:cs="Times New Roman"/>
        </w:rPr>
        <w:t>, s. 39(1</w:t>
      </w:r>
      <w:proofErr w:type="gramStart"/>
      <w:r w:rsidRPr="00652AE4">
        <w:rPr>
          <w:rFonts w:cs="Times New Roman"/>
        </w:rPr>
        <w:t>)(</w:t>
      </w:r>
      <w:proofErr w:type="gramEnd"/>
      <w:r w:rsidRPr="00652AE4">
        <w:rPr>
          <w:rFonts w:cs="Times New Roman"/>
          <w:i/>
        </w:rPr>
        <w:t>a</w:t>
      </w:r>
      <w:r w:rsidRPr="00652AE4">
        <w:rPr>
          <w:rFonts w:cs="Times New Roman"/>
        </w:rPr>
        <w:t xml:space="preserve">)(iv).  Therefore, upon sale of a timber resource property, any proceeds of disposition in excess of the property’s capital cost are treated as income;  see </w:t>
      </w:r>
      <w:r w:rsidRPr="00652AE4">
        <w:rPr>
          <w:rFonts w:cs="Times New Roman"/>
          <w:i/>
        </w:rPr>
        <w:t>Income Tax Act</w:t>
      </w:r>
      <w:r w:rsidRPr="00652AE4">
        <w:rPr>
          <w:rFonts w:cs="Times New Roman"/>
        </w:rPr>
        <w:t>, s. 13(1) and (21)</w:t>
      </w:r>
      <w:r w:rsidR="00E62FAB">
        <w:rPr>
          <w:rFonts w:cs="Times New Roman"/>
        </w:rPr>
        <w:t xml:space="preserve"> “</w:t>
      </w:r>
      <w:proofErr w:type="spellStart"/>
      <w:r w:rsidR="00E62FAB">
        <w:rPr>
          <w:rFonts w:cs="Times New Roman"/>
        </w:rPr>
        <w:t>undepreciated</w:t>
      </w:r>
      <w:proofErr w:type="spellEnd"/>
      <w:r w:rsidR="00E62FAB">
        <w:rPr>
          <w:rFonts w:cs="Times New Roman"/>
        </w:rPr>
        <w:t xml:space="preserve"> capital cost”</w:t>
      </w:r>
      <w:r w:rsidRPr="00652AE4">
        <w:rPr>
          <w:rFonts w:cs="Times New Roman"/>
        </w:rPr>
        <w:t xml:space="preserve"> (variable G); Canada Customs and Revenue Agency, Interpretation Bulletin IT-481 (Consolidated), “Timber Resource Property and Timber Limits” (Jan. 13, 2004), at </w:t>
      </w:r>
      <w:proofErr w:type="spellStart"/>
      <w:r w:rsidRPr="00652AE4">
        <w:rPr>
          <w:rFonts w:cs="Times New Roman"/>
        </w:rPr>
        <w:t>para</w:t>
      </w:r>
      <w:proofErr w:type="spellEnd"/>
      <w:r w:rsidRPr="00652AE4">
        <w:rPr>
          <w:rFonts w:cs="Times New Roman"/>
        </w:rPr>
        <w:t xml:space="preserve">. 2.  </w:t>
      </w:r>
    </w:p>
    <w:p w:rsidR="000255CA" w:rsidRPr="00652AE4" w:rsidRDefault="000255CA" w:rsidP="000255CA">
      <w:pPr>
        <w:pStyle w:val="ParaNoNdepar-AltN"/>
        <w:rPr>
          <w:rFonts w:cs="Times New Roman"/>
        </w:rPr>
      </w:pPr>
      <w:r w:rsidRPr="00652AE4">
        <w:rPr>
          <w:rFonts w:cs="Times New Roman"/>
        </w:rPr>
        <w:t xml:space="preserve">As set forth above, the issue in this appeal is whether the owner of </w:t>
      </w:r>
      <w:proofErr w:type="gramStart"/>
      <w:r w:rsidRPr="00652AE4">
        <w:rPr>
          <w:rFonts w:cs="Times New Roman"/>
        </w:rPr>
        <w:t>a forest</w:t>
      </w:r>
      <w:proofErr w:type="gramEnd"/>
      <w:r w:rsidRPr="00652AE4">
        <w:rPr>
          <w:rFonts w:cs="Times New Roman"/>
        </w:rPr>
        <w:t xml:space="preserve"> tenure who sells the tenure must include the estimated amount of future reforestation costs assumed by the purchaser in its proceeds of disposition.  Section 13(21) of the </w:t>
      </w:r>
      <w:r w:rsidRPr="00652AE4">
        <w:rPr>
          <w:rFonts w:cs="Times New Roman"/>
          <w:i/>
        </w:rPr>
        <w:t xml:space="preserve">Income Tax Act </w:t>
      </w:r>
      <w:r w:rsidRPr="00652AE4">
        <w:rPr>
          <w:rFonts w:cs="Times New Roman"/>
        </w:rPr>
        <w:t xml:space="preserve">defines “proceeds of disposition” to include “the sale price of property that has been sold”.  The focus of this case is thus on whether the purchasers’ assumption of the reforestation obligations arising from DMI’s previous harvesting is included in the sale price of the forest tenure.  </w:t>
      </w:r>
    </w:p>
    <w:p w:rsidR="000255CA" w:rsidRPr="00652AE4" w:rsidRDefault="000255CA" w:rsidP="000255CA">
      <w:pPr>
        <w:pStyle w:val="ParaNoNdepar-AltN"/>
        <w:rPr>
          <w:rFonts w:cs="Times New Roman"/>
        </w:rPr>
      </w:pPr>
      <w:r w:rsidRPr="00652AE4">
        <w:rPr>
          <w:rFonts w:cs="Times New Roman"/>
        </w:rPr>
        <w:t xml:space="preserve">It is beyond dispute that, as a matter of principle, the assumption of a vendor’s liability by a purchaser may constitute part of the sale price and therefore part of the vendor’s proceeds of disposition; see, e.g., </w:t>
      </w:r>
      <w:proofErr w:type="spellStart"/>
      <w:r w:rsidRPr="00652AE4">
        <w:rPr>
          <w:rFonts w:cs="Times New Roman"/>
          <w:i/>
        </w:rPr>
        <w:t>Telus</w:t>
      </w:r>
      <w:proofErr w:type="spellEnd"/>
      <w:r w:rsidRPr="00652AE4">
        <w:rPr>
          <w:rFonts w:cs="Times New Roman"/>
          <w:i/>
        </w:rPr>
        <w:t xml:space="preserve"> Communications (Edmonton) Inc. v. Minister of National Revenue</w:t>
      </w:r>
      <w:r w:rsidRPr="00652AE4">
        <w:rPr>
          <w:rFonts w:cs="Times New Roman"/>
        </w:rPr>
        <w:t xml:space="preserve">, 2009 FCA 49, 386 N.R. 354, at </w:t>
      </w:r>
      <w:proofErr w:type="spellStart"/>
      <w:r w:rsidRPr="00652AE4">
        <w:rPr>
          <w:rFonts w:cs="Times New Roman"/>
        </w:rPr>
        <w:t>para</w:t>
      </w:r>
      <w:proofErr w:type="spellEnd"/>
      <w:r w:rsidRPr="00652AE4">
        <w:rPr>
          <w:rFonts w:cs="Times New Roman"/>
        </w:rPr>
        <w:t xml:space="preserve">. 28; </w:t>
      </w:r>
      <w:proofErr w:type="spellStart"/>
      <w:r w:rsidRPr="00652AE4">
        <w:rPr>
          <w:rFonts w:cs="Times New Roman"/>
          <w:i/>
        </w:rPr>
        <w:t>Loyens</w:t>
      </w:r>
      <w:proofErr w:type="spellEnd"/>
      <w:r w:rsidRPr="00652AE4">
        <w:rPr>
          <w:rFonts w:cs="Times New Roman"/>
          <w:i/>
        </w:rPr>
        <w:t xml:space="preserve"> v. The Queen</w:t>
      </w:r>
      <w:r w:rsidRPr="00652AE4">
        <w:rPr>
          <w:rFonts w:cs="Times New Roman"/>
        </w:rPr>
        <w:t xml:space="preserve">, 2003 TCC 214, 2003 D.T.C. 355 (General Procedure), at </w:t>
      </w:r>
      <w:proofErr w:type="spellStart"/>
      <w:r w:rsidRPr="00652AE4">
        <w:rPr>
          <w:rFonts w:cs="Times New Roman"/>
        </w:rPr>
        <w:t>paras</w:t>
      </w:r>
      <w:proofErr w:type="spellEnd"/>
      <w:r w:rsidRPr="00652AE4">
        <w:rPr>
          <w:rFonts w:cs="Times New Roman"/>
        </w:rPr>
        <w:t xml:space="preserve">. 31 and 33.  A straightforward example of such a circumstance would be the purchase of a property that is encumbered by a mortgage.  If, for instance, an individual purchases a building by paying some cash and also assumes the mortgage </w:t>
      </w:r>
      <w:r w:rsidRPr="00652AE4">
        <w:rPr>
          <w:rFonts w:cs="Times New Roman"/>
        </w:rPr>
        <w:lastRenderedPageBreak/>
        <w:t xml:space="preserve">encumbering the property, the sale price of the property includes the amount of the </w:t>
      </w:r>
      <w:r>
        <w:rPr>
          <w:rFonts w:cs="Times New Roman"/>
        </w:rPr>
        <w:t>cash received</w:t>
      </w:r>
      <w:r w:rsidRPr="00652AE4">
        <w:rPr>
          <w:rFonts w:cs="Times New Roman"/>
        </w:rPr>
        <w:t xml:space="preserve"> and the amount remaining on the mortgage assumed;  see </w:t>
      </w:r>
      <w:proofErr w:type="spellStart"/>
      <w:r w:rsidRPr="00652AE4">
        <w:rPr>
          <w:rFonts w:cs="Times New Roman"/>
          <w:i/>
        </w:rPr>
        <w:t>Loyens</w:t>
      </w:r>
      <w:proofErr w:type="spellEnd"/>
      <w:r w:rsidRPr="00652AE4">
        <w:rPr>
          <w:rFonts w:cs="Times New Roman"/>
        </w:rPr>
        <w:t xml:space="preserve">, at </w:t>
      </w:r>
      <w:proofErr w:type="spellStart"/>
      <w:r w:rsidRPr="00652AE4">
        <w:rPr>
          <w:rFonts w:cs="Times New Roman"/>
        </w:rPr>
        <w:t>paras</w:t>
      </w:r>
      <w:proofErr w:type="spellEnd"/>
      <w:r w:rsidRPr="00652AE4">
        <w:rPr>
          <w:rFonts w:cs="Times New Roman"/>
        </w:rPr>
        <w:t xml:space="preserve">. 31 and 33.  The vendor’s proceeds of disposition for tax purposes would thus include both amounts;  see </w:t>
      </w:r>
      <w:r w:rsidRPr="00652AE4">
        <w:rPr>
          <w:rFonts w:cs="Times New Roman"/>
          <w:i/>
        </w:rPr>
        <w:t>Lord Elgin Hotel Ltd. v. Minister of National Revenue</w:t>
      </w:r>
      <w:r w:rsidRPr="00652AE4">
        <w:rPr>
          <w:rFonts w:cs="Times New Roman"/>
        </w:rPr>
        <w:t xml:space="preserve"> (1964), 64 D.T.C. 637 (</w:t>
      </w:r>
      <w:r w:rsidR="003F5179">
        <w:rPr>
          <w:rFonts w:cs="Times New Roman"/>
        </w:rPr>
        <w:t>T.A.B.</w:t>
      </w:r>
      <w:r w:rsidRPr="00652AE4">
        <w:rPr>
          <w:rFonts w:cs="Times New Roman"/>
        </w:rPr>
        <w:t xml:space="preserve">), at </w:t>
      </w:r>
      <w:proofErr w:type="spellStart"/>
      <w:r w:rsidRPr="00652AE4">
        <w:rPr>
          <w:rFonts w:cs="Times New Roman"/>
        </w:rPr>
        <w:t>paras</w:t>
      </w:r>
      <w:proofErr w:type="spellEnd"/>
      <w:r w:rsidRPr="00652AE4">
        <w:rPr>
          <w:rFonts w:cs="Times New Roman"/>
        </w:rPr>
        <w:t>. 11-12.</w:t>
      </w:r>
    </w:p>
    <w:p w:rsidR="000255CA" w:rsidRPr="00652AE4" w:rsidRDefault="000255CA" w:rsidP="000255CA">
      <w:pPr>
        <w:pStyle w:val="ParaNoNdepar-AltN"/>
        <w:rPr>
          <w:rFonts w:cs="Times New Roman"/>
        </w:rPr>
      </w:pPr>
      <w:r w:rsidRPr="00652AE4">
        <w:rPr>
          <w:rFonts w:cs="Times New Roman"/>
        </w:rPr>
        <w:t xml:space="preserve">The Minister submits that </w:t>
      </w:r>
      <w:proofErr w:type="gramStart"/>
      <w:r w:rsidRPr="00652AE4">
        <w:rPr>
          <w:rFonts w:cs="Times New Roman"/>
        </w:rPr>
        <w:t>a forest</w:t>
      </w:r>
      <w:proofErr w:type="gramEnd"/>
      <w:r w:rsidRPr="00652AE4">
        <w:rPr>
          <w:rFonts w:cs="Times New Roman"/>
        </w:rPr>
        <w:t xml:space="preserve"> tenure with reforestation obligations that have arisen under Alberta law from past harvesting is analogous to property encumbered by a mortgage.  According to the Minister, upon sale of the forest tenure, the purchaser’s assumption of reforestation obligations, like the assumption of a mortgage, forms part of the sale price and must be included in the vendor’s proceeds of disposition.  </w:t>
      </w:r>
    </w:p>
    <w:p w:rsidR="000255CA" w:rsidRPr="00652AE4" w:rsidRDefault="000255CA" w:rsidP="000255CA">
      <w:pPr>
        <w:pStyle w:val="ParaNoNdepar-AltN"/>
        <w:rPr>
          <w:rFonts w:cs="Times New Roman"/>
        </w:rPr>
      </w:pPr>
      <w:r w:rsidRPr="00652AE4">
        <w:rPr>
          <w:rFonts w:cs="Times New Roman"/>
        </w:rPr>
        <w:t>DMI</w:t>
      </w:r>
      <w:r>
        <w:rPr>
          <w:rFonts w:cs="Times New Roman"/>
        </w:rPr>
        <w:t xml:space="preserve">, supported by </w:t>
      </w:r>
      <w:r w:rsidRPr="00652AE4">
        <w:rPr>
          <w:rFonts w:cs="Times New Roman"/>
        </w:rPr>
        <w:t>the industry interveners</w:t>
      </w:r>
      <w:r>
        <w:rPr>
          <w:rFonts w:cs="Times New Roman"/>
        </w:rPr>
        <w:t>,</w:t>
      </w:r>
      <w:r w:rsidRPr="00652AE4">
        <w:rPr>
          <w:rFonts w:cs="Times New Roman"/>
        </w:rPr>
        <w:t xml:space="preserve"> submit</w:t>
      </w:r>
      <w:r>
        <w:rPr>
          <w:rFonts w:cs="Times New Roman"/>
        </w:rPr>
        <w:t>s</w:t>
      </w:r>
      <w:r w:rsidRPr="00652AE4">
        <w:rPr>
          <w:rFonts w:cs="Times New Roman"/>
        </w:rPr>
        <w:t xml:space="preserve"> that the analogy to a mortgage is misplaced.  In their view, </w:t>
      </w:r>
      <w:proofErr w:type="gramStart"/>
      <w:r w:rsidRPr="00652AE4">
        <w:rPr>
          <w:rFonts w:cs="Times New Roman"/>
        </w:rPr>
        <w:t>a forest</w:t>
      </w:r>
      <w:proofErr w:type="gramEnd"/>
      <w:r w:rsidRPr="00652AE4">
        <w:rPr>
          <w:rFonts w:cs="Times New Roman"/>
        </w:rPr>
        <w:t xml:space="preserve"> tenure with reforestation obligations that have arisen from past harvesting is better analogized to property that is in need of repair.  The need for repairs has the effect of depressing the property’s value.  If property in need of repair is sold, the purchaser’s assumption of the cost of repairs does not form an additional part of the sale price of the property.  And, as the Minister acknowledged at the oral hearing, the vendor would not be required to include in its proceeds of disposition an amount to reflect the estimated repair costs assumed by the purchaser.  This would be true even if the parties attributed a value to the cost of those repairs in their contract and even if the repairs were required by law; </w:t>
      </w:r>
      <w:r w:rsidRPr="00652AE4">
        <w:rPr>
          <w:rFonts w:cs="Times New Roman"/>
        </w:rPr>
        <w:lastRenderedPageBreak/>
        <w:t xml:space="preserve">see M. Colborne and S. Suarez, “Timber! Consequences of Assuming Reforestation Obligations” (2012), 60 </w:t>
      </w:r>
      <w:r w:rsidRPr="00652AE4">
        <w:rPr>
          <w:rFonts w:cs="Times New Roman"/>
          <w:i/>
        </w:rPr>
        <w:t>Can</w:t>
      </w:r>
      <w:r w:rsidR="00E62FAB">
        <w:rPr>
          <w:rFonts w:cs="Times New Roman"/>
          <w:i/>
        </w:rPr>
        <w:t>.</w:t>
      </w:r>
      <w:r w:rsidRPr="00652AE4">
        <w:rPr>
          <w:rFonts w:cs="Times New Roman"/>
          <w:i/>
        </w:rPr>
        <w:t xml:space="preserve"> T</w:t>
      </w:r>
      <w:r w:rsidR="00D521BD">
        <w:rPr>
          <w:rFonts w:cs="Times New Roman"/>
          <w:i/>
        </w:rPr>
        <w:t xml:space="preserve">ax </w:t>
      </w:r>
      <w:r w:rsidRPr="00652AE4">
        <w:rPr>
          <w:rFonts w:cs="Times New Roman"/>
          <w:i/>
        </w:rPr>
        <w:t>J.</w:t>
      </w:r>
      <w:r w:rsidRPr="00652AE4">
        <w:rPr>
          <w:rFonts w:cs="Times New Roman"/>
        </w:rPr>
        <w:t xml:space="preserve"> 137, at p. 142.   </w:t>
      </w:r>
    </w:p>
    <w:p w:rsidR="000255CA" w:rsidRPr="00652AE4" w:rsidRDefault="000255CA" w:rsidP="000255CA">
      <w:pPr>
        <w:pStyle w:val="ParaNoNdepar-AltN"/>
        <w:rPr>
          <w:rFonts w:cs="Times New Roman"/>
        </w:rPr>
      </w:pPr>
      <w:r w:rsidRPr="00652AE4">
        <w:rPr>
          <w:rFonts w:cs="Times New Roman"/>
        </w:rPr>
        <w:t xml:space="preserve">I agree with Mainville J.A., DMI and the industry interveners that the assumed reforestation obligations are not appropriately characterized as the assumption of an existing debt of the vendor that forms part of the sale price of the property.   The obligations — much like needed repairs to property — are a future cost embedded in the forest tenure that serves to depress the tenure’s value at the time of sale.  This is different from a mortgage, which, as I explain below, does not affect the value of the property it encumbers.  </w:t>
      </w:r>
    </w:p>
    <w:p w:rsidR="000255CA" w:rsidRPr="00652AE4" w:rsidRDefault="000255CA" w:rsidP="000255CA">
      <w:pPr>
        <w:pStyle w:val="ParaNoNdepar-AltN"/>
        <w:rPr>
          <w:rFonts w:cs="Times New Roman"/>
        </w:rPr>
      </w:pPr>
      <w:r w:rsidRPr="00652AE4">
        <w:rPr>
          <w:rFonts w:cs="Times New Roman"/>
        </w:rPr>
        <w:t xml:space="preserve">In this case, the reforestation obligations are embedded in the forest tenure by reason of the policy and practice of Alberta.  As described above, Alberta law provides that </w:t>
      </w:r>
      <w:proofErr w:type="gramStart"/>
      <w:r w:rsidRPr="00652AE4">
        <w:rPr>
          <w:rFonts w:cs="Times New Roman"/>
        </w:rPr>
        <w:t>a forest</w:t>
      </w:r>
      <w:proofErr w:type="gramEnd"/>
      <w:r w:rsidRPr="00652AE4">
        <w:rPr>
          <w:rFonts w:cs="Times New Roman"/>
        </w:rPr>
        <w:t xml:space="preserve"> tenure may be transferred only with the consent of the appropriate provincial official; see the </w:t>
      </w:r>
      <w:r w:rsidRPr="00652AE4">
        <w:rPr>
          <w:rFonts w:cs="Times New Roman"/>
          <w:i/>
        </w:rPr>
        <w:t>Forests Act</w:t>
      </w:r>
      <w:r w:rsidRPr="00652AE4">
        <w:rPr>
          <w:rFonts w:cs="Times New Roman"/>
        </w:rPr>
        <w:t xml:space="preserve">, ss. 16(3) and 28(2), and </w:t>
      </w:r>
      <w:r w:rsidRPr="00652AE4">
        <w:rPr>
          <w:rFonts w:cs="Times New Roman"/>
          <w:i/>
        </w:rPr>
        <w:t>The Timber Management Regulations</w:t>
      </w:r>
      <w:r w:rsidRPr="00652AE4">
        <w:rPr>
          <w:rFonts w:cs="Times New Roman"/>
        </w:rPr>
        <w:t>, s. 154.  As the trial judge found (</w:t>
      </w:r>
      <w:proofErr w:type="spellStart"/>
      <w:r w:rsidRPr="00652AE4">
        <w:rPr>
          <w:rFonts w:cs="Times New Roman"/>
        </w:rPr>
        <w:t>para</w:t>
      </w:r>
      <w:proofErr w:type="spellEnd"/>
      <w:r w:rsidRPr="00652AE4">
        <w:rPr>
          <w:rFonts w:cs="Times New Roman"/>
        </w:rPr>
        <w:t xml:space="preserve">. 26) and Alberta has affirmed before this Court (factum, at </w:t>
      </w:r>
      <w:proofErr w:type="spellStart"/>
      <w:r w:rsidRPr="00652AE4">
        <w:rPr>
          <w:rFonts w:cs="Times New Roman"/>
        </w:rPr>
        <w:t>paras</w:t>
      </w:r>
      <w:proofErr w:type="spellEnd"/>
      <w:r w:rsidRPr="00652AE4">
        <w:rPr>
          <w:rFonts w:cs="Times New Roman"/>
        </w:rPr>
        <w:t xml:space="preserve">. 24-26), “the Province of Alberta will not approve of a transfer of the forest tenures, unless a purchaser assumes the reforestation liability”.  That is, “the situation in Alberta is that the Province effectively forces the purchaser to assume the reforestation liability: no assumption — no transfer of forest tenures”: </w:t>
      </w:r>
      <w:r w:rsidR="00D521BD">
        <w:rPr>
          <w:rFonts w:cs="Times New Roman"/>
        </w:rPr>
        <w:t xml:space="preserve">trial reasons, at </w:t>
      </w:r>
      <w:proofErr w:type="spellStart"/>
      <w:r w:rsidRPr="00652AE4">
        <w:rPr>
          <w:rFonts w:cs="Times New Roman"/>
        </w:rPr>
        <w:t>para</w:t>
      </w:r>
      <w:proofErr w:type="spellEnd"/>
      <w:r w:rsidRPr="00652AE4">
        <w:rPr>
          <w:rFonts w:cs="Times New Roman"/>
        </w:rPr>
        <w:t>. 26.  Further, Alberta takes the position that</w:t>
      </w:r>
      <w:r>
        <w:rPr>
          <w:rFonts w:cs="Times New Roman"/>
        </w:rPr>
        <w:t>,</w:t>
      </w:r>
      <w:r w:rsidRPr="00652AE4">
        <w:rPr>
          <w:rFonts w:cs="Times New Roman"/>
        </w:rPr>
        <w:t xml:space="preserve"> after an assignment has been approved by the province, the vendor is absolved of all liability for the reforestation obligations. </w:t>
      </w:r>
    </w:p>
    <w:p w:rsidR="000255CA" w:rsidRPr="00652AE4" w:rsidRDefault="000255CA" w:rsidP="000255CA">
      <w:pPr>
        <w:pStyle w:val="ParaNoNdepar-AltN"/>
        <w:rPr>
          <w:rFonts w:cs="Times New Roman"/>
        </w:rPr>
      </w:pPr>
      <w:r w:rsidRPr="00652AE4">
        <w:rPr>
          <w:rFonts w:cs="Times New Roman"/>
        </w:rPr>
        <w:lastRenderedPageBreak/>
        <w:t xml:space="preserve">The effect of Alberta’s scheme is to embed the reforestation obligations into the forest tenure, such that the obligations cannot be severed from the property itself.  As such, the reforestation obligations are simply a future cost tied to the tenure that depresses the value of the tenure.  A prospective purchaser of the tenure would take into account the income-earning potential of the tenure as well as the expected future costs associated with ownership of the tenure.  The existence of reforestation obligations, a future cost that cannot be severed from the tenure, would decrease the amount such a prospective purchaser would be willing to pay;  see J. </w:t>
      </w:r>
      <w:proofErr w:type="spellStart"/>
      <w:r w:rsidRPr="00652AE4">
        <w:rPr>
          <w:rFonts w:cs="Times New Roman"/>
        </w:rPr>
        <w:t>Frankovic</w:t>
      </w:r>
      <w:proofErr w:type="spellEnd"/>
      <w:r w:rsidRPr="00652AE4">
        <w:rPr>
          <w:rFonts w:cs="Times New Roman"/>
        </w:rPr>
        <w:t>, “Supreme Court to Hear</w:t>
      </w:r>
      <w:r w:rsidRPr="00652AE4">
        <w:rPr>
          <w:rFonts w:cs="Times New Roman"/>
          <w:i/>
        </w:rPr>
        <w:t xml:space="preserve"> Daishowa </w:t>
      </w:r>
      <w:r w:rsidRPr="00652AE4">
        <w:rPr>
          <w:rFonts w:cs="Times New Roman"/>
        </w:rPr>
        <w:t>Appeal — Back t</w:t>
      </w:r>
      <w:r w:rsidR="00C161B7">
        <w:rPr>
          <w:rFonts w:cs="Times New Roman"/>
        </w:rPr>
        <w:t>o Basics on Basis and Proceeds”</w:t>
      </w:r>
      <w:r w:rsidRPr="00652AE4">
        <w:rPr>
          <w:rFonts w:cs="Times New Roman"/>
        </w:rPr>
        <w:t xml:space="preserve"> (July 12, 2012), CCH </w:t>
      </w:r>
      <w:r w:rsidRPr="00652AE4">
        <w:rPr>
          <w:rFonts w:cs="Times New Roman"/>
          <w:i/>
        </w:rPr>
        <w:t xml:space="preserve">Tax Topics </w:t>
      </w:r>
      <w:r w:rsidRPr="00652AE4">
        <w:rPr>
          <w:rFonts w:cs="Times New Roman"/>
        </w:rPr>
        <w:t>No. 1205, at pp. 2-3.  Here, for instance, the record establishes that Tolko valued the High Level Division’s forest tenure at $31 million less the $11 million estimated cost of future reforestation obligations.  The forest tenure thus had a value of $20 million.  To include the full $31 million in DMI’s proceeds of disposition would disregard the fact that DMI did not have $31 million of value to sell.  Under no circumstances could DMI have received $31 million for the forest tenure.</w:t>
      </w:r>
    </w:p>
    <w:p w:rsidR="000255CA" w:rsidRPr="00652AE4" w:rsidRDefault="000255CA" w:rsidP="000255CA">
      <w:pPr>
        <w:pStyle w:val="ParaNoNdepar-AltN"/>
        <w:rPr>
          <w:rFonts w:cs="Times New Roman"/>
        </w:rPr>
      </w:pPr>
      <w:r w:rsidRPr="00652AE4">
        <w:rPr>
          <w:rFonts w:cs="Times New Roman"/>
        </w:rPr>
        <w:t xml:space="preserve">This distinguishes the reforestation obligations tied to </w:t>
      </w:r>
      <w:proofErr w:type="gramStart"/>
      <w:r w:rsidRPr="00652AE4">
        <w:rPr>
          <w:rFonts w:cs="Times New Roman"/>
        </w:rPr>
        <w:t>a forest</w:t>
      </w:r>
      <w:proofErr w:type="gramEnd"/>
      <w:r w:rsidRPr="00652AE4">
        <w:rPr>
          <w:rFonts w:cs="Times New Roman"/>
        </w:rPr>
        <w:t xml:space="preserve"> tenure from a mortgage, which does not affect the value of the property it encumbers.  For instance, a property worth $31 million that is encumbered by a mortgage of $11 million, despite the mortgage, still has a value of $31 million.  The vendor of such a property could obtain $31 million for it and then pay off the mortgage.  Alternatively, the vendor could obtain $20 million and have the purchaser assume the mortgage.  In </w:t>
      </w:r>
      <w:r w:rsidRPr="00652AE4">
        <w:rPr>
          <w:rFonts w:cs="Times New Roman"/>
        </w:rPr>
        <w:lastRenderedPageBreak/>
        <w:t xml:space="preserve">either case, it makes sense for the vendor’s proceeds of disposition to equal the full $31 million because that is the value of the asset being sold. </w:t>
      </w:r>
    </w:p>
    <w:p w:rsidR="000255CA" w:rsidRPr="00652AE4" w:rsidRDefault="000255CA" w:rsidP="000255CA">
      <w:pPr>
        <w:pStyle w:val="ParaNoNdepar-AltN"/>
        <w:rPr>
          <w:rFonts w:cs="Times New Roman"/>
        </w:rPr>
      </w:pPr>
      <w:r w:rsidRPr="00652AE4">
        <w:rPr>
          <w:rFonts w:cs="Times New Roman"/>
        </w:rPr>
        <w:t xml:space="preserve">Parenthetically, I note that it is true that in some circumstances, the </w:t>
      </w:r>
      <w:r w:rsidRPr="00652AE4">
        <w:rPr>
          <w:rFonts w:cs="Times New Roman"/>
          <w:i/>
        </w:rPr>
        <w:t>terms</w:t>
      </w:r>
      <w:r w:rsidRPr="00652AE4">
        <w:rPr>
          <w:rFonts w:cs="Times New Roman"/>
        </w:rPr>
        <w:t xml:space="preserve"> of a mortgage might have an impact on the sale price of the property it encumbers.  If, for instance, property is encumbered by a mortgage with a very favourable interest rate, it will be more attractive to purchasers who can assume such a mortgage and such purchasers will be prepared to pay more on that account.  However, in such circumstances, the favourable interest rate has a separate value of its own to the purchaser who can assume the mortgage. The interest rate does not affect the value of the property.  In any case, here, the Minister</w:t>
      </w:r>
      <w:r>
        <w:rPr>
          <w:rFonts w:cs="Times New Roman"/>
        </w:rPr>
        <w:t xml:space="preserve"> </w:t>
      </w:r>
      <w:r w:rsidRPr="00652AE4">
        <w:rPr>
          <w:rFonts w:cs="Times New Roman"/>
        </w:rPr>
        <w:t xml:space="preserve">analogizes future reforestation costs to the vendor’s </w:t>
      </w:r>
      <w:r w:rsidRPr="00652AE4">
        <w:rPr>
          <w:rFonts w:cs="Times New Roman"/>
          <w:i/>
        </w:rPr>
        <w:t>indebtedness</w:t>
      </w:r>
      <w:r w:rsidRPr="00652AE4">
        <w:rPr>
          <w:rFonts w:cs="Times New Roman"/>
        </w:rPr>
        <w:t xml:space="preserve"> on a mortgage.  As I have explained, the vendor’s indebtedness does not affect the value of the property.</w:t>
      </w:r>
    </w:p>
    <w:p w:rsidR="000255CA" w:rsidRPr="00652AE4" w:rsidRDefault="000255CA" w:rsidP="000255CA">
      <w:pPr>
        <w:pStyle w:val="ParaNoNdepar-AltN"/>
        <w:rPr>
          <w:rFonts w:cs="Times New Roman"/>
        </w:rPr>
      </w:pPr>
      <w:r w:rsidRPr="00652AE4">
        <w:rPr>
          <w:rFonts w:cs="Times New Roman"/>
        </w:rPr>
        <w:t xml:space="preserve">At the oral hearing, the Minister’s argument was that </w:t>
      </w:r>
      <w:proofErr w:type="gramStart"/>
      <w:r w:rsidRPr="00652AE4">
        <w:rPr>
          <w:rFonts w:cs="Times New Roman"/>
        </w:rPr>
        <w:t>a forest</w:t>
      </w:r>
      <w:proofErr w:type="gramEnd"/>
      <w:r w:rsidRPr="00652AE4">
        <w:rPr>
          <w:rFonts w:cs="Times New Roman"/>
        </w:rPr>
        <w:t xml:space="preserve"> tenure with reforestation obligations that have arisen from past harvesting differs from property that must be repaired because DMI’s liability for the reforestation obligations had “crystallized” by the time of the sale.  According to the Minister, the debt was “crystallized” because (1) at the time DMI sold the forest tenure, it had already incurred obligations to reforest land based on its past harvesting, and (2) it could not simply walk away from those obligations.  The Minister submits that in these circumstances, DMI benefitted from the purchasers’ assumption of the reforestation obligations by an amount equal to the estimated cost of the reforestation obligations.  </w:t>
      </w:r>
    </w:p>
    <w:p w:rsidR="000255CA" w:rsidRPr="00652AE4" w:rsidRDefault="000255CA" w:rsidP="000255CA">
      <w:pPr>
        <w:pStyle w:val="ParaNoNdepar-AltN"/>
        <w:rPr>
          <w:rFonts w:cs="Times New Roman"/>
        </w:rPr>
      </w:pPr>
      <w:r w:rsidRPr="00652AE4">
        <w:rPr>
          <w:rFonts w:cs="Times New Roman"/>
        </w:rPr>
        <w:lastRenderedPageBreak/>
        <w:t xml:space="preserve">As Mr. </w:t>
      </w:r>
      <w:proofErr w:type="spellStart"/>
      <w:r w:rsidRPr="00652AE4">
        <w:rPr>
          <w:rFonts w:cs="Times New Roman"/>
        </w:rPr>
        <w:t>Meghji</w:t>
      </w:r>
      <w:proofErr w:type="spellEnd"/>
      <w:r w:rsidRPr="00652AE4">
        <w:rPr>
          <w:rFonts w:cs="Times New Roman"/>
        </w:rPr>
        <w:t xml:space="preserve">, arguing for the Canadian Association of Petroleum Producers (“CAPP”), explained at the oral hearing, the problem with the Minister’s argument is that it presupposes that the reforestation obligations are a distinct existing liability.  Implicit in the argument that DMI could not simply walk away from the reforestation obligations is the proposition that the obligations were an existing indebtedness of DMI.  As I have explained above, the reforestation obligations were not a distinct existing debt, like a mortgage, but were embedded in the tenure so as to be a future cost associated with ownership of the tenure.  </w:t>
      </w:r>
    </w:p>
    <w:p w:rsidR="000255CA" w:rsidRPr="00652AE4" w:rsidRDefault="000255CA" w:rsidP="000255CA">
      <w:pPr>
        <w:pStyle w:val="ParaNoNdepar-AltN"/>
        <w:rPr>
          <w:rFonts w:cs="Times New Roman"/>
        </w:rPr>
      </w:pPr>
      <w:r w:rsidRPr="00652AE4">
        <w:rPr>
          <w:rFonts w:cs="Times New Roman"/>
        </w:rPr>
        <w:t xml:space="preserve">I have concluded that Alberta’s regulatory scheme, which prevents a vendor from selling </w:t>
      </w:r>
      <w:proofErr w:type="gramStart"/>
      <w:r w:rsidRPr="00652AE4">
        <w:rPr>
          <w:rFonts w:cs="Times New Roman"/>
        </w:rPr>
        <w:t>a forest</w:t>
      </w:r>
      <w:proofErr w:type="gramEnd"/>
      <w:r w:rsidRPr="00652AE4">
        <w:rPr>
          <w:rFonts w:cs="Times New Roman"/>
        </w:rPr>
        <w:t xml:space="preserve"> tenure without also assigning the reforestation obligations that have arisen from past harvesting, has the effect of embedding those reforestation obligations in the tenure itself.   In this appeal, CAPP submits that future obligations may be embedded in a property right absent a legal requirement that precludes a vendor from selling the property right without assigning the obligations.  CAPP submits, using the example of the mining of gas and oil, that statutory obligations to reclaim mined land may be so physically connected to the process of mining itself that the obligations cannot be separated from the property right.  While I need not decide that question on the record before me, I would certainly not foreclose the possibility that obligations associated with a property right could be embedded in that property right without there being a statute, regulation or government policy that expressly restricts a vendor from selling the property right without assigning those obligations to the purchaser.  </w:t>
      </w:r>
    </w:p>
    <w:p w:rsidR="000255CA" w:rsidRPr="00652AE4" w:rsidRDefault="000255CA" w:rsidP="000255CA">
      <w:pPr>
        <w:pStyle w:val="ParaNoNdepar-AltN"/>
        <w:rPr>
          <w:rFonts w:cs="Times New Roman"/>
        </w:rPr>
      </w:pPr>
      <w:r w:rsidRPr="00652AE4">
        <w:rPr>
          <w:rFonts w:cs="Times New Roman"/>
        </w:rPr>
        <w:lastRenderedPageBreak/>
        <w:t xml:space="preserve">In sum, the reforestation obligations imposed by Alberta law on DMI’s forest tenures are embedded in those tenures and, as such, are future expenses tied to ownership of the property.  They are not a liability that can be separated from the forest tenure, the assumption of which would form part of the sale price of the tenure.  I would therefore reject the Minister’s argument that the purchasers’ assumption of the reforestation obligations had to be added to DMI’s proceeds of disposition for income tax purposes.  </w:t>
      </w:r>
    </w:p>
    <w:p w:rsidR="000255CA" w:rsidRPr="00652AE4" w:rsidRDefault="000255CA" w:rsidP="000842D9">
      <w:pPr>
        <w:pStyle w:val="TitleTitre-AltT"/>
        <w:tabs>
          <w:tab w:val="clear" w:pos="360"/>
          <w:tab w:val="left" w:pos="1170"/>
        </w:tabs>
        <w:ind w:left="1890" w:hanging="1890"/>
        <w:rPr>
          <w:rFonts w:cs="Times New Roman"/>
          <w:szCs w:val="24"/>
        </w:rPr>
      </w:pPr>
      <w:r w:rsidRPr="00652AE4">
        <w:rPr>
          <w:rFonts w:cs="Times New Roman"/>
          <w:szCs w:val="24"/>
        </w:rPr>
        <w:tab/>
        <w:t>(2)</w:t>
      </w:r>
      <w:r w:rsidRPr="00652AE4">
        <w:rPr>
          <w:rFonts w:cs="Times New Roman"/>
          <w:szCs w:val="24"/>
        </w:rPr>
        <w:tab/>
      </w:r>
      <w:r w:rsidRPr="00652AE4">
        <w:rPr>
          <w:rFonts w:cs="Times New Roman"/>
          <w:szCs w:val="24"/>
          <w:u w:val="single"/>
        </w:rPr>
        <w:t>Contingent Liabilities</w:t>
      </w:r>
    </w:p>
    <w:p w:rsidR="000255CA" w:rsidRPr="00652AE4" w:rsidRDefault="000255CA" w:rsidP="000255CA">
      <w:pPr>
        <w:pStyle w:val="ParaNoNdepar-AltN"/>
        <w:rPr>
          <w:rFonts w:cs="Times New Roman"/>
        </w:rPr>
      </w:pPr>
      <w:r w:rsidRPr="00652AE4">
        <w:rPr>
          <w:rFonts w:cs="Times New Roman"/>
        </w:rPr>
        <w:t xml:space="preserve">DMI has also argued that it should not have been required to add the reforestation obligations to its proceeds of disposition because the obligations were a contingent liability.  </w:t>
      </w:r>
    </w:p>
    <w:p w:rsidR="000255CA" w:rsidRPr="00652AE4" w:rsidRDefault="000255CA" w:rsidP="000255CA">
      <w:pPr>
        <w:pStyle w:val="ParaNoNdepar-AltN"/>
        <w:rPr>
          <w:rFonts w:cs="Times New Roman"/>
        </w:rPr>
      </w:pPr>
      <w:r w:rsidRPr="00652AE4">
        <w:rPr>
          <w:rFonts w:cs="Times New Roman"/>
        </w:rPr>
        <w:t xml:space="preserve">A contingent liability is “a liability which depends for its existence upon an event which may or may not happen”: </w:t>
      </w:r>
      <w:r w:rsidRPr="00652AE4">
        <w:rPr>
          <w:rFonts w:cs="Times New Roman"/>
          <w:i/>
        </w:rPr>
        <w:t>Canada v.</w:t>
      </w:r>
      <w:r w:rsidRPr="00652AE4">
        <w:rPr>
          <w:rFonts w:cs="Times New Roman"/>
        </w:rPr>
        <w:t xml:space="preserve"> </w:t>
      </w:r>
      <w:proofErr w:type="spellStart"/>
      <w:r w:rsidRPr="00652AE4">
        <w:rPr>
          <w:rFonts w:cs="Times New Roman"/>
          <w:i/>
        </w:rPr>
        <w:t>McLarty</w:t>
      </w:r>
      <w:proofErr w:type="spellEnd"/>
      <w:r w:rsidRPr="00652AE4">
        <w:rPr>
          <w:rFonts w:cs="Times New Roman"/>
        </w:rPr>
        <w:t xml:space="preserve">, 2008 SCC 26, [2008] 2 S.C.R. 79, at </w:t>
      </w:r>
      <w:proofErr w:type="spellStart"/>
      <w:r w:rsidRPr="00652AE4">
        <w:rPr>
          <w:rFonts w:cs="Times New Roman"/>
        </w:rPr>
        <w:t>para</w:t>
      </w:r>
      <w:proofErr w:type="spellEnd"/>
      <w:r w:rsidRPr="00652AE4">
        <w:rPr>
          <w:rFonts w:cs="Times New Roman"/>
        </w:rPr>
        <w:t xml:space="preserve">. 17, quoting </w:t>
      </w:r>
      <w:r w:rsidRPr="00652AE4">
        <w:rPr>
          <w:rFonts w:cs="Times New Roman"/>
          <w:i/>
        </w:rPr>
        <w:t>Winter v. Inland Revenue Commissioners</w:t>
      </w:r>
      <w:r w:rsidRPr="00652AE4">
        <w:rPr>
          <w:rFonts w:cs="Times New Roman"/>
        </w:rPr>
        <w:t xml:space="preserve">, [1963] A.C. 235 (H.L.), at p. 262.  This Court has recognized that the contingent nature of a liability may have implications on the tax treatment of the liability.  In </w:t>
      </w:r>
      <w:proofErr w:type="spellStart"/>
      <w:r w:rsidRPr="00652AE4">
        <w:rPr>
          <w:rFonts w:cs="Times New Roman"/>
          <w:i/>
        </w:rPr>
        <w:t>McLarty</w:t>
      </w:r>
      <w:proofErr w:type="spellEnd"/>
      <w:r w:rsidRPr="00652AE4">
        <w:rPr>
          <w:rFonts w:cs="Times New Roman"/>
        </w:rPr>
        <w:t xml:space="preserve">, for instance, this Court recognized that, although a taxpayer generally incurs an expense when he has a legal obligation to pay a sum of money, no expense is incurred for tax purposes if the liability is contingent:  </w:t>
      </w:r>
      <w:proofErr w:type="spellStart"/>
      <w:r w:rsidRPr="00652AE4">
        <w:rPr>
          <w:rFonts w:cs="Times New Roman"/>
        </w:rPr>
        <w:t>paras</w:t>
      </w:r>
      <w:proofErr w:type="spellEnd"/>
      <w:r w:rsidRPr="00652AE4">
        <w:rPr>
          <w:rFonts w:cs="Times New Roman"/>
        </w:rPr>
        <w:t>. 14-16</w:t>
      </w:r>
      <w:proofErr w:type="gramStart"/>
      <w:r w:rsidRPr="00652AE4">
        <w:rPr>
          <w:rFonts w:cs="Times New Roman"/>
        </w:rPr>
        <w:t>.  In</w:t>
      </w:r>
      <w:proofErr w:type="gramEnd"/>
      <w:r w:rsidRPr="00652AE4">
        <w:rPr>
          <w:rFonts w:cs="Times New Roman"/>
        </w:rPr>
        <w:t xml:space="preserve"> </w:t>
      </w:r>
      <w:r w:rsidRPr="00652AE4">
        <w:rPr>
          <w:rFonts w:cs="Times New Roman"/>
          <w:i/>
        </w:rPr>
        <w:t>Mandel v. The Queen</w:t>
      </w:r>
      <w:r w:rsidRPr="00652AE4">
        <w:rPr>
          <w:rFonts w:cs="Times New Roman"/>
        </w:rPr>
        <w:t xml:space="preserve">, [1980] 1 S.C.R. 318, </w:t>
      </w:r>
      <w:proofErr w:type="spellStart"/>
      <w:r w:rsidRPr="00652AE4">
        <w:rPr>
          <w:rFonts w:cs="Times New Roman"/>
        </w:rPr>
        <w:t>aff’g</w:t>
      </w:r>
      <w:proofErr w:type="spellEnd"/>
      <w:r w:rsidRPr="00652AE4">
        <w:rPr>
          <w:rFonts w:cs="Times New Roman"/>
        </w:rPr>
        <w:t xml:space="preserve"> [1979] 1 F.C. 560, this Court affirmed the Federal Court of </w:t>
      </w:r>
      <w:r w:rsidRPr="00652AE4">
        <w:rPr>
          <w:rFonts w:cs="Times New Roman"/>
        </w:rPr>
        <w:lastRenderedPageBreak/>
        <w:t xml:space="preserve">Appeal’s determination that a taxpayer who purchases a capital asset may not include in his capital cost a liability to the vendor if the liability is contingent. </w:t>
      </w:r>
    </w:p>
    <w:p w:rsidR="000255CA" w:rsidRPr="00652AE4" w:rsidRDefault="000255CA" w:rsidP="000255CA">
      <w:pPr>
        <w:pStyle w:val="ParaNoNdepar-AltN"/>
        <w:rPr>
          <w:rFonts w:cs="Times New Roman"/>
        </w:rPr>
      </w:pPr>
      <w:r w:rsidRPr="00652AE4">
        <w:rPr>
          <w:rFonts w:cs="Times New Roman"/>
        </w:rPr>
        <w:t>However, DMI’s argument that the reforestation obligations should not be included in its proceeds of disposition because they are a “contingent liability” is misplaced and appears to have caused some confusion in the courts below.  The argument is problematic because, in focusing on whether the reforestation obligations are contingent or absolute, it implicitly accepts that the cost of reforestation is a liability of the vendor that is not embedded in the forest tenure and would constitute proceeds of disposition but for the contingent nature of the liability</w:t>
      </w:r>
      <w:proofErr w:type="gramStart"/>
      <w:r w:rsidRPr="00652AE4">
        <w:rPr>
          <w:rFonts w:cs="Times New Roman"/>
        </w:rPr>
        <w:t xml:space="preserve">; </w:t>
      </w:r>
      <w:r w:rsidRPr="00652AE4">
        <w:rPr>
          <w:rFonts w:cs="Times New Roman"/>
          <w:i/>
        </w:rPr>
        <w:t xml:space="preserve"> </w:t>
      </w:r>
      <w:r w:rsidRPr="00652AE4">
        <w:rPr>
          <w:rFonts w:cs="Times New Roman"/>
        </w:rPr>
        <w:t>see</w:t>
      </w:r>
      <w:proofErr w:type="gramEnd"/>
      <w:r w:rsidRPr="00652AE4">
        <w:rPr>
          <w:rFonts w:cs="Times New Roman"/>
        </w:rPr>
        <w:t xml:space="preserve"> </w:t>
      </w:r>
      <w:proofErr w:type="spellStart"/>
      <w:r w:rsidRPr="00652AE4">
        <w:rPr>
          <w:rFonts w:cs="Times New Roman"/>
        </w:rPr>
        <w:t>Frankovic</w:t>
      </w:r>
      <w:proofErr w:type="spellEnd"/>
      <w:r w:rsidRPr="00652AE4">
        <w:rPr>
          <w:rFonts w:cs="Times New Roman"/>
        </w:rPr>
        <w:t xml:space="preserve">, at p. 4.  This implicit assumption is incorrect.  As I have explained above, the cost of reforestation is not a distinct existing liability of the vendor.  The assumption of the cost of reforestation would thus be excluded from proceeds of disposition independent of whether the cost is absolute or contingent.  Using the example of the sale of a building in need of repair, the purchaser’s assumption of the future cost of repairing the building is not part of the sale price of the building regardless of whether the purchaser is certain he will have to spend a specific amount on repairs in the future — such that the cost is absolute — or the requirement for repairs depends on some future event — such that the cost is contingent.  The certainty or likelihood of the cost of repairs may, of course, affect the sale price by affecting the amount the purchaser is willing to pay for the building.  It does not, however, affect whether the cost of repairs is part of the proceeds of disposition.  The same is true of the reforestation obligations embedded in </w:t>
      </w:r>
      <w:proofErr w:type="gramStart"/>
      <w:r w:rsidRPr="00652AE4">
        <w:rPr>
          <w:rFonts w:cs="Times New Roman"/>
        </w:rPr>
        <w:t>a forest</w:t>
      </w:r>
      <w:proofErr w:type="gramEnd"/>
      <w:r w:rsidRPr="00652AE4">
        <w:rPr>
          <w:rFonts w:cs="Times New Roman"/>
        </w:rPr>
        <w:t xml:space="preserve"> tenure. </w:t>
      </w:r>
    </w:p>
    <w:p w:rsidR="000255CA" w:rsidRPr="00652AE4" w:rsidRDefault="000255CA" w:rsidP="000842D9">
      <w:pPr>
        <w:pStyle w:val="TitleTitre-AltT"/>
        <w:tabs>
          <w:tab w:val="clear" w:pos="360"/>
          <w:tab w:val="left" w:pos="1170"/>
        </w:tabs>
        <w:ind w:left="1890" w:hanging="1890"/>
        <w:rPr>
          <w:rFonts w:cs="Times New Roman"/>
          <w:u w:val="single"/>
        </w:rPr>
      </w:pPr>
      <w:r w:rsidRPr="00652AE4">
        <w:rPr>
          <w:rFonts w:cs="Times New Roman"/>
        </w:rPr>
        <w:lastRenderedPageBreak/>
        <w:tab/>
        <w:t>(3)</w:t>
      </w:r>
      <w:r w:rsidRPr="00652AE4">
        <w:rPr>
          <w:rFonts w:cs="Times New Roman"/>
        </w:rPr>
        <w:tab/>
      </w:r>
      <w:r w:rsidRPr="00652AE4">
        <w:rPr>
          <w:rFonts w:cs="Times New Roman"/>
          <w:u w:val="single"/>
        </w:rPr>
        <w:t>Avoidance of Asymmetrical Tax Treatment</w:t>
      </w:r>
    </w:p>
    <w:p w:rsidR="000255CA" w:rsidRPr="00652AE4" w:rsidRDefault="000255CA" w:rsidP="000255CA">
      <w:pPr>
        <w:pStyle w:val="ParaNoNdepar-AltN"/>
        <w:rPr>
          <w:rFonts w:cs="Times New Roman"/>
        </w:rPr>
      </w:pPr>
      <w:r w:rsidRPr="00652AE4">
        <w:rPr>
          <w:rFonts w:cs="Times New Roman"/>
        </w:rPr>
        <w:t xml:space="preserve">The approach advanced by the Minister would lead to asymmetry between the vendor’s proceeds of disposition and the purchaser’s adjusted cost base at the time </w:t>
      </w:r>
      <w:proofErr w:type="gramStart"/>
      <w:r w:rsidRPr="00652AE4">
        <w:rPr>
          <w:rFonts w:cs="Times New Roman"/>
        </w:rPr>
        <w:t>a forest</w:t>
      </w:r>
      <w:proofErr w:type="gramEnd"/>
      <w:r w:rsidRPr="00652AE4">
        <w:rPr>
          <w:rFonts w:cs="Times New Roman"/>
        </w:rPr>
        <w:t xml:space="preserve"> tenure is acquired.  The Minister’s position is that the purchaser’s adjusted cost base upon acquiring </w:t>
      </w:r>
      <w:proofErr w:type="gramStart"/>
      <w:r w:rsidRPr="00652AE4">
        <w:rPr>
          <w:rFonts w:cs="Times New Roman"/>
        </w:rPr>
        <w:t>a forest</w:t>
      </w:r>
      <w:proofErr w:type="gramEnd"/>
      <w:r w:rsidRPr="00652AE4">
        <w:rPr>
          <w:rFonts w:cs="Times New Roman"/>
        </w:rPr>
        <w:t xml:space="preserve"> tenure does not include the estimated reforestation obligations assumed.  Notwithstanding that, the Minister would have the vendor’s proceeds of disposition include the amount paid to the vendor plus an additional amount for the estimated future reforestation obligations assumed by the purchaser.  The effect would be to tax the vendor as if the reforestation obligations assumed by the purchaser were part of the sale price, but to tax the purchaser as if the reforestation obligations it assumed were not part of the sale price; see P. W. Hogg, J. E. Magee and J. Li, </w:t>
      </w:r>
      <w:r w:rsidRPr="00652AE4">
        <w:rPr>
          <w:rFonts w:cs="Times New Roman"/>
          <w:i/>
        </w:rPr>
        <w:t>Principles of Canadian Income Tax Law</w:t>
      </w:r>
      <w:r w:rsidRPr="00652AE4">
        <w:rPr>
          <w:rFonts w:cs="Times New Roman"/>
        </w:rPr>
        <w:t xml:space="preserve"> (7th ed. 2010), at p. 322, which explains that a taxpayer’s adjusted cost base generally includes the purchase price of the property, as well as any expenses or fees associated with the acquisition of the property.  </w:t>
      </w:r>
    </w:p>
    <w:p w:rsidR="000255CA" w:rsidRPr="00652AE4" w:rsidRDefault="000255CA" w:rsidP="000255CA">
      <w:pPr>
        <w:pStyle w:val="ParaNoNdepar-AltN"/>
        <w:rPr>
          <w:rFonts w:cs="Times New Roman"/>
        </w:rPr>
      </w:pPr>
      <w:r w:rsidRPr="00652AE4">
        <w:rPr>
          <w:rFonts w:cs="Times New Roman"/>
        </w:rPr>
        <w:t xml:space="preserve">Counsel for the Minister acknowledged this asymmetry at the oral hearing.  Under the Minister’s approach, the sale of the High Level Division to Tolko would have resulted in taxable proceeds of $31 million for DMI ($20 million received plus $11 million in assumed reforestation obligations).   However, Tolko’s adjusted cost base would be $20 million (just the amount paid).  The Minister’s asymmetrical approach means that if Tolko sold the forest tenure to a new purchaser the very next </w:t>
      </w:r>
      <w:r w:rsidRPr="00652AE4">
        <w:rPr>
          <w:rFonts w:cs="Times New Roman"/>
        </w:rPr>
        <w:lastRenderedPageBreak/>
        <w:t xml:space="preserve">day, Tolko would be assessed taxable proceeds of $31 million (the amount received plus the assumption of the future reforestation costs).  That is, Tolko would be assessed $11 million of taxable income, despite in no way receiving such additional income.  </w:t>
      </w:r>
    </w:p>
    <w:p w:rsidR="000255CA" w:rsidRPr="00652AE4" w:rsidRDefault="000255CA" w:rsidP="000255CA">
      <w:pPr>
        <w:pStyle w:val="ParaNoNdepar-AltN"/>
        <w:rPr>
          <w:rFonts w:cs="Times New Roman"/>
        </w:rPr>
      </w:pPr>
      <w:r w:rsidRPr="00652AE4">
        <w:rPr>
          <w:rFonts w:cs="Times New Roman"/>
        </w:rPr>
        <w:t>The conclusion I have reached — that a purchaser’s assumption of reforestation obligations does not form part of the vendor’s proceeds of disposition — avoids this asymmetry.  Although not dispositive, as Mainville J.A. recognized in his dissent, an interpretation of the Act</w:t>
      </w:r>
      <w:r w:rsidRPr="00652AE4">
        <w:rPr>
          <w:rFonts w:cs="Times New Roman"/>
          <w:i/>
        </w:rPr>
        <w:t xml:space="preserve"> </w:t>
      </w:r>
      <w:r w:rsidRPr="00652AE4">
        <w:rPr>
          <w:rFonts w:cs="Times New Roman"/>
        </w:rPr>
        <w:t xml:space="preserve">that promotes symmetry and fairness through a harmonious taxation scheme is to be preferred over an interpretation which promotes neither value. </w:t>
      </w:r>
    </w:p>
    <w:p w:rsidR="000255CA" w:rsidRPr="00652AE4" w:rsidRDefault="000842D9" w:rsidP="000842D9">
      <w:pPr>
        <w:pStyle w:val="TitleTitre-AltT"/>
        <w:tabs>
          <w:tab w:val="clear" w:pos="360"/>
          <w:tab w:val="left" w:pos="540"/>
        </w:tabs>
        <w:ind w:left="540" w:hanging="540"/>
        <w:rPr>
          <w:rFonts w:cs="Times New Roman"/>
          <w:i/>
        </w:rPr>
      </w:pPr>
      <w:r>
        <w:rPr>
          <w:rFonts w:cs="Times New Roman"/>
        </w:rPr>
        <w:t>B.</w:t>
      </w:r>
      <w:r>
        <w:rPr>
          <w:rFonts w:cs="Times New Roman"/>
        </w:rPr>
        <w:tab/>
      </w:r>
      <w:r w:rsidR="00F7722A">
        <w:rPr>
          <w:rFonts w:cs="Times New Roman"/>
          <w:i/>
        </w:rPr>
        <w:t xml:space="preserve">Whether it </w:t>
      </w:r>
      <w:proofErr w:type="gramStart"/>
      <w:r w:rsidR="00F7722A">
        <w:rPr>
          <w:rFonts w:cs="Times New Roman"/>
          <w:i/>
        </w:rPr>
        <w:t>Makes</w:t>
      </w:r>
      <w:proofErr w:type="gramEnd"/>
      <w:r w:rsidR="00F7722A">
        <w:rPr>
          <w:rFonts w:cs="Times New Roman"/>
          <w:i/>
        </w:rPr>
        <w:t xml:space="preserve"> Any Difference T</w:t>
      </w:r>
      <w:r w:rsidR="000255CA" w:rsidRPr="00652AE4">
        <w:rPr>
          <w:rFonts w:cs="Times New Roman"/>
          <w:i/>
        </w:rPr>
        <w:t>hat the Contracting Parties Agreed to a Specific Amount of the Future Reforestation Obligations</w:t>
      </w:r>
      <w:r w:rsidR="000255CA" w:rsidRPr="00652AE4">
        <w:rPr>
          <w:rFonts w:cs="Times New Roman"/>
        </w:rPr>
        <w:t xml:space="preserve">  </w:t>
      </w:r>
    </w:p>
    <w:p w:rsidR="000255CA" w:rsidRPr="00652AE4" w:rsidRDefault="000255CA" w:rsidP="000255CA">
      <w:pPr>
        <w:pStyle w:val="ParaNoNdepar-AltN"/>
        <w:rPr>
          <w:rFonts w:cs="Times New Roman"/>
        </w:rPr>
      </w:pPr>
      <w:r w:rsidRPr="00652AE4">
        <w:rPr>
          <w:rFonts w:cs="Times New Roman"/>
        </w:rPr>
        <w:t xml:space="preserve">The Minister reassessed DMI with respect to the Tolko sale using the $11 million estimated cost of the reforestation obligations included in the sale agreement and reassessed DMI with respect to the </w:t>
      </w:r>
      <w:proofErr w:type="spellStart"/>
      <w:r w:rsidRPr="00652AE4">
        <w:rPr>
          <w:rFonts w:cs="Times New Roman"/>
        </w:rPr>
        <w:t>Seehta</w:t>
      </w:r>
      <w:proofErr w:type="spellEnd"/>
      <w:r w:rsidRPr="00652AE4">
        <w:rPr>
          <w:rFonts w:cs="Times New Roman"/>
        </w:rPr>
        <w:t xml:space="preserve"> sale using DMI’s internal accounting estimates.  The trial judge’s determination of DMI’s tax liability relied upon both of those estimates.  According to the majority of the Court of Appeal, whether reforestation costs should be included in proceeds of disposition turns on whether the contracting parties agreed to an estimated future cost.  It thus upheld the Minister’s reassessment in the Tolko sale, but remitted the matter to the trial judge to determine whether there was an agreement as to the cost in the </w:t>
      </w:r>
      <w:proofErr w:type="spellStart"/>
      <w:r w:rsidRPr="00652AE4">
        <w:rPr>
          <w:rFonts w:cs="Times New Roman"/>
        </w:rPr>
        <w:t>Seehta</w:t>
      </w:r>
      <w:proofErr w:type="spellEnd"/>
      <w:r w:rsidRPr="00652AE4">
        <w:rPr>
          <w:rFonts w:cs="Times New Roman"/>
        </w:rPr>
        <w:t xml:space="preserve"> sale.   </w:t>
      </w:r>
    </w:p>
    <w:p w:rsidR="000255CA" w:rsidRPr="00652AE4" w:rsidRDefault="000255CA" w:rsidP="000255CA">
      <w:pPr>
        <w:pStyle w:val="ParaNoNdepar-AltN"/>
        <w:rPr>
          <w:rFonts w:cs="Times New Roman"/>
        </w:rPr>
      </w:pPr>
      <w:r w:rsidRPr="00652AE4">
        <w:rPr>
          <w:rFonts w:cs="Times New Roman"/>
        </w:rPr>
        <w:lastRenderedPageBreak/>
        <w:t xml:space="preserve">In accordance with the analysis above, DMI’s proceeds of disposition do not depend on whether the contracting parties agreed to a specific estimate of the cost of those obligations in their sale agreement.  Any amount that the parties assigned to the reforestation obligations in the sale agreement was simply a factor in determining the fair market value of the forest tenures: I. J. Gamble, </w:t>
      </w:r>
      <w:r w:rsidRPr="00652AE4">
        <w:rPr>
          <w:rFonts w:cs="Times New Roman"/>
          <w:i/>
        </w:rPr>
        <w:t>Taxation of Canadian Min</w:t>
      </w:r>
      <w:r>
        <w:rPr>
          <w:rFonts w:cs="Times New Roman"/>
          <w:i/>
        </w:rPr>
        <w:t>ing</w:t>
      </w:r>
      <w:r w:rsidRPr="00652AE4">
        <w:rPr>
          <w:rFonts w:cs="Times New Roman"/>
          <w:i/>
        </w:rPr>
        <w:t xml:space="preserve"> </w:t>
      </w:r>
      <w:r w:rsidRPr="00652AE4">
        <w:rPr>
          <w:rFonts w:cs="Times New Roman"/>
        </w:rPr>
        <w:t xml:space="preserve">(2004), c. 6.6.2, at pp. 6-14 to 6-15. </w:t>
      </w:r>
    </w:p>
    <w:p w:rsidR="000255CA" w:rsidRPr="00652AE4" w:rsidRDefault="000255CA" w:rsidP="000255CA">
      <w:pPr>
        <w:pStyle w:val="ParaNoNdepar-AltN"/>
        <w:rPr>
          <w:rFonts w:cs="Times New Roman"/>
        </w:rPr>
      </w:pPr>
      <w:r w:rsidRPr="00652AE4">
        <w:rPr>
          <w:rFonts w:cs="Times New Roman"/>
        </w:rPr>
        <w:t xml:space="preserve">It is also irrelevant that DMI estimated the cost of future reforestation to compute its income for accounting purposes.  Although commercial and accounting principles allowed DMI to deduct reforestation obligations on a yearly basis and add back to income the deducted amounts at the time of the sale to provide a more accurate picture of its profit from year to year, as I have explained above, the </w:t>
      </w:r>
      <w:r w:rsidRPr="00652AE4">
        <w:rPr>
          <w:rFonts w:cs="Times New Roman"/>
          <w:i/>
        </w:rPr>
        <w:t xml:space="preserve">Income Tax Act </w:t>
      </w:r>
      <w:r w:rsidRPr="00652AE4">
        <w:rPr>
          <w:rFonts w:cs="Times New Roman"/>
        </w:rPr>
        <w:t xml:space="preserve">does not permit that approach; see V. Krishna, </w:t>
      </w:r>
      <w:r w:rsidRPr="00652AE4">
        <w:rPr>
          <w:rFonts w:cs="Times New Roman"/>
          <w:i/>
        </w:rPr>
        <w:t>The Fundamentals of Canadian Income Tax</w:t>
      </w:r>
      <w:r w:rsidRPr="00652AE4">
        <w:rPr>
          <w:rFonts w:cs="Times New Roman"/>
        </w:rPr>
        <w:t xml:space="preserve"> (9th ed.</w:t>
      </w:r>
      <w:r w:rsidR="00B1053D">
        <w:rPr>
          <w:rFonts w:cs="Times New Roman"/>
        </w:rPr>
        <w:t xml:space="preserve"> 2006</w:t>
      </w:r>
      <w:r w:rsidRPr="00652AE4">
        <w:rPr>
          <w:rFonts w:cs="Times New Roman"/>
        </w:rPr>
        <w:t xml:space="preserve">), at pp. 171-72.  This Court has recognized the distinct purposes of financial accounting and income tax calculation:  </w:t>
      </w:r>
      <w:proofErr w:type="spellStart"/>
      <w:r w:rsidRPr="00652AE4">
        <w:rPr>
          <w:rFonts w:cs="Times New Roman"/>
          <w:i/>
        </w:rPr>
        <w:t>Canderel</w:t>
      </w:r>
      <w:proofErr w:type="spellEnd"/>
      <w:r w:rsidRPr="00652AE4">
        <w:rPr>
          <w:rFonts w:cs="Times New Roman"/>
          <w:i/>
        </w:rPr>
        <w:t xml:space="preserve"> Ltd. v. Canada</w:t>
      </w:r>
      <w:r w:rsidRPr="00652AE4">
        <w:rPr>
          <w:rFonts w:cs="Times New Roman"/>
        </w:rPr>
        <w:t xml:space="preserve">, [1998] 1 S.C.R. 147, at </w:t>
      </w:r>
      <w:proofErr w:type="spellStart"/>
      <w:r w:rsidRPr="00652AE4">
        <w:rPr>
          <w:rFonts w:cs="Times New Roman"/>
        </w:rPr>
        <w:t>para</w:t>
      </w:r>
      <w:proofErr w:type="spellEnd"/>
      <w:r w:rsidRPr="00652AE4">
        <w:rPr>
          <w:rFonts w:cs="Times New Roman"/>
        </w:rPr>
        <w:t xml:space="preserve">. 36.  It would thus be an error to simply include DMI’s accounting estimates in its proceeds of disposition. </w:t>
      </w:r>
    </w:p>
    <w:p w:rsidR="000255CA" w:rsidRPr="00652AE4" w:rsidRDefault="00977250" w:rsidP="00977250">
      <w:pPr>
        <w:pStyle w:val="TitleTitre-AltT"/>
        <w:tabs>
          <w:tab w:val="clear" w:pos="360"/>
          <w:tab w:val="left" w:pos="540"/>
        </w:tabs>
        <w:ind w:left="540" w:hanging="540"/>
        <w:rPr>
          <w:rFonts w:cs="Times New Roman"/>
        </w:rPr>
      </w:pPr>
      <w:r>
        <w:rPr>
          <w:rFonts w:cs="Times New Roman"/>
        </w:rPr>
        <w:t>VI.</w:t>
      </w:r>
      <w:r>
        <w:rPr>
          <w:rFonts w:cs="Times New Roman"/>
        </w:rPr>
        <w:tab/>
      </w:r>
      <w:r w:rsidR="000255CA" w:rsidRPr="00652AE4">
        <w:rPr>
          <w:rFonts w:cs="Times New Roman"/>
          <w:u w:val="single"/>
        </w:rPr>
        <w:t>Conclusion</w:t>
      </w:r>
    </w:p>
    <w:p w:rsidR="000255CA" w:rsidRPr="00652AE4" w:rsidRDefault="000255CA" w:rsidP="000255CA">
      <w:pPr>
        <w:pStyle w:val="ParaNoNdepar-AltN"/>
        <w:rPr>
          <w:rFonts w:cs="Times New Roman"/>
        </w:rPr>
      </w:pPr>
      <w:r w:rsidRPr="00652AE4">
        <w:rPr>
          <w:rFonts w:cs="Times New Roman"/>
        </w:rPr>
        <w:t xml:space="preserve">DMI was not required to include in its taxable proceeds of disposition an amount reflecting the future reforestation costs assumed by Tolko and </w:t>
      </w:r>
      <w:proofErr w:type="spellStart"/>
      <w:r w:rsidRPr="00652AE4">
        <w:rPr>
          <w:rFonts w:cs="Times New Roman"/>
        </w:rPr>
        <w:t>Seehta</w:t>
      </w:r>
      <w:proofErr w:type="spellEnd"/>
      <w:r w:rsidRPr="00652AE4">
        <w:rPr>
          <w:rFonts w:cs="Times New Roman"/>
        </w:rPr>
        <w:t xml:space="preserve">.  </w:t>
      </w:r>
    </w:p>
    <w:p w:rsidR="000255CA" w:rsidRPr="00652AE4" w:rsidRDefault="000255CA" w:rsidP="000255CA">
      <w:pPr>
        <w:pStyle w:val="ParaNoNdepar-AltN"/>
        <w:rPr>
          <w:rFonts w:cs="Times New Roman"/>
        </w:rPr>
      </w:pPr>
      <w:r w:rsidRPr="00652AE4">
        <w:rPr>
          <w:rFonts w:cs="Times New Roman"/>
        </w:rPr>
        <w:lastRenderedPageBreak/>
        <w:t xml:space="preserve">The appeal is allowed with costs throughout to DMI and the matter is remitted to the Minister for reassessment in accordance with these reasons.  </w:t>
      </w:r>
    </w:p>
    <w:p w:rsidR="009B57B3" w:rsidRPr="004C7888" w:rsidRDefault="006D2897" w:rsidP="000571FB">
      <w:pPr>
        <w:pStyle w:val="SCCNormalDoubleSpacing"/>
        <w:spacing w:before="480" w:after="480"/>
        <w:rPr>
          <w:i/>
        </w:rPr>
      </w:pPr>
      <w:r w:rsidRPr="004C7888">
        <w:tab/>
      </w:r>
      <w:r w:rsidR="00656313" w:rsidRPr="004C7888">
        <w:rPr>
          <w:i/>
        </w:rPr>
        <w:t>Appeal</w:t>
      </w:r>
      <w:r w:rsidRPr="004C7888">
        <w:rPr>
          <w:i/>
        </w:rPr>
        <w:t xml:space="preserve"> allowed</w:t>
      </w:r>
      <w:r w:rsidR="001C0B40" w:rsidRPr="004C7888">
        <w:rPr>
          <w:i/>
        </w:rPr>
        <w:t xml:space="preserve"> with costs throughout</w:t>
      </w:r>
      <w:r w:rsidRPr="004C7888">
        <w:rPr>
          <w:i/>
        </w:rPr>
        <w:t>.</w:t>
      </w:r>
    </w:p>
    <w:p w:rsidR="006D2897" w:rsidRPr="004C7888" w:rsidRDefault="006D2897" w:rsidP="000571FB">
      <w:pPr>
        <w:pStyle w:val="SCCLawFirm"/>
        <w:spacing w:before="480" w:after="480"/>
      </w:pPr>
      <w:r w:rsidRPr="004C7888">
        <w:tab/>
        <w:t>Solicitors for the appellant</w:t>
      </w:r>
      <w:r w:rsidR="00F13087" w:rsidRPr="004C7888">
        <w:t>:  </w:t>
      </w:r>
      <w:r w:rsidRPr="004C7888">
        <w:t>Wilson &amp; Partners, Vancouver.</w:t>
      </w:r>
    </w:p>
    <w:p w:rsidR="006D2897" w:rsidRPr="004C7888" w:rsidRDefault="006D2897" w:rsidP="000571FB">
      <w:pPr>
        <w:pStyle w:val="SCCLawFirm"/>
        <w:spacing w:before="480" w:after="480"/>
      </w:pPr>
      <w:r w:rsidRPr="004C7888">
        <w:tab/>
        <w:t>Solicitor for the respondent</w:t>
      </w:r>
      <w:r w:rsidR="00F13087" w:rsidRPr="004C7888">
        <w:t>:  </w:t>
      </w:r>
      <w:r w:rsidRPr="004C7888">
        <w:t>Attorney General of Canada, Vancouver.</w:t>
      </w:r>
    </w:p>
    <w:p w:rsidR="00822511" w:rsidRPr="004C7888" w:rsidRDefault="00822511" w:rsidP="000571FB">
      <w:pPr>
        <w:pStyle w:val="SCCLawFirm"/>
        <w:spacing w:before="480" w:after="480"/>
      </w:pPr>
      <w:r w:rsidRPr="004C7888">
        <w:tab/>
        <w:t>Solicitor</w:t>
      </w:r>
      <w:r w:rsidR="00AC6579">
        <w:t>s</w:t>
      </w:r>
      <w:r w:rsidRPr="004C7888">
        <w:t xml:space="preserve"> for the intervener Her Majesty </w:t>
      </w:r>
      <w:proofErr w:type="gramStart"/>
      <w:r w:rsidR="00977250">
        <w:t>T</w:t>
      </w:r>
      <w:r w:rsidRPr="004C7888">
        <w:t>he</w:t>
      </w:r>
      <w:proofErr w:type="gramEnd"/>
      <w:r w:rsidRPr="004C7888">
        <w:t xml:space="preserve"> Queen in Right of Alberta</w:t>
      </w:r>
      <w:r w:rsidR="00F13087" w:rsidRPr="004C7888">
        <w:t>:  </w:t>
      </w:r>
      <w:r w:rsidRPr="004C7888">
        <w:t>Attorney General of Alberta, Edmonton</w:t>
      </w:r>
      <w:r w:rsidR="00977250">
        <w:t xml:space="preserve">; Michael </w:t>
      </w:r>
      <w:proofErr w:type="spellStart"/>
      <w:r w:rsidR="00977250">
        <w:t>Sobkin</w:t>
      </w:r>
      <w:proofErr w:type="spellEnd"/>
      <w:r w:rsidR="00977250">
        <w:t>, Ottawa</w:t>
      </w:r>
      <w:r w:rsidRPr="004C7888">
        <w:t>.</w:t>
      </w:r>
    </w:p>
    <w:p w:rsidR="006D2897" w:rsidRPr="004C7888" w:rsidRDefault="006D2897" w:rsidP="000571FB">
      <w:pPr>
        <w:pStyle w:val="SCCLawFirm"/>
        <w:spacing w:before="480" w:after="480"/>
      </w:pPr>
      <w:r w:rsidRPr="004C7888">
        <w:tab/>
        <w:t>Solicitors for the interveners Tolko Industries Ltd., International Forest Products L</w:t>
      </w:r>
      <w:r w:rsidR="00434FCA" w:rsidRPr="004C7888">
        <w:t>td.</w:t>
      </w:r>
      <w:r w:rsidRPr="004C7888">
        <w:t xml:space="preserve">, West Fraser Timber Co. Ltd. and </w:t>
      </w:r>
      <w:r w:rsidR="00977250">
        <w:t xml:space="preserve">the </w:t>
      </w:r>
      <w:r w:rsidRPr="004C7888">
        <w:t>Canfor Corporation</w:t>
      </w:r>
      <w:r w:rsidR="00F13087" w:rsidRPr="004C7888">
        <w:t>:  </w:t>
      </w:r>
      <w:proofErr w:type="spellStart"/>
      <w:r w:rsidRPr="004C7888">
        <w:t>Thorsteinssons</w:t>
      </w:r>
      <w:proofErr w:type="spellEnd"/>
      <w:r w:rsidRPr="004C7888">
        <w:t>, Vancouver.</w:t>
      </w:r>
    </w:p>
    <w:p w:rsidR="009B57B3" w:rsidRDefault="006D2897" w:rsidP="000255CA">
      <w:pPr>
        <w:pStyle w:val="SCCLawFirm"/>
        <w:rPr>
          <w:b/>
          <w:i w:val="0"/>
        </w:rPr>
      </w:pPr>
      <w:r w:rsidRPr="004C7888">
        <w:tab/>
        <w:t>Solicitors for the intervener the Canadian Association of Petroleum Producers</w:t>
      </w:r>
      <w:r w:rsidR="00F13087" w:rsidRPr="004C7888">
        <w:t>:  </w:t>
      </w:r>
      <w:r w:rsidRPr="004C7888">
        <w:t xml:space="preserve">Osler, </w:t>
      </w:r>
      <w:proofErr w:type="spellStart"/>
      <w:r w:rsidRPr="004C7888">
        <w:t>Hoskin</w:t>
      </w:r>
      <w:proofErr w:type="spellEnd"/>
      <w:r w:rsidRPr="004C7888">
        <w:t xml:space="preserve"> &amp; Harcourt, Toronto.</w:t>
      </w:r>
    </w:p>
    <w:p w:rsidR="000255CA" w:rsidRPr="000255CA" w:rsidRDefault="000255CA" w:rsidP="000255CA">
      <w:pPr>
        <w:pStyle w:val="SCCNormalDoubleSpacing"/>
      </w:pPr>
    </w:p>
    <w:sectPr w:rsidR="000255CA" w:rsidRPr="000255CA" w:rsidSect="00E259F4">
      <w:headerReference w:type="default" r:id="rId10"/>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FDA" w:rsidRDefault="008E6FDA">
      <w:r>
        <w:separator/>
      </w:r>
    </w:p>
  </w:endnote>
  <w:endnote w:type="continuationSeparator" w:id="0">
    <w:p w:rsidR="008E6FDA" w:rsidRDefault="008E6F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FDA" w:rsidRDefault="008E6FDA">
      <w:r>
        <w:separator/>
      </w:r>
    </w:p>
  </w:footnote>
  <w:footnote w:type="continuationSeparator" w:id="0">
    <w:p w:rsidR="008E6FDA" w:rsidRDefault="008E6F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7783"/>
      <w:docPartObj>
        <w:docPartGallery w:val="Page Numbers (Top of Page)"/>
        <w:docPartUnique/>
      </w:docPartObj>
    </w:sdtPr>
    <w:sdtContent>
      <w:p w:rsidR="00E259F4" w:rsidRDefault="00E259F4">
        <w:pPr>
          <w:pStyle w:val="Header"/>
          <w:jc w:val="center"/>
        </w:pPr>
        <w:r>
          <w:t xml:space="preserve">- </w:t>
        </w:r>
        <w:fldSimple w:instr=" PAGE   \* MERGEFORMAT ">
          <w:r w:rsidR="0031326D">
            <w:rPr>
              <w:noProof/>
            </w:rPr>
            <w:t>3</w:t>
          </w:r>
        </w:fldSimple>
        <w:r>
          <w:t xml:space="preserve"> -</w:t>
        </w:r>
      </w:p>
    </w:sdtContent>
  </w:sdt>
  <w:p w:rsidR="008E6FDA" w:rsidRPr="00450352" w:rsidRDefault="008E6FDA"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C46CF"/>
    <w:multiLevelType w:val="hybridMultilevel"/>
    <w:tmpl w:val="81447C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4">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3"/>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29025"/>
  </w:hdrShapeDefaults>
  <w:footnotePr>
    <w:footnote w:id="-1"/>
    <w:footnote w:id="0"/>
  </w:footnotePr>
  <w:endnotePr>
    <w:endnote w:id="-1"/>
    <w:endnote w:id="0"/>
  </w:endnotePr>
  <w:compat/>
  <w:rsids>
    <w:rsidRoot w:val="0031414C"/>
    <w:rsid w:val="00000ED4"/>
    <w:rsid w:val="00025198"/>
    <w:rsid w:val="000255CA"/>
    <w:rsid w:val="000317EF"/>
    <w:rsid w:val="00045C57"/>
    <w:rsid w:val="000571FB"/>
    <w:rsid w:val="000578A3"/>
    <w:rsid w:val="00063E7E"/>
    <w:rsid w:val="000648CC"/>
    <w:rsid w:val="00077579"/>
    <w:rsid w:val="000842D9"/>
    <w:rsid w:val="000859BA"/>
    <w:rsid w:val="000C59B8"/>
    <w:rsid w:val="000C6AF0"/>
    <w:rsid w:val="0010158B"/>
    <w:rsid w:val="00104F33"/>
    <w:rsid w:val="00106772"/>
    <w:rsid w:val="00111DE2"/>
    <w:rsid w:val="00116B38"/>
    <w:rsid w:val="001277CD"/>
    <w:rsid w:val="00135406"/>
    <w:rsid w:val="00135972"/>
    <w:rsid w:val="001426A9"/>
    <w:rsid w:val="00143A38"/>
    <w:rsid w:val="00144935"/>
    <w:rsid w:val="00154D7C"/>
    <w:rsid w:val="001570B0"/>
    <w:rsid w:val="0015752C"/>
    <w:rsid w:val="00157737"/>
    <w:rsid w:val="00163D7E"/>
    <w:rsid w:val="00165277"/>
    <w:rsid w:val="00170592"/>
    <w:rsid w:val="00176711"/>
    <w:rsid w:val="00181F7C"/>
    <w:rsid w:val="00186351"/>
    <w:rsid w:val="00195D83"/>
    <w:rsid w:val="001A00C1"/>
    <w:rsid w:val="001B31E2"/>
    <w:rsid w:val="001B33E0"/>
    <w:rsid w:val="001B4573"/>
    <w:rsid w:val="001B499C"/>
    <w:rsid w:val="001C0B40"/>
    <w:rsid w:val="001C779F"/>
    <w:rsid w:val="001D2AC1"/>
    <w:rsid w:val="001D4E88"/>
    <w:rsid w:val="001F1B14"/>
    <w:rsid w:val="001F5E05"/>
    <w:rsid w:val="00220FC2"/>
    <w:rsid w:val="002222F4"/>
    <w:rsid w:val="00224FC0"/>
    <w:rsid w:val="00225235"/>
    <w:rsid w:val="00225EA4"/>
    <w:rsid w:val="00226EAF"/>
    <w:rsid w:val="00231F3A"/>
    <w:rsid w:val="00234199"/>
    <w:rsid w:val="002406EE"/>
    <w:rsid w:val="00243492"/>
    <w:rsid w:val="00243EC8"/>
    <w:rsid w:val="00270D93"/>
    <w:rsid w:val="002745CC"/>
    <w:rsid w:val="00291312"/>
    <w:rsid w:val="002B2273"/>
    <w:rsid w:val="002B3EEC"/>
    <w:rsid w:val="002B7924"/>
    <w:rsid w:val="002D28C3"/>
    <w:rsid w:val="002D39A4"/>
    <w:rsid w:val="002D477A"/>
    <w:rsid w:val="002E6705"/>
    <w:rsid w:val="00301D08"/>
    <w:rsid w:val="0030329A"/>
    <w:rsid w:val="00306216"/>
    <w:rsid w:val="0031086F"/>
    <w:rsid w:val="0031326D"/>
    <w:rsid w:val="0031414C"/>
    <w:rsid w:val="00314E01"/>
    <w:rsid w:val="0032089D"/>
    <w:rsid w:val="003310DE"/>
    <w:rsid w:val="003323B0"/>
    <w:rsid w:val="0035169A"/>
    <w:rsid w:val="0035259D"/>
    <w:rsid w:val="00364B18"/>
    <w:rsid w:val="003A125D"/>
    <w:rsid w:val="003A4C70"/>
    <w:rsid w:val="003B215F"/>
    <w:rsid w:val="003B5E10"/>
    <w:rsid w:val="003C1FCD"/>
    <w:rsid w:val="003C799C"/>
    <w:rsid w:val="003D0399"/>
    <w:rsid w:val="003E1C71"/>
    <w:rsid w:val="003F327B"/>
    <w:rsid w:val="003F5179"/>
    <w:rsid w:val="00402D06"/>
    <w:rsid w:val="00406166"/>
    <w:rsid w:val="0040704B"/>
    <w:rsid w:val="00410A55"/>
    <w:rsid w:val="00411300"/>
    <w:rsid w:val="0041490A"/>
    <w:rsid w:val="00415417"/>
    <w:rsid w:val="00426659"/>
    <w:rsid w:val="00432837"/>
    <w:rsid w:val="00434FCA"/>
    <w:rsid w:val="00437B97"/>
    <w:rsid w:val="00450352"/>
    <w:rsid w:val="00454BDB"/>
    <w:rsid w:val="00464800"/>
    <w:rsid w:val="00465132"/>
    <w:rsid w:val="00480C90"/>
    <w:rsid w:val="0048396F"/>
    <w:rsid w:val="00493C18"/>
    <w:rsid w:val="004A600C"/>
    <w:rsid w:val="004A6118"/>
    <w:rsid w:val="004C478D"/>
    <w:rsid w:val="004C7888"/>
    <w:rsid w:val="004D620C"/>
    <w:rsid w:val="004E2C26"/>
    <w:rsid w:val="004F36FF"/>
    <w:rsid w:val="005125A8"/>
    <w:rsid w:val="0051585D"/>
    <w:rsid w:val="00521AE8"/>
    <w:rsid w:val="00527180"/>
    <w:rsid w:val="0054201E"/>
    <w:rsid w:val="00550F03"/>
    <w:rsid w:val="00555291"/>
    <w:rsid w:val="00566AD1"/>
    <w:rsid w:val="00583EDE"/>
    <w:rsid w:val="005913EE"/>
    <w:rsid w:val="005917EE"/>
    <w:rsid w:val="005A6079"/>
    <w:rsid w:val="005E4698"/>
    <w:rsid w:val="00610539"/>
    <w:rsid w:val="00613969"/>
    <w:rsid w:val="00625C35"/>
    <w:rsid w:val="006415EF"/>
    <w:rsid w:val="00656313"/>
    <w:rsid w:val="006565F4"/>
    <w:rsid w:val="00665396"/>
    <w:rsid w:val="0067129F"/>
    <w:rsid w:val="00684EEA"/>
    <w:rsid w:val="0069689B"/>
    <w:rsid w:val="006A1551"/>
    <w:rsid w:val="006B5FF5"/>
    <w:rsid w:val="006C08B4"/>
    <w:rsid w:val="006C75D3"/>
    <w:rsid w:val="006D2897"/>
    <w:rsid w:val="006F30AF"/>
    <w:rsid w:val="00701759"/>
    <w:rsid w:val="00705C15"/>
    <w:rsid w:val="00705D25"/>
    <w:rsid w:val="0071600E"/>
    <w:rsid w:val="007208D1"/>
    <w:rsid w:val="00747288"/>
    <w:rsid w:val="00747DD3"/>
    <w:rsid w:val="007549C8"/>
    <w:rsid w:val="00754A0B"/>
    <w:rsid w:val="00757780"/>
    <w:rsid w:val="00766D14"/>
    <w:rsid w:val="00767A0F"/>
    <w:rsid w:val="007715B5"/>
    <w:rsid w:val="007726C9"/>
    <w:rsid w:val="00795F46"/>
    <w:rsid w:val="007A05F6"/>
    <w:rsid w:val="007A73E2"/>
    <w:rsid w:val="007B6F4A"/>
    <w:rsid w:val="007C577F"/>
    <w:rsid w:val="007C62B8"/>
    <w:rsid w:val="007E1C47"/>
    <w:rsid w:val="007E337A"/>
    <w:rsid w:val="007E5C70"/>
    <w:rsid w:val="007F2FF5"/>
    <w:rsid w:val="007F3F08"/>
    <w:rsid w:val="00804CC6"/>
    <w:rsid w:val="00817190"/>
    <w:rsid w:val="00820EE5"/>
    <w:rsid w:val="00822511"/>
    <w:rsid w:val="008260E2"/>
    <w:rsid w:val="008322BD"/>
    <w:rsid w:val="00833E0A"/>
    <w:rsid w:val="00834F73"/>
    <w:rsid w:val="00853D06"/>
    <w:rsid w:val="00864CF8"/>
    <w:rsid w:val="00872819"/>
    <w:rsid w:val="00874914"/>
    <w:rsid w:val="00891422"/>
    <w:rsid w:val="00892E1A"/>
    <w:rsid w:val="008A2E42"/>
    <w:rsid w:val="008A3F29"/>
    <w:rsid w:val="008B1BE0"/>
    <w:rsid w:val="008B660A"/>
    <w:rsid w:val="008C01DA"/>
    <w:rsid w:val="008C11F8"/>
    <w:rsid w:val="008D0BD8"/>
    <w:rsid w:val="008D1A1B"/>
    <w:rsid w:val="008E6FDA"/>
    <w:rsid w:val="008F78E9"/>
    <w:rsid w:val="00911989"/>
    <w:rsid w:val="009179F9"/>
    <w:rsid w:val="00933E5E"/>
    <w:rsid w:val="00935218"/>
    <w:rsid w:val="009403F3"/>
    <w:rsid w:val="009555B7"/>
    <w:rsid w:val="009567AA"/>
    <w:rsid w:val="00967374"/>
    <w:rsid w:val="00975FF2"/>
    <w:rsid w:val="00977250"/>
    <w:rsid w:val="009A343A"/>
    <w:rsid w:val="009B2F23"/>
    <w:rsid w:val="009B57B3"/>
    <w:rsid w:val="009C5B92"/>
    <w:rsid w:val="009D2920"/>
    <w:rsid w:val="009D5AEB"/>
    <w:rsid w:val="009F0E33"/>
    <w:rsid w:val="00A000FF"/>
    <w:rsid w:val="00A030CE"/>
    <w:rsid w:val="00A149DF"/>
    <w:rsid w:val="00A1755C"/>
    <w:rsid w:val="00A21B90"/>
    <w:rsid w:val="00A41805"/>
    <w:rsid w:val="00A42DCD"/>
    <w:rsid w:val="00A52AFB"/>
    <w:rsid w:val="00A548CB"/>
    <w:rsid w:val="00A5521C"/>
    <w:rsid w:val="00A643E7"/>
    <w:rsid w:val="00A73C38"/>
    <w:rsid w:val="00AB670D"/>
    <w:rsid w:val="00AC6579"/>
    <w:rsid w:val="00AF03C5"/>
    <w:rsid w:val="00B000D8"/>
    <w:rsid w:val="00B00F75"/>
    <w:rsid w:val="00B1053D"/>
    <w:rsid w:val="00B145B6"/>
    <w:rsid w:val="00B2498D"/>
    <w:rsid w:val="00B279EB"/>
    <w:rsid w:val="00B30C8D"/>
    <w:rsid w:val="00B50C81"/>
    <w:rsid w:val="00B557F8"/>
    <w:rsid w:val="00B815FC"/>
    <w:rsid w:val="00B93FBC"/>
    <w:rsid w:val="00BA7DA0"/>
    <w:rsid w:val="00BB2EE4"/>
    <w:rsid w:val="00BC2108"/>
    <w:rsid w:val="00BD0E9E"/>
    <w:rsid w:val="00BD1BEC"/>
    <w:rsid w:val="00BD32FF"/>
    <w:rsid w:val="00C02092"/>
    <w:rsid w:val="00C04E43"/>
    <w:rsid w:val="00C161B7"/>
    <w:rsid w:val="00C24D91"/>
    <w:rsid w:val="00C4462A"/>
    <w:rsid w:val="00C53F14"/>
    <w:rsid w:val="00C600CF"/>
    <w:rsid w:val="00C6084F"/>
    <w:rsid w:val="00C62A66"/>
    <w:rsid w:val="00C62B67"/>
    <w:rsid w:val="00C71458"/>
    <w:rsid w:val="00C77613"/>
    <w:rsid w:val="00C828E7"/>
    <w:rsid w:val="00C86719"/>
    <w:rsid w:val="00C921DD"/>
    <w:rsid w:val="00CA5D92"/>
    <w:rsid w:val="00CA6391"/>
    <w:rsid w:val="00CB1027"/>
    <w:rsid w:val="00CC34BD"/>
    <w:rsid w:val="00CC7FD1"/>
    <w:rsid w:val="00CD2E73"/>
    <w:rsid w:val="00CD434A"/>
    <w:rsid w:val="00CD6027"/>
    <w:rsid w:val="00CE161A"/>
    <w:rsid w:val="00CE3171"/>
    <w:rsid w:val="00CF1601"/>
    <w:rsid w:val="00D0172F"/>
    <w:rsid w:val="00D068A7"/>
    <w:rsid w:val="00D1131B"/>
    <w:rsid w:val="00D160FD"/>
    <w:rsid w:val="00D17476"/>
    <w:rsid w:val="00D2127D"/>
    <w:rsid w:val="00D32086"/>
    <w:rsid w:val="00D37A3F"/>
    <w:rsid w:val="00D4431D"/>
    <w:rsid w:val="00D4667A"/>
    <w:rsid w:val="00D521BD"/>
    <w:rsid w:val="00D57159"/>
    <w:rsid w:val="00D63A1C"/>
    <w:rsid w:val="00D7516F"/>
    <w:rsid w:val="00D8579F"/>
    <w:rsid w:val="00D92ADE"/>
    <w:rsid w:val="00D95F8E"/>
    <w:rsid w:val="00D9640A"/>
    <w:rsid w:val="00DA0590"/>
    <w:rsid w:val="00DA68BB"/>
    <w:rsid w:val="00DB1ADE"/>
    <w:rsid w:val="00DB6F5C"/>
    <w:rsid w:val="00DB7BEA"/>
    <w:rsid w:val="00DC1739"/>
    <w:rsid w:val="00DC1788"/>
    <w:rsid w:val="00DD1B3E"/>
    <w:rsid w:val="00DD317B"/>
    <w:rsid w:val="00DE319C"/>
    <w:rsid w:val="00DF0CA8"/>
    <w:rsid w:val="00DF2B48"/>
    <w:rsid w:val="00DF49A7"/>
    <w:rsid w:val="00E04670"/>
    <w:rsid w:val="00E07EE2"/>
    <w:rsid w:val="00E07FD1"/>
    <w:rsid w:val="00E2207C"/>
    <w:rsid w:val="00E24573"/>
    <w:rsid w:val="00E259F4"/>
    <w:rsid w:val="00E25E1E"/>
    <w:rsid w:val="00E27EE7"/>
    <w:rsid w:val="00E35404"/>
    <w:rsid w:val="00E45109"/>
    <w:rsid w:val="00E47B7A"/>
    <w:rsid w:val="00E56A44"/>
    <w:rsid w:val="00E60269"/>
    <w:rsid w:val="00E62FAB"/>
    <w:rsid w:val="00E7373F"/>
    <w:rsid w:val="00E77932"/>
    <w:rsid w:val="00E97830"/>
    <w:rsid w:val="00EE643C"/>
    <w:rsid w:val="00EF0683"/>
    <w:rsid w:val="00EF5211"/>
    <w:rsid w:val="00EF69D2"/>
    <w:rsid w:val="00EF766E"/>
    <w:rsid w:val="00F0070C"/>
    <w:rsid w:val="00F00EB7"/>
    <w:rsid w:val="00F05004"/>
    <w:rsid w:val="00F13087"/>
    <w:rsid w:val="00F16812"/>
    <w:rsid w:val="00F34C93"/>
    <w:rsid w:val="00F36AB6"/>
    <w:rsid w:val="00F37A09"/>
    <w:rsid w:val="00F402C9"/>
    <w:rsid w:val="00F409CE"/>
    <w:rsid w:val="00F4379D"/>
    <w:rsid w:val="00F50D2D"/>
    <w:rsid w:val="00F56C8B"/>
    <w:rsid w:val="00F66810"/>
    <w:rsid w:val="00F7722A"/>
    <w:rsid w:val="00F846D9"/>
    <w:rsid w:val="00F84DF4"/>
    <w:rsid w:val="00F85C97"/>
    <w:rsid w:val="00FA2414"/>
    <w:rsid w:val="00FB37D2"/>
    <w:rsid w:val="00FC4EFB"/>
    <w:rsid w:val="00FD068D"/>
    <w:rsid w:val="00FD4F28"/>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rPr>
  </w:style>
  <w:style w:type="paragraph" w:customStyle="1" w:styleId="SCCLsocOtherPartyRoleSeparator">
    <w:name w:val="SCC.Lsoc.OtherPartyRoleSeparator"/>
    <w:basedOn w:val="Normal"/>
    <w:next w:val="Normal"/>
    <w:link w:val="SCCLsocOtherPartyRoleSeparatorChar"/>
    <w:rsid w:val="000255CA"/>
    <w:pPr>
      <w:spacing w:after="480"/>
    </w:pPr>
    <w:rPr>
      <w:rFonts w:eastAsiaTheme="minorHAnsi" w:cstheme="minorBidi"/>
      <w:szCs w:val="22"/>
      <w:lang w:eastAsia="en-US"/>
    </w:rPr>
  </w:style>
  <w:style w:type="paragraph" w:customStyle="1" w:styleId="SCCCoram">
    <w:name w:val="SCC.Coram"/>
    <w:basedOn w:val="Normal"/>
    <w:next w:val="Normal"/>
    <w:link w:val="SCCCoramChar"/>
    <w:rsid w:val="000255CA"/>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0255CA"/>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0255CA"/>
    <w:rPr>
      <w:rFonts w:eastAsiaTheme="minorHAnsi" w:cstheme="minorBidi"/>
      <w:sz w:val="24"/>
      <w:szCs w:val="22"/>
      <w:lang w:eastAsia="en-US"/>
    </w:rPr>
  </w:style>
  <w:style w:type="character" w:customStyle="1" w:styleId="SCCBanSummaryChar">
    <w:name w:val="SCC.BanSummary Char"/>
    <w:basedOn w:val="DefaultParagraphFont"/>
    <w:link w:val="SCCBanSummary"/>
    <w:rsid w:val="000255CA"/>
    <w:rPr>
      <w:b/>
      <w:sz w:val="24"/>
    </w:rPr>
  </w:style>
  <w:style w:type="table" w:styleId="TableGrid">
    <w:name w:val="Table Grid"/>
    <w:basedOn w:val="TableNormal"/>
    <w:uiPriority w:val="59"/>
    <w:rsid w:val="000255C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0255CA"/>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0255CA"/>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0255CA"/>
    <w:pPr>
      <w:tabs>
        <w:tab w:val="left" w:pos="1166"/>
      </w:tabs>
      <w:spacing w:after="480" w:line="480" w:lineRule="auto"/>
    </w:pPr>
    <w:rPr>
      <w:smallCaps/>
      <w:sz w:val="24"/>
    </w:rPr>
  </w:style>
  <w:style w:type="paragraph" w:customStyle="1" w:styleId="ParaNoNdepar-AltN">
    <w:name w:val="Para. No. / Nº de par. - Alt N"/>
    <w:qFormat/>
    <w:rsid w:val="000255CA"/>
    <w:pPr>
      <w:numPr>
        <w:numId w:val="6"/>
      </w:numPr>
      <w:tabs>
        <w:tab w:val="clear" w:pos="1152"/>
        <w:tab w:val="left" w:pos="1166"/>
      </w:tabs>
      <w:spacing w:before="480" w:after="480" w:line="480" w:lineRule="auto"/>
      <w:jc w:val="both"/>
    </w:pPr>
    <w:rPr>
      <w:rFonts w:eastAsiaTheme="minorEastAsia" w:cstheme="minorBidi"/>
      <w:sz w:val="24"/>
      <w:szCs w:val="22"/>
      <w:lang w:eastAsia="en-US"/>
    </w:rPr>
  </w:style>
  <w:style w:type="paragraph" w:customStyle="1" w:styleId="TitleTitre-AltT">
    <w:name w:val="Title / Titre - Alt T"/>
    <w:next w:val="ParaNoNdepar-AltN"/>
    <w:uiPriority w:val="3"/>
    <w:qFormat/>
    <w:rsid w:val="000255CA"/>
    <w:pPr>
      <w:tabs>
        <w:tab w:val="left" w:pos="360"/>
      </w:tabs>
      <w:spacing w:before="480" w:after="720"/>
      <w:ind w:left="360" w:hanging="360"/>
      <w:jc w:val="both"/>
    </w:pPr>
    <w:rPr>
      <w:rFonts w:eastAsiaTheme="minorHAnsi" w:cstheme="minorBidi"/>
      <w:sz w:val="24"/>
      <w:szCs w:val="22"/>
      <w:lang w:eastAsia="en-US"/>
    </w:rPr>
  </w:style>
  <w:style w:type="paragraph" w:styleId="FootnoteText">
    <w:name w:val="footnote text"/>
    <w:basedOn w:val="Normal"/>
    <w:link w:val="FootnoteTextChar"/>
    <w:uiPriority w:val="99"/>
    <w:semiHidden/>
    <w:unhideWhenUsed/>
    <w:rsid w:val="000255CA"/>
    <w:rPr>
      <w:sz w:val="20"/>
    </w:rPr>
  </w:style>
  <w:style w:type="character" w:customStyle="1" w:styleId="FootnoteTextChar">
    <w:name w:val="Footnote Text Char"/>
    <w:basedOn w:val="DefaultParagraphFont"/>
    <w:link w:val="FootnoteText"/>
    <w:uiPriority w:val="99"/>
    <w:semiHidden/>
    <w:rsid w:val="000255CA"/>
  </w:style>
  <w:style w:type="character" w:styleId="FootnoteReference">
    <w:name w:val="footnote reference"/>
    <w:basedOn w:val="DefaultParagraphFont"/>
    <w:uiPriority w:val="99"/>
    <w:semiHidden/>
    <w:unhideWhenUsed/>
    <w:rsid w:val="000255CA"/>
    <w:rPr>
      <w:vertAlign w:val="superscript"/>
    </w:rPr>
  </w:style>
  <w:style w:type="character" w:styleId="CommentReference">
    <w:name w:val="annotation reference"/>
    <w:basedOn w:val="DefaultParagraphFont"/>
    <w:uiPriority w:val="99"/>
    <w:semiHidden/>
    <w:unhideWhenUsed/>
    <w:rsid w:val="000255CA"/>
    <w:rPr>
      <w:sz w:val="16"/>
      <w:szCs w:val="16"/>
    </w:rPr>
  </w:style>
  <w:style w:type="paragraph" w:styleId="CommentText">
    <w:name w:val="annotation text"/>
    <w:basedOn w:val="Normal"/>
    <w:link w:val="CommentTextChar"/>
    <w:uiPriority w:val="99"/>
    <w:semiHidden/>
    <w:unhideWhenUsed/>
    <w:rsid w:val="000255CA"/>
    <w:rPr>
      <w:sz w:val="20"/>
    </w:rPr>
  </w:style>
  <w:style w:type="character" w:customStyle="1" w:styleId="CommentTextChar">
    <w:name w:val="Comment Text Char"/>
    <w:basedOn w:val="DefaultParagraphFont"/>
    <w:link w:val="CommentText"/>
    <w:uiPriority w:val="99"/>
    <w:semiHidden/>
    <w:rsid w:val="000255CA"/>
  </w:style>
  <w:style w:type="paragraph" w:styleId="CommentSubject">
    <w:name w:val="annotation subject"/>
    <w:basedOn w:val="CommentText"/>
    <w:next w:val="CommentText"/>
    <w:link w:val="CommentSubjectChar"/>
    <w:uiPriority w:val="99"/>
    <w:semiHidden/>
    <w:unhideWhenUsed/>
    <w:rsid w:val="000255CA"/>
    <w:rPr>
      <w:b/>
      <w:bCs/>
    </w:rPr>
  </w:style>
  <w:style w:type="character" w:customStyle="1" w:styleId="CommentSubjectChar">
    <w:name w:val="Comment Subject Char"/>
    <w:basedOn w:val="CommentTextChar"/>
    <w:link w:val="CommentSubject"/>
    <w:uiPriority w:val="99"/>
    <w:semiHidden/>
    <w:rsid w:val="000255CA"/>
    <w:rPr>
      <w:b/>
      <w:bCs/>
    </w:rPr>
  </w:style>
  <w:style w:type="table" w:customStyle="1" w:styleId="TableGrid1">
    <w:name w:val="Table Grid1"/>
    <w:basedOn w:val="TableNormal"/>
    <w:next w:val="TableGrid"/>
    <w:uiPriority w:val="59"/>
    <w:rsid w:val="0031326D"/>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3CB414-D67B-43AB-BE09-9A11DEA6B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6419</Words>
  <Characters>33797</Characters>
  <Application>Microsoft Office Word</Application>
  <DocSecurity>0</DocSecurity>
  <Lines>281</Lines>
  <Paragraphs>80</Paragraphs>
  <ScaleCrop>false</ScaleCrop>
  <LinksUpToDate>false</LinksUpToDate>
  <CharactersWithSpaces>40136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2013-05-24T20:55:00Z</dcterms:created>
  <dcterms:modified xsi:type="dcterms:W3CDTF">2014-04-07T15:16:00Z</dcterms:modified>
</cp:coreProperties>
</file>