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DD" w:rsidRPr="00FD2349" w:rsidRDefault="003F1ADD" w:rsidP="003F1ADD">
      <w:pPr>
        <w:tabs>
          <w:tab w:val="center" w:pos="4680"/>
          <w:tab w:val="right" w:pos="9360"/>
        </w:tabs>
        <w:jc w:val="center"/>
        <w:rPr>
          <w:rFonts w:eastAsiaTheme="minorHAnsi" w:cstheme="minorBidi"/>
          <w:szCs w:val="24"/>
          <w:lang w:eastAsia="en-US"/>
        </w:rPr>
      </w:pPr>
      <w:r w:rsidRPr="00FD234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475331542" r:id="rId9"/>
        </w:object>
      </w:r>
    </w:p>
    <w:p w:rsidR="003F1ADD" w:rsidRPr="00FD2349" w:rsidRDefault="003F1ADD" w:rsidP="003F1ADD">
      <w:pPr>
        <w:tabs>
          <w:tab w:val="center" w:pos="4680"/>
          <w:tab w:val="right" w:pos="9360"/>
        </w:tabs>
        <w:rPr>
          <w:rFonts w:eastAsiaTheme="minorHAnsi" w:cstheme="minorBidi"/>
          <w:szCs w:val="24"/>
          <w:lang w:eastAsia="en-US"/>
        </w:rPr>
      </w:pPr>
    </w:p>
    <w:p w:rsidR="003F1ADD" w:rsidRPr="00FD2349" w:rsidRDefault="003F1ADD" w:rsidP="003F1ADD">
      <w:pPr>
        <w:jc w:val="center"/>
        <w:rPr>
          <w:rFonts w:eastAsiaTheme="minorHAnsi" w:cstheme="minorBidi"/>
          <w:b/>
          <w:szCs w:val="24"/>
          <w:lang w:eastAsia="en-US"/>
        </w:rPr>
      </w:pPr>
      <w:r w:rsidRPr="00FD2349">
        <w:rPr>
          <w:rFonts w:eastAsiaTheme="minorHAnsi" w:cstheme="minorBidi"/>
          <w:b/>
          <w:szCs w:val="24"/>
          <w:lang w:eastAsia="en-US"/>
        </w:rPr>
        <w:t>SUPREME COURT OF CANADA</w:t>
      </w:r>
    </w:p>
    <w:p w:rsidR="003F1ADD" w:rsidRPr="00FD2349" w:rsidRDefault="003F1ADD" w:rsidP="003F1ADD">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F1ADD" w:rsidRPr="00FD2349" w:rsidTr="00A91E19">
        <w:trPr>
          <w:cantSplit/>
        </w:trPr>
        <w:tc>
          <w:tcPr>
            <w:tcW w:w="6768" w:type="dxa"/>
          </w:tcPr>
          <w:p w:rsidR="003F1ADD" w:rsidRPr="00FD2349" w:rsidRDefault="003F1ADD" w:rsidP="00A91E19">
            <w:r w:rsidRPr="00FD2349">
              <w:rPr>
                <w:b/>
                <w:smallCaps/>
              </w:rPr>
              <w:t>Citation:</w:t>
            </w:r>
            <w:r w:rsidRPr="00FD2349">
              <w:t xml:space="preserve"> Pro-Sys Consultants Ltd. </w:t>
            </w:r>
            <w:r w:rsidRPr="00FD2349">
              <w:rPr>
                <w:i/>
              </w:rPr>
              <w:t>v.</w:t>
            </w:r>
            <w:r w:rsidRPr="00FD2349">
              <w:t xml:space="preserve"> Microsoft Corporation, 2013 SCC 57</w:t>
            </w:r>
            <w:r>
              <w:t>, [2013] 3 S.C.R. 477</w:t>
            </w:r>
          </w:p>
        </w:tc>
        <w:tc>
          <w:tcPr>
            <w:tcW w:w="2808" w:type="dxa"/>
          </w:tcPr>
          <w:p w:rsidR="003F1ADD" w:rsidRPr="00FD2349" w:rsidRDefault="003F1ADD" w:rsidP="00A91E19">
            <w:r w:rsidRPr="00FD2349">
              <w:rPr>
                <w:b/>
                <w:smallCaps/>
              </w:rPr>
              <w:t>Date:</w:t>
            </w:r>
            <w:r w:rsidRPr="00FD2349">
              <w:t xml:space="preserve"> 20131031</w:t>
            </w:r>
          </w:p>
          <w:p w:rsidR="003F1ADD" w:rsidRPr="00FD2349" w:rsidRDefault="003F1ADD" w:rsidP="00A91E19">
            <w:r w:rsidRPr="00FD2349">
              <w:rPr>
                <w:b/>
                <w:smallCaps/>
              </w:rPr>
              <w:t>Docket:</w:t>
            </w:r>
            <w:r w:rsidRPr="00FD2349">
              <w:t xml:space="preserve"> 34282</w:t>
            </w:r>
          </w:p>
        </w:tc>
      </w:tr>
    </w:tbl>
    <w:p w:rsidR="003F1ADD" w:rsidRPr="00FD2349" w:rsidRDefault="003F1ADD" w:rsidP="003F1ADD">
      <w:pPr>
        <w:rPr>
          <w:rFonts w:eastAsiaTheme="minorHAnsi" w:cstheme="minorBidi"/>
          <w:szCs w:val="24"/>
          <w:lang w:eastAsia="en-US"/>
        </w:rPr>
      </w:pPr>
    </w:p>
    <w:p w:rsidR="003F1ADD" w:rsidRPr="00FD2349" w:rsidRDefault="003F1ADD" w:rsidP="003F1ADD">
      <w:pPr>
        <w:rPr>
          <w:rFonts w:eastAsiaTheme="minorHAnsi" w:cstheme="minorBidi"/>
          <w:b/>
          <w:smallCaps/>
          <w:szCs w:val="24"/>
          <w:lang w:eastAsia="en-US"/>
        </w:rPr>
      </w:pPr>
      <w:r w:rsidRPr="00FD2349">
        <w:rPr>
          <w:rFonts w:eastAsiaTheme="minorHAnsi" w:cstheme="minorBidi"/>
          <w:b/>
          <w:smallCaps/>
          <w:szCs w:val="24"/>
          <w:lang w:eastAsia="en-US"/>
        </w:rPr>
        <w:t>Between:</w:t>
      </w:r>
    </w:p>
    <w:p w:rsidR="003F1ADD" w:rsidRPr="00FD2349" w:rsidRDefault="003F1ADD" w:rsidP="003F1ADD">
      <w:pPr>
        <w:jc w:val="center"/>
        <w:rPr>
          <w:rFonts w:eastAsiaTheme="minorHAnsi" w:cstheme="minorBidi"/>
          <w:b/>
          <w:szCs w:val="24"/>
          <w:lang w:eastAsia="en-US"/>
        </w:rPr>
      </w:pPr>
      <w:r w:rsidRPr="00FD2349">
        <w:rPr>
          <w:rFonts w:eastAsiaTheme="minorHAnsi" w:cstheme="minorBidi"/>
          <w:b/>
          <w:szCs w:val="24"/>
          <w:lang w:eastAsia="en-US"/>
        </w:rPr>
        <w:t>Pro-Sys Consultants Ltd. and Neil Godfrey</w:t>
      </w:r>
    </w:p>
    <w:p w:rsidR="003F1ADD" w:rsidRPr="00FD2349" w:rsidRDefault="003F1ADD" w:rsidP="003F1ADD">
      <w:pPr>
        <w:jc w:val="center"/>
        <w:rPr>
          <w:rFonts w:eastAsiaTheme="minorHAnsi" w:cstheme="minorBidi"/>
          <w:szCs w:val="24"/>
          <w:lang w:eastAsia="en-US"/>
        </w:rPr>
      </w:pPr>
      <w:r w:rsidRPr="00FD2349">
        <w:rPr>
          <w:rFonts w:eastAsiaTheme="minorHAnsi" w:cstheme="minorBidi"/>
          <w:szCs w:val="24"/>
          <w:lang w:eastAsia="en-US"/>
        </w:rPr>
        <w:t>Appellants</w:t>
      </w:r>
    </w:p>
    <w:p w:rsidR="003F1ADD" w:rsidRPr="00FD2349" w:rsidRDefault="003F1ADD" w:rsidP="003F1ADD">
      <w:pPr>
        <w:jc w:val="center"/>
        <w:rPr>
          <w:rFonts w:eastAsiaTheme="minorHAnsi" w:cstheme="minorBidi"/>
          <w:szCs w:val="24"/>
          <w:lang w:eastAsia="en-US"/>
        </w:rPr>
      </w:pPr>
      <w:proofErr w:type="gramStart"/>
      <w:r w:rsidRPr="00FD2349">
        <w:rPr>
          <w:rFonts w:eastAsiaTheme="minorHAnsi" w:cstheme="minorBidi"/>
          <w:szCs w:val="24"/>
          <w:lang w:eastAsia="en-US"/>
        </w:rPr>
        <w:t>and</w:t>
      </w:r>
      <w:proofErr w:type="gramEnd"/>
    </w:p>
    <w:p w:rsidR="003F1ADD" w:rsidRPr="00FD2349" w:rsidRDefault="003F1ADD" w:rsidP="003F1ADD">
      <w:pPr>
        <w:jc w:val="center"/>
        <w:rPr>
          <w:rFonts w:eastAsiaTheme="minorHAnsi" w:cstheme="minorBidi"/>
          <w:b/>
          <w:szCs w:val="24"/>
          <w:lang w:eastAsia="en-US"/>
        </w:rPr>
      </w:pPr>
      <w:r w:rsidRPr="00FD2349">
        <w:rPr>
          <w:rFonts w:eastAsiaTheme="minorHAnsi" w:cstheme="minorBidi"/>
          <w:b/>
          <w:szCs w:val="24"/>
          <w:lang w:eastAsia="en-US"/>
        </w:rPr>
        <w:t>Microsoft Corporation and Microsoft Canada Co</w:t>
      </w:r>
      <w:proofErr w:type="gramStart"/>
      <w:r w:rsidRPr="00FD2349">
        <w:rPr>
          <w:rFonts w:eastAsiaTheme="minorHAnsi" w:cstheme="minorBidi"/>
          <w:b/>
          <w:szCs w:val="24"/>
          <w:lang w:eastAsia="en-US"/>
        </w:rPr>
        <w:t>./</w:t>
      </w:r>
      <w:proofErr w:type="gramEnd"/>
      <w:r w:rsidRPr="00FD2349">
        <w:rPr>
          <w:rFonts w:eastAsiaTheme="minorHAnsi" w:cstheme="minorBidi"/>
          <w:b/>
          <w:szCs w:val="24"/>
          <w:lang w:eastAsia="en-US"/>
        </w:rPr>
        <w:t>Microsoft Canada CIE</w:t>
      </w:r>
    </w:p>
    <w:p w:rsidR="003F1ADD" w:rsidRPr="00FD2349" w:rsidRDefault="003F1ADD" w:rsidP="003F1ADD">
      <w:pPr>
        <w:jc w:val="center"/>
        <w:rPr>
          <w:rFonts w:eastAsiaTheme="minorHAnsi" w:cstheme="minorBidi"/>
          <w:szCs w:val="24"/>
          <w:lang w:eastAsia="en-US"/>
        </w:rPr>
      </w:pPr>
      <w:r w:rsidRPr="00FD2349">
        <w:rPr>
          <w:rFonts w:eastAsiaTheme="minorHAnsi" w:cstheme="minorBidi"/>
          <w:szCs w:val="24"/>
          <w:lang w:eastAsia="en-US"/>
        </w:rPr>
        <w:t>Respondents</w:t>
      </w:r>
    </w:p>
    <w:p w:rsidR="003F1ADD" w:rsidRPr="00FD2349" w:rsidRDefault="003F1ADD" w:rsidP="003F1ADD">
      <w:pPr>
        <w:jc w:val="center"/>
        <w:rPr>
          <w:rFonts w:eastAsiaTheme="minorHAnsi" w:cstheme="minorBidi"/>
          <w:szCs w:val="24"/>
          <w:lang w:eastAsia="en-US"/>
        </w:rPr>
      </w:pPr>
      <w:r w:rsidRPr="00FD2349">
        <w:rPr>
          <w:rFonts w:eastAsiaTheme="minorHAnsi" w:cstheme="minorBidi"/>
          <w:szCs w:val="24"/>
          <w:lang w:eastAsia="en-US"/>
        </w:rPr>
        <w:t xml:space="preserve">- </w:t>
      </w:r>
      <w:proofErr w:type="gramStart"/>
      <w:r w:rsidRPr="00FD2349">
        <w:rPr>
          <w:rFonts w:eastAsiaTheme="minorHAnsi" w:cstheme="minorBidi"/>
          <w:szCs w:val="24"/>
          <w:lang w:eastAsia="en-US"/>
        </w:rPr>
        <w:t>and</w:t>
      </w:r>
      <w:proofErr w:type="gramEnd"/>
      <w:r w:rsidRPr="00FD2349">
        <w:rPr>
          <w:rFonts w:eastAsiaTheme="minorHAnsi" w:cstheme="minorBidi"/>
          <w:szCs w:val="24"/>
          <w:lang w:eastAsia="en-US"/>
        </w:rPr>
        <w:t xml:space="preserve"> -</w:t>
      </w:r>
    </w:p>
    <w:p w:rsidR="003F1ADD" w:rsidRPr="00FD2349" w:rsidRDefault="003F1ADD" w:rsidP="003F1ADD">
      <w:pPr>
        <w:jc w:val="center"/>
        <w:rPr>
          <w:rFonts w:eastAsiaTheme="minorHAnsi" w:cstheme="minorBidi"/>
          <w:b/>
          <w:szCs w:val="24"/>
          <w:lang w:eastAsia="en-US"/>
        </w:rPr>
      </w:pPr>
      <w:r w:rsidRPr="00FD2349">
        <w:rPr>
          <w:rFonts w:eastAsiaTheme="minorHAnsi" w:cstheme="minorBidi"/>
          <w:b/>
          <w:szCs w:val="24"/>
          <w:lang w:eastAsia="en-US"/>
        </w:rPr>
        <w:t>Attorney General of Canada</w:t>
      </w:r>
    </w:p>
    <w:p w:rsidR="003F1ADD" w:rsidRPr="00FD2349" w:rsidRDefault="003F1ADD" w:rsidP="003F1ADD">
      <w:pPr>
        <w:jc w:val="center"/>
        <w:rPr>
          <w:rFonts w:eastAsiaTheme="minorHAnsi" w:cstheme="minorBidi"/>
          <w:szCs w:val="24"/>
          <w:lang w:eastAsia="en-US"/>
        </w:rPr>
      </w:pPr>
      <w:r w:rsidRPr="00FD2349">
        <w:rPr>
          <w:rFonts w:eastAsiaTheme="minorHAnsi" w:cstheme="minorBidi"/>
          <w:szCs w:val="24"/>
          <w:lang w:eastAsia="en-US"/>
        </w:rPr>
        <w:t>Intervener</w:t>
      </w:r>
      <w:r w:rsidRPr="00FD2349">
        <w:rPr>
          <w:rFonts w:eastAsiaTheme="minorHAnsi" w:cstheme="minorBidi"/>
          <w:szCs w:val="24"/>
          <w:lang w:eastAsia="en-US"/>
        </w:rPr>
        <w:br/>
      </w:r>
    </w:p>
    <w:p w:rsidR="003F1ADD" w:rsidRPr="00FD2349" w:rsidRDefault="003F1ADD" w:rsidP="003F1ADD">
      <w:pPr>
        <w:rPr>
          <w:rFonts w:eastAsiaTheme="minorHAnsi" w:cstheme="minorBidi"/>
          <w:szCs w:val="24"/>
          <w:lang w:eastAsia="en-US"/>
        </w:rPr>
      </w:pPr>
    </w:p>
    <w:p w:rsidR="003F1ADD" w:rsidRPr="00FD2349" w:rsidRDefault="003F1ADD" w:rsidP="003F1ADD">
      <w:pPr>
        <w:rPr>
          <w:rFonts w:eastAsiaTheme="minorHAnsi" w:cstheme="minorBidi"/>
          <w:szCs w:val="24"/>
          <w:lang w:eastAsia="en-US"/>
        </w:rPr>
      </w:pPr>
    </w:p>
    <w:p w:rsidR="003F1ADD" w:rsidRPr="00FD2349" w:rsidRDefault="003F1ADD" w:rsidP="003F1ADD">
      <w:pPr>
        <w:rPr>
          <w:rFonts w:eastAsiaTheme="minorHAnsi" w:cstheme="minorBidi"/>
          <w:szCs w:val="24"/>
          <w:lang w:eastAsia="en-US"/>
        </w:rPr>
      </w:pPr>
    </w:p>
    <w:p w:rsidR="003F1ADD" w:rsidRPr="00FD2349" w:rsidRDefault="003F1ADD" w:rsidP="003F1ADD">
      <w:pPr>
        <w:rPr>
          <w:rFonts w:eastAsiaTheme="minorHAnsi" w:cstheme="minorBidi"/>
          <w:szCs w:val="24"/>
          <w:lang w:eastAsia="en-US"/>
        </w:rPr>
      </w:pPr>
      <w:r w:rsidRPr="00FD2349">
        <w:rPr>
          <w:rFonts w:eastAsiaTheme="minorHAnsi" w:cstheme="minorBidi"/>
          <w:b/>
          <w:smallCaps/>
          <w:szCs w:val="24"/>
          <w:lang w:eastAsia="en-US"/>
        </w:rPr>
        <w:t>Coram:</w:t>
      </w:r>
      <w:r w:rsidRPr="00FD2349">
        <w:rPr>
          <w:rFonts w:eastAsiaTheme="minorHAnsi" w:cstheme="minorBidi"/>
          <w:szCs w:val="24"/>
          <w:lang w:eastAsia="en-US"/>
        </w:rPr>
        <w:t xml:space="preserve"> </w:t>
      </w:r>
      <w:proofErr w:type="spellStart"/>
      <w:r w:rsidRPr="00FD2349">
        <w:rPr>
          <w:rFonts w:eastAsiaTheme="minorHAnsi" w:cstheme="minorBidi"/>
          <w:szCs w:val="24"/>
          <w:lang w:eastAsia="en-US"/>
        </w:rPr>
        <w:t>McLachlin</w:t>
      </w:r>
      <w:proofErr w:type="spellEnd"/>
      <w:r w:rsidRPr="00FD2349">
        <w:rPr>
          <w:rFonts w:eastAsiaTheme="minorHAnsi" w:cstheme="minorBidi"/>
          <w:szCs w:val="24"/>
          <w:lang w:eastAsia="en-US"/>
        </w:rPr>
        <w:t xml:space="preserve"> C.J. and LeBel, Fish, Abella, Rothstein, Cromwell, </w:t>
      </w:r>
      <w:proofErr w:type="spellStart"/>
      <w:r w:rsidRPr="00FD2349">
        <w:rPr>
          <w:rFonts w:eastAsiaTheme="minorHAnsi" w:cstheme="minorBidi"/>
          <w:szCs w:val="24"/>
          <w:lang w:eastAsia="en-US"/>
        </w:rPr>
        <w:t>Moldaver</w:t>
      </w:r>
      <w:proofErr w:type="spellEnd"/>
      <w:r w:rsidRPr="00FD2349">
        <w:rPr>
          <w:rFonts w:eastAsiaTheme="minorHAnsi" w:cstheme="minorBidi"/>
          <w:szCs w:val="24"/>
          <w:lang w:eastAsia="en-US"/>
        </w:rPr>
        <w:t xml:space="preserve">, </w:t>
      </w:r>
      <w:proofErr w:type="spellStart"/>
      <w:r w:rsidRPr="00FD2349">
        <w:rPr>
          <w:rFonts w:eastAsiaTheme="minorHAnsi" w:cstheme="minorBidi"/>
          <w:szCs w:val="24"/>
          <w:lang w:eastAsia="en-US"/>
        </w:rPr>
        <w:t>Karakatsanis</w:t>
      </w:r>
      <w:proofErr w:type="spellEnd"/>
      <w:r w:rsidRPr="00FD2349">
        <w:rPr>
          <w:rFonts w:eastAsiaTheme="minorHAnsi" w:cstheme="minorBidi"/>
          <w:szCs w:val="24"/>
          <w:lang w:eastAsia="en-US"/>
        </w:rPr>
        <w:t xml:space="preserve"> and Wagner JJ.</w:t>
      </w:r>
    </w:p>
    <w:p w:rsidR="003F1ADD" w:rsidRPr="00FD2349" w:rsidRDefault="003F1ADD" w:rsidP="003F1ADD">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F1ADD" w:rsidRPr="00FD2349" w:rsidTr="00A91E19">
        <w:trPr>
          <w:cantSplit/>
        </w:trPr>
        <w:tc>
          <w:tcPr>
            <w:tcW w:w="3618" w:type="dxa"/>
          </w:tcPr>
          <w:p w:rsidR="003F1ADD" w:rsidRPr="00FD2349" w:rsidRDefault="003F1ADD" w:rsidP="00A91E19">
            <w:pPr>
              <w:rPr>
                <w:b/>
                <w:smallCaps/>
              </w:rPr>
            </w:pPr>
            <w:r w:rsidRPr="00FD2349">
              <w:rPr>
                <w:b/>
                <w:smallCaps/>
              </w:rPr>
              <w:t>Reasons for Judgment:</w:t>
            </w:r>
          </w:p>
          <w:p w:rsidR="003F1ADD" w:rsidRPr="00FD2349" w:rsidRDefault="003F1ADD" w:rsidP="00A91E19">
            <w:r w:rsidRPr="00FD2349">
              <w:t>(</w:t>
            </w:r>
            <w:proofErr w:type="spellStart"/>
            <w:r w:rsidRPr="00FD2349">
              <w:t>paras</w:t>
            </w:r>
            <w:proofErr w:type="spellEnd"/>
            <w:r w:rsidRPr="00FD2349">
              <w:t>. 1 to 143)</w:t>
            </w:r>
          </w:p>
        </w:tc>
        <w:tc>
          <w:tcPr>
            <w:tcW w:w="5958" w:type="dxa"/>
          </w:tcPr>
          <w:p w:rsidR="003F1ADD" w:rsidRPr="00FD2349" w:rsidRDefault="003F1ADD" w:rsidP="00A91E19">
            <w:r w:rsidRPr="00FD2349">
              <w:t>Rothstein J. (</w:t>
            </w:r>
            <w:proofErr w:type="spellStart"/>
            <w:r w:rsidRPr="00FD2349">
              <w:t>McLachlin</w:t>
            </w:r>
            <w:proofErr w:type="spellEnd"/>
            <w:r w:rsidRPr="00FD2349">
              <w:t xml:space="preserve"> C.J. and LeBel, Fish, Abella, Cromwell, </w:t>
            </w:r>
            <w:proofErr w:type="spellStart"/>
            <w:r w:rsidRPr="00FD2349">
              <w:t>Moldaver</w:t>
            </w:r>
            <w:proofErr w:type="spellEnd"/>
            <w:r w:rsidRPr="00FD2349">
              <w:t xml:space="preserve">, </w:t>
            </w:r>
            <w:proofErr w:type="spellStart"/>
            <w:r w:rsidRPr="00FD2349">
              <w:t>Karakatsanis</w:t>
            </w:r>
            <w:proofErr w:type="spellEnd"/>
            <w:r w:rsidRPr="00FD2349">
              <w:t xml:space="preserve"> and Wagner JJ. concurring)</w:t>
            </w:r>
          </w:p>
        </w:tc>
      </w:tr>
    </w:tbl>
    <w:p w:rsidR="003F1ADD" w:rsidRPr="00FD2349" w:rsidRDefault="00050C21" w:rsidP="003F1ADD">
      <w:pPr>
        <w:rPr>
          <w:rFonts w:eastAsiaTheme="minorHAnsi" w:cstheme="minorBidi"/>
          <w:szCs w:val="24"/>
          <w:lang w:eastAsia="en-US"/>
        </w:rPr>
      </w:pPr>
      <w:r w:rsidRPr="00050C21">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3F1ADD" w:rsidRDefault="003F1ADD" w:rsidP="003F1ADD">
      <w:pPr>
        <w:rPr>
          <w:smallCaps/>
        </w:rPr>
      </w:pPr>
      <w:r>
        <w:rPr>
          <w:smallCaps/>
        </w:rPr>
        <w:br w:type="page"/>
      </w:r>
    </w:p>
    <w:p w:rsidR="006A370E" w:rsidRPr="00CC4C27" w:rsidRDefault="00950F85" w:rsidP="006A370E">
      <w:pPr>
        <w:spacing w:after="720"/>
        <w:jc w:val="both"/>
      </w:pPr>
      <w:r>
        <w:lastRenderedPageBreak/>
        <w:t>Pro-</w:t>
      </w:r>
      <w:r w:rsidR="00CC4C27" w:rsidRPr="00CC4C27">
        <w:t xml:space="preserve">Sys Consultants Ltd. </w:t>
      </w:r>
      <w:r w:rsidR="00CC4C27" w:rsidRPr="00CC4C27">
        <w:rPr>
          <w:i/>
        </w:rPr>
        <w:t>v.</w:t>
      </w:r>
      <w:r w:rsidR="00CC4C27" w:rsidRPr="00CC4C27">
        <w:t xml:space="preserve"> Microsoft Corporation</w:t>
      </w:r>
      <w:r w:rsidR="00CC4C27">
        <w:t>, 2013 SCC 57, [2013] 3 S.C.R. 477</w:t>
      </w:r>
    </w:p>
    <w:p w:rsidR="006A370E" w:rsidRPr="00BB1D30" w:rsidRDefault="006A370E" w:rsidP="006A370E">
      <w:pPr>
        <w:pStyle w:val="SCCLsocParty"/>
      </w:pPr>
      <w:r w:rsidRPr="00BB1D30">
        <w:t>Pro</w:t>
      </w:r>
      <w:r w:rsidRPr="00BB1D30">
        <w:noBreakHyphen/>
      </w:r>
      <w:proofErr w:type="spellStart"/>
      <w:r w:rsidRPr="00BB1D30">
        <w:t>Sys</w:t>
      </w:r>
      <w:proofErr w:type="spellEnd"/>
      <w:r w:rsidRPr="00BB1D30">
        <w:t xml:space="preserve"> Consultants Ltd. and</w:t>
      </w:r>
    </w:p>
    <w:p w:rsidR="006A370E" w:rsidRPr="007742D0" w:rsidRDefault="006A370E" w:rsidP="006A370E">
      <w:pPr>
        <w:pStyle w:val="SCCLsocLastPartyInRole"/>
        <w:rPr>
          <w:b w:val="0"/>
        </w:rPr>
      </w:pPr>
      <w:r w:rsidRPr="00BB1D30">
        <w:t>Neil Godfrey</w:t>
      </w:r>
      <w:r w:rsidRPr="007742D0">
        <w:rPr>
          <w:rStyle w:val="SCCLsocPartyRole"/>
        </w:rPr>
        <w:tab/>
        <w:t>Appellants</w:t>
      </w:r>
    </w:p>
    <w:p w:rsidR="006A370E" w:rsidRPr="00BB1D30" w:rsidRDefault="006A370E" w:rsidP="006A370E">
      <w:pPr>
        <w:pStyle w:val="SCCLsocVersus"/>
      </w:pPr>
      <w:proofErr w:type="gramStart"/>
      <w:r w:rsidRPr="00BB1D30">
        <w:t>v</w:t>
      </w:r>
      <w:proofErr w:type="gramEnd"/>
      <w:r w:rsidRPr="00BB1D30">
        <w:t>.</w:t>
      </w:r>
    </w:p>
    <w:p w:rsidR="006A370E" w:rsidRPr="00BB1D30" w:rsidRDefault="006A370E" w:rsidP="006A370E">
      <w:pPr>
        <w:pStyle w:val="SCCLsocParty"/>
      </w:pPr>
      <w:r w:rsidRPr="00BB1D30">
        <w:t>Microsoft Corporation and</w:t>
      </w:r>
    </w:p>
    <w:p w:rsidR="006A370E" w:rsidRPr="007742D0" w:rsidRDefault="006A370E" w:rsidP="006A370E">
      <w:pPr>
        <w:pStyle w:val="SCCLsocLastPartyInRole"/>
        <w:rPr>
          <w:b w:val="0"/>
        </w:rPr>
      </w:pPr>
      <w:r w:rsidRPr="00BB1D30">
        <w:t>Microsoft Canada Co</w:t>
      </w:r>
      <w:proofErr w:type="gramStart"/>
      <w:r w:rsidRPr="00BB1D30">
        <w:t>./</w:t>
      </w:r>
      <w:proofErr w:type="gramEnd"/>
      <w:r w:rsidRPr="00BB1D30">
        <w:t>Microsoft Canada CIE</w:t>
      </w:r>
      <w:r w:rsidRPr="007742D0">
        <w:rPr>
          <w:rStyle w:val="SCCLsocPartyRole"/>
        </w:rPr>
        <w:tab/>
        <w:t>Respondents</w:t>
      </w:r>
    </w:p>
    <w:p w:rsidR="006A370E" w:rsidRPr="00BB1D30" w:rsidRDefault="006A370E" w:rsidP="006A370E">
      <w:pPr>
        <w:pStyle w:val="SCCLsocOtherPartySeparator"/>
      </w:pPr>
      <w:proofErr w:type="gramStart"/>
      <w:r w:rsidRPr="00BB1D30">
        <w:t>and</w:t>
      </w:r>
      <w:proofErr w:type="gramEnd"/>
    </w:p>
    <w:p w:rsidR="006A370E" w:rsidRPr="007742D0" w:rsidRDefault="006A370E" w:rsidP="006A370E">
      <w:pPr>
        <w:pStyle w:val="SCCLsocLastPartyInRole"/>
        <w:rPr>
          <w:b w:val="0"/>
        </w:rPr>
      </w:pPr>
      <w:r w:rsidRPr="00BB1D30">
        <w:t>Attorney General of Canada</w:t>
      </w:r>
      <w:r w:rsidRPr="007742D0">
        <w:rPr>
          <w:rStyle w:val="SCCLsocPartyRole"/>
        </w:rPr>
        <w:tab/>
        <w:t>Intervener</w:t>
      </w:r>
    </w:p>
    <w:p w:rsidR="006A370E" w:rsidRPr="00BB1D30" w:rsidRDefault="006A370E" w:rsidP="006A370E">
      <w:pPr>
        <w:spacing w:after="720"/>
        <w:jc w:val="both"/>
        <w:rPr>
          <w:b/>
        </w:rPr>
      </w:pPr>
      <w:r w:rsidRPr="00BB1D30">
        <w:rPr>
          <w:b/>
        </w:rPr>
        <w:t>Indexed as:  Pro</w:t>
      </w:r>
      <w:r w:rsidRPr="00BB1D30">
        <w:rPr>
          <w:b/>
        </w:rPr>
        <w:noBreakHyphen/>
      </w:r>
      <w:proofErr w:type="spellStart"/>
      <w:r w:rsidRPr="00BB1D30">
        <w:rPr>
          <w:b/>
        </w:rPr>
        <w:t>Sys</w:t>
      </w:r>
      <w:proofErr w:type="spellEnd"/>
      <w:r w:rsidRPr="00BB1D30">
        <w:rPr>
          <w:b/>
        </w:rPr>
        <w:t xml:space="preserve"> Consultants Ltd. </w:t>
      </w:r>
      <w:r w:rsidRPr="00BB1D30">
        <w:rPr>
          <w:b/>
          <w:i/>
        </w:rPr>
        <w:t>v.</w:t>
      </w:r>
      <w:r w:rsidRPr="00BB1D30">
        <w:rPr>
          <w:b/>
        </w:rPr>
        <w:t xml:space="preserve"> Microsoft Corporation</w:t>
      </w:r>
    </w:p>
    <w:p w:rsidR="006A370E" w:rsidRPr="00BB1D30" w:rsidRDefault="006A370E" w:rsidP="006A370E">
      <w:pPr>
        <w:pStyle w:val="SCCSystemYear"/>
        <w:spacing w:after="720"/>
        <w:jc w:val="both"/>
      </w:pPr>
      <w:r w:rsidRPr="00BB1D30">
        <w:t>2013 SCC 57</w:t>
      </w:r>
    </w:p>
    <w:p w:rsidR="006A370E" w:rsidRPr="00BB1D30" w:rsidRDefault="006A370E" w:rsidP="006A370E">
      <w:pPr>
        <w:spacing w:after="720"/>
        <w:jc w:val="both"/>
      </w:pPr>
      <w:r w:rsidRPr="00BB1D30">
        <w:t>File No.:  34282.</w:t>
      </w:r>
    </w:p>
    <w:p w:rsidR="006A370E" w:rsidRPr="00BB1D30" w:rsidRDefault="006A370E" w:rsidP="006A370E">
      <w:pPr>
        <w:spacing w:after="720"/>
        <w:jc w:val="both"/>
      </w:pPr>
      <w:r w:rsidRPr="00BB1D30">
        <w:t>2012:  October 17; 2013:  October 31.</w:t>
      </w:r>
    </w:p>
    <w:p w:rsidR="006A370E" w:rsidRPr="00BB1D30" w:rsidRDefault="006A370E" w:rsidP="006A370E">
      <w:pPr>
        <w:spacing w:after="720"/>
        <w:jc w:val="both"/>
      </w:pPr>
      <w:r w:rsidRPr="00BB1D30">
        <w:t xml:space="preserve">Present:  </w:t>
      </w:r>
      <w:proofErr w:type="spellStart"/>
      <w:r w:rsidRPr="00BB1D30">
        <w:t>McLachlin</w:t>
      </w:r>
      <w:proofErr w:type="spellEnd"/>
      <w:r w:rsidRPr="00BB1D30">
        <w:t xml:space="preserve"> C.J. and LeBel, Fish, Abella, Rothstein, Cromwell, </w:t>
      </w:r>
      <w:proofErr w:type="spellStart"/>
      <w:r w:rsidRPr="00BB1D30">
        <w:t>Moldaver</w:t>
      </w:r>
      <w:proofErr w:type="spellEnd"/>
      <w:r w:rsidRPr="00BB1D30">
        <w:t xml:space="preserve">, </w:t>
      </w:r>
      <w:proofErr w:type="spellStart"/>
      <w:r w:rsidRPr="00BB1D30">
        <w:t>Karakatsanis</w:t>
      </w:r>
      <w:proofErr w:type="spellEnd"/>
      <w:r w:rsidRPr="00BB1D30">
        <w:t xml:space="preserve"> and Wagner JJ.</w:t>
      </w:r>
    </w:p>
    <w:p w:rsidR="006A370E" w:rsidRPr="00BB1D30" w:rsidRDefault="006A370E" w:rsidP="006A370E">
      <w:pPr>
        <w:pStyle w:val="SCCLowerCourtNameLowercase"/>
        <w:spacing w:after="720" w:line="240" w:lineRule="auto"/>
      </w:pPr>
      <w:r w:rsidRPr="00BB1D30">
        <w:t xml:space="preserve">on appeal from the court of appeal for </w:t>
      </w:r>
      <w:proofErr w:type="spellStart"/>
      <w:proofErr w:type="gramStart"/>
      <w:r w:rsidRPr="00BB1D30">
        <w:t>british</w:t>
      </w:r>
      <w:proofErr w:type="spellEnd"/>
      <w:r w:rsidRPr="00BB1D30">
        <w:t xml:space="preserve"> </w:t>
      </w:r>
      <w:proofErr w:type="spellStart"/>
      <w:r w:rsidRPr="00BB1D30">
        <w:t>columbia</w:t>
      </w:r>
      <w:proofErr w:type="spellEnd"/>
      <w:proofErr w:type="gramEnd"/>
    </w:p>
    <w:p w:rsidR="006A370E" w:rsidRPr="00BB1D30" w:rsidRDefault="006A370E" w:rsidP="006A370E">
      <w:pPr>
        <w:pStyle w:val="SCCNormalDoubleSpacing"/>
        <w:spacing w:after="480"/>
        <w:rPr>
          <w:i/>
        </w:rPr>
      </w:pPr>
      <w:r w:rsidRPr="00BB1D30">
        <w:lastRenderedPageBreak/>
        <w:tab/>
      </w:r>
      <w:r w:rsidRPr="00BB1D30">
        <w:rPr>
          <w:i/>
        </w:rPr>
        <w:t>Civil procedure — Class actions — Certification — Indirect purchasers — Plaintiffs suing defendants for unlawful conduct in overcharging for its PC operating systems and PC applications software — Plaintiffs seeking certification of action as class proceeding under provincial class action legislation — Whether indirect purchaser actions are available as a matter of law in Canada — Whether certification requirements are met — Class Proceedings Act, R.S.B.C. 1996, c. 50, s. 4(1).</w:t>
      </w:r>
    </w:p>
    <w:p w:rsidR="006A370E" w:rsidRPr="00BB1D30" w:rsidRDefault="006A370E" w:rsidP="006A370E">
      <w:pPr>
        <w:pStyle w:val="SCCNormalDoubleSpacing"/>
        <w:spacing w:after="480"/>
      </w:pPr>
      <w:r w:rsidRPr="00BB1D30">
        <w:rPr>
          <w:i/>
        </w:rPr>
        <w:tab/>
      </w:r>
      <w:r w:rsidRPr="00BB1D30">
        <w:t>P brought a class action against M, alleging that beginning in 1988, M engaged in unlawful conduct by overcharging for its Intel</w:t>
      </w:r>
      <w:r w:rsidRPr="00BB1D30">
        <w:noBreakHyphen/>
      </w:r>
      <w:proofErr w:type="spellStart"/>
      <w:r w:rsidRPr="00BB1D30">
        <w:t>compatible</w:t>
      </w:r>
      <w:proofErr w:type="spellEnd"/>
      <w:r w:rsidRPr="00BB1D30">
        <w:t xml:space="preserve"> PC operating systems and Intel</w:t>
      </w:r>
      <w:r w:rsidRPr="00BB1D30">
        <w:noBreakHyphen/>
      </w:r>
      <w:proofErr w:type="spellStart"/>
      <w:r w:rsidRPr="00BB1D30">
        <w:t>compatible</w:t>
      </w:r>
      <w:proofErr w:type="spellEnd"/>
      <w:r w:rsidRPr="00BB1D30">
        <w:t xml:space="preserve"> PC applications software.  P sought certification of the action as a class proceeding under the </w:t>
      </w:r>
      <w:r w:rsidRPr="00BB1D30">
        <w:rPr>
          <w:i/>
        </w:rPr>
        <w:t>Class Proceedings Act</w:t>
      </w:r>
      <w:r w:rsidRPr="00BB1D30">
        <w:t>, R.S.B.C. 1996, c. 50 (“</w:t>
      </w:r>
      <w:r w:rsidRPr="00BB1D30">
        <w:rPr>
          <w:i/>
        </w:rPr>
        <w:t>CPA</w:t>
      </w:r>
      <w:r w:rsidRPr="00BB1D30">
        <w:t>”).  The proposed class is made up of ultimate consumers, known as “indirect purchasers”, who acquired M’s products from re</w:t>
      </w:r>
      <w:r w:rsidRPr="00BB1D30">
        <w:noBreakHyphen/>
      </w:r>
      <w:proofErr w:type="spellStart"/>
      <w:r w:rsidRPr="00BB1D30">
        <w:t>sellers</w:t>
      </w:r>
      <w:proofErr w:type="spellEnd"/>
      <w:r w:rsidRPr="00BB1D30">
        <w:t xml:space="preserve">. </w:t>
      </w:r>
    </w:p>
    <w:p w:rsidR="006A370E" w:rsidRPr="00BB1D30" w:rsidRDefault="006A370E" w:rsidP="006A370E">
      <w:pPr>
        <w:pStyle w:val="SCCNormalDoubleSpacing"/>
        <w:spacing w:after="480"/>
      </w:pPr>
      <w:r w:rsidRPr="00BB1D30">
        <w:tab/>
        <w:t xml:space="preserve">The British Columbia Supreme Court found that the certification requirements set out in s. 4(1) of the </w:t>
      </w:r>
      <w:r w:rsidRPr="00BB1D30">
        <w:rPr>
          <w:i/>
        </w:rPr>
        <w:t>CPA</w:t>
      </w:r>
      <w:r w:rsidRPr="00BB1D30">
        <w:t xml:space="preserve"> were met and certified the action.  The majority of the Court of Appeal allowed M’s appeal, set aside the certification order and dismissed the action, determining that indirect purchaser actions were not available as a matter of law in Canada and therefore that the class members had no cause of action under s. 4(1)(a) of the </w:t>
      </w:r>
      <w:r w:rsidRPr="00BB1D30">
        <w:rPr>
          <w:i/>
        </w:rPr>
        <w:t>CPA</w:t>
      </w:r>
      <w:r w:rsidRPr="00BB1D30">
        <w:t>.</w:t>
      </w:r>
    </w:p>
    <w:p w:rsidR="006A370E" w:rsidRPr="00BB1D30" w:rsidRDefault="006A370E" w:rsidP="006A370E">
      <w:pPr>
        <w:pStyle w:val="SCCNormalDoubleSpacing"/>
        <w:spacing w:after="480"/>
      </w:pPr>
      <w:r w:rsidRPr="00BB1D30">
        <w:tab/>
      </w:r>
      <w:r w:rsidRPr="00BB1D30">
        <w:rPr>
          <w:i/>
        </w:rPr>
        <w:t>Held</w:t>
      </w:r>
      <w:r>
        <w:t>:</w:t>
      </w:r>
      <w:r w:rsidRPr="00BB1D30">
        <w:t xml:space="preserve">  The appeal should be allowed.</w:t>
      </w:r>
    </w:p>
    <w:p w:rsidR="006A370E" w:rsidRPr="00BB1D30" w:rsidRDefault="006A370E" w:rsidP="006A370E">
      <w:pPr>
        <w:pStyle w:val="SCCNormalDoubleSpacing"/>
        <w:spacing w:after="480"/>
      </w:pPr>
      <w:r w:rsidRPr="00BB1D30">
        <w:lastRenderedPageBreak/>
        <w:tab/>
        <w:t xml:space="preserve">Indirect purchasers have a cause of action against the party who has effectuated the overcharge at the top of the distribution chain that has allegedly injured the indirect purchasers as a result of the overcharge being “passed on” to them through the chain of distribution.  The argument that indirect purchasers should have no cause of action because passing on has been rejected as a defence in Canada should fail. </w:t>
      </w:r>
    </w:p>
    <w:p w:rsidR="006A370E" w:rsidRPr="00BB1D30" w:rsidRDefault="006A370E" w:rsidP="006A370E">
      <w:pPr>
        <w:pStyle w:val="SCCNormalDoubleSpacing"/>
        <w:spacing w:after="480"/>
      </w:pPr>
      <w:r w:rsidRPr="00BB1D30">
        <w:tab/>
        <w:t>The passing</w:t>
      </w:r>
      <w:r w:rsidRPr="00BB1D30">
        <w:noBreakHyphen/>
      </w:r>
      <w:proofErr w:type="spellStart"/>
      <w:r w:rsidRPr="00BB1D30">
        <w:t>on</w:t>
      </w:r>
      <w:proofErr w:type="spellEnd"/>
      <w:r w:rsidRPr="00BB1D30">
        <w:t xml:space="preserve"> defence, which was typically advanced by an </w:t>
      </w:r>
      <w:proofErr w:type="spellStart"/>
      <w:r w:rsidRPr="00BB1D30">
        <w:t>overcharger</w:t>
      </w:r>
      <w:proofErr w:type="spellEnd"/>
      <w:r w:rsidRPr="00BB1D30">
        <w:t xml:space="preserve"> at the top of a distribution chain, was invoked under the proposition that if the direct purchaser who sustained the original overcharge then passed that overcharge on to its own customers, the gain conferred on the </w:t>
      </w:r>
      <w:proofErr w:type="spellStart"/>
      <w:r w:rsidRPr="00BB1D30">
        <w:t>overcharger</w:t>
      </w:r>
      <w:proofErr w:type="spellEnd"/>
      <w:r w:rsidRPr="00BB1D30">
        <w:t xml:space="preserve"> was not at the expense of the direct purchaser because the direct purchaser suffered no loss.  As such, the fact that the overcharge was “passed on” was argued to be a defence to actions brought by the direct purchaser against the party responsible for the overcharge.  This defence has been rejected by this Court in </w:t>
      </w:r>
      <w:proofErr w:type="spellStart"/>
      <w:r w:rsidRPr="00BB1D30">
        <w:rPr>
          <w:i/>
        </w:rPr>
        <w:t>Kingstreet</w:t>
      </w:r>
      <w:proofErr w:type="spellEnd"/>
      <w:r w:rsidRPr="00BB1D30">
        <w:rPr>
          <w:i/>
        </w:rPr>
        <w:t xml:space="preserve"> Investments Ltd.</w:t>
      </w:r>
      <w:r>
        <w:rPr>
          <w:i/>
        </w:rPr>
        <w:t xml:space="preserve"> v. New Brunswick (</w:t>
      </w:r>
      <w:r w:rsidRPr="00BB1D30">
        <w:rPr>
          <w:i/>
        </w:rPr>
        <w:t>Finance)</w:t>
      </w:r>
      <w:r w:rsidRPr="00BB1D30">
        <w:t xml:space="preserve">, 2007 SCC 1, [2007] 1 S.C.R. 3, and that rejection is not limited to the context of the imposition of </w:t>
      </w:r>
      <w:r w:rsidRPr="00BB1D30">
        <w:rPr>
          <w:i/>
        </w:rPr>
        <w:t xml:space="preserve">ultra </w:t>
      </w:r>
      <w:proofErr w:type="spellStart"/>
      <w:r w:rsidRPr="00BB1D30">
        <w:rPr>
          <w:i/>
        </w:rPr>
        <w:t>vires</w:t>
      </w:r>
      <w:proofErr w:type="spellEnd"/>
      <w:r w:rsidRPr="00BB1D30">
        <w:t xml:space="preserve"> taxes; the passing</w:t>
      </w:r>
      <w:r w:rsidRPr="00BB1D30">
        <w:noBreakHyphen/>
      </w:r>
      <w:proofErr w:type="spellStart"/>
      <w:r w:rsidRPr="00BB1D30">
        <w:t>on</w:t>
      </w:r>
      <w:proofErr w:type="spellEnd"/>
      <w:r w:rsidRPr="00BB1D30">
        <w:t xml:space="preserve"> defence is rejected throughout the whole of </w:t>
      </w:r>
      <w:proofErr w:type="spellStart"/>
      <w:r w:rsidRPr="00BB1D30">
        <w:t>restitutionary</w:t>
      </w:r>
      <w:proofErr w:type="spellEnd"/>
      <w:r w:rsidRPr="00BB1D30">
        <w:t xml:space="preserve"> law.</w:t>
      </w:r>
    </w:p>
    <w:p w:rsidR="006A370E" w:rsidRPr="00BB1D30" w:rsidRDefault="006A370E" w:rsidP="006A370E">
      <w:pPr>
        <w:pStyle w:val="SCCNormalDoubleSpacing"/>
        <w:spacing w:after="480"/>
      </w:pPr>
      <w:r w:rsidRPr="00BB1D30">
        <w:tab/>
        <w:t>However, the rejection of the passing</w:t>
      </w:r>
      <w:r w:rsidRPr="00BB1D30">
        <w:noBreakHyphen/>
      </w:r>
      <w:proofErr w:type="spellStart"/>
      <w:r w:rsidRPr="00BB1D30">
        <w:t>on</w:t>
      </w:r>
      <w:proofErr w:type="spellEnd"/>
      <w:r w:rsidRPr="00BB1D30">
        <w:t xml:space="preserve"> defence does not lead to a corresponding rejection of the offensive use of passing on.  Therefore, indirect purchasers should not be foreclosed from claiming losses passed on to them.  The risk of double or multiple </w:t>
      </w:r>
      <w:proofErr w:type="gramStart"/>
      <w:r w:rsidRPr="00BB1D30">
        <w:t>recovery</w:t>
      </w:r>
      <w:proofErr w:type="gramEnd"/>
      <w:r w:rsidRPr="00BB1D30">
        <w:t xml:space="preserve"> where actions by direct and indirect purchasers are </w:t>
      </w:r>
      <w:r w:rsidRPr="00BB1D30">
        <w:lastRenderedPageBreak/>
        <w:t>pending at the same time or where parallel suits are pending in other jurisdictions can be managed by the court.  Furthermore, indirect purchaser actions should not be barred altogether solely because of the likely complexity associated with proof of damages.  In bringing their action, the indirect purchasers willingly assume the burden of establishing that they have suffered loss, and whether they have met their burden of proof is a factual question to be decided on a case</w:t>
      </w:r>
      <w:r w:rsidRPr="00BB1D30">
        <w:noBreakHyphen/>
      </w:r>
      <w:proofErr w:type="spellStart"/>
      <w:r w:rsidRPr="00BB1D30">
        <w:t>by</w:t>
      </w:r>
      <w:proofErr w:type="spellEnd"/>
      <w:r w:rsidRPr="00BB1D30">
        <w:noBreakHyphen/>
      </w:r>
      <w:proofErr w:type="spellStart"/>
      <w:r w:rsidRPr="00BB1D30">
        <w:t>case</w:t>
      </w:r>
      <w:proofErr w:type="spellEnd"/>
      <w:r w:rsidRPr="00BB1D30">
        <w:t xml:space="preserve"> basis.  In addition, allowing the offensive use of passing on will not frustrate the deterrence objectives of Canadian competition laws.  Indirect purchaser actions may, in some circumstances, be the only means by which overcharges are claimed and deterrence is promoted.  Finally, allowing indirect purchaser actions is consistent with the remediation objective of restitution law because it allows for compensating the parties who have actually suffered the harm rather than reserving these actions for direct purchasers who may have in fact passed on the overcharge. </w:t>
      </w:r>
    </w:p>
    <w:p w:rsidR="006A370E" w:rsidRPr="00BB1D30" w:rsidRDefault="006A370E" w:rsidP="006A370E">
      <w:pPr>
        <w:pStyle w:val="SCCNormalDoubleSpacing"/>
        <w:spacing w:after="480"/>
      </w:pPr>
      <w:r w:rsidRPr="00BB1D30">
        <w:tab/>
        <w:t xml:space="preserve">The first requirement for certification at s. 4(1) of the </w:t>
      </w:r>
      <w:r w:rsidRPr="00BB1D30">
        <w:rPr>
          <w:i/>
        </w:rPr>
        <w:t>CPA</w:t>
      </w:r>
      <w:r w:rsidRPr="00BB1D30">
        <w:t xml:space="preserve"> requires that the pleadings disclose a cause of action.  A plaintiff satisfies this requirement unless, assuming all facts pleaded to be true, it is plain and obvious that the plaintiff’s claim cannot succeed.  In the case at bar, the pleadings disclose causes of action that should not be struck out at this stage of the proceedings.</w:t>
      </w:r>
    </w:p>
    <w:p w:rsidR="006A370E" w:rsidRPr="00BB1D30" w:rsidRDefault="006A370E" w:rsidP="006A370E">
      <w:pPr>
        <w:pStyle w:val="SCCNormalDoubleSpacing"/>
        <w:spacing w:after="480"/>
      </w:pPr>
      <w:r w:rsidRPr="00BB1D30">
        <w:tab/>
        <w:t xml:space="preserve">First, it cannot be said that the pleadings do not disclose a cause of action under s. 36 of the </w:t>
      </w:r>
      <w:r w:rsidRPr="00BB1D30">
        <w:rPr>
          <w:i/>
        </w:rPr>
        <w:t>Competition Act</w:t>
      </w:r>
      <w:r w:rsidRPr="00BB1D30">
        <w:t xml:space="preserve">.  The contention that the s. 36 cause of action is not properly pleaded because it was not included in the statement of claim and that </w:t>
      </w:r>
      <w:r w:rsidRPr="00BB1D30">
        <w:lastRenderedPageBreak/>
        <w:t>any attempt to add it now would be barred by the two</w:t>
      </w:r>
      <w:r w:rsidRPr="00BB1D30">
        <w:noBreakHyphen/>
        <w:t>year limitation period contained in s. 36(4) of the Act is purely technical and should be rejected.  The argument that the Competition Tribunal should have jurisdiction over the enforcement of the competition law should also be rejected, since s. 36 expressly confers jurisdiction on the court to entertain the claims of any person who suffered loss by virtue of a breach of Part VI of the Act.</w:t>
      </w:r>
    </w:p>
    <w:p w:rsidR="006A370E" w:rsidRPr="00BB1D30" w:rsidRDefault="006A370E" w:rsidP="006A370E">
      <w:pPr>
        <w:pStyle w:val="SCCNormalDoubleSpacing"/>
        <w:spacing w:after="480"/>
      </w:pPr>
      <w:r w:rsidRPr="00BB1D30">
        <w:tab/>
        <w:t>Next, it is not plain and obvious that the claim in tort for predominant purpose conspiracy cannot succeed.  The contention that the tort of predominant purpose conspiracy is not made out because the statement of claim fails to identify one true predominant purpose and instead lists overlapping purposes should fail at this stage of the proceedings.  Similarly, the argument that the predominant purpose conspiracy claim should be struck as it applies to an alleged conspiracy between a parent corporation and its subsidiaries should fail because it is not plain and obvious that the law considers parent and wholly</w:t>
      </w:r>
      <w:r w:rsidRPr="00BB1D30">
        <w:noBreakHyphen/>
      </w:r>
      <w:proofErr w:type="spellStart"/>
      <w:r w:rsidRPr="00BB1D30">
        <w:t>owned</w:t>
      </w:r>
      <w:proofErr w:type="spellEnd"/>
      <w:r w:rsidRPr="00BB1D30">
        <w:t xml:space="preserve"> subsidiary corporations to always act in combination.</w:t>
      </w:r>
    </w:p>
    <w:p w:rsidR="006A370E" w:rsidRPr="00BB1D30" w:rsidRDefault="006A370E" w:rsidP="006A370E">
      <w:pPr>
        <w:pStyle w:val="SCCNormalDoubleSpacing"/>
        <w:spacing w:after="480"/>
      </w:pPr>
      <w:r w:rsidRPr="00BB1D30">
        <w:tab/>
        <w:t xml:space="preserve">Similarly, at this point, it is not plain and obvious that there is no cause of action in tort for unlawful means conspiracy or intentional interference with economic interests.  These alleged causes of action must be dealt with summarily as the proper approach to the unlawful means requirement common to both torts is presently under reserve in this Court in </w:t>
      </w:r>
      <w:r w:rsidRPr="00BB1D30">
        <w:rPr>
          <w:i/>
        </w:rPr>
        <w:t>Bram Enterprises Ltd. v. A.I. Enterprises Ltd.</w:t>
      </w:r>
      <w:r w:rsidRPr="00BB1D30">
        <w:t xml:space="preserve">, 2012 NBCA 33, 387 N.B.R. (2d) 215, leave to appeal granted, [2012] 3 S.C.R. v.  </w:t>
      </w:r>
      <w:r w:rsidRPr="00BB1D30">
        <w:lastRenderedPageBreak/>
        <w:t xml:space="preserve">Depending on the decision of this Court in </w:t>
      </w:r>
      <w:r w:rsidRPr="00BB1D30">
        <w:rPr>
          <w:i/>
        </w:rPr>
        <w:t>Bram</w:t>
      </w:r>
      <w:r w:rsidRPr="00BB1D30">
        <w:t>, it will be open to M to raise the matter at trial should it consider it advisable to do so.</w:t>
      </w:r>
    </w:p>
    <w:p w:rsidR="006A370E" w:rsidRPr="00BB1D30" w:rsidRDefault="006A370E" w:rsidP="006A370E">
      <w:pPr>
        <w:pStyle w:val="SCCNormalDoubleSpacing"/>
        <w:spacing w:after="480"/>
      </w:pPr>
      <w:r w:rsidRPr="00BB1D30">
        <w:tab/>
        <w:t xml:space="preserve">With respect to the </w:t>
      </w:r>
      <w:proofErr w:type="spellStart"/>
      <w:r w:rsidRPr="00BB1D30">
        <w:t>restitutionary</w:t>
      </w:r>
      <w:proofErr w:type="spellEnd"/>
      <w:r w:rsidRPr="00BB1D30">
        <w:t xml:space="preserve"> claim in unjust enrichment, it is not plain and obvious that it cannot succeed.  With respect to the argument that any enrichment received by M came from the direct purchasers and not from the class members, and that this lack of a direct connection between it and the class members forecloses the claim of unjust enrichment, it is not plain and obvious that a claim in unjust enrichment will be made out only where the relationship between the plaintiff and the defendant is direct.  The question of whether the contracts between M and the direct purchasers and the contracts between the direct purchasers and the indirect purchasers, which could constitute a juristic reason for the enrichment, are illegal and void should not be resolved at this stage of the proceedings and must be left to the trial judge.</w:t>
      </w:r>
    </w:p>
    <w:p w:rsidR="006A370E" w:rsidRPr="00BB1D30" w:rsidRDefault="006A370E" w:rsidP="006A370E">
      <w:pPr>
        <w:pStyle w:val="SCCNormalDoubleSpacing"/>
        <w:spacing w:after="480"/>
      </w:pPr>
      <w:r w:rsidRPr="00BB1D30">
        <w:tab/>
        <w:t>The pleadings based on constructive trust must be struck.  In order to find that a constructive trust is made out, the plaintiff must be able to point to a link or causal connection between his or her contribution and the acquisition of specific property.  In the present case, there is no referential property.  P makes a purely monetary claim.  As the claim neither explains why a monetary award is inappropriate or insufficient nor shows a link to specific property, the claim does not satisfy the conditions necessary to ground a constructive trust.  On the pleadings, it is plain and obvious that this claim cannot succeed.</w:t>
      </w:r>
    </w:p>
    <w:p w:rsidR="006A370E" w:rsidRPr="00BB1D30" w:rsidRDefault="006A370E" w:rsidP="006A370E">
      <w:pPr>
        <w:pStyle w:val="SCCNormalDoubleSpacing"/>
        <w:spacing w:after="480"/>
      </w:pPr>
      <w:r w:rsidRPr="00BB1D30">
        <w:lastRenderedPageBreak/>
        <w:tab/>
        <w:t>Finally, it is not plain and obvious that a cause of action in waiver of tort would not succeed.  There is contradictory law as to the question of whether the underlying tort needs to be established in order to sustain an action in waiver of tort.  This appeal is not the proper place to resolve the details of the law of waiver of tort, nor the particular circumstances in which it can be pleaded.</w:t>
      </w:r>
    </w:p>
    <w:p w:rsidR="006A370E" w:rsidRPr="00BB1D30" w:rsidRDefault="006A370E" w:rsidP="006A370E">
      <w:pPr>
        <w:pStyle w:val="SCCNormalDoubleSpacing"/>
        <w:spacing w:after="480"/>
      </w:pPr>
      <w:r w:rsidRPr="00BB1D30">
        <w:tab/>
        <w:t xml:space="preserve">The starting point in determining the standard of proof to be applied to the remaining certification requirements is the standard articulated in this Court’s decision in </w:t>
      </w:r>
      <w:proofErr w:type="spellStart"/>
      <w:r w:rsidRPr="00BB1D30">
        <w:rPr>
          <w:i/>
        </w:rPr>
        <w:t>Hollick</w:t>
      </w:r>
      <w:proofErr w:type="spellEnd"/>
      <w:r w:rsidRPr="00BB1D30">
        <w:rPr>
          <w:i/>
        </w:rPr>
        <w:t xml:space="preserve"> v. Toronto (City)</w:t>
      </w:r>
      <w:r w:rsidRPr="00BB1D30">
        <w:t xml:space="preserve">, 2001 SCC 68, [2001] 3 S.C.R. 158: the class representative must show some basis in fact for each of the certification requirements set out in the provincial class action legislation, other than the requirement that the pleadings disclose a cause of action.  The certification stage is not meant to be a test of the merits of the </w:t>
      </w:r>
      <w:proofErr w:type="gramStart"/>
      <w:r w:rsidRPr="00BB1D30">
        <w:t>action,</w:t>
      </w:r>
      <w:proofErr w:type="gramEnd"/>
      <w:r w:rsidRPr="00BB1D30">
        <w:t xml:space="preserve"> rather, this stage is concerned with form and with whether the action can properly proceed as a class action.  The standard of proof asks not whether there is some basis in fact for the claim itself, but rather whether there is some basis in fact which establishes each of the individual certification requirements.  Although evidence has a role to play in the certification process, the standard of proof does not require evidence on a balance of probabilities.  The certification stage does not involve an assessment of the merits of the claim and is not intended to be a pronouncement on the viability or strength of the action, rather, it focuses on the form of the action in order to determine whether the action can appropriately go forward as a class proceeding.  Each case must be decided on its own facts.  There must be sufficient facts to satisfy the applications judge that the conditions for certification </w:t>
      </w:r>
      <w:r w:rsidRPr="00BB1D30">
        <w:lastRenderedPageBreak/>
        <w:t>have been met to a degree that should allow the matter to proceed on a class basis without foundering at the merits stage by reason of the requirements not having been met.</w:t>
      </w:r>
    </w:p>
    <w:p w:rsidR="006A370E" w:rsidRPr="00BB1D30" w:rsidRDefault="006A370E" w:rsidP="006A370E">
      <w:pPr>
        <w:pStyle w:val="SCCNormalDoubleSpacing"/>
        <w:spacing w:after="480"/>
      </w:pPr>
      <w:r w:rsidRPr="00BB1D30">
        <w:tab/>
        <w:t>In the case at bar, the applications judge’s finding that the claims raised common issues is entitled to deference.  In order to establish commonality, evidence that the acts alleged actually occurred is not required, rather, the factual evidence required at this stage goes only to establishing whether these questions are common to all the class members.  With respect to the common issues that ask whether loss to the class members can be established on a class</w:t>
      </w:r>
      <w:r w:rsidRPr="00BB1D30">
        <w:noBreakHyphen/>
      </w:r>
      <w:proofErr w:type="spellStart"/>
      <w:r w:rsidRPr="00BB1D30">
        <w:t>wide</w:t>
      </w:r>
      <w:proofErr w:type="spellEnd"/>
      <w:r w:rsidRPr="00BB1D30">
        <w:t xml:space="preserve"> basis, they require the use of expert evidence in order for commonality to be established.  The expert methodology must be sufficiently credible or plausible to establish some basis in fact for the commonality requirement — it must offer a realistic prospect of establishing loss on a class</w:t>
      </w:r>
      <w:r w:rsidRPr="00BB1D30">
        <w:noBreakHyphen/>
      </w:r>
      <w:proofErr w:type="spellStart"/>
      <w:r w:rsidRPr="00BB1D30">
        <w:t>wide</w:t>
      </w:r>
      <w:proofErr w:type="spellEnd"/>
      <w:r w:rsidRPr="00BB1D30">
        <w:t xml:space="preserve"> basis so that, if the overcharge is eventually established at the trial of the common issues, there is a means by which to demonstrate that it is common to the class.  The methodology cannot be purely theoretical or hypothetical, but must be grounded in the facts of the particular case in question, and there must be some evidence of the availability of the data to which the methodology is to be applied.  Resolving conflicts between the experts is an issue for the trial judge and not one that should be engaged in at certification. </w:t>
      </w:r>
    </w:p>
    <w:p w:rsidR="006A370E" w:rsidRPr="00BB1D30" w:rsidRDefault="006A370E" w:rsidP="006A370E">
      <w:pPr>
        <w:pStyle w:val="SCCNormalDoubleSpacing"/>
        <w:spacing w:after="480"/>
      </w:pPr>
      <w:r w:rsidRPr="00BB1D30">
        <w:tab/>
        <w:t xml:space="preserve">The applications judge’s decision to certify as common issues whether damages can be determined on an aggregate basis and if so, in what amount, should </w:t>
      </w:r>
      <w:r w:rsidRPr="00BB1D30">
        <w:lastRenderedPageBreak/>
        <w:t xml:space="preserve">not be disturbed.  The question of whether damages assessed in the aggregate are an appropriate remedy can be certified as a common issue.  However, this common issue should only be determined at the common issues trial after a finding of liability has been made.  The ultimate decision as to whether the aggregate damages provisions of the </w:t>
      </w:r>
      <w:r w:rsidRPr="00BB1D30">
        <w:rPr>
          <w:i/>
        </w:rPr>
        <w:t>CPA</w:t>
      </w:r>
      <w:r w:rsidRPr="00BB1D30">
        <w:t xml:space="preserve"> should be available is one that should be left to the common issues trial judge.  </w:t>
      </w:r>
      <w:proofErr w:type="gramStart"/>
      <w:r w:rsidRPr="00BB1D30">
        <w:t>The failure to propose or certify aggregate damages, or another remedy, as a common issue does not preclude a trial judge from invoking the provisions if considered appropriate.</w:t>
      </w:r>
      <w:proofErr w:type="gramEnd"/>
    </w:p>
    <w:p w:rsidR="006A370E" w:rsidRPr="00BB1D30" w:rsidRDefault="006A370E" w:rsidP="006A370E">
      <w:pPr>
        <w:pStyle w:val="SCCNormalDoubleSpacing"/>
        <w:spacing w:after="480"/>
      </w:pPr>
      <w:r w:rsidRPr="00BB1D30">
        <w:tab/>
        <w:t>The applications judge’s finding that the class action is the preferable procedure should not be interfered with.  In the present case, there are common issues related to the existence of the causes of action and there are also common issues related to loss to the class members.  The loss</w:t>
      </w:r>
      <w:r w:rsidRPr="00BB1D30">
        <w:noBreakHyphen/>
      </w:r>
      <w:proofErr w:type="spellStart"/>
      <w:r w:rsidRPr="00BB1D30">
        <w:t>related</w:t>
      </w:r>
      <w:proofErr w:type="spellEnd"/>
      <w:r w:rsidRPr="00BB1D30">
        <w:t xml:space="preserve"> issues can be said to be common because there is an expert methodology that has been found to have a realistic prospect of establishing loss on a class</w:t>
      </w:r>
      <w:r w:rsidRPr="00BB1D30">
        <w:noBreakHyphen/>
      </w:r>
      <w:proofErr w:type="spellStart"/>
      <w:r w:rsidRPr="00BB1D30">
        <w:t>wide</w:t>
      </w:r>
      <w:proofErr w:type="spellEnd"/>
      <w:r w:rsidRPr="00BB1D30">
        <w:t xml:space="preserve"> basis.  If the common issues were to be resolved, they would be determinative of M’s liability and of whether passing on of the overcharge to the indirect purchasers has occurred.  Because such determinations will be essential in order for the class members to recover in this case, a resolution of the common issues would significantly advance the action.</w:t>
      </w:r>
    </w:p>
    <w:p w:rsidR="006A370E" w:rsidRPr="00BB1D30" w:rsidRDefault="006A370E" w:rsidP="006A370E">
      <w:pPr>
        <w:pStyle w:val="SCCNormalDoubleSpacing"/>
        <w:keepNext/>
        <w:spacing w:after="720" w:line="240" w:lineRule="auto"/>
        <w:rPr>
          <w:b/>
        </w:rPr>
      </w:pPr>
      <w:r w:rsidRPr="00BB1D30">
        <w:rPr>
          <w:b/>
        </w:rPr>
        <w:t>Cases Cited</w:t>
      </w:r>
    </w:p>
    <w:p w:rsidR="006A370E" w:rsidRPr="00BB1D30" w:rsidRDefault="006A370E" w:rsidP="006A370E">
      <w:pPr>
        <w:pStyle w:val="SCCNormalDoubleSpacing"/>
        <w:spacing w:after="480"/>
      </w:pPr>
      <w:r w:rsidRPr="00BB1D30">
        <w:tab/>
      </w:r>
      <w:r w:rsidRPr="00BB1D30">
        <w:rPr>
          <w:b/>
        </w:rPr>
        <w:t>Referred to:</w:t>
      </w:r>
      <w:r w:rsidRPr="00BB1D30">
        <w:t xml:space="preserve">  </w:t>
      </w:r>
      <w:r w:rsidRPr="00BB1D30">
        <w:rPr>
          <w:i/>
        </w:rPr>
        <w:t>Sun</w:t>
      </w:r>
      <w:r w:rsidRPr="00BB1D30">
        <w:rPr>
          <w:i/>
        </w:rPr>
        <w:noBreakHyphen/>
      </w:r>
      <w:proofErr w:type="spellStart"/>
      <w:r w:rsidRPr="00BB1D30">
        <w:rPr>
          <w:i/>
        </w:rPr>
        <w:t>Rype</w:t>
      </w:r>
      <w:proofErr w:type="spellEnd"/>
      <w:r w:rsidRPr="00BB1D30">
        <w:rPr>
          <w:i/>
        </w:rPr>
        <w:t xml:space="preserve"> Products Ltd. v. Archer Daniels Midland Co</w:t>
      </w:r>
      <w:r w:rsidR="00913A52">
        <w:rPr>
          <w:i/>
        </w:rPr>
        <w:t>.</w:t>
      </w:r>
      <w:r w:rsidRPr="00BB1D30">
        <w:t xml:space="preserve">, 2011 BCCA 187, 305 B.C.A.C. 55, </w:t>
      </w:r>
      <w:proofErr w:type="spellStart"/>
      <w:r w:rsidRPr="00BB1D30">
        <w:t>aff’d</w:t>
      </w:r>
      <w:proofErr w:type="spellEnd"/>
      <w:r w:rsidRPr="00BB1D30">
        <w:t xml:space="preserve"> 2013 SCC 58</w:t>
      </w:r>
      <w:r>
        <w:t xml:space="preserve">, [2013] 3 S.C.R. </w:t>
      </w:r>
      <w:r w:rsidR="00913A52">
        <w:t>545</w:t>
      </w:r>
      <w:r w:rsidRPr="00BB1D30">
        <w:t xml:space="preserve">; </w:t>
      </w:r>
      <w:r w:rsidRPr="00BB1D30">
        <w:rPr>
          <w:i/>
        </w:rPr>
        <w:t xml:space="preserve">Infineon </w:t>
      </w:r>
      <w:r w:rsidRPr="00BB1D30">
        <w:rPr>
          <w:i/>
        </w:rPr>
        <w:lastRenderedPageBreak/>
        <w:t xml:space="preserve">Technologies AG v. Option </w:t>
      </w:r>
      <w:proofErr w:type="spellStart"/>
      <w:r w:rsidRPr="00BB1D30">
        <w:rPr>
          <w:i/>
        </w:rPr>
        <w:t>consommateurs</w:t>
      </w:r>
      <w:proofErr w:type="spellEnd"/>
      <w:r w:rsidRPr="00BB1D30">
        <w:t>, 2013 SCC 59</w:t>
      </w:r>
      <w:r>
        <w:t xml:space="preserve">, [2013] 3 S.C.R. </w:t>
      </w:r>
      <w:r w:rsidR="00913A52">
        <w:t>600</w:t>
      </w:r>
      <w:r w:rsidRPr="00BB1D30">
        <w:t xml:space="preserve">; </w:t>
      </w:r>
      <w:r w:rsidRPr="00BB1D30">
        <w:rPr>
          <w:i/>
        </w:rPr>
        <w:t>Hanover Shoe, Inc. v. United Shoe Machinery Corp.</w:t>
      </w:r>
      <w:r w:rsidRPr="00BB1D30">
        <w:t xml:space="preserve">, 392 U.S. 481 (1968); </w:t>
      </w:r>
      <w:proofErr w:type="spellStart"/>
      <w:r w:rsidRPr="00BB1D30">
        <w:rPr>
          <w:i/>
        </w:rPr>
        <w:t>Kingstreet</w:t>
      </w:r>
      <w:proofErr w:type="spellEnd"/>
      <w:r w:rsidRPr="00BB1D30">
        <w:rPr>
          <w:i/>
        </w:rPr>
        <w:t xml:space="preserve"> Investments Ltd. v. New Brunswick (Finance)</w:t>
      </w:r>
      <w:r w:rsidRPr="00BB1D30">
        <w:t xml:space="preserve">, 2007 SCC 1, [2007] 1 S.C.R. 3; </w:t>
      </w:r>
      <w:r w:rsidRPr="00BB1D30">
        <w:rPr>
          <w:i/>
        </w:rPr>
        <w:t>Commissioner of State Revenue (Victoria) v. Royal Insurance Australia Ltd.</w:t>
      </w:r>
      <w:r w:rsidRPr="00BB1D30">
        <w:t xml:space="preserve"> (1994), 182 C.L.R. 51; </w:t>
      </w:r>
      <w:r w:rsidRPr="00BB1D30">
        <w:rPr>
          <w:i/>
        </w:rPr>
        <w:t>British Columbia v. Canadian Forest Products Ltd.</w:t>
      </w:r>
      <w:r w:rsidRPr="00BB1D30">
        <w:t xml:space="preserve">, 2004 SCC 38, [2004] 2 S.C.R. 74; </w:t>
      </w:r>
      <w:r w:rsidRPr="00BB1D30">
        <w:rPr>
          <w:i/>
        </w:rPr>
        <w:t>Southern Pacific Co. v. Darnell</w:t>
      </w:r>
      <w:r w:rsidRPr="00BB1D30">
        <w:rPr>
          <w:i/>
        </w:rPr>
        <w:noBreakHyphen/>
      </w:r>
      <w:proofErr w:type="spellStart"/>
      <w:r w:rsidRPr="00BB1D30">
        <w:rPr>
          <w:i/>
        </w:rPr>
        <w:t>Taenzer</w:t>
      </w:r>
      <w:proofErr w:type="spellEnd"/>
      <w:r w:rsidRPr="00BB1D30">
        <w:rPr>
          <w:i/>
        </w:rPr>
        <w:t xml:space="preserve"> Lumber Co.</w:t>
      </w:r>
      <w:r w:rsidRPr="00BB1D30">
        <w:t xml:space="preserve">, 245 U.S. 531 (1918); </w:t>
      </w:r>
      <w:r w:rsidRPr="00BB1D30">
        <w:rPr>
          <w:i/>
        </w:rPr>
        <w:t>Illinois Brick Co. v. Illinois</w:t>
      </w:r>
      <w:r w:rsidRPr="00BB1D30">
        <w:t xml:space="preserve">, 431 U.S. 720 (1977); </w:t>
      </w:r>
      <w:r w:rsidRPr="00BB1D30">
        <w:rPr>
          <w:i/>
        </w:rPr>
        <w:t>Multiple Access Ltd. v. McCutcheon</w:t>
      </w:r>
      <w:r w:rsidRPr="00BB1D30">
        <w:t xml:space="preserve">, [1982] 2 S.C.R. 161; </w:t>
      </w:r>
      <w:proofErr w:type="spellStart"/>
      <w:r w:rsidRPr="00BB1D30">
        <w:rPr>
          <w:i/>
        </w:rPr>
        <w:t>Chadha</w:t>
      </w:r>
      <w:proofErr w:type="spellEnd"/>
      <w:r w:rsidRPr="00BB1D30">
        <w:rPr>
          <w:i/>
        </w:rPr>
        <w:t xml:space="preserve"> v. Bayer Inc.</w:t>
      </w:r>
      <w:r w:rsidRPr="00BB1D30">
        <w:t xml:space="preserve"> (2003), 63 O.R. (3d) 22; </w:t>
      </w:r>
      <w:r w:rsidRPr="00BB1D30">
        <w:rPr>
          <w:i/>
        </w:rPr>
        <w:t>California v. ARC America Corp.</w:t>
      </w:r>
      <w:r w:rsidRPr="00BB1D30">
        <w:t xml:space="preserve">, 490 U.S. 93 (1989); </w:t>
      </w:r>
      <w:r w:rsidRPr="00BB1D30">
        <w:rPr>
          <w:i/>
        </w:rPr>
        <w:t>Alberta v. Elder Advocates of Alberta Society</w:t>
      </w:r>
      <w:r w:rsidRPr="00BB1D30">
        <w:t xml:space="preserve">, 2011 SCC 24, [2011] 2 S.C.R. 261; </w:t>
      </w:r>
      <w:r w:rsidRPr="00BB1D30">
        <w:rPr>
          <w:i/>
        </w:rPr>
        <w:t>Hunt v. Carey Canada Inc.</w:t>
      </w:r>
      <w:r w:rsidRPr="00BB1D30">
        <w:t xml:space="preserve">, [1990] 2 S.C.R. 959; </w:t>
      </w:r>
      <w:proofErr w:type="spellStart"/>
      <w:r w:rsidRPr="00BB1D30">
        <w:rPr>
          <w:i/>
        </w:rPr>
        <w:t>Hollick</w:t>
      </w:r>
      <w:proofErr w:type="spellEnd"/>
      <w:r w:rsidRPr="00BB1D30">
        <w:rPr>
          <w:i/>
        </w:rPr>
        <w:t xml:space="preserve"> v. Toronto (City)</w:t>
      </w:r>
      <w:r w:rsidRPr="00BB1D30">
        <w:t xml:space="preserve">, 2001 SCC 68, [2001] 3 S.C.R. 158; </w:t>
      </w:r>
      <w:proofErr w:type="spellStart"/>
      <w:r w:rsidRPr="00BB1D30">
        <w:rPr>
          <w:i/>
        </w:rPr>
        <w:t>Mulcahy</w:t>
      </w:r>
      <w:proofErr w:type="spellEnd"/>
      <w:r w:rsidRPr="00BB1D30">
        <w:rPr>
          <w:i/>
        </w:rPr>
        <w:t xml:space="preserve"> v. The Queen</w:t>
      </w:r>
      <w:r w:rsidRPr="00BB1D30">
        <w:t xml:space="preserve"> (1868), L.R. 3 H.L. 306; </w:t>
      </w:r>
      <w:r w:rsidRPr="00BB1D30">
        <w:rPr>
          <w:i/>
        </w:rPr>
        <w:t>Golden Capital Securities Ltd. v. Holmes</w:t>
      </w:r>
      <w:r w:rsidRPr="00BB1D30">
        <w:t xml:space="preserve">, 2004 BCCA 565, 205 B.C.A.C. 54; </w:t>
      </w:r>
      <w:r w:rsidRPr="00BB1D30">
        <w:rPr>
          <w:i/>
        </w:rPr>
        <w:t xml:space="preserve">Canada Cement </w:t>
      </w:r>
      <w:proofErr w:type="spellStart"/>
      <w:r w:rsidRPr="00BB1D30">
        <w:rPr>
          <w:i/>
        </w:rPr>
        <w:t>LaFarge</w:t>
      </w:r>
      <w:proofErr w:type="spellEnd"/>
      <w:r w:rsidRPr="00BB1D30">
        <w:rPr>
          <w:i/>
        </w:rPr>
        <w:t xml:space="preserve"> Ltd. v. British Columbia Lightweight Aggregate Ltd.</w:t>
      </w:r>
      <w:r w:rsidRPr="00BB1D30">
        <w:t xml:space="preserve">, [1983] 1 S.C.R. 452; </w:t>
      </w:r>
      <w:r w:rsidRPr="00BB1D30">
        <w:rPr>
          <w:i/>
        </w:rPr>
        <w:t>Smith v. National Money Mart Co.</w:t>
      </w:r>
      <w:r w:rsidRPr="00BB1D30">
        <w:t xml:space="preserve"> (2006), 80 O.R. (3d) 81, leave to appeal refused, [2006] 1 S.C.R. xii; </w:t>
      </w:r>
      <w:proofErr w:type="spellStart"/>
      <w:r w:rsidRPr="00BB1D30">
        <w:rPr>
          <w:i/>
        </w:rPr>
        <w:t>Correia</w:t>
      </w:r>
      <w:proofErr w:type="spellEnd"/>
      <w:r w:rsidRPr="00BB1D30">
        <w:rPr>
          <w:i/>
        </w:rPr>
        <w:t xml:space="preserve"> v. </w:t>
      </w:r>
      <w:proofErr w:type="spellStart"/>
      <w:r w:rsidRPr="00BB1D30">
        <w:rPr>
          <w:i/>
        </w:rPr>
        <w:t>Canac</w:t>
      </w:r>
      <w:proofErr w:type="spellEnd"/>
      <w:r w:rsidRPr="00BB1D30">
        <w:rPr>
          <w:i/>
        </w:rPr>
        <w:t xml:space="preserve"> Kitchens</w:t>
      </w:r>
      <w:r w:rsidRPr="00BB1D30">
        <w:t xml:space="preserve">, 2008 ONCA 506, 91 O.R. (3d) 353; </w:t>
      </w:r>
      <w:r w:rsidRPr="00BB1D30">
        <w:rPr>
          <w:i/>
        </w:rPr>
        <w:t>OBG Ltd. v. Allan</w:t>
      </w:r>
      <w:r w:rsidRPr="00BB1D30">
        <w:t xml:space="preserve">, [2007] UKHL 21, [2008] 1 A.C. 1; </w:t>
      </w:r>
      <w:r w:rsidRPr="00BB1D30">
        <w:rPr>
          <w:i/>
        </w:rPr>
        <w:t>Bram Enterprises Ltd. v. A.I. Enterprises Ltd.</w:t>
      </w:r>
      <w:r w:rsidRPr="00BB1D30">
        <w:t xml:space="preserve">, 2012 NBCA 33, 387 N.B.R. (2d) 215, leave to appeal granted, [2012] 3 S.C.R. v; </w:t>
      </w:r>
      <w:r w:rsidRPr="00BB1D30">
        <w:rPr>
          <w:i/>
        </w:rPr>
        <w:t>Garland v. Consumers’ Gas Co.</w:t>
      </w:r>
      <w:r w:rsidRPr="00BB1D30">
        <w:t xml:space="preserve">, 2004 SCC 25, [2004] 1 S.C.R. 629; </w:t>
      </w:r>
      <w:proofErr w:type="spellStart"/>
      <w:r w:rsidRPr="00BB1D30">
        <w:rPr>
          <w:i/>
        </w:rPr>
        <w:t>Rathwell</w:t>
      </w:r>
      <w:proofErr w:type="spellEnd"/>
      <w:r w:rsidRPr="00BB1D30">
        <w:rPr>
          <w:i/>
        </w:rPr>
        <w:t xml:space="preserve"> v. </w:t>
      </w:r>
      <w:proofErr w:type="spellStart"/>
      <w:r w:rsidRPr="00BB1D30">
        <w:rPr>
          <w:i/>
        </w:rPr>
        <w:t>Rathwell</w:t>
      </w:r>
      <w:proofErr w:type="spellEnd"/>
      <w:r w:rsidRPr="00BB1D30">
        <w:t xml:space="preserve">, [1978] 2 S.C.R. 436; </w:t>
      </w:r>
      <w:proofErr w:type="spellStart"/>
      <w:r w:rsidRPr="00BB1D30">
        <w:rPr>
          <w:i/>
        </w:rPr>
        <w:t>Pettkus</w:t>
      </w:r>
      <w:proofErr w:type="spellEnd"/>
      <w:r w:rsidRPr="00BB1D30">
        <w:rPr>
          <w:i/>
        </w:rPr>
        <w:t xml:space="preserve"> v. Becker</w:t>
      </w:r>
      <w:r w:rsidRPr="00BB1D30">
        <w:t xml:space="preserve">, [1980] 2 S.C.R. 834; </w:t>
      </w:r>
      <w:r w:rsidRPr="00BB1D30">
        <w:rPr>
          <w:i/>
        </w:rPr>
        <w:t>Peel (Regional Municipality) v. Canada</w:t>
      </w:r>
      <w:r w:rsidRPr="00BB1D30">
        <w:t xml:space="preserve">, [1992] 3 S.C.R. 762; </w:t>
      </w:r>
      <w:r w:rsidRPr="00BB1D30">
        <w:rPr>
          <w:i/>
        </w:rPr>
        <w:t xml:space="preserve">Kerr v. </w:t>
      </w:r>
      <w:proofErr w:type="spellStart"/>
      <w:r w:rsidRPr="00BB1D30">
        <w:rPr>
          <w:i/>
        </w:rPr>
        <w:t>Baranow</w:t>
      </w:r>
      <w:proofErr w:type="spellEnd"/>
      <w:r w:rsidRPr="00BB1D30">
        <w:t xml:space="preserve">, 2011 SCC 10, [2011] 1 S.C.R. 269; </w:t>
      </w:r>
      <w:r w:rsidRPr="00BB1D30">
        <w:rPr>
          <w:i/>
        </w:rPr>
        <w:t>United Australia, Ltd. v. Barclays Bank, Ltd.</w:t>
      </w:r>
      <w:r w:rsidRPr="00BB1D30">
        <w:t xml:space="preserve">, [1941] A.C. 1; </w:t>
      </w:r>
      <w:proofErr w:type="spellStart"/>
      <w:r w:rsidRPr="00BB1D30">
        <w:rPr>
          <w:i/>
        </w:rPr>
        <w:t>Serhan</w:t>
      </w:r>
      <w:proofErr w:type="spellEnd"/>
      <w:r w:rsidRPr="00BB1D30">
        <w:rPr>
          <w:i/>
        </w:rPr>
        <w:t xml:space="preserve"> (Trustee of) v. Johnson &amp; Johnson</w:t>
      </w:r>
      <w:r w:rsidRPr="00BB1D30">
        <w:t xml:space="preserve"> (2006), 85 O.R. (3d) 665; </w:t>
      </w:r>
      <w:r w:rsidRPr="00BB1D30">
        <w:rPr>
          <w:i/>
        </w:rPr>
        <w:t xml:space="preserve">National Trust </w:t>
      </w:r>
      <w:r w:rsidRPr="00BB1D30">
        <w:rPr>
          <w:i/>
        </w:rPr>
        <w:lastRenderedPageBreak/>
        <w:t>Co. v. Gleason</w:t>
      </w:r>
      <w:r w:rsidRPr="00BB1D30">
        <w:t xml:space="preserve">, 77 N.Y. 400 (1879); </w:t>
      </w:r>
      <w:r w:rsidRPr="00BB1D30">
        <w:rPr>
          <w:i/>
        </w:rPr>
        <w:t>Federal Sugar Refining Co. v. United States Sugar Equalization Board, Inc.</w:t>
      </w:r>
      <w:r w:rsidRPr="00BB1D30">
        <w:t xml:space="preserve">, 268 F. 575 (1920); </w:t>
      </w:r>
      <w:proofErr w:type="spellStart"/>
      <w:r w:rsidRPr="00BB1D30">
        <w:rPr>
          <w:i/>
        </w:rPr>
        <w:t>Mahesan</w:t>
      </w:r>
      <w:proofErr w:type="spellEnd"/>
      <w:r w:rsidRPr="00BB1D30">
        <w:rPr>
          <w:i/>
        </w:rPr>
        <w:t xml:space="preserve"> v. Malaysia Government Officers’ Co</w:t>
      </w:r>
      <w:r w:rsidRPr="00BB1D30">
        <w:rPr>
          <w:i/>
        </w:rPr>
        <w:noBreakHyphen/>
        <w:t>operative Housing Society Ltd.</w:t>
      </w:r>
      <w:r w:rsidRPr="00BB1D30">
        <w:t xml:space="preserve">, [1979] A.C. 374; </w:t>
      </w:r>
      <w:r w:rsidRPr="00BB1D30">
        <w:rPr>
          <w:i/>
        </w:rPr>
        <w:t xml:space="preserve">Universe </w:t>
      </w:r>
      <w:proofErr w:type="spellStart"/>
      <w:r w:rsidRPr="00BB1D30">
        <w:rPr>
          <w:i/>
        </w:rPr>
        <w:t>Tankships</w:t>
      </w:r>
      <w:proofErr w:type="spellEnd"/>
      <w:r w:rsidRPr="00BB1D30">
        <w:rPr>
          <w:i/>
        </w:rPr>
        <w:t xml:space="preserve"> Inc. of Monrovia v. International Transport Workers Federation</w:t>
      </w:r>
      <w:r w:rsidRPr="00BB1D30">
        <w:t xml:space="preserve">, [1983] A.C. 366; </w:t>
      </w:r>
      <w:proofErr w:type="spellStart"/>
      <w:r w:rsidRPr="00BB1D30">
        <w:rPr>
          <w:i/>
        </w:rPr>
        <w:t>Zidaric</w:t>
      </w:r>
      <w:proofErr w:type="spellEnd"/>
      <w:r w:rsidRPr="00BB1D30">
        <w:rPr>
          <w:i/>
        </w:rPr>
        <w:t xml:space="preserve"> v. Toshiba of Canada Ltd.</w:t>
      </w:r>
      <w:r w:rsidRPr="00BB1D30">
        <w:t xml:space="preserve"> (2000), 5 C.C.L.T. (3d) 61; </w:t>
      </w:r>
      <w:r w:rsidRPr="00BB1D30">
        <w:rPr>
          <w:i/>
        </w:rPr>
        <w:t>Reid v. Ford Motor Co.</w:t>
      </w:r>
      <w:r w:rsidRPr="00BB1D30">
        <w:t>, 2006 BCSC 712 (</w:t>
      </w:r>
      <w:proofErr w:type="spellStart"/>
      <w:r w:rsidRPr="00BB1D30">
        <w:t>CanLII</w:t>
      </w:r>
      <w:proofErr w:type="spellEnd"/>
      <w:r w:rsidRPr="00BB1D30">
        <w:t xml:space="preserve">); </w:t>
      </w:r>
      <w:r w:rsidRPr="00BB1D30">
        <w:rPr>
          <w:i/>
        </w:rPr>
        <w:t>Pro</w:t>
      </w:r>
      <w:r w:rsidRPr="00BB1D30">
        <w:rPr>
          <w:i/>
        </w:rPr>
        <w:noBreakHyphen/>
      </w:r>
      <w:proofErr w:type="spellStart"/>
      <w:r w:rsidRPr="00BB1D30">
        <w:rPr>
          <w:i/>
        </w:rPr>
        <w:t>Sys</w:t>
      </w:r>
      <w:proofErr w:type="spellEnd"/>
      <w:r w:rsidRPr="00BB1D30">
        <w:rPr>
          <w:i/>
        </w:rPr>
        <w:t xml:space="preserve"> Consultants Ltd. v. Infineon Technologies AG</w:t>
      </w:r>
      <w:r w:rsidRPr="00BB1D30">
        <w:t xml:space="preserve">, 2009 BCCA 503, 98 B.C.L.R. (4th) 272, </w:t>
      </w:r>
      <w:proofErr w:type="spellStart"/>
      <w:r w:rsidRPr="00BB1D30">
        <w:t>rev’g</w:t>
      </w:r>
      <w:proofErr w:type="spellEnd"/>
      <w:r w:rsidRPr="00BB1D30">
        <w:t xml:space="preserve"> 2008 BCSC 575 (</w:t>
      </w:r>
      <w:proofErr w:type="spellStart"/>
      <w:r w:rsidRPr="00BB1D30">
        <w:t>CanLII</w:t>
      </w:r>
      <w:proofErr w:type="spellEnd"/>
      <w:r w:rsidRPr="00BB1D30">
        <w:t xml:space="preserve">); </w:t>
      </w:r>
      <w:r w:rsidRPr="00BB1D30">
        <w:rPr>
          <w:i/>
        </w:rPr>
        <w:t>Cloud v. Canada (Attorney General)</w:t>
      </w:r>
      <w:r w:rsidRPr="00BB1D30">
        <w:t xml:space="preserve"> (2004), 73 O.R. (3d) 401; </w:t>
      </w:r>
      <w:r w:rsidRPr="00BB1D30">
        <w:rPr>
          <w:i/>
        </w:rPr>
        <w:t>In re: Hydrogen Peroxide Antitrust Litigation</w:t>
      </w:r>
      <w:r w:rsidRPr="00BB1D30">
        <w:t xml:space="preserve">, 552 F.3d 305 (2008); </w:t>
      </w:r>
      <w:r w:rsidRPr="00BB1D30">
        <w:rPr>
          <w:i/>
        </w:rPr>
        <w:t xml:space="preserve">Irving Paper Ltd. v. </w:t>
      </w:r>
      <w:proofErr w:type="spellStart"/>
      <w:r w:rsidRPr="00BB1D30">
        <w:rPr>
          <w:i/>
        </w:rPr>
        <w:t>Atofina</w:t>
      </w:r>
      <w:proofErr w:type="spellEnd"/>
      <w:r w:rsidRPr="00BB1D30">
        <w:rPr>
          <w:i/>
        </w:rPr>
        <w:t xml:space="preserve"> Chemicals Inc.</w:t>
      </w:r>
      <w:r w:rsidRPr="00BB1D30">
        <w:t xml:space="preserve"> (2009), 99 O.R. (3d) 358; </w:t>
      </w:r>
      <w:r w:rsidRPr="00BB1D30">
        <w:rPr>
          <w:i/>
        </w:rPr>
        <w:t>Hague v. Liberty Mutual Insurance Co.</w:t>
      </w:r>
      <w:r w:rsidRPr="00BB1D30">
        <w:t xml:space="preserve"> (2004), 13 C.P.C. (6th) 1; </w:t>
      </w:r>
      <w:r w:rsidRPr="00BB1D30">
        <w:rPr>
          <w:i/>
        </w:rPr>
        <w:t>Western Canadian Shopping Centres Inc. v. Dutton</w:t>
      </w:r>
      <w:r w:rsidRPr="00BB1D30">
        <w:t xml:space="preserve">, 2001 SCC 46, [2001] 2 S.C.R. 534; </w:t>
      </w:r>
      <w:r w:rsidRPr="00BB1D30">
        <w:rPr>
          <w:i/>
        </w:rPr>
        <w:t>In Re: Linerboard Antitrust Litigation</w:t>
      </w:r>
      <w:r w:rsidRPr="00BB1D30">
        <w:t xml:space="preserve">, 305 F.3d 145 (2002); </w:t>
      </w:r>
      <w:r w:rsidRPr="00BB1D30">
        <w:rPr>
          <w:i/>
        </w:rPr>
        <w:t>Wal</w:t>
      </w:r>
      <w:r w:rsidRPr="00BB1D30">
        <w:rPr>
          <w:i/>
        </w:rPr>
        <w:noBreakHyphen/>
        <w:t>Mart Stores, Inc. v. Dukes</w:t>
      </w:r>
      <w:r w:rsidRPr="00BB1D30">
        <w:t xml:space="preserve">, 131 </w:t>
      </w:r>
      <w:proofErr w:type="spellStart"/>
      <w:r w:rsidRPr="00BB1D30">
        <w:t>S.Ct</w:t>
      </w:r>
      <w:proofErr w:type="spellEnd"/>
      <w:r w:rsidRPr="00BB1D30">
        <w:t xml:space="preserve">. 2541 (2011); </w:t>
      </w:r>
      <w:r w:rsidRPr="00BB1D30">
        <w:rPr>
          <w:i/>
        </w:rPr>
        <w:t>Steele v. Toyota Canada Inc.</w:t>
      </w:r>
      <w:r w:rsidRPr="00BB1D30">
        <w:t xml:space="preserve">, 2011 BCCA 98, 329 D.L.R. (4th) 389; </w:t>
      </w:r>
      <w:r w:rsidRPr="00BB1D30">
        <w:rPr>
          <w:i/>
        </w:rPr>
        <w:t xml:space="preserve">2038724 Ontario Ltd. v. </w:t>
      </w:r>
      <w:proofErr w:type="spellStart"/>
      <w:r w:rsidRPr="00BB1D30">
        <w:rPr>
          <w:i/>
        </w:rPr>
        <w:t>Quizno’s</w:t>
      </w:r>
      <w:proofErr w:type="spellEnd"/>
      <w:r w:rsidR="00A04C95">
        <w:rPr>
          <w:i/>
        </w:rPr>
        <w:t xml:space="preserve"> </w:t>
      </w:r>
      <w:r w:rsidRPr="00BB1D30">
        <w:rPr>
          <w:i/>
        </w:rPr>
        <w:t>Canada Restaurant Corp.</w:t>
      </w:r>
      <w:r w:rsidRPr="00BB1D30">
        <w:t>, 2010 ONCA 466, 100 O.R. (3d) 721.</w:t>
      </w:r>
    </w:p>
    <w:p w:rsidR="006A370E" w:rsidRPr="00BB1D30" w:rsidRDefault="006A370E" w:rsidP="006A370E">
      <w:pPr>
        <w:pStyle w:val="SCCNormalDoubleSpacing"/>
        <w:keepNext/>
        <w:spacing w:after="720" w:line="240" w:lineRule="auto"/>
      </w:pPr>
      <w:r w:rsidRPr="00BB1D30">
        <w:rPr>
          <w:b/>
        </w:rPr>
        <w:t>Statutes and Regulations Cited</w:t>
      </w:r>
    </w:p>
    <w:p w:rsidR="006A370E" w:rsidRPr="00BB1D30" w:rsidRDefault="006A370E" w:rsidP="006A370E">
      <w:pPr>
        <w:pStyle w:val="SCCNormalDoubleSpacing"/>
        <w:spacing w:after="240" w:line="240" w:lineRule="auto"/>
        <w:ind w:left="547" w:hanging="547"/>
      </w:pPr>
      <w:r w:rsidRPr="00BB1D30">
        <w:rPr>
          <w:i/>
        </w:rPr>
        <w:t>Class Proceedings Act</w:t>
      </w:r>
      <w:r w:rsidRPr="00BB1D30">
        <w:t>, R.S.B.C. 1996, c. 50, ss. 1 “common issues”, 4(1), (2), 5(4), (7), 10(1), 29(1), (2).</w:t>
      </w:r>
    </w:p>
    <w:p w:rsidR="006A370E" w:rsidRPr="00BB1D30" w:rsidRDefault="006A370E" w:rsidP="006A370E">
      <w:pPr>
        <w:pStyle w:val="SCCNormalDoubleSpacing"/>
        <w:spacing w:after="720" w:line="240" w:lineRule="auto"/>
        <w:ind w:left="547" w:hanging="547"/>
      </w:pPr>
      <w:proofErr w:type="gramStart"/>
      <w:r w:rsidRPr="00BB1D30">
        <w:rPr>
          <w:i/>
        </w:rPr>
        <w:t>Competition Act</w:t>
      </w:r>
      <w:r w:rsidRPr="00BB1D30">
        <w:t>, R.S.C. 1985, c. C</w:t>
      </w:r>
      <w:r w:rsidRPr="00BB1D30">
        <w:noBreakHyphen/>
        <w:t>34, ss. 36, Part VI, 45(1), 52(1).</w:t>
      </w:r>
      <w:proofErr w:type="gramEnd"/>
    </w:p>
    <w:p w:rsidR="006A370E" w:rsidRPr="00BB1D30" w:rsidRDefault="006A370E" w:rsidP="006A370E">
      <w:pPr>
        <w:pStyle w:val="SCCNormalDoubleSpacing"/>
        <w:keepNext/>
        <w:spacing w:after="720" w:line="240" w:lineRule="auto"/>
        <w:rPr>
          <w:b/>
        </w:rPr>
      </w:pPr>
      <w:r w:rsidRPr="00BB1D30">
        <w:rPr>
          <w:b/>
        </w:rPr>
        <w:lastRenderedPageBreak/>
        <w:t>Authors Cited</w:t>
      </w:r>
    </w:p>
    <w:p w:rsidR="006A370E" w:rsidRPr="00BB1D30" w:rsidRDefault="006A370E" w:rsidP="006A370E">
      <w:pPr>
        <w:pStyle w:val="SCCNormalDoubleSpacing"/>
        <w:spacing w:after="240" w:line="240" w:lineRule="auto"/>
        <w:ind w:left="547" w:hanging="547"/>
      </w:pPr>
      <w:proofErr w:type="gramStart"/>
      <w:r w:rsidRPr="00BB1D30">
        <w:t>Antitrust Modernization Commission.</w:t>
      </w:r>
      <w:proofErr w:type="gramEnd"/>
      <w:r w:rsidRPr="00BB1D30">
        <w:t xml:space="preserve">  </w:t>
      </w:r>
      <w:r w:rsidRPr="00BB1D30">
        <w:rPr>
          <w:i/>
        </w:rPr>
        <w:t>Antitrust Modernization Commission:</w:t>
      </w:r>
      <w:r w:rsidRPr="00BB1D30">
        <w:t xml:space="preserve"> </w:t>
      </w:r>
      <w:r w:rsidRPr="00BB1D30">
        <w:rPr>
          <w:i/>
        </w:rPr>
        <w:t xml:space="preserve"> Report and Recommendations</w:t>
      </w:r>
      <w:r w:rsidRPr="00BB1D30">
        <w:t>.  Washington, D.C.:  The Commission, 2007 (online:  http://govinfo.library.unt.edu/amc/report_recommendation/toc.htm).</w:t>
      </w:r>
    </w:p>
    <w:p w:rsidR="006A370E" w:rsidRPr="00BB1D30" w:rsidRDefault="006A370E" w:rsidP="006A370E">
      <w:pPr>
        <w:pStyle w:val="SCCNormalDoubleSpacing"/>
        <w:spacing w:after="240" w:line="240" w:lineRule="auto"/>
        <w:ind w:left="547" w:hanging="547"/>
      </w:pPr>
      <w:proofErr w:type="spellStart"/>
      <w:r w:rsidRPr="00BB1D30">
        <w:t>Beatson</w:t>
      </w:r>
      <w:proofErr w:type="spellEnd"/>
      <w:r w:rsidRPr="00BB1D30">
        <w:t xml:space="preserve">, J.  </w:t>
      </w:r>
      <w:r w:rsidRPr="00BB1D30">
        <w:rPr>
          <w:i/>
        </w:rPr>
        <w:t>The Use and Abuse of Unjust Enrichment:  Essays on the Law of Restitution</w:t>
      </w:r>
      <w:r w:rsidRPr="00BB1D30">
        <w:t>.  Oxford:  Clarendon Press, 1991.</w:t>
      </w:r>
    </w:p>
    <w:p w:rsidR="006A370E" w:rsidRPr="00BB1D30" w:rsidRDefault="006A370E" w:rsidP="006A370E">
      <w:pPr>
        <w:pStyle w:val="SCCNormalDoubleSpacing"/>
        <w:spacing w:after="240" w:line="240" w:lineRule="auto"/>
        <w:ind w:left="547" w:hanging="547"/>
      </w:pPr>
      <w:r w:rsidRPr="00BB1D30">
        <w:t xml:space="preserve">British Columbia.  </w:t>
      </w:r>
      <w:r w:rsidRPr="00BB1D30">
        <w:rPr>
          <w:i/>
        </w:rPr>
        <w:t>Official Report of Debates of the Legislative Assembly (</w:t>
      </w:r>
      <w:proofErr w:type="spellStart"/>
      <w:r w:rsidRPr="00BB1D30">
        <w:rPr>
          <w:i/>
        </w:rPr>
        <w:t>Hansard</w:t>
      </w:r>
      <w:proofErr w:type="spellEnd"/>
      <w:r w:rsidRPr="00BB1D30">
        <w:rPr>
          <w:i/>
        </w:rPr>
        <w:t>)</w:t>
      </w:r>
      <w:r w:rsidRPr="00BB1D30">
        <w:t>, vol. 20, No. 20, 4th Sess., 35th Parl., June 6, 1995, p. 15078.</w:t>
      </w:r>
    </w:p>
    <w:p w:rsidR="006A370E" w:rsidRPr="00BB1D30" w:rsidRDefault="006A370E" w:rsidP="006A370E">
      <w:pPr>
        <w:pStyle w:val="SCCNormalDoubleSpacing"/>
        <w:spacing w:after="240" w:line="240" w:lineRule="auto"/>
        <w:ind w:left="547" w:hanging="547"/>
      </w:pPr>
      <w:proofErr w:type="spellStart"/>
      <w:r w:rsidRPr="00BB1D30">
        <w:t>Cullity</w:t>
      </w:r>
      <w:proofErr w:type="spellEnd"/>
      <w:r w:rsidRPr="00BB1D30">
        <w:t xml:space="preserve">, Maurice.  “Certification in Class Proceedings — </w:t>
      </w:r>
      <w:proofErr w:type="gramStart"/>
      <w:r w:rsidRPr="00BB1D30">
        <w:t>The</w:t>
      </w:r>
      <w:proofErr w:type="gramEnd"/>
      <w:r w:rsidRPr="00BB1D30">
        <w:t xml:space="preserve"> Curious Requirement of ‘Some Basis in Fact’” (2011), 51 </w:t>
      </w:r>
      <w:r w:rsidRPr="00BB1D30">
        <w:rPr>
          <w:i/>
        </w:rPr>
        <w:t xml:space="preserve">Can. Bus. </w:t>
      </w:r>
      <w:proofErr w:type="gramStart"/>
      <w:r w:rsidRPr="00BB1D30">
        <w:rPr>
          <w:i/>
        </w:rPr>
        <w:t>L.J.</w:t>
      </w:r>
      <w:r w:rsidRPr="00BB1D30">
        <w:t xml:space="preserve"> 407.</w:t>
      </w:r>
      <w:proofErr w:type="gramEnd"/>
    </w:p>
    <w:p w:rsidR="006A370E" w:rsidRPr="00BB1D30" w:rsidRDefault="006A370E" w:rsidP="006A370E">
      <w:pPr>
        <w:pStyle w:val="SCCNormalDoubleSpacing"/>
        <w:spacing w:after="240" w:line="240" w:lineRule="auto"/>
        <w:ind w:left="547" w:hanging="547"/>
      </w:pPr>
      <w:proofErr w:type="spellStart"/>
      <w:r w:rsidRPr="00BB1D30">
        <w:rPr>
          <w:lang w:val="fr-CA"/>
        </w:rPr>
        <w:t>Eizenga</w:t>
      </w:r>
      <w:proofErr w:type="spellEnd"/>
      <w:r w:rsidRPr="00BB1D30">
        <w:rPr>
          <w:lang w:val="fr-CA"/>
        </w:rPr>
        <w:t xml:space="preserve">, Michael A., et al.  </w:t>
      </w:r>
      <w:r w:rsidRPr="00BB1D30">
        <w:rPr>
          <w:i/>
        </w:rPr>
        <w:t>Class Actions Law and Practice</w:t>
      </w:r>
      <w:r w:rsidRPr="00BB1D30">
        <w:t xml:space="preserve">, 2nd </w:t>
      </w:r>
      <w:proofErr w:type="gramStart"/>
      <w:r w:rsidRPr="00BB1D30">
        <w:t>ed</w:t>
      </w:r>
      <w:proofErr w:type="gramEnd"/>
      <w:r w:rsidRPr="00BB1D30">
        <w:t>.  Markham, Ont.:  LexisNexis, 2009 (loose</w:t>
      </w:r>
      <w:r w:rsidRPr="00BB1D30">
        <w:noBreakHyphen/>
        <w:t>leaf updated March 2013, release 21).</w:t>
      </w:r>
    </w:p>
    <w:p w:rsidR="006A370E" w:rsidRPr="00BB1D30" w:rsidRDefault="006A370E" w:rsidP="006A370E">
      <w:pPr>
        <w:pStyle w:val="SCCNormalDoubleSpacing"/>
        <w:spacing w:after="240" w:line="240" w:lineRule="auto"/>
        <w:ind w:left="547" w:hanging="547"/>
      </w:pPr>
      <w:proofErr w:type="spellStart"/>
      <w:r w:rsidRPr="00BB1D30">
        <w:t>Friedmann</w:t>
      </w:r>
      <w:proofErr w:type="spellEnd"/>
      <w:r w:rsidRPr="00BB1D30">
        <w:t xml:space="preserve">, Daniel.  “Restitution for Wrongs:  The Basis of Liability”, in W. R. Cornish, et al., eds., </w:t>
      </w:r>
      <w:r w:rsidRPr="00BB1D30">
        <w:rPr>
          <w:i/>
        </w:rPr>
        <w:t>Restitution:  Past, Present and Future:  Essays in Honour of Gareth Jones</w:t>
      </w:r>
      <w:r w:rsidRPr="00BB1D30">
        <w:t>.  Oxford:  Hart Publishing, 1998, 133.</w:t>
      </w:r>
    </w:p>
    <w:p w:rsidR="006A370E" w:rsidRPr="00BB1D30" w:rsidRDefault="006A370E" w:rsidP="006A370E">
      <w:pPr>
        <w:pStyle w:val="SCCNormalDoubleSpacing"/>
        <w:spacing w:after="240" w:line="240" w:lineRule="auto"/>
        <w:ind w:left="547" w:hanging="547"/>
      </w:pPr>
      <w:proofErr w:type="spellStart"/>
      <w:r w:rsidRPr="00BB1D30">
        <w:t>Gavil</w:t>
      </w:r>
      <w:proofErr w:type="spellEnd"/>
      <w:r w:rsidRPr="00BB1D30">
        <w:t xml:space="preserve">, Andrew I.  “Thinking Outside the </w:t>
      </w:r>
      <w:r w:rsidRPr="00BB1D30">
        <w:rPr>
          <w:i/>
        </w:rPr>
        <w:t>Illinois Brick</w:t>
      </w:r>
      <w:r w:rsidRPr="00BB1D30">
        <w:t xml:space="preserve"> Box:  A Proposal for Reform” (2009), 76 </w:t>
      </w:r>
      <w:r w:rsidRPr="00BB1D30">
        <w:rPr>
          <w:i/>
        </w:rPr>
        <w:t>Antitrust L.J.</w:t>
      </w:r>
      <w:r w:rsidRPr="00BB1D30">
        <w:t xml:space="preserve"> 167.</w:t>
      </w:r>
    </w:p>
    <w:p w:rsidR="006A370E" w:rsidRPr="00BB1D30" w:rsidRDefault="006A370E" w:rsidP="006A370E">
      <w:pPr>
        <w:pStyle w:val="SCCNormalDoubleSpacing"/>
        <w:spacing w:after="240" w:line="240" w:lineRule="auto"/>
        <w:ind w:left="547" w:hanging="547"/>
      </w:pPr>
      <w:r w:rsidRPr="00BB1D30">
        <w:t xml:space="preserve">Glover, J. Maria.  </w:t>
      </w:r>
      <w:proofErr w:type="gramStart"/>
      <w:r w:rsidRPr="00BB1D30">
        <w:t xml:space="preserve">“The Structural Role of Private Enforcement Mechanisms in Public Law” (2012), 53 </w:t>
      </w:r>
      <w:r w:rsidRPr="00BB1D30">
        <w:rPr>
          <w:i/>
        </w:rPr>
        <w:t>Wm. &amp; Mary L. Rev.</w:t>
      </w:r>
      <w:r w:rsidRPr="00BB1D30">
        <w:t xml:space="preserve"> 1137.</w:t>
      </w:r>
      <w:proofErr w:type="gramEnd"/>
    </w:p>
    <w:p w:rsidR="006A370E" w:rsidRPr="00BB1D30" w:rsidRDefault="006A370E" w:rsidP="006A370E">
      <w:pPr>
        <w:pStyle w:val="SCCNormalDoubleSpacing"/>
        <w:spacing w:after="240" w:line="240" w:lineRule="auto"/>
        <w:ind w:left="547" w:hanging="547"/>
      </w:pPr>
      <w:proofErr w:type="gramStart"/>
      <w:r w:rsidRPr="00BB1D30">
        <w:t>Harris, Robert G., and Lawrence A. Sullivan.</w:t>
      </w:r>
      <w:proofErr w:type="gramEnd"/>
      <w:r w:rsidRPr="00BB1D30">
        <w:t xml:space="preserve">  “Passing On the Monopoly Overcharge:  A Comprehensive Policy Analysis” (1979), 128 </w:t>
      </w:r>
      <w:r w:rsidRPr="00BB1D30">
        <w:rPr>
          <w:i/>
        </w:rPr>
        <w:t>U. Pa. L. Rev.</w:t>
      </w:r>
      <w:r w:rsidRPr="00BB1D30">
        <w:t xml:space="preserve"> 269.</w:t>
      </w:r>
    </w:p>
    <w:p w:rsidR="006A370E" w:rsidRPr="00BB1D30" w:rsidRDefault="006A370E" w:rsidP="006A370E">
      <w:pPr>
        <w:pStyle w:val="SCCNormalDoubleSpacing"/>
        <w:spacing w:after="240" w:line="240" w:lineRule="auto"/>
        <w:ind w:left="547" w:hanging="547"/>
      </w:pPr>
      <w:proofErr w:type="spellStart"/>
      <w:proofErr w:type="gramStart"/>
      <w:r w:rsidRPr="00BB1D30">
        <w:t>Landes</w:t>
      </w:r>
      <w:proofErr w:type="spellEnd"/>
      <w:r w:rsidRPr="00BB1D30">
        <w:t>, William M., and Richard A. Posner.</w:t>
      </w:r>
      <w:proofErr w:type="gramEnd"/>
      <w:r w:rsidRPr="00BB1D30">
        <w:t xml:space="preserve">  “Should Indirect Purchasers Have Standing To Sue Under the Antitrust Laws? </w:t>
      </w:r>
      <w:proofErr w:type="gramStart"/>
      <w:r w:rsidRPr="00BB1D30">
        <w:t xml:space="preserve">An Economic Analysis of the Rule of </w:t>
      </w:r>
      <w:r w:rsidRPr="00BB1D30">
        <w:rPr>
          <w:i/>
        </w:rPr>
        <w:t>Illinois Brick</w:t>
      </w:r>
      <w:r w:rsidRPr="00BB1D30">
        <w:t xml:space="preserve">” (1979), 46 </w:t>
      </w:r>
      <w:r w:rsidRPr="00BB1D30">
        <w:rPr>
          <w:i/>
        </w:rPr>
        <w:t>U. Chi. L. Rev.</w:t>
      </w:r>
      <w:r w:rsidRPr="00BB1D30">
        <w:t xml:space="preserve"> 602.</w:t>
      </w:r>
      <w:proofErr w:type="gramEnd"/>
    </w:p>
    <w:p w:rsidR="006A370E" w:rsidRPr="00BB1D30" w:rsidRDefault="006A370E" w:rsidP="006A370E">
      <w:pPr>
        <w:pStyle w:val="SCCNormalDoubleSpacing"/>
        <w:spacing w:after="240" w:line="240" w:lineRule="auto"/>
        <w:ind w:left="547" w:hanging="547"/>
      </w:pPr>
      <w:proofErr w:type="spellStart"/>
      <w:proofErr w:type="gramStart"/>
      <w:r w:rsidRPr="00BB1D30">
        <w:t>Landes</w:t>
      </w:r>
      <w:proofErr w:type="spellEnd"/>
      <w:r w:rsidRPr="00BB1D30">
        <w:t>, William M., and Richard A. Posner.</w:t>
      </w:r>
      <w:proofErr w:type="gramEnd"/>
      <w:r w:rsidRPr="00BB1D30">
        <w:t xml:space="preserve">  </w:t>
      </w:r>
      <w:proofErr w:type="gramStart"/>
      <w:r w:rsidRPr="00BB1D30">
        <w:t xml:space="preserve">“The Economics of Passing On:  A Reply to Harris and Sullivan” (1980), 128 </w:t>
      </w:r>
      <w:r w:rsidRPr="00BB1D30">
        <w:rPr>
          <w:i/>
        </w:rPr>
        <w:t>U. Pa. L. Rev.</w:t>
      </w:r>
      <w:r w:rsidRPr="00BB1D30">
        <w:t xml:space="preserve"> 1274.</w:t>
      </w:r>
      <w:proofErr w:type="gramEnd"/>
    </w:p>
    <w:p w:rsidR="006A370E" w:rsidRPr="00BB1D30" w:rsidRDefault="006A370E" w:rsidP="006A370E">
      <w:pPr>
        <w:pStyle w:val="SCCNormalDoubleSpacing"/>
        <w:spacing w:after="240" w:line="240" w:lineRule="auto"/>
        <w:ind w:left="547" w:hanging="547"/>
      </w:pPr>
      <w:proofErr w:type="spellStart"/>
      <w:proofErr w:type="gramStart"/>
      <w:r w:rsidRPr="00BB1D30">
        <w:t>Maddaugh</w:t>
      </w:r>
      <w:proofErr w:type="spellEnd"/>
      <w:r w:rsidRPr="00BB1D30">
        <w:t xml:space="preserve">, Peter D., and John D. </w:t>
      </w:r>
      <w:proofErr w:type="spellStart"/>
      <w:r w:rsidRPr="00BB1D30">
        <w:t>McCamus</w:t>
      </w:r>
      <w:proofErr w:type="spellEnd"/>
      <w:r w:rsidRPr="00BB1D30">
        <w:t>.</w:t>
      </w:r>
      <w:proofErr w:type="gramEnd"/>
      <w:r w:rsidRPr="00BB1D30">
        <w:t xml:space="preserve">  </w:t>
      </w:r>
      <w:proofErr w:type="gramStart"/>
      <w:r w:rsidRPr="00BB1D30">
        <w:rPr>
          <w:i/>
        </w:rPr>
        <w:t>The Law of Restitution</w:t>
      </w:r>
      <w:r w:rsidRPr="00BB1D30">
        <w:t>.</w:t>
      </w:r>
      <w:proofErr w:type="gramEnd"/>
      <w:r w:rsidRPr="00BB1D30">
        <w:t xml:space="preserve">  Aurora, Ont.:  Canada Law Book, 2004 (loose</w:t>
      </w:r>
      <w:r w:rsidRPr="00BB1D30">
        <w:noBreakHyphen/>
        <w:t>leaf updated September 2005).</w:t>
      </w:r>
    </w:p>
    <w:p w:rsidR="006A370E" w:rsidRPr="00BB1D30" w:rsidRDefault="006A370E" w:rsidP="006A370E">
      <w:pPr>
        <w:pStyle w:val="SCCNormalDoubleSpacing"/>
        <w:spacing w:after="240" w:line="240" w:lineRule="auto"/>
        <w:ind w:left="547" w:hanging="547"/>
      </w:pPr>
      <w:proofErr w:type="spellStart"/>
      <w:proofErr w:type="gramStart"/>
      <w:r w:rsidRPr="00BB1D30">
        <w:t>Maddaugh</w:t>
      </w:r>
      <w:proofErr w:type="spellEnd"/>
      <w:r w:rsidRPr="00BB1D30">
        <w:t xml:space="preserve">, Peter D., and John D. </w:t>
      </w:r>
      <w:proofErr w:type="spellStart"/>
      <w:r w:rsidRPr="00BB1D30">
        <w:t>McCamus</w:t>
      </w:r>
      <w:proofErr w:type="spellEnd"/>
      <w:r w:rsidRPr="00BB1D30">
        <w:t>.</w:t>
      </w:r>
      <w:proofErr w:type="gramEnd"/>
      <w:r w:rsidRPr="00BB1D30">
        <w:t xml:space="preserve">  </w:t>
      </w:r>
      <w:proofErr w:type="gramStart"/>
      <w:r w:rsidRPr="00BB1D30">
        <w:rPr>
          <w:i/>
        </w:rPr>
        <w:t>The Law of Restitution</w:t>
      </w:r>
      <w:r w:rsidRPr="00BB1D30">
        <w:t>.</w:t>
      </w:r>
      <w:proofErr w:type="gramEnd"/>
      <w:r w:rsidRPr="00BB1D30">
        <w:t xml:space="preserve">  Toronto:  Canada Law Book, 2013 (loose</w:t>
      </w:r>
      <w:r w:rsidRPr="00BB1D30">
        <w:noBreakHyphen/>
        <w:t>leaf updated May 2013, release 10).</w:t>
      </w:r>
    </w:p>
    <w:p w:rsidR="006A370E" w:rsidRPr="00BB1D30" w:rsidRDefault="006A370E" w:rsidP="006A370E">
      <w:pPr>
        <w:pStyle w:val="SCCNormalDoubleSpacing"/>
        <w:spacing w:after="240" w:line="240" w:lineRule="auto"/>
        <w:ind w:left="547" w:hanging="547"/>
      </w:pPr>
      <w:r w:rsidRPr="00BB1D30">
        <w:lastRenderedPageBreak/>
        <w:t xml:space="preserve">O’Connor, Kevin J.  “Is the </w:t>
      </w:r>
      <w:r w:rsidRPr="00BB1D30">
        <w:rPr>
          <w:i/>
        </w:rPr>
        <w:t>Illinois Brick</w:t>
      </w:r>
      <w:r w:rsidRPr="00BB1D30">
        <w:t xml:space="preserve"> Wall Crumbling?” </w:t>
      </w:r>
      <w:proofErr w:type="gramStart"/>
      <w:r w:rsidRPr="00BB1D30">
        <w:t xml:space="preserve">(2001), 15:3 </w:t>
      </w:r>
      <w:r w:rsidRPr="00BB1D30">
        <w:rPr>
          <w:i/>
        </w:rPr>
        <w:t>Antitrust</w:t>
      </w:r>
      <w:r w:rsidRPr="00BB1D30">
        <w:t xml:space="preserve"> 34.</w:t>
      </w:r>
      <w:proofErr w:type="gramEnd"/>
    </w:p>
    <w:p w:rsidR="006A370E" w:rsidRPr="00BB1D30" w:rsidRDefault="006A370E" w:rsidP="006A370E">
      <w:pPr>
        <w:pStyle w:val="SCCNormalDoubleSpacing"/>
        <w:spacing w:after="240" w:line="240" w:lineRule="auto"/>
        <w:ind w:left="547" w:hanging="547"/>
      </w:pPr>
      <w:r w:rsidRPr="00BB1D30">
        <w:t xml:space="preserve">Osborne, Philip H.  </w:t>
      </w:r>
      <w:r w:rsidRPr="00BB1D30">
        <w:rPr>
          <w:i/>
        </w:rPr>
        <w:t>The Law of Torts</w:t>
      </w:r>
      <w:r w:rsidRPr="00BB1D30">
        <w:t xml:space="preserve">, 4th </w:t>
      </w:r>
      <w:proofErr w:type="gramStart"/>
      <w:r w:rsidRPr="00BB1D30">
        <w:t>ed</w:t>
      </w:r>
      <w:proofErr w:type="gramEnd"/>
      <w:r w:rsidRPr="00BB1D30">
        <w:t>.  Toronto:  Irwin Law, 2011.</w:t>
      </w:r>
    </w:p>
    <w:p w:rsidR="006A370E" w:rsidRPr="00BB1D30" w:rsidRDefault="006A370E" w:rsidP="006A370E">
      <w:pPr>
        <w:pStyle w:val="SCCNormalDoubleSpacing"/>
        <w:spacing w:after="240" w:line="240" w:lineRule="auto"/>
        <w:ind w:left="547" w:hanging="547"/>
      </w:pPr>
      <w:proofErr w:type="spellStart"/>
      <w:r w:rsidRPr="00BB1D30">
        <w:t>Thimmesch</w:t>
      </w:r>
      <w:proofErr w:type="spellEnd"/>
      <w:r w:rsidRPr="00BB1D30">
        <w:t xml:space="preserve">, Adam.  “Beyond Treble Damages:  </w:t>
      </w:r>
      <w:r w:rsidRPr="00BB1D30">
        <w:rPr>
          <w:i/>
        </w:rPr>
        <w:t>Hanover Shoe</w:t>
      </w:r>
      <w:r w:rsidRPr="00BB1D30">
        <w:t xml:space="preserve"> and Direct Purchaser Suits After </w:t>
      </w:r>
      <w:r w:rsidRPr="00BB1D30">
        <w:rPr>
          <w:i/>
        </w:rPr>
        <w:t>Comes v. Microsoft Corp.</w:t>
      </w:r>
      <w:r w:rsidRPr="00BB1D30">
        <w:t xml:space="preserve">” </w:t>
      </w:r>
      <w:proofErr w:type="gramStart"/>
      <w:r w:rsidRPr="00BB1D30">
        <w:t xml:space="preserve">(2005), 90 </w:t>
      </w:r>
      <w:r w:rsidRPr="00BB1D30">
        <w:rPr>
          <w:i/>
        </w:rPr>
        <w:t>Iowa L. Rev.</w:t>
      </w:r>
      <w:r w:rsidRPr="00BB1D30">
        <w:t xml:space="preserve"> 1649.</w:t>
      </w:r>
      <w:proofErr w:type="gramEnd"/>
    </w:p>
    <w:p w:rsidR="006A370E" w:rsidRPr="00BB1D30" w:rsidRDefault="006A370E" w:rsidP="006A370E">
      <w:pPr>
        <w:pStyle w:val="SCCNormalDoubleSpacing"/>
        <w:spacing w:after="240" w:line="240" w:lineRule="auto"/>
        <w:ind w:left="547" w:hanging="547"/>
      </w:pPr>
      <w:r w:rsidRPr="00BB1D30">
        <w:t xml:space="preserve">Van </w:t>
      </w:r>
      <w:proofErr w:type="spellStart"/>
      <w:r w:rsidRPr="00BB1D30">
        <w:t>Cott</w:t>
      </w:r>
      <w:proofErr w:type="spellEnd"/>
      <w:r w:rsidRPr="00BB1D30">
        <w:t xml:space="preserve">, Charles C.  “Standing at the Fringe:  Antitrust Damages and the Fringe Producer” (1983), 35 </w:t>
      </w:r>
      <w:r w:rsidRPr="00BB1D30">
        <w:rPr>
          <w:i/>
        </w:rPr>
        <w:t>Stan. L. Rev.</w:t>
      </w:r>
      <w:r w:rsidRPr="00BB1D30">
        <w:t xml:space="preserve"> 763.</w:t>
      </w:r>
    </w:p>
    <w:p w:rsidR="006A370E" w:rsidRPr="00BB1D30" w:rsidRDefault="006A370E" w:rsidP="006A370E">
      <w:pPr>
        <w:pStyle w:val="SCCNormalDoubleSpacing"/>
        <w:spacing w:after="720" w:line="240" w:lineRule="auto"/>
        <w:ind w:left="547" w:hanging="547"/>
      </w:pPr>
      <w:proofErr w:type="spellStart"/>
      <w:proofErr w:type="gramStart"/>
      <w:r w:rsidRPr="00BB1D30">
        <w:t>Werden</w:t>
      </w:r>
      <w:proofErr w:type="spellEnd"/>
      <w:r w:rsidRPr="00BB1D30">
        <w:t>, Gregory J., and Marius Schwartz.</w:t>
      </w:r>
      <w:proofErr w:type="gramEnd"/>
      <w:r w:rsidRPr="00BB1D30">
        <w:t xml:space="preserve">  “</w:t>
      </w:r>
      <w:r w:rsidRPr="00BB1D30">
        <w:rPr>
          <w:i/>
        </w:rPr>
        <w:t>Illinois Brick</w:t>
      </w:r>
      <w:r w:rsidRPr="00BB1D30">
        <w:t xml:space="preserve"> and the Deterrence of Antitrust Violations — </w:t>
      </w:r>
      <w:proofErr w:type="gramStart"/>
      <w:r w:rsidRPr="00BB1D30">
        <w:t>An</w:t>
      </w:r>
      <w:proofErr w:type="gramEnd"/>
      <w:r w:rsidRPr="00BB1D30">
        <w:t xml:space="preserve"> Economic Analysis” (1984), 35 </w:t>
      </w:r>
      <w:r w:rsidRPr="00BB1D30">
        <w:rPr>
          <w:i/>
        </w:rPr>
        <w:t>Hastings L.J.</w:t>
      </w:r>
      <w:r w:rsidRPr="00BB1D30">
        <w:t xml:space="preserve"> 629.</w:t>
      </w:r>
    </w:p>
    <w:p w:rsidR="006A370E" w:rsidRPr="00BB1D30" w:rsidRDefault="006A370E" w:rsidP="006A370E">
      <w:pPr>
        <w:pStyle w:val="SCCNormalDoubleSpacing"/>
        <w:spacing w:after="480"/>
      </w:pPr>
      <w:r w:rsidRPr="00BB1D30">
        <w:tab/>
        <w:t xml:space="preserve">APPEAL from a judgment of the British Columbia Court of Appeal (Donald, Lowry and Frankel JJ.A.), 2011 BCCA 186, 304 B.C.A.C. 90, 513 W.A.C. 90, 331 D.L.R. (4th) 671, [2011] B.C.J. No. 688 (QL), 2011 </w:t>
      </w:r>
      <w:proofErr w:type="spellStart"/>
      <w:r w:rsidRPr="00BB1D30">
        <w:t>CarswellBC</w:t>
      </w:r>
      <w:proofErr w:type="spellEnd"/>
      <w:r w:rsidRPr="00BB1D30">
        <w:t xml:space="preserve"> 930, setting aside a decision of Myers J., 2010 BCSC 285, [2010] B.C.J. No. 380 (QL), 2010 </w:t>
      </w:r>
      <w:proofErr w:type="spellStart"/>
      <w:r w:rsidRPr="00BB1D30">
        <w:t>CarswellBC</w:t>
      </w:r>
      <w:proofErr w:type="spellEnd"/>
      <w:r w:rsidRPr="00BB1D30">
        <w:t xml:space="preserve"> 508, and decisions of </w:t>
      </w:r>
      <w:proofErr w:type="spellStart"/>
      <w:r w:rsidRPr="00BB1D30">
        <w:t>Tysoe</w:t>
      </w:r>
      <w:proofErr w:type="spellEnd"/>
      <w:r w:rsidRPr="00BB1D30">
        <w:t xml:space="preserve"> J., 2006 BCSC 1738, 59 B.C.L.R. (4th) 111, [2007] 1 W.W.R. 541, 44 C.C.L.T. (3d) 146, [2006] B.C.J. No. 3035 (QL), 2006 </w:t>
      </w:r>
      <w:proofErr w:type="spellStart"/>
      <w:r w:rsidRPr="00BB1D30">
        <w:t>CarswellBC</w:t>
      </w:r>
      <w:proofErr w:type="spellEnd"/>
      <w:r w:rsidRPr="00BB1D30">
        <w:t xml:space="preserve"> 2892, and 2006 BCSC 1047, 57 B.C.L.R. (4th) 323, [2006] 11 W.W.R. 688, 40 C.C.L.T. (3d) 45, [2006] B.C.J. No. 1564 (QL), 2006 </w:t>
      </w:r>
      <w:proofErr w:type="spellStart"/>
      <w:r w:rsidRPr="00BB1D30">
        <w:t>CarswellBC</w:t>
      </w:r>
      <w:proofErr w:type="spellEnd"/>
      <w:r w:rsidRPr="00BB1D30">
        <w:t xml:space="preserve"> 1691.  Appeal allowed.</w:t>
      </w:r>
    </w:p>
    <w:p w:rsidR="006A370E" w:rsidRPr="00BB1D30" w:rsidRDefault="006A370E" w:rsidP="006A370E">
      <w:pPr>
        <w:pStyle w:val="SCCNormalDoubleSpacing"/>
        <w:spacing w:after="480"/>
      </w:pPr>
      <w:r w:rsidRPr="00BB1D30">
        <w:rPr>
          <w:i/>
        </w:rPr>
        <w:tab/>
      </w:r>
      <w:proofErr w:type="gramStart"/>
      <w:r w:rsidRPr="00BB1D30">
        <w:rPr>
          <w:i/>
        </w:rPr>
        <w:t>J. J. Camp</w:t>
      </w:r>
      <w:r w:rsidRPr="00824164">
        <w:t xml:space="preserve">, </w:t>
      </w:r>
      <w:r w:rsidRPr="00BB1D30">
        <w:rPr>
          <w:i/>
        </w:rPr>
        <w:t>Q.C.</w:t>
      </w:r>
      <w:r w:rsidRPr="00824164">
        <w:t xml:space="preserve">, </w:t>
      </w:r>
      <w:proofErr w:type="spellStart"/>
      <w:r w:rsidRPr="00BB1D30">
        <w:rPr>
          <w:i/>
        </w:rPr>
        <w:t>Reidar</w:t>
      </w:r>
      <w:proofErr w:type="spellEnd"/>
      <w:r w:rsidRPr="00BB1D30">
        <w:rPr>
          <w:i/>
        </w:rPr>
        <w:t xml:space="preserve"> </w:t>
      </w:r>
      <w:proofErr w:type="spellStart"/>
      <w:r w:rsidRPr="00BB1D30">
        <w:rPr>
          <w:i/>
        </w:rPr>
        <w:t>Mogerman</w:t>
      </w:r>
      <w:proofErr w:type="spellEnd"/>
      <w:r w:rsidRPr="00BB1D30">
        <w:t xml:space="preserve">, </w:t>
      </w:r>
      <w:r w:rsidRPr="00BB1D30">
        <w:rPr>
          <w:i/>
        </w:rPr>
        <w:t>Melina Buckley</w:t>
      </w:r>
      <w:r w:rsidRPr="00BB1D30">
        <w:t xml:space="preserve"> and </w:t>
      </w:r>
      <w:r w:rsidRPr="00BB1D30">
        <w:rPr>
          <w:i/>
        </w:rPr>
        <w:t xml:space="preserve">Michael </w:t>
      </w:r>
      <w:proofErr w:type="spellStart"/>
      <w:r w:rsidRPr="00BB1D30">
        <w:rPr>
          <w:i/>
        </w:rPr>
        <w:t>Sobkin</w:t>
      </w:r>
      <w:proofErr w:type="spellEnd"/>
      <w:r w:rsidRPr="00BB1D30">
        <w:t>, for the appellants.</w:t>
      </w:r>
      <w:proofErr w:type="gramEnd"/>
    </w:p>
    <w:p w:rsidR="006A370E" w:rsidRPr="00BB1D30" w:rsidRDefault="006A370E" w:rsidP="006A370E">
      <w:pPr>
        <w:pStyle w:val="SCCNormalDoubleSpacing"/>
        <w:spacing w:after="480"/>
      </w:pPr>
      <w:r w:rsidRPr="00BB1D30">
        <w:rPr>
          <w:i/>
        </w:rPr>
        <w:tab/>
      </w:r>
      <w:proofErr w:type="gramStart"/>
      <w:r w:rsidRPr="00BB1D30">
        <w:rPr>
          <w:i/>
        </w:rPr>
        <w:t>Neil Finkelstein</w:t>
      </w:r>
      <w:r w:rsidRPr="00BB1D30">
        <w:t xml:space="preserve">, </w:t>
      </w:r>
      <w:r w:rsidRPr="00BB1D30">
        <w:rPr>
          <w:i/>
        </w:rPr>
        <w:t>James Sullivan</w:t>
      </w:r>
      <w:r w:rsidRPr="00824164">
        <w:t xml:space="preserve">, </w:t>
      </w:r>
      <w:r w:rsidRPr="00BB1D30">
        <w:rPr>
          <w:i/>
        </w:rPr>
        <w:t xml:space="preserve">Catherine </w:t>
      </w:r>
      <w:proofErr w:type="spellStart"/>
      <w:r w:rsidRPr="00BB1D30">
        <w:rPr>
          <w:i/>
        </w:rPr>
        <w:t>Beagan</w:t>
      </w:r>
      <w:proofErr w:type="spellEnd"/>
      <w:r w:rsidRPr="00BB1D30">
        <w:rPr>
          <w:i/>
        </w:rPr>
        <w:t xml:space="preserve"> Flood</w:t>
      </w:r>
      <w:r w:rsidRPr="00BB1D30">
        <w:t xml:space="preserve"> and </w:t>
      </w:r>
      <w:r w:rsidRPr="00BB1D30">
        <w:rPr>
          <w:i/>
        </w:rPr>
        <w:t xml:space="preserve">Brandon </w:t>
      </w:r>
      <w:proofErr w:type="spellStart"/>
      <w:r w:rsidRPr="00BB1D30">
        <w:rPr>
          <w:i/>
        </w:rPr>
        <w:t>Kain</w:t>
      </w:r>
      <w:proofErr w:type="spellEnd"/>
      <w:r w:rsidRPr="00824164">
        <w:t>,</w:t>
      </w:r>
      <w:r w:rsidRPr="00BB1D30">
        <w:rPr>
          <w:i/>
        </w:rPr>
        <w:t xml:space="preserve"> </w:t>
      </w:r>
      <w:r w:rsidRPr="00BB1D30">
        <w:t>for the respondents.</w:t>
      </w:r>
      <w:proofErr w:type="gramEnd"/>
    </w:p>
    <w:p w:rsidR="006A370E" w:rsidRDefault="006A370E" w:rsidP="006A370E">
      <w:pPr>
        <w:pStyle w:val="SCCNormalDoubleSpacing"/>
        <w:spacing w:after="480"/>
      </w:pPr>
      <w:r w:rsidRPr="00BB1D30">
        <w:rPr>
          <w:i/>
        </w:rPr>
        <w:lastRenderedPageBreak/>
        <w:tab/>
      </w:r>
      <w:proofErr w:type="gramStart"/>
      <w:r w:rsidRPr="00BB1D30">
        <w:rPr>
          <w:i/>
        </w:rPr>
        <w:t xml:space="preserve">John S. </w:t>
      </w:r>
      <w:proofErr w:type="spellStart"/>
      <w:r w:rsidRPr="00BB1D30">
        <w:rPr>
          <w:i/>
        </w:rPr>
        <w:t>Tyhurst</w:t>
      </w:r>
      <w:proofErr w:type="spellEnd"/>
      <w:r w:rsidRPr="00BB1D30">
        <w:t>, for the intervener.</w:t>
      </w:r>
      <w:proofErr w:type="gramEnd"/>
    </w:p>
    <w:p w:rsidR="006A370E" w:rsidRDefault="006A370E" w:rsidP="006A370E">
      <w:pPr>
        <w:pStyle w:val="SCCNormalDoubleSpacing"/>
        <w:spacing w:after="480"/>
      </w:pPr>
      <w:r>
        <w:tab/>
        <w:t>The judgment of the Court was delivered by</w:t>
      </w:r>
    </w:p>
    <w:p w:rsidR="006A370E" w:rsidRDefault="006A370E" w:rsidP="006A370E">
      <w:pPr>
        <w:pStyle w:val="JudgeJuge"/>
      </w:pPr>
      <w:r>
        <w:tab/>
      </w:r>
      <w:r w:rsidRPr="00FD55E3">
        <w:t xml:space="preserve">Rothstein J. — </w:t>
      </w:r>
    </w:p>
    <w:p w:rsidR="006A370E" w:rsidRPr="00FD55E3" w:rsidRDefault="006A370E" w:rsidP="006A370E"/>
    <w:p w:rsidR="006A370E" w:rsidRPr="00A129E4" w:rsidRDefault="006A370E" w:rsidP="006A370E">
      <w:pPr>
        <w:tabs>
          <w:tab w:val="center" w:pos="4050"/>
        </w:tabs>
        <w:rPr>
          <w:b/>
        </w:rPr>
      </w:pPr>
      <w:r w:rsidRPr="00A129E4">
        <w:rPr>
          <w:b/>
        </w:rPr>
        <w:tab/>
        <w:t>TABLE OF CONTENTS</w:t>
      </w:r>
    </w:p>
    <w:p w:rsidR="006A370E" w:rsidRPr="00A129E4" w:rsidRDefault="006A370E" w:rsidP="006A370E">
      <w:pPr>
        <w:tabs>
          <w:tab w:val="right" w:pos="8460"/>
        </w:tabs>
      </w:pPr>
      <w:r w:rsidRPr="00A129E4">
        <w:tab/>
        <w:t>Paragraph</w:t>
      </w:r>
    </w:p>
    <w:p w:rsidR="006A370E" w:rsidRDefault="006A370E" w:rsidP="006A370E">
      <w:pPr>
        <w:pStyle w:val="TOC1"/>
        <w:tabs>
          <w:tab w:val="clear" w:pos="7380"/>
          <w:tab w:val="right" w:leader="dot" w:pos="8100"/>
        </w:tabs>
        <w:rPr>
          <w:rFonts w:asciiTheme="minorHAnsi" w:eastAsiaTheme="minorEastAsia" w:hAnsiTheme="minorHAnsi"/>
          <w:noProof/>
          <w:sz w:val="22"/>
          <w:lang w:val="en-CA" w:eastAsia="en-CA" w:bidi="ar-SA"/>
        </w:rPr>
      </w:pPr>
      <w:r w:rsidRPr="005E249E">
        <w:rPr>
          <w:rFonts w:cs="Times New Roman"/>
          <w:noProof/>
        </w:rPr>
        <w:t>I.</w:t>
      </w:r>
      <w:r>
        <w:rPr>
          <w:rFonts w:asciiTheme="minorHAnsi" w:eastAsiaTheme="minorEastAsia" w:hAnsiTheme="minorHAnsi"/>
          <w:noProof/>
          <w:sz w:val="22"/>
          <w:lang w:val="en-CA" w:eastAsia="en-CA" w:bidi="ar-SA"/>
        </w:rPr>
        <w:tab/>
      </w:r>
      <w:r w:rsidRPr="005E249E">
        <w:rPr>
          <w:rFonts w:cs="Times New Roman"/>
          <w:noProof/>
        </w:rPr>
        <w:t>Introduction</w:t>
      </w:r>
      <w:r>
        <w:rPr>
          <w:noProof/>
        </w:rPr>
        <w:tab/>
      </w:r>
      <w:r>
        <w:t>1</w:t>
      </w:r>
    </w:p>
    <w:p w:rsidR="006A370E" w:rsidRDefault="006A370E" w:rsidP="006A370E">
      <w:pPr>
        <w:pStyle w:val="TOC1"/>
        <w:tabs>
          <w:tab w:val="clear" w:pos="7380"/>
          <w:tab w:val="right" w:leader="dot" w:pos="8100"/>
        </w:tabs>
        <w:rPr>
          <w:rFonts w:asciiTheme="minorHAnsi" w:eastAsiaTheme="minorEastAsia" w:hAnsiTheme="minorHAnsi"/>
          <w:noProof/>
          <w:sz w:val="22"/>
          <w:lang w:val="en-CA" w:eastAsia="en-CA" w:bidi="ar-SA"/>
        </w:rPr>
      </w:pPr>
      <w:r w:rsidRPr="005E249E">
        <w:rPr>
          <w:rFonts w:cs="Times New Roman"/>
          <w:noProof/>
        </w:rPr>
        <w:t>II.</w:t>
      </w:r>
      <w:r>
        <w:rPr>
          <w:rFonts w:asciiTheme="minorHAnsi" w:eastAsiaTheme="minorEastAsia" w:hAnsiTheme="minorHAnsi"/>
          <w:noProof/>
          <w:sz w:val="22"/>
          <w:lang w:val="en-CA" w:eastAsia="en-CA" w:bidi="ar-SA"/>
        </w:rPr>
        <w:tab/>
      </w:r>
      <w:r w:rsidRPr="005E249E">
        <w:rPr>
          <w:rFonts w:cs="Times New Roman"/>
          <w:noProof/>
        </w:rPr>
        <w:t>Background</w:t>
      </w:r>
      <w:r>
        <w:rPr>
          <w:noProof/>
        </w:rPr>
        <w:tab/>
        <w:t>3</w:t>
      </w:r>
    </w:p>
    <w:p w:rsidR="006A370E" w:rsidRDefault="006A370E" w:rsidP="006A370E">
      <w:pPr>
        <w:pStyle w:val="TOC1"/>
        <w:tabs>
          <w:tab w:val="clear" w:pos="7380"/>
          <w:tab w:val="right" w:leader="dot" w:pos="8100"/>
        </w:tabs>
        <w:rPr>
          <w:rFonts w:asciiTheme="minorHAnsi" w:eastAsiaTheme="minorEastAsia" w:hAnsiTheme="minorHAnsi"/>
          <w:noProof/>
          <w:sz w:val="22"/>
          <w:lang w:val="en-CA" w:eastAsia="en-CA" w:bidi="ar-SA"/>
        </w:rPr>
      </w:pPr>
      <w:r w:rsidRPr="005E249E">
        <w:rPr>
          <w:rFonts w:cs="Times New Roman"/>
          <w:noProof/>
        </w:rPr>
        <w:t>III.</w:t>
      </w:r>
      <w:r>
        <w:rPr>
          <w:rFonts w:asciiTheme="minorHAnsi" w:eastAsiaTheme="minorEastAsia" w:hAnsiTheme="minorHAnsi"/>
          <w:noProof/>
          <w:sz w:val="22"/>
          <w:lang w:val="en-CA" w:eastAsia="en-CA" w:bidi="ar-SA"/>
        </w:rPr>
        <w:tab/>
      </w:r>
      <w:r w:rsidRPr="005E249E">
        <w:rPr>
          <w:rFonts w:cs="Times New Roman"/>
          <w:noProof/>
        </w:rPr>
        <w:t>The Proceedings Below</w:t>
      </w:r>
      <w:r>
        <w:rPr>
          <w:noProof/>
        </w:rPr>
        <w:tab/>
        <w:t>6</w:t>
      </w:r>
    </w:p>
    <w:p w:rsidR="006A370E" w:rsidRDefault="006A370E" w:rsidP="00AA7792">
      <w:pPr>
        <w:pStyle w:val="TOC1"/>
        <w:tabs>
          <w:tab w:val="clear" w:pos="7380"/>
          <w:tab w:val="right" w:leader="dot" w:pos="8100"/>
        </w:tabs>
        <w:rPr>
          <w:rFonts w:asciiTheme="minorHAnsi" w:eastAsiaTheme="minorEastAsia" w:hAnsiTheme="minorHAnsi"/>
          <w:noProof/>
          <w:sz w:val="22"/>
          <w:lang w:val="en-CA" w:eastAsia="en-CA" w:bidi="ar-SA"/>
        </w:rPr>
      </w:pPr>
      <w:r w:rsidRPr="005E249E">
        <w:rPr>
          <w:rFonts w:cs="Times New Roman"/>
          <w:noProof/>
        </w:rPr>
        <w:t>A.</w:t>
      </w:r>
      <w:r>
        <w:rPr>
          <w:rFonts w:asciiTheme="minorHAnsi" w:eastAsiaTheme="minorEastAsia" w:hAnsiTheme="minorHAnsi"/>
          <w:noProof/>
          <w:sz w:val="22"/>
          <w:lang w:val="en-CA" w:eastAsia="en-CA" w:bidi="ar-SA"/>
        </w:rPr>
        <w:tab/>
      </w:r>
      <w:r w:rsidRPr="005E249E">
        <w:rPr>
          <w:rFonts w:cs="Times New Roman"/>
          <w:noProof/>
        </w:rPr>
        <w:t>Certification Proceedings in the British Columbia Supreme Court</w:t>
      </w:r>
      <w:r>
        <w:rPr>
          <w:noProof/>
        </w:rPr>
        <w:tab/>
        <w:t>6</w:t>
      </w:r>
    </w:p>
    <w:p w:rsidR="006A370E" w:rsidRDefault="006A370E" w:rsidP="00AA7792">
      <w:pPr>
        <w:pStyle w:val="TOC1"/>
        <w:tabs>
          <w:tab w:val="clear" w:pos="7380"/>
          <w:tab w:val="right" w:leader="dot" w:pos="8100"/>
        </w:tabs>
        <w:rPr>
          <w:rFonts w:asciiTheme="minorHAnsi" w:eastAsiaTheme="minorEastAsia" w:hAnsiTheme="minorHAnsi"/>
          <w:noProof/>
          <w:sz w:val="22"/>
          <w:lang w:val="en-CA" w:eastAsia="en-CA" w:bidi="ar-SA"/>
        </w:rPr>
      </w:pPr>
      <w:r w:rsidRPr="005E249E">
        <w:rPr>
          <w:rFonts w:cs="Times New Roman"/>
          <w:noProof/>
        </w:rPr>
        <w:t>B.</w:t>
      </w:r>
      <w:r>
        <w:rPr>
          <w:rFonts w:asciiTheme="minorHAnsi" w:eastAsiaTheme="minorEastAsia" w:hAnsiTheme="minorHAnsi"/>
          <w:noProof/>
          <w:sz w:val="22"/>
          <w:lang w:val="en-CA" w:eastAsia="en-CA" w:bidi="ar-SA"/>
        </w:rPr>
        <w:tab/>
      </w:r>
      <w:r w:rsidRPr="005E249E">
        <w:rPr>
          <w:rFonts w:cs="Times New Roman"/>
          <w:noProof/>
        </w:rPr>
        <w:t>Appeal of the Certification to the British Columbia Court of Appeal</w:t>
      </w:r>
      <w:r>
        <w:rPr>
          <w:noProof/>
        </w:rPr>
        <w:tab/>
        <w:t>10</w:t>
      </w:r>
    </w:p>
    <w:p w:rsidR="006A370E" w:rsidRDefault="006A370E" w:rsidP="006A370E">
      <w:pPr>
        <w:pStyle w:val="TOC1"/>
        <w:tabs>
          <w:tab w:val="clear" w:pos="7380"/>
          <w:tab w:val="right" w:leader="dot" w:pos="8100"/>
        </w:tabs>
        <w:rPr>
          <w:rFonts w:asciiTheme="minorHAnsi" w:eastAsiaTheme="minorEastAsia" w:hAnsiTheme="minorHAnsi"/>
          <w:noProof/>
          <w:sz w:val="22"/>
          <w:lang w:val="en-CA" w:eastAsia="en-CA" w:bidi="ar-SA"/>
        </w:rPr>
      </w:pPr>
      <w:r w:rsidRPr="005E249E">
        <w:rPr>
          <w:rFonts w:cs="Times New Roman"/>
          <w:noProof/>
        </w:rPr>
        <w:t>IV.</w:t>
      </w:r>
      <w:r>
        <w:rPr>
          <w:rFonts w:asciiTheme="minorHAnsi" w:eastAsiaTheme="minorEastAsia" w:hAnsiTheme="minorHAnsi"/>
          <w:noProof/>
          <w:sz w:val="22"/>
          <w:lang w:val="en-CA" w:eastAsia="en-CA" w:bidi="ar-SA"/>
        </w:rPr>
        <w:tab/>
      </w:r>
      <w:r w:rsidRPr="005E249E">
        <w:rPr>
          <w:rFonts w:cs="Times New Roman"/>
          <w:noProof/>
        </w:rPr>
        <w:t>Analysis</w:t>
      </w:r>
      <w:r>
        <w:rPr>
          <w:noProof/>
        </w:rPr>
        <w:tab/>
        <w:t>14</w:t>
      </w:r>
    </w:p>
    <w:p w:rsidR="006A370E" w:rsidRDefault="006A370E" w:rsidP="00AA7792">
      <w:pPr>
        <w:pStyle w:val="TOC1"/>
        <w:tabs>
          <w:tab w:val="clear" w:pos="7380"/>
          <w:tab w:val="right" w:leader="dot" w:pos="8100"/>
        </w:tabs>
        <w:rPr>
          <w:rFonts w:asciiTheme="minorHAnsi" w:eastAsiaTheme="minorEastAsia" w:hAnsiTheme="minorHAnsi"/>
          <w:noProof/>
          <w:sz w:val="22"/>
          <w:lang w:val="en-CA" w:eastAsia="en-CA" w:bidi="ar-SA"/>
        </w:rPr>
      </w:pPr>
      <w:r w:rsidRPr="005E249E">
        <w:rPr>
          <w:rFonts w:cs="Times New Roman"/>
          <w:noProof/>
        </w:rPr>
        <w:t>A.</w:t>
      </w:r>
      <w:r>
        <w:rPr>
          <w:rFonts w:asciiTheme="minorHAnsi" w:eastAsiaTheme="minorEastAsia" w:hAnsiTheme="minorHAnsi"/>
          <w:noProof/>
          <w:sz w:val="22"/>
          <w:lang w:val="en-CA" w:eastAsia="en-CA" w:bidi="ar-SA"/>
        </w:rPr>
        <w:tab/>
      </w:r>
      <w:r w:rsidRPr="005E249E">
        <w:rPr>
          <w:rFonts w:cs="Times New Roman"/>
          <w:noProof/>
        </w:rPr>
        <w:t>Indirect Purchaser Actions (the “Passing-On” Issue)</w:t>
      </w:r>
      <w:r>
        <w:rPr>
          <w:noProof/>
        </w:rPr>
        <w:tab/>
        <w:t>15</w:t>
      </w:r>
    </w:p>
    <w:p w:rsidR="006A370E" w:rsidRDefault="006A370E" w:rsidP="006A370E">
      <w:pPr>
        <w:pStyle w:val="TOC3"/>
        <w:tabs>
          <w:tab w:val="left" w:pos="1195"/>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(1)</w:t>
      </w:r>
      <w:r>
        <w:rPr>
          <w:rFonts w:asciiTheme="minorHAnsi" w:eastAsiaTheme="minorEastAsia" w:hAnsiTheme="minorHAnsi"/>
          <w:noProof/>
          <w:sz w:val="22"/>
          <w:lang w:val="en-CA" w:eastAsia="en-CA" w:bidi="ar-SA"/>
        </w:rPr>
        <w:tab/>
      </w:r>
      <w:r w:rsidRPr="005E249E">
        <w:rPr>
          <w:rFonts w:cs="Times New Roman"/>
          <w:noProof/>
        </w:rPr>
        <w:t>Rejection of Passing On as a Defence</w:t>
      </w:r>
      <w:r>
        <w:rPr>
          <w:noProof/>
        </w:rPr>
        <w:tab/>
        <w:t>18</w:t>
      </w:r>
    </w:p>
    <w:p w:rsidR="006A370E" w:rsidRDefault="006A370E" w:rsidP="006A370E">
      <w:pPr>
        <w:pStyle w:val="TOC3"/>
        <w:tabs>
          <w:tab w:val="left" w:pos="1195"/>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(2)</w:t>
      </w:r>
      <w:r>
        <w:rPr>
          <w:rFonts w:asciiTheme="minorHAnsi" w:eastAsiaTheme="minorEastAsia" w:hAnsiTheme="minorHAnsi"/>
          <w:noProof/>
          <w:sz w:val="22"/>
          <w:lang w:val="en-CA" w:eastAsia="en-CA" w:bidi="ar-SA"/>
        </w:rPr>
        <w:tab/>
      </w:r>
      <w:r w:rsidRPr="005E249E">
        <w:rPr>
          <w:rFonts w:cs="Times New Roman"/>
          <w:noProof/>
        </w:rPr>
        <w:t>Significance of the Passing-On Defence in This Appeal</w:t>
      </w:r>
      <w:r>
        <w:rPr>
          <w:noProof/>
        </w:rPr>
        <w:tab/>
        <w:t>30</w:t>
      </w:r>
    </w:p>
    <w:p w:rsidR="006A370E" w:rsidRDefault="006A370E" w:rsidP="006A370E">
      <w:pPr>
        <w:pStyle w:val="TOC3"/>
        <w:tabs>
          <w:tab w:val="left" w:pos="1195"/>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(3)</w:t>
      </w:r>
      <w:r>
        <w:rPr>
          <w:rFonts w:asciiTheme="minorHAnsi" w:eastAsiaTheme="minorEastAsia" w:hAnsiTheme="minorHAnsi"/>
          <w:noProof/>
          <w:sz w:val="22"/>
          <w:lang w:val="en-CA" w:eastAsia="en-CA" w:bidi="ar-SA"/>
        </w:rPr>
        <w:tab/>
      </w:r>
      <w:r w:rsidRPr="005E249E">
        <w:rPr>
          <w:rFonts w:cs="Times New Roman"/>
          <w:noProof/>
        </w:rPr>
        <w:t>Analysis of the “Necessary Corollary” Argument</w:t>
      </w:r>
      <w:r>
        <w:rPr>
          <w:noProof/>
        </w:rPr>
        <w:tab/>
        <w:t>34</w:t>
      </w:r>
    </w:p>
    <w:p w:rsidR="006A370E" w:rsidRPr="00650910"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(a)</w:t>
      </w:r>
      <w:r w:rsidRPr="00650910">
        <w:rPr>
          <w:rFonts w:asciiTheme="minorHAnsi" w:eastAsiaTheme="minorEastAsia" w:hAnsiTheme="minorHAnsi"/>
          <w:sz w:val="22"/>
          <w:lang w:val="en-CA" w:eastAsia="en-CA" w:bidi="ar-SA"/>
        </w:rPr>
        <w:tab/>
      </w:r>
      <w:r w:rsidRPr="005E249E">
        <w:rPr>
          <w:i w:val="0"/>
        </w:rPr>
        <w:t>Double or Multiple Recovery</w:t>
      </w:r>
      <w:r w:rsidRPr="000C6F8F">
        <w:rPr>
          <w:i w:val="0"/>
        </w:rPr>
        <w:tab/>
      </w:r>
      <w:r w:rsidRPr="005E249E">
        <w:rPr>
          <w:i w:val="0"/>
        </w:rPr>
        <w:t>35</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(b)</w:t>
      </w:r>
      <w:r>
        <w:rPr>
          <w:rFonts w:asciiTheme="minorHAnsi" w:eastAsiaTheme="minorEastAsia" w:hAnsiTheme="minorHAnsi"/>
          <w:sz w:val="22"/>
          <w:lang w:val="en-CA" w:eastAsia="en-CA" w:bidi="ar-SA"/>
        </w:rPr>
        <w:tab/>
      </w:r>
      <w:r w:rsidRPr="005E249E">
        <w:rPr>
          <w:i w:val="0"/>
        </w:rPr>
        <w:t>Remoteness and Complexity</w:t>
      </w:r>
      <w:r w:rsidRPr="000C6F8F">
        <w:rPr>
          <w:i w:val="0"/>
        </w:rPr>
        <w:tab/>
      </w:r>
      <w:r w:rsidRPr="005E249E">
        <w:rPr>
          <w:i w:val="0"/>
        </w:rPr>
        <w:t>42</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(c)</w:t>
      </w:r>
      <w:r w:rsidRPr="00650910">
        <w:rPr>
          <w:rFonts w:asciiTheme="minorHAnsi" w:eastAsiaTheme="minorEastAsia" w:hAnsiTheme="minorHAnsi"/>
          <w:sz w:val="22"/>
          <w:lang w:val="en-CA" w:eastAsia="en-CA" w:bidi="ar-SA"/>
        </w:rPr>
        <w:tab/>
      </w:r>
      <w:r w:rsidRPr="005E249E">
        <w:rPr>
          <w:i w:val="0"/>
        </w:rPr>
        <w:t>Deterrence</w:t>
      </w:r>
      <w:r w:rsidRPr="000C6F8F">
        <w:rPr>
          <w:i w:val="0"/>
        </w:rPr>
        <w:tab/>
      </w:r>
      <w:r w:rsidRPr="005E249E">
        <w:rPr>
          <w:i w:val="0"/>
        </w:rPr>
        <w:t>46</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(d)</w:t>
      </w:r>
      <w:r w:rsidRPr="00650910">
        <w:rPr>
          <w:rFonts w:asciiTheme="minorHAnsi" w:eastAsiaTheme="minorEastAsia" w:hAnsiTheme="minorHAnsi"/>
          <w:sz w:val="22"/>
          <w:lang w:val="en-CA" w:eastAsia="en-CA" w:bidi="ar-SA"/>
        </w:rPr>
        <w:tab/>
      </w:r>
      <w:r w:rsidRPr="005E249E">
        <w:rPr>
          <w:i w:val="0"/>
        </w:rPr>
        <w:t>Restitutionary Principles</w:t>
      </w:r>
      <w:r w:rsidRPr="000C6F8F">
        <w:rPr>
          <w:i w:val="0"/>
        </w:rPr>
        <w:tab/>
      </w:r>
      <w:r w:rsidRPr="005E249E">
        <w:rPr>
          <w:i w:val="0"/>
        </w:rPr>
        <w:t>50</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(e)</w:t>
      </w:r>
      <w:r>
        <w:rPr>
          <w:rFonts w:asciiTheme="minorHAnsi" w:eastAsiaTheme="minorEastAsia" w:hAnsiTheme="minorHAnsi"/>
          <w:sz w:val="22"/>
          <w:lang w:val="en-CA" w:eastAsia="en-CA" w:bidi="ar-SA"/>
        </w:rPr>
        <w:tab/>
      </w:r>
      <w:r w:rsidRPr="005E249E">
        <w:rPr>
          <w:i w:val="0"/>
        </w:rPr>
        <w:t xml:space="preserve">Departure From the Rule in </w:t>
      </w:r>
      <w:r w:rsidRPr="005E249E">
        <w:t>Illinois Brick</w:t>
      </w:r>
      <w:r w:rsidRPr="005E249E">
        <w:rPr>
          <w:i w:val="0"/>
        </w:rPr>
        <w:t xml:space="preserve"> in the United States</w:t>
      </w:r>
      <w:r>
        <w:tab/>
      </w:r>
      <w:r>
        <w:rPr>
          <w:i w:val="0"/>
        </w:rPr>
        <w:t>51</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(f)</w:t>
      </w:r>
      <w:r>
        <w:rPr>
          <w:rFonts w:asciiTheme="minorHAnsi" w:eastAsiaTheme="minorEastAsia" w:hAnsiTheme="minorHAnsi"/>
          <w:sz w:val="22"/>
          <w:lang w:val="en-CA" w:eastAsia="en-CA" w:bidi="ar-SA"/>
        </w:rPr>
        <w:tab/>
      </w:r>
      <w:r w:rsidRPr="005E249E">
        <w:rPr>
          <w:i w:val="0"/>
        </w:rPr>
        <w:t>Doctrinal Commentary</w:t>
      </w:r>
      <w:r w:rsidRPr="000C6F8F">
        <w:rPr>
          <w:i w:val="0"/>
        </w:rPr>
        <w:tab/>
      </w:r>
      <w:r>
        <w:rPr>
          <w:i w:val="0"/>
        </w:rPr>
        <w:t>52</w:t>
      </w:r>
    </w:p>
    <w:p w:rsidR="006A370E" w:rsidRDefault="006A370E" w:rsidP="006A370E">
      <w:pPr>
        <w:pStyle w:val="TOC3"/>
        <w:tabs>
          <w:tab w:val="left" w:pos="1195"/>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(4)</w:t>
      </w:r>
      <w:r>
        <w:rPr>
          <w:rFonts w:asciiTheme="minorHAnsi" w:eastAsiaTheme="minorEastAsia" w:hAnsiTheme="minorHAnsi"/>
          <w:noProof/>
          <w:sz w:val="22"/>
          <w:lang w:val="en-CA" w:eastAsia="en-CA" w:bidi="ar-SA"/>
        </w:rPr>
        <w:tab/>
      </w:r>
      <w:r w:rsidRPr="005E249E">
        <w:rPr>
          <w:rFonts w:cs="Times New Roman"/>
          <w:noProof/>
        </w:rPr>
        <w:t>Conclusion on the Offensive Use of Passing On</w:t>
      </w:r>
      <w:r>
        <w:rPr>
          <w:noProof/>
        </w:rPr>
        <w:tab/>
        <w:t>60</w:t>
      </w:r>
    </w:p>
    <w:p w:rsidR="006A370E" w:rsidRDefault="006A370E" w:rsidP="00AA7792">
      <w:pPr>
        <w:pStyle w:val="TOC1"/>
        <w:tabs>
          <w:tab w:val="clear" w:pos="7380"/>
          <w:tab w:val="right" w:leader="dot" w:pos="8100"/>
        </w:tabs>
        <w:rPr>
          <w:rFonts w:asciiTheme="minorHAnsi" w:eastAsiaTheme="minorEastAsia" w:hAnsiTheme="minorHAnsi"/>
          <w:noProof/>
          <w:sz w:val="22"/>
          <w:lang w:val="en-CA" w:eastAsia="en-CA" w:bidi="ar-SA"/>
        </w:rPr>
      </w:pPr>
      <w:r w:rsidRPr="005E249E">
        <w:rPr>
          <w:rFonts w:cs="Times New Roman"/>
          <w:noProof/>
        </w:rPr>
        <w:t>B.</w:t>
      </w:r>
      <w:r>
        <w:rPr>
          <w:rFonts w:asciiTheme="minorHAnsi" w:eastAsiaTheme="minorEastAsia" w:hAnsiTheme="minorHAnsi"/>
          <w:noProof/>
          <w:sz w:val="22"/>
          <w:lang w:val="en-CA" w:eastAsia="en-CA" w:bidi="ar-SA"/>
        </w:rPr>
        <w:tab/>
      </w:r>
      <w:r w:rsidRPr="005E249E">
        <w:rPr>
          <w:rFonts w:cs="Times New Roman"/>
          <w:noProof/>
        </w:rPr>
        <w:t>Certification of the Class Action</w:t>
      </w:r>
      <w:r>
        <w:rPr>
          <w:noProof/>
        </w:rPr>
        <w:tab/>
        <w:t>61</w:t>
      </w:r>
    </w:p>
    <w:p w:rsidR="006A370E" w:rsidRDefault="006A370E" w:rsidP="006A370E">
      <w:pPr>
        <w:pStyle w:val="TOC3"/>
        <w:tabs>
          <w:tab w:val="left" w:pos="1195"/>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(1)</w:t>
      </w:r>
      <w:r>
        <w:rPr>
          <w:rFonts w:asciiTheme="minorHAnsi" w:eastAsiaTheme="minorEastAsia" w:hAnsiTheme="minorHAnsi"/>
          <w:noProof/>
          <w:sz w:val="22"/>
          <w:lang w:val="en-CA" w:eastAsia="en-CA" w:bidi="ar-SA"/>
        </w:rPr>
        <w:tab/>
      </w:r>
      <w:r w:rsidRPr="005E249E">
        <w:rPr>
          <w:rFonts w:cs="Times New Roman"/>
          <w:noProof/>
        </w:rPr>
        <w:t>The Requirements for Certifica</w:t>
      </w:r>
      <w:r>
        <w:rPr>
          <w:rFonts w:cs="Times New Roman"/>
          <w:noProof/>
        </w:rPr>
        <w:t>tion Under the British Columbia</w:t>
      </w:r>
      <w:r>
        <w:rPr>
          <w:rFonts w:cs="Times New Roman"/>
          <w:noProof/>
        </w:rPr>
        <w:br/>
      </w:r>
      <w:r w:rsidRPr="005E249E">
        <w:rPr>
          <w:rFonts w:cs="Times New Roman"/>
          <w:i/>
          <w:noProof/>
        </w:rPr>
        <w:t>Class Proceedings Act</w:t>
      </w:r>
      <w:r>
        <w:rPr>
          <w:noProof/>
        </w:rPr>
        <w:tab/>
        <w:t>62</w:t>
      </w:r>
    </w:p>
    <w:p w:rsidR="006A370E" w:rsidRDefault="006A370E" w:rsidP="006A370E">
      <w:pPr>
        <w:pStyle w:val="TOC3"/>
        <w:tabs>
          <w:tab w:val="left" w:pos="1195"/>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(2)</w:t>
      </w:r>
      <w:r>
        <w:rPr>
          <w:rFonts w:asciiTheme="minorHAnsi" w:eastAsiaTheme="minorEastAsia" w:hAnsiTheme="minorHAnsi"/>
          <w:noProof/>
          <w:sz w:val="22"/>
          <w:lang w:val="en-CA" w:eastAsia="en-CA" w:bidi="ar-SA"/>
        </w:rPr>
        <w:tab/>
      </w:r>
      <w:r w:rsidRPr="005E249E">
        <w:rPr>
          <w:rFonts w:cs="Times New Roman"/>
          <w:noProof/>
        </w:rPr>
        <w:t>Do the Pleadings Disclose a Cause of Action?</w:t>
      </w:r>
      <w:r>
        <w:rPr>
          <w:noProof/>
        </w:rPr>
        <w:tab/>
        <w:t>63</w:t>
      </w:r>
    </w:p>
    <w:p w:rsidR="006A370E" w:rsidRDefault="006A370E" w:rsidP="006A370E">
      <w:pPr>
        <w:pStyle w:val="TOC4"/>
        <w:tabs>
          <w:tab w:val="left" w:pos="1440"/>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(a)</w:t>
      </w:r>
      <w:r>
        <w:rPr>
          <w:rFonts w:asciiTheme="minorHAnsi" w:eastAsiaTheme="minorEastAsia" w:hAnsiTheme="minorHAnsi"/>
          <w:noProof/>
          <w:sz w:val="22"/>
          <w:lang w:val="en-CA" w:eastAsia="en-CA" w:bidi="ar-SA"/>
        </w:rPr>
        <w:tab/>
      </w:r>
      <w:r w:rsidRPr="005E249E">
        <w:rPr>
          <w:rFonts w:cs="Times New Roman"/>
          <w:noProof/>
        </w:rPr>
        <w:t xml:space="preserve">Section 36 of the </w:t>
      </w:r>
      <w:r w:rsidRPr="005E249E">
        <w:rPr>
          <w:rFonts w:cs="Times New Roman"/>
          <w:i/>
          <w:noProof/>
        </w:rPr>
        <w:t>Competition Act</w:t>
      </w:r>
      <w:r>
        <w:rPr>
          <w:noProof/>
        </w:rPr>
        <w:tab/>
        <w:t>65</w:t>
      </w:r>
    </w:p>
    <w:p w:rsidR="006A370E" w:rsidRDefault="006A370E" w:rsidP="006A370E">
      <w:pPr>
        <w:pStyle w:val="TOC4"/>
        <w:tabs>
          <w:tab w:val="left" w:pos="1440"/>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lastRenderedPageBreak/>
        <w:t>(b)</w:t>
      </w:r>
      <w:r>
        <w:rPr>
          <w:rFonts w:asciiTheme="minorHAnsi" w:eastAsiaTheme="minorEastAsia" w:hAnsiTheme="minorHAnsi"/>
          <w:noProof/>
          <w:sz w:val="22"/>
          <w:lang w:val="en-CA" w:eastAsia="en-CA" w:bidi="ar-SA"/>
        </w:rPr>
        <w:tab/>
      </w:r>
      <w:r w:rsidRPr="005E249E">
        <w:rPr>
          <w:rFonts w:cs="Times New Roman"/>
          <w:noProof/>
        </w:rPr>
        <w:t>Tort</w:t>
      </w:r>
      <w:r>
        <w:rPr>
          <w:noProof/>
        </w:rPr>
        <w:tab/>
        <w:t>72</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(i)</w:t>
      </w:r>
      <w:r w:rsidRPr="00650910">
        <w:rPr>
          <w:rFonts w:asciiTheme="minorHAnsi" w:eastAsiaTheme="minorEastAsia" w:hAnsiTheme="minorHAnsi"/>
          <w:sz w:val="22"/>
          <w:lang w:val="en-CA" w:eastAsia="en-CA" w:bidi="ar-SA"/>
        </w:rPr>
        <w:tab/>
      </w:r>
      <w:r w:rsidRPr="005E249E">
        <w:rPr>
          <w:i w:val="0"/>
        </w:rPr>
        <w:t>Predominant Purpose Conspiracy</w:t>
      </w:r>
      <w:r w:rsidRPr="000C6F8F">
        <w:rPr>
          <w:i w:val="0"/>
        </w:rPr>
        <w:tab/>
      </w:r>
      <w:r>
        <w:rPr>
          <w:i w:val="0"/>
        </w:rPr>
        <w:t>74</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(ii)</w:t>
      </w:r>
      <w:r w:rsidRPr="00650910">
        <w:rPr>
          <w:rFonts w:asciiTheme="minorHAnsi" w:eastAsiaTheme="minorEastAsia" w:hAnsiTheme="minorHAnsi"/>
          <w:sz w:val="22"/>
          <w:lang w:val="en-CA" w:eastAsia="en-CA" w:bidi="ar-SA"/>
        </w:rPr>
        <w:tab/>
      </w:r>
      <w:r w:rsidRPr="005E249E">
        <w:rPr>
          <w:i w:val="0"/>
        </w:rPr>
        <w:t>Unlawful Means Conspira</w:t>
      </w:r>
      <w:r>
        <w:rPr>
          <w:i w:val="0"/>
        </w:rPr>
        <w:t>cy and Intentional Interference</w:t>
      </w:r>
      <w:r>
        <w:rPr>
          <w:i w:val="0"/>
        </w:rPr>
        <w:br/>
      </w:r>
      <w:r w:rsidRPr="005E249E">
        <w:rPr>
          <w:i w:val="0"/>
        </w:rPr>
        <w:t>With Economic Interests</w:t>
      </w:r>
      <w:r w:rsidRPr="000C6F8F">
        <w:rPr>
          <w:i w:val="0"/>
        </w:rPr>
        <w:tab/>
      </w:r>
      <w:r>
        <w:rPr>
          <w:i w:val="0"/>
        </w:rPr>
        <w:t>80</w:t>
      </w:r>
    </w:p>
    <w:p w:rsidR="006A370E" w:rsidRDefault="006A370E" w:rsidP="006A370E">
      <w:pPr>
        <w:pStyle w:val="TOC4"/>
        <w:tabs>
          <w:tab w:val="left" w:pos="1440"/>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(c)</w:t>
      </w:r>
      <w:r>
        <w:rPr>
          <w:rFonts w:asciiTheme="minorHAnsi" w:eastAsiaTheme="minorEastAsia" w:hAnsiTheme="minorHAnsi"/>
          <w:noProof/>
          <w:sz w:val="22"/>
          <w:lang w:val="en-CA" w:eastAsia="en-CA" w:bidi="ar-SA"/>
        </w:rPr>
        <w:tab/>
      </w:r>
      <w:r w:rsidRPr="005E249E">
        <w:rPr>
          <w:rFonts w:cs="Times New Roman"/>
          <w:noProof/>
        </w:rPr>
        <w:t>Restitution</w:t>
      </w:r>
      <w:r>
        <w:rPr>
          <w:noProof/>
        </w:rPr>
        <w:tab/>
        <w:t>84</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(i)</w:t>
      </w:r>
      <w:r w:rsidRPr="00650910">
        <w:rPr>
          <w:rFonts w:asciiTheme="minorHAnsi" w:eastAsiaTheme="minorEastAsia" w:hAnsiTheme="minorHAnsi"/>
          <w:sz w:val="22"/>
          <w:lang w:val="en-CA" w:eastAsia="en-CA" w:bidi="ar-SA"/>
        </w:rPr>
        <w:tab/>
      </w:r>
      <w:r w:rsidRPr="005E249E">
        <w:rPr>
          <w:i w:val="0"/>
        </w:rPr>
        <w:t>Unjust Enrichment</w:t>
      </w:r>
      <w:r w:rsidRPr="000C6F8F">
        <w:rPr>
          <w:i w:val="0"/>
        </w:rPr>
        <w:tab/>
      </w:r>
      <w:r>
        <w:rPr>
          <w:i w:val="0"/>
        </w:rPr>
        <w:t>85</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(ii)</w:t>
      </w:r>
      <w:r w:rsidRPr="00650910">
        <w:rPr>
          <w:rFonts w:asciiTheme="minorHAnsi" w:eastAsiaTheme="minorEastAsia" w:hAnsiTheme="minorHAnsi"/>
          <w:sz w:val="22"/>
          <w:lang w:val="en-CA" w:eastAsia="en-CA" w:bidi="ar-SA"/>
        </w:rPr>
        <w:tab/>
      </w:r>
      <w:r w:rsidRPr="005E249E">
        <w:rPr>
          <w:i w:val="0"/>
        </w:rPr>
        <w:t>Constructive Trust</w:t>
      </w:r>
      <w:r w:rsidRPr="000C6F8F">
        <w:rPr>
          <w:i w:val="0"/>
        </w:rPr>
        <w:tab/>
      </w:r>
      <w:r w:rsidRPr="005E249E">
        <w:rPr>
          <w:i w:val="0"/>
        </w:rPr>
        <w:t>90</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(iii)</w:t>
      </w:r>
      <w:r w:rsidRPr="00650910">
        <w:rPr>
          <w:rFonts w:asciiTheme="minorHAnsi" w:eastAsiaTheme="minorEastAsia" w:hAnsiTheme="minorHAnsi"/>
          <w:sz w:val="22"/>
          <w:lang w:val="en-CA" w:eastAsia="en-CA" w:bidi="ar-SA"/>
        </w:rPr>
        <w:tab/>
      </w:r>
      <w:r w:rsidRPr="005E249E">
        <w:rPr>
          <w:i w:val="0"/>
        </w:rPr>
        <w:t>Waiver of Tort</w:t>
      </w:r>
      <w:r w:rsidRPr="000C6F8F">
        <w:rPr>
          <w:i w:val="0"/>
        </w:rPr>
        <w:tab/>
      </w:r>
      <w:r>
        <w:rPr>
          <w:i w:val="0"/>
        </w:rPr>
        <w:t>93</w:t>
      </w:r>
    </w:p>
    <w:p w:rsidR="006A370E" w:rsidRDefault="006A370E" w:rsidP="006A370E">
      <w:pPr>
        <w:pStyle w:val="TOC3"/>
        <w:tabs>
          <w:tab w:val="left" w:pos="1195"/>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(3)</w:t>
      </w:r>
      <w:r>
        <w:rPr>
          <w:rFonts w:asciiTheme="minorHAnsi" w:eastAsiaTheme="minorEastAsia" w:hAnsiTheme="minorHAnsi"/>
          <w:noProof/>
          <w:sz w:val="22"/>
          <w:lang w:val="en-CA" w:eastAsia="en-CA" w:bidi="ar-SA"/>
        </w:rPr>
        <w:tab/>
      </w:r>
      <w:r w:rsidRPr="005E249E">
        <w:rPr>
          <w:rFonts w:cs="Times New Roman"/>
          <w:noProof/>
        </w:rPr>
        <w:t>The Remaining Certification Requirements</w:t>
      </w:r>
      <w:r>
        <w:rPr>
          <w:noProof/>
        </w:rPr>
        <w:tab/>
        <w:t>98</w:t>
      </w:r>
    </w:p>
    <w:p w:rsidR="006A370E" w:rsidRDefault="006A370E" w:rsidP="006A370E">
      <w:pPr>
        <w:pStyle w:val="TOC4"/>
        <w:tabs>
          <w:tab w:val="left" w:pos="1440"/>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(a)</w:t>
      </w:r>
      <w:r>
        <w:rPr>
          <w:rFonts w:asciiTheme="minorHAnsi" w:eastAsiaTheme="minorEastAsia" w:hAnsiTheme="minorHAnsi"/>
          <w:noProof/>
          <w:sz w:val="22"/>
          <w:lang w:val="en-CA" w:eastAsia="en-CA" w:bidi="ar-SA"/>
        </w:rPr>
        <w:tab/>
      </w:r>
      <w:r w:rsidRPr="005E249E">
        <w:rPr>
          <w:rFonts w:cs="Times New Roman"/>
          <w:noProof/>
        </w:rPr>
        <w:t>Standard of Proof</w:t>
      </w:r>
      <w:r>
        <w:rPr>
          <w:noProof/>
        </w:rPr>
        <w:tab/>
        <w:t>99</w:t>
      </w:r>
    </w:p>
    <w:p w:rsidR="006A370E" w:rsidRDefault="006A370E" w:rsidP="006A370E">
      <w:pPr>
        <w:pStyle w:val="TOC4"/>
        <w:tabs>
          <w:tab w:val="left" w:pos="1440"/>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(b)</w:t>
      </w:r>
      <w:r>
        <w:rPr>
          <w:rFonts w:asciiTheme="minorHAnsi" w:eastAsiaTheme="minorEastAsia" w:hAnsiTheme="minorHAnsi"/>
          <w:noProof/>
          <w:sz w:val="22"/>
          <w:lang w:val="en-CA" w:eastAsia="en-CA" w:bidi="ar-SA"/>
        </w:rPr>
        <w:tab/>
      </w:r>
      <w:r w:rsidRPr="005E249E">
        <w:rPr>
          <w:rFonts w:cs="Times New Roman"/>
          <w:noProof/>
        </w:rPr>
        <w:t>Do the Claims of the Class Members Raise Common Issues?</w:t>
      </w:r>
      <w:r>
        <w:rPr>
          <w:noProof/>
        </w:rPr>
        <w:tab/>
        <w:t>106</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(i)</w:t>
      </w:r>
      <w:r w:rsidRPr="00650910">
        <w:rPr>
          <w:rFonts w:asciiTheme="minorHAnsi" w:eastAsiaTheme="minorEastAsia" w:hAnsiTheme="minorHAnsi"/>
          <w:sz w:val="22"/>
          <w:lang w:val="en-CA" w:eastAsia="en-CA" w:bidi="ar-SA"/>
        </w:rPr>
        <w:tab/>
      </w:r>
      <w:r w:rsidRPr="005E249E">
        <w:rPr>
          <w:i w:val="0"/>
        </w:rPr>
        <w:t>Expert Evidence in Indirect Purchaser Class Actions</w:t>
      </w:r>
      <w:r w:rsidRPr="000C6F8F">
        <w:rPr>
          <w:i w:val="0"/>
        </w:rPr>
        <w:tab/>
      </w:r>
      <w:r>
        <w:rPr>
          <w:i w:val="0"/>
        </w:rPr>
        <w:t>114</w:t>
      </w:r>
    </w:p>
    <w:p w:rsidR="006A370E" w:rsidRDefault="006A370E" w:rsidP="006A370E">
      <w:pPr>
        <w:pStyle w:val="TOC5"/>
        <w:tabs>
          <w:tab w:val="right" w:leader="dot" w:pos="8100"/>
        </w:tabs>
        <w:rPr>
          <w:rFonts w:asciiTheme="minorHAnsi" w:eastAsiaTheme="minorEastAsia" w:hAnsiTheme="minorHAnsi"/>
          <w:sz w:val="22"/>
          <w:lang w:val="en-CA" w:eastAsia="en-CA" w:bidi="ar-SA"/>
        </w:rPr>
      </w:pPr>
      <w:r w:rsidRPr="005E249E">
        <w:rPr>
          <w:i w:val="0"/>
        </w:rPr>
        <w:t>(ii)</w:t>
      </w:r>
      <w:r w:rsidRPr="00650910">
        <w:rPr>
          <w:rFonts w:asciiTheme="minorHAnsi" w:eastAsiaTheme="minorEastAsia" w:hAnsiTheme="minorHAnsi"/>
          <w:sz w:val="22"/>
          <w:lang w:val="en-CA" w:eastAsia="en-CA" w:bidi="ar-SA"/>
        </w:rPr>
        <w:tab/>
      </w:r>
      <w:r w:rsidRPr="005E249E">
        <w:rPr>
          <w:i w:val="0"/>
        </w:rPr>
        <w:t>Aggregate Assessment of Damages</w:t>
      </w:r>
      <w:r w:rsidRPr="000C6F8F">
        <w:rPr>
          <w:i w:val="0"/>
        </w:rPr>
        <w:tab/>
      </w:r>
      <w:r>
        <w:rPr>
          <w:i w:val="0"/>
        </w:rPr>
        <w:t>127</w:t>
      </w:r>
    </w:p>
    <w:p w:rsidR="006A370E" w:rsidRDefault="006A370E" w:rsidP="006A370E">
      <w:pPr>
        <w:pStyle w:val="TOC4"/>
        <w:tabs>
          <w:tab w:val="left" w:pos="1440"/>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(c)</w:t>
      </w:r>
      <w:r>
        <w:rPr>
          <w:rFonts w:asciiTheme="minorHAnsi" w:eastAsiaTheme="minorEastAsia" w:hAnsiTheme="minorHAnsi"/>
          <w:noProof/>
          <w:sz w:val="22"/>
          <w:lang w:val="en-CA" w:eastAsia="en-CA" w:bidi="ar-SA"/>
        </w:rPr>
        <w:tab/>
      </w:r>
      <w:r w:rsidRPr="005E249E">
        <w:rPr>
          <w:rFonts w:cs="Times New Roman"/>
          <w:noProof/>
        </w:rPr>
        <w:t>Is a Class Action the Preferable Procedure?</w:t>
      </w:r>
      <w:r>
        <w:rPr>
          <w:noProof/>
        </w:rPr>
        <w:tab/>
        <w:t>136</w:t>
      </w:r>
    </w:p>
    <w:p w:rsidR="006A370E" w:rsidRDefault="006A370E" w:rsidP="006A370E">
      <w:pPr>
        <w:pStyle w:val="TOC3"/>
        <w:tabs>
          <w:tab w:val="left" w:pos="1195"/>
          <w:tab w:val="right" w:leader="dot" w:pos="8100"/>
          <w:tab w:val="right" w:leader="dot" w:pos="8270"/>
        </w:tabs>
        <w:rPr>
          <w:rFonts w:asciiTheme="minorHAnsi" w:eastAsiaTheme="minorEastAsia" w:hAnsiTheme="minorHAnsi"/>
          <w:noProof/>
          <w:sz w:val="22"/>
          <w:lang w:val="en-CA" w:eastAsia="en-CA" w:bidi="ar-SA"/>
        </w:rPr>
      </w:pPr>
      <w:r w:rsidRPr="005E249E">
        <w:rPr>
          <w:rFonts w:cs="Times New Roman"/>
          <w:noProof/>
        </w:rPr>
        <w:t>(4)</w:t>
      </w:r>
      <w:r>
        <w:rPr>
          <w:rFonts w:asciiTheme="minorHAnsi" w:eastAsiaTheme="minorEastAsia" w:hAnsiTheme="minorHAnsi"/>
          <w:noProof/>
          <w:sz w:val="22"/>
          <w:lang w:val="en-CA" w:eastAsia="en-CA" w:bidi="ar-SA"/>
        </w:rPr>
        <w:tab/>
      </w:r>
      <w:r w:rsidRPr="005E249E">
        <w:rPr>
          <w:rFonts w:cs="Times New Roman"/>
          <w:noProof/>
        </w:rPr>
        <w:t>Conclusion on the Certification of the Action</w:t>
      </w:r>
      <w:r>
        <w:rPr>
          <w:noProof/>
        </w:rPr>
        <w:tab/>
        <w:t>142</w:t>
      </w:r>
    </w:p>
    <w:p w:rsidR="006A370E" w:rsidRDefault="006A370E" w:rsidP="006A370E">
      <w:pPr>
        <w:pStyle w:val="TOC1"/>
        <w:tabs>
          <w:tab w:val="clear" w:pos="7380"/>
          <w:tab w:val="right" w:leader="dot" w:pos="8100"/>
        </w:tabs>
        <w:rPr>
          <w:rFonts w:asciiTheme="minorHAnsi" w:eastAsiaTheme="minorEastAsia" w:hAnsiTheme="minorHAnsi"/>
          <w:noProof/>
          <w:sz w:val="22"/>
          <w:lang w:val="en-CA" w:eastAsia="en-CA" w:bidi="ar-SA"/>
        </w:rPr>
      </w:pPr>
      <w:r w:rsidRPr="005E249E">
        <w:rPr>
          <w:rFonts w:cs="Times New Roman"/>
          <w:noProof/>
        </w:rPr>
        <w:t>V.</w:t>
      </w:r>
      <w:r>
        <w:rPr>
          <w:rFonts w:asciiTheme="minorHAnsi" w:eastAsiaTheme="minorEastAsia" w:hAnsiTheme="minorHAnsi"/>
          <w:noProof/>
          <w:sz w:val="22"/>
          <w:lang w:val="en-CA" w:eastAsia="en-CA" w:bidi="ar-SA"/>
        </w:rPr>
        <w:tab/>
      </w:r>
      <w:r w:rsidRPr="005E249E">
        <w:rPr>
          <w:rFonts w:cs="Times New Roman"/>
          <w:noProof/>
        </w:rPr>
        <w:t>Conclusion</w:t>
      </w:r>
      <w:r>
        <w:rPr>
          <w:noProof/>
        </w:rPr>
        <w:tab/>
        <w:t>143</w:t>
      </w:r>
    </w:p>
    <w:p w:rsidR="006A370E" w:rsidRPr="00F3634F" w:rsidRDefault="006A370E" w:rsidP="006A370E">
      <w:pPr>
        <w:pStyle w:val="TOC1"/>
        <w:tabs>
          <w:tab w:val="clear" w:pos="7380"/>
          <w:tab w:val="right" w:leader="dot" w:pos="8100"/>
        </w:tabs>
        <w:rPr>
          <w:rFonts w:asciiTheme="minorHAnsi" w:hAnsiTheme="minorHAnsi"/>
          <w:sz w:val="22"/>
          <w:lang w:val="en-CA"/>
        </w:rPr>
      </w:pPr>
      <w:r>
        <w:t xml:space="preserve">APPENDIX: Common Issues Certified by Myers J. </w:t>
      </w:r>
    </w:p>
    <w:p w:rsidR="006A370E" w:rsidRPr="00C214EC" w:rsidRDefault="006A370E" w:rsidP="006A370E">
      <w:pPr>
        <w:tabs>
          <w:tab w:val="right" w:leader="dot" w:pos="8100"/>
        </w:tabs>
        <w:spacing w:before="120" w:after="120"/>
      </w:pPr>
    </w:p>
    <w:p w:rsidR="006A370E" w:rsidRPr="00FD55E3" w:rsidRDefault="00DF53FF" w:rsidP="00DF53FF">
      <w:pPr>
        <w:pStyle w:val="Title1LevelTitre1Niveau-AltL"/>
        <w:numPr>
          <w:ilvl w:val="0"/>
          <w:numId w:val="0"/>
        </w:numPr>
        <w:ind w:left="540" w:hanging="540"/>
        <w:rPr>
          <w:rFonts w:cs="Times New Roman"/>
        </w:rPr>
      </w:pPr>
      <w:bookmarkStart w:id="0" w:name="_Toc360611896"/>
      <w:bookmarkStart w:id="1" w:name="_Toc367887573"/>
      <w:bookmarkStart w:id="2" w:name="_Toc367948537"/>
      <w:bookmarkStart w:id="3" w:name="_Toc367957366"/>
      <w:bookmarkStart w:id="4" w:name="_Toc369188614"/>
      <w:bookmarkStart w:id="5" w:name="_Toc370902996"/>
      <w:r w:rsidRPr="00DF53FF">
        <w:rPr>
          <w:rFonts w:cs="Times New Roman"/>
          <w:u w:val="none"/>
        </w:rPr>
        <w:t>I.</w:t>
      </w:r>
      <w:r w:rsidRPr="00DF53FF">
        <w:rPr>
          <w:rFonts w:cs="Times New Roman"/>
          <w:u w:val="none"/>
        </w:rPr>
        <w:tab/>
      </w:r>
      <w:r w:rsidR="006A370E" w:rsidRPr="00FD55E3">
        <w:rPr>
          <w:rFonts w:cs="Times New Roman"/>
        </w:rPr>
        <w:t>I</w:t>
      </w:r>
      <w:bookmarkEnd w:id="0"/>
      <w:bookmarkEnd w:id="1"/>
      <w:bookmarkEnd w:id="2"/>
      <w:bookmarkEnd w:id="3"/>
      <w:bookmarkEnd w:id="4"/>
      <w:r w:rsidR="006A370E">
        <w:rPr>
          <w:rFonts w:cs="Times New Roman"/>
        </w:rPr>
        <w:t>ntroduction</w:t>
      </w:r>
      <w:bookmarkEnd w:id="5"/>
    </w:p>
    <w:p w:rsidR="006A370E" w:rsidRPr="00FD55E3" w:rsidRDefault="006A370E" w:rsidP="006A370E">
      <w:pPr>
        <w:pStyle w:val="ParaNoNdepar-AltN"/>
        <w:rPr>
          <w:rFonts w:cs="Times New Roman"/>
        </w:rPr>
      </w:pPr>
      <w:r w:rsidRPr="00FD55E3">
        <w:rPr>
          <w:rFonts w:cs="Times New Roman"/>
        </w:rPr>
        <w:t xml:space="preserve">It is no simple task to assess liability and apportion damages in situations where the wrongdoer and the harmed parties are separated by a long and complex chain of distribution, involving many parties, purchasers, resellers and intermediaries. Such is the problem presented by indirect purchaser actions in which downstream individual purchasers seek recovery for alleged unlawful overcharges that were passed on to them through the successive links in the chain. </w:t>
      </w:r>
    </w:p>
    <w:p w:rsidR="006A370E" w:rsidRPr="00FD55E3" w:rsidRDefault="006A370E" w:rsidP="006A370E">
      <w:pPr>
        <w:pStyle w:val="ParaNoNdepar-AltN"/>
        <w:rPr>
          <w:rFonts w:cs="Times New Roman"/>
        </w:rPr>
      </w:pPr>
      <w:r w:rsidRPr="00FD55E3">
        <w:rPr>
          <w:rFonts w:cs="Times New Roman"/>
        </w:rPr>
        <w:lastRenderedPageBreak/>
        <w:t xml:space="preserve">The complexities inherent in indirect purchaser actions are magnified when such actions are brought as a class proceeding. When that happens, the courts are required to grapple with not only the difficulties associated with indirect purchaser actions, but are also then asked to decide whether the requirements for certification of a class action are met.  These are the questions the Court is faced with in this appeal.  </w:t>
      </w:r>
    </w:p>
    <w:p w:rsidR="006A370E" w:rsidRPr="00FD55E3" w:rsidRDefault="00DF53FF" w:rsidP="00DF53FF">
      <w:pPr>
        <w:pStyle w:val="Title1LevelTitre1Niveau-AltL"/>
        <w:numPr>
          <w:ilvl w:val="0"/>
          <w:numId w:val="0"/>
        </w:numPr>
        <w:ind w:left="540" w:hanging="540"/>
        <w:rPr>
          <w:rFonts w:cs="Times New Roman"/>
        </w:rPr>
      </w:pPr>
      <w:bookmarkStart w:id="6" w:name="_Toc360611897"/>
      <w:bookmarkStart w:id="7" w:name="_Toc367887574"/>
      <w:bookmarkStart w:id="8" w:name="_Toc367948538"/>
      <w:bookmarkStart w:id="9" w:name="_Toc367957367"/>
      <w:bookmarkStart w:id="10" w:name="_Toc369188615"/>
      <w:bookmarkStart w:id="11" w:name="_Toc370902997"/>
      <w:r w:rsidRPr="00DF53FF">
        <w:rPr>
          <w:rFonts w:cs="Times New Roman"/>
          <w:u w:val="none"/>
        </w:rPr>
        <w:t>II.</w:t>
      </w:r>
      <w:r w:rsidRPr="00DF53FF">
        <w:rPr>
          <w:rFonts w:cs="Times New Roman"/>
          <w:u w:val="none"/>
        </w:rPr>
        <w:tab/>
      </w:r>
      <w:r w:rsidR="006A370E" w:rsidRPr="00FD55E3">
        <w:rPr>
          <w:rFonts w:cs="Times New Roman"/>
        </w:rPr>
        <w:t>Background</w:t>
      </w:r>
      <w:bookmarkEnd w:id="6"/>
      <w:bookmarkEnd w:id="7"/>
      <w:bookmarkEnd w:id="8"/>
      <w:bookmarkEnd w:id="9"/>
      <w:bookmarkEnd w:id="10"/>
      <w:bookmarkEnd w:id="11"/>
    </w:p>
    <w:p w:rsidR="006A370E" w:rsidRPr="00FD55E3" w:rsidRDefault="006A370E" w:rsidP="006A370E">
      <w:pPr>
        <w:pStyle w:val="ParaNoNdepar-AltN"/>
        <w:rPr>
          <w:rFonts w:cs="Times New Roman"/>
        </w:rPr>
      </w:pPr>
      <w:r w:rsidRPr="00FD55E3">
        <w:rPr>
          <w:rFonts w:cs="Times New Roman"/>
        </w:rPr>
        <w:t xml:space="preserve">The representative plaintiffs in this action, </w:t>
      </w:r>
      <w:r>
        <w:rPr>
          <w:rFonts w:cs="Times New Roman"/>
        </w:rPr>
        <w:t>Pro-Sys Consultants</w:t>
      </w:r>
      <w:r w:rsidRPr="00FD55E3">
        <w:rPr>
          <w:rFonts w:cs="Times New Roman"/>
        </w:rPr>
        <w:t xml:space="preserve"> Ltd. and Neil Godfrey (collectively “Pro-Sys”)</w:t>
      </w:r>
      <w:r>
        <w:rPr>
          <w:rFonts w:cs="Times New Roman"/>
        </w:rPr>
        <w:t>,</w:t>
      </w:r>
      <w:r w:rsidRPr="00FD55E3">
        <w:rPr>
          <w:rFonts w:cs="Times New Roman"/>
        </w:rPr>
        <w:t xml:space="preserve"> brought a class action against Microsoft Corporation and Microsoft Canada Co./Microsoft Canada CIE (collectively “Microsoft”) alleging that beginning in 1988, Microsoft engaged in unlawful conduct </w:t>
      </w:r>
      <w:r>
        <w:rPr>
          <w:rFonts w:cs="Times New Roman"/>
        </w:rPr>
        <w:t xml:space="preserve">by overcharging </w:t>
      </w:r>
      <w:r w:rsidRPr="00FD55E3">
        <w:rPr>
          <w:rFonts w:cs="Times New Roman"/>
        </w:rPr>
        <w:t>for</w:t>
      </w:r>
      <w:r>
        <w:rPr>
          <w:rFonts w:cs="Times New Roman"/>
        </w:rPr>
        <w:t xml:space="preserve"> its</w:t>
      </w:r>
      <w:r w:rsidRPr="00FD55E3">
        <w:rPr>
          <w:rFonts w:cs="Times New Roman"/>
        </w:rPr>
        <w:t xml:space="preserve"> Intel-compatible PC operating systems and Intel-compa</w:t>
      </w:r>
      <w:r>
        <w:rPr>
          <w:rFonts w:cs="Times New Roman"/>
        </w:rPr>
        <w:t>tible PC applications software.</w:t>
      </w:r>
      <w:r w:rsidRPr="00FD55E3">
        <w:rPr>
          <w:rFonts w:cs="Times New Roman"/>
        </w:rPr>
        <w:t xml:space="preserve"> </w:t>
      </w:r>
      <w:r>
        <w:rPr>
          <w:rFonts w:cs="Times New Roman"/>
        </w:rPr>
        <w:t xml:space="preserve"> </w:t>
      </w:r>
      <w:r w:rsidRPr="00FD55E3">
        <w:rPr>
          <w:rFonts w:cs="Times New Roman"/>
        </w:rPr>
        <w:t xml:space="preserve">Pro-Sys claims that as a direct consequence of Microsoft’s unlawful conduct, it and all the class members paid and continue to pay higher prices for Microsoft </w:t>
      </w:r>
      <w:r>
        <w:rPr>
          <w:rFonts w:cs="Times New Roman"/>
        </w:rPr>
        <w:t>operating systems and applications s</w:t>
      </w:r>
      <w:r w:rsidRPr="00FD55E3">
        <w:rPr>
          <w:rFonts w:cs="Times New Roman"/>
        </w:rPr>
        <w:t>oftware than they would have paid absent the unlawful conduct</w:t>
      </w:r>
      <w:r>
        <w:rPr>
          <w:rFonts w:cs="Times New Roman"/>
        </w:rPr>
        <w:t>.</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Pro-Sys sought certification of the action </w:t>
      </w:r>
      <w:r>
        <w:rPr>
          <w:rFonts w:cs="Times New Roman"/>
        </w:rPr>
        <w:t xml:space="preserve">as a class proceeding </w:t>
      </w:r>
      <w:r w:rsidRPr="00FD55E3">
        <w:rPr>
          <w:rFonts w:cs="Times New Roman"/>
        </w:rPr>
        <w:t xml:space="preserve">under the </w:t>
      </w:r>
      <w:r w:rsidRPr="00FD55E3">
        <w:rPr>
          <w:rFonts w:cs="Times New Roman"/>
          <w:i/>
        </w:rPr>
        <w:t>Class Proceedings Act</w:t>
      </w:r>
      <w:r w:rsidRPr="00FD55E3">
        <w:rPr>
          <w:rFonts w:cs="Times New Roman"/>
        </w:rPr>
        <w:t xml:space="preserve">, R.S.B.C. 1996, </w:t>
      </w:r>
      <w:proofErr w:type="gramStart"/>
      <w:r w:rsidRPr="00FD55E3">
        <w:rPr>
          <w:rFonts w:cs="Times New Roman"/>
        </w:rPr>
        <w:t>c</w:t>
      </w:r>
      <w:proofErr w:type="gramEnd"/>
      <w:r w:rsidRPr="00FD55E3">
        <w:rPr>
          <w:rFonts w:cs="Times New Roman"/>
        </w:rPr>
        <w:t>.</w:t>
      </w:r>
      <w:r>
        <w:rPr>
          <w:rFonts w:cs="Times New Roman"/>
        </w:rPr>
        <w:t xml:space="preserve"> </w:t>
      </w:r>
      <w:r w:rsidRPr="00FD55E3">
        <w:rPr>
          <w:rFonts w:cs="Times New Roman"/>
        </w:rPr>
        <w:t>50 (</w:t>
      </w:r>
      <w:r>
        <w:rPr>
          <w:rFonts w:cs="Times New Roman"/>
        </w:rPr>
        <w:t>“</w:t>
      </w:r>
      <w:r w:rsidRPr="00FD55E3">
        <w:rPr>
          <w:rFonts w:cs="Times New Roman"/>
          <w:i/>
        </w:rPr>
        <w:t>CPA</w:t>
      </w:r>
      <w:r>
        <w:rPr>
          <w:rFonts w:cs="Times New Roman"/>
        </w:rPr>
        <w:t>”</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The proposed class is made up of ultimate consumers who acquired Microsoft products from re-sellers, re-sellers who themselves purchased the products </w:t>
      </w:r>
      <w:r w:rsidRPr="00FD55E3">
        <w:rPr>
          <w:rFonts w:cs="Times New Roman"/>
        </w:rPr>
        <w:lastRenderedPageBreak/>
        <w:t xml:space="preserve">either directly from Microsoft or from other re-sellers higher up the chain of distribution.  These consumers are known as the “indirect purchasers”. The proposed class was defined </w:t>
      </w:r>
      <w:r>
        <w:rPr>
          <w:rFonts w:cs="Times New Roman"/>
        </w:rPr>
        <w:t xml:space="preserve">in the statement of claim </w:t>
      </w:r>
      <w:r w:rsidRPr="00FD55E3">
        <w:rPr>
          <w:rFonts w:cs="Times New Roman"/>
        </w:rPr>
        <w:t xml:space="preserve">as </w:t>
      </w:r>
    </w:p>
    <w:p w:rsidR="006A370E" w:rsidRDefault="006A370E" w:rsidP="006A370E">
      <w:pPr>
        <w:pStyle w:val="Citation-AltC"/>
      </w:pPr>
      <w:r>
        <w:t xml:space="preserve"> </w:t>
      </w:r>
      <w:r w:rsidRPr="00FD55E3">
        <w:t xml:space="preserve">all persons resident in British Columbia who, on or after January 1, 1994, indirectly acquired a license for </w:t>
      </w:r>
      <w:r>
        <w:t>Microsoft Operating Systems and</w:t>
      </w:r>
      <w:r w:rsidRPr="00FD55E3">
        <w:t>/or Microsoft Application</w:t>
      </w:r>
      <w:r>
        <w:t>s</w:t>
      </w:r>
      <w:r w:rsidRPr="00FD55E3">
        <w:t xml:space="preserve"> Software for their own use, and not for purpose</w:t>
      </w:r>
      <w:r>
        <w:t>s</w:t>
      </w:r>
      <w:r w:rsidRPr="00FD55E3">
        <w:t xml:space="preserve"> of further selling or leasing. </w:t>
      </w:r>
    </w:p>
    <w:p w:rsidR="006A370E" w:rsidRDefault="006A370E" w:rsidP="006A370E">
      <w:pPr>
        <w:pStyle w:val="Citation-AltC"/>
      </w:pPr>
    </w:p>
    <w:p w:rsidR="006A370E" w:rsidRPr="00FD55E3" w:rsidRDefault="006A370E" w:rsidP="006A370E">
      <w:pPr>
        <w:pStyle w:val="Citation-AltC"/>
        <w:ind w:left="0"/>
      </w:pPr>
      <w:r>
        <w:t>(2010 BCSC 285 (</w:t>
      </w:r>
      <w:proofErr w:type="spellStart"/>
      <w:r>
        <w:t>CanLII</w:t>
      </w:r>
      <w:proofErr w:type="spellEnd"/>
      <w:r>
        <w:t xml:space="preserve">), at </w:t>
      </w:r>
      <w:proofErr w:type="spellStart"/>
      <w:r>
        <w:t>para</w:t>
      </w:r>
      <w:proofErr w:type="spellEnd"/>
      <w:r>
        <w:t>. 16)</w:t>
      </w:r>
    </w:p>
    <w:p w:rsidR="006A370E" w:rsidRPr="00FD55E3" w:rsidRDefault="00DF53FF" w:rsidP="00DF53FF">
      <w:pPr>
        <w:pStyle w:val="Title1LevelTitre1Niveau-AltL"/>
        <w:numPr>
          <w:ilvl w:val="0"/>
          <w:numId w:val="0"/>
        </w:numPr>
        <w:ind w:left="540" w:hanging="540"/>
        <w:rPr>
          <w:rFonts w:cs="Times New Roman"/>
        </w:rPr>
      </w:pPr>
      <w:bookmarkStart w:id="12" w:name="_Toc360611898"/>
      <w:bookmarkStart w:id="13" w:name="_Toc367887575"/>
      <w:bookmarkStart w:id="14" w:name="_Toc367948539"/>
      <w:bookmarkStart w:id="15" w:name="_Toc367957368"/>
      <w:bookmarkStart w:id="16" w:name="_Toc369188616"/>
      <w:bookmarkStart w:id="17" w:name="_Toc370902998"/>
      <w:r w:rsidRPr="00DF53FF">
        <w:rPr>
          <w:rFonts w:cs="Times New Roman"/>
          <w:u w:val="none"/>
        </w:rPr>
        <w:t>III.</w:t>
      </w:r>
      <w:r w:rsidRPr="00DF53FF">
        <w:rPr>
          <w:rFonts w:cs="Times New Roman"/>
          <w:u w:val="none"/>
        </w:rPr>
        <w:tab/>
      </w:r>
      <w:r w:rsidR="006A370E">
        <w:rPr>
          <w:rFonts w:cs="Times New Roman"/>
        </w:rPr>
        <w:t>The Proceedings Below</w:t>
      </w:r>
      <w:bookmarkEnd w:id="12"/>
      <w:bookmarkEnd w:id="13"/>
      <w:bookmarkEnd w:id="14"/>
      <w:bookmarkEnd w:id="15"/>
      <w:bookmarkEnd w:id="16"/>
      <w:bookmarkEnd w:id="17"/>
    </w:p>
    <w:p w:rsidR="006A370E" w:rsidRPr="00FD55E3" w:rsidRDefault="00DF53FF" w:rsidP="00DF53FF">
      <w:pPr>
        <w:pStyle w:val="Title2LevelTitre2Niveau"/>
        <w:numPr>
          <w:ilvl w:val="0"/>
          <w:numId w:val="0"/>
        </w:numPr>
        <w:ind w:left="540" w:hanging="540"/>
        <w:rPr>
          <w:rFonts w:cs="Times New Roman"/>
        </w:rPr>
      </w:pPr>
      <w:bookmarkStart w:id="18" w:name="_Toc360611899"/>
      <w:bookmarkStart w:id="19" w:name="_Toc367887576"/>
      <w:bookmarkStart w:id="20" w:name="_Toc367948540"/>
      <w:bookmarkStart w:id="21" w:name="_Toc367957369"/>
      <w:bookmarkStart w:id="22" w:name="_Toc369188617"/>
      <w:bookmarkStart w:id="23" w:name="_Toc370902999"/>
      <w:r w:rsidRPr="00DF53FF">
        <w:rPr>
          <w:rFonts w:cs="Times New Roman"/>
          <w:i w:val="0"/>
        </w:rPr>
        <w:t>A.</w:t>
      </w:r>
      <w:r w:rsidRPr="00DF53FF">
        <w:rPr>
          <w:rFonts w:cs="Times New Roman"/>
          <w:i w:val="0"/>
        </w:rPr>
        <w:tab/>
      </w:r>
      <w:r w:rsidR="006A370E" w:rsidRPr="00FD55E3">
        <w:rPr>
          <w:rFonts w:cs="Times New Roman"/>
        </w:rPr>
        <w:t>Certification Proceedings in the British Columbia Supreme Court</w:t>
      </w:r>
      <w:bookmarkEnd w:id="18"/>
      <w:bookmarkEnd w:id="19"/>
      <w:bookmarkEnd w:id="20"/>
      <w:bookmarkEnd w:id="21"/>
      <w:bookmarkEnd w:id="22"/>
      <w:bookmarkEnd w:id="23"/>
    </w:p>
    <w:p w:rsidR="006A370E" w:rsidRPr="00FD55E3" w:rsidRDefault="006A370E" w:rsidP="006A370E">
      <w:pPr>
        <w:pStyle w:val="ParaNoNdepar-AltN"/>
        <w:rPr>
          <w:rFonts w:cs="Times New Roman"/>
        </w:rPr>
      </w:pPr>
      <w:r w:rsidRPr="00FD55E3">
        <w:rPr>
          <w:rFonts w:cs="Times New Roman"/>
        </w:rPr>
        <w:t>Pro-Sys filed its original statement of claim in the British Columbia Supreme Court (“B</w:t>
      </w:r>
      <w:r>
        <w:rPr>
          <w:rFonts w:cs="Times New Roman"/>
        </w:rPr>
        <w:t>.</w:t>
      </w:r>
      <w:r w:rsidRPr="00FD55E3">
        <w:rPr>
          <w:rFonts w:cs="Times New Roman"/>
        </w:rPr>
        <w:t>C</w:t>
      </w:r>
      <w:r>
        <w:rPr>
          <w:rFonts w:cs="Times New Roman"/>
        </w:rPr>
        <w:t>.</w:t>
      </w:r>
      <w:r w:rsidRPr="00FD55E3">
        <w:rPr>
          <w:rFonts w:cs="Times New Roman"/>
        </w:rPr>
        <w:t>S</w:t>
      </w:r>
      <w:r>
        <w:rPr>
          <w:rFonts w:cs="Times New Roman"/>
        </w:rPr>
        <w:t>.</w:t>
      </w:r>
      <w:r w:rsidRPr="00FD55E3">
        <w:rPr>
          <w:rFonts w:cs="Times New Roman"/>
        </w:rPr>
        <w:t>C</w:t>
      </w:r>
      <w:r>
        <w:rPr>
          <w:rFonts w:cs="Times New Roman"/>
        </w:rPr>
        <w:t>.</w:t>
      </w:r>
      <w:r w:rsidRPr="00FD55E3">
        <w:rPr>
          <w:rFonts w:cs="Times New Roman"/>
        </w:rPr>
        <w:t xml:space="preserve">”) in December 2004. Thereafter numerous amendments to the Statement of Claim were made with the approval of </w:t>
      </w:r>
      <w:proofErr w:type="spellStart"/>
      <w:r w:rsidRPr="00FD55E3">
        <w:rPr>
          <w:rFonts w:cs="Times New Roman"/>
        </w:rPr>
        <w:t>Tysoe</w:t>
      </w:r>
      <w:proofErr w:type="spellEnd"/>
      <w:r w:rsidRPr="00FD55E3">
        <w:rPr>
          <w:rFonts w:cs="Times New Roman"/>
        </w:rPr>
        <w:t xml:space="preserve"> J., ultimately resulting in the </w:t>
      </w:r>
      <w:r>
        <w:rPr>
          <w:rFonts w:cs="Times New Roman"/>
        </w:rPr>
        <w:t xml:space="preserve">Third </w:t>
      </w:r>
      <w:r w:rsidRPr="00FD55E3">
        <w:rPr>
          <w:rFonts w:cs="Times New Roman"/>
        </w:rPr>
        <w:t xml:space="preserve">Further Amended Statement of Claim. </w:t>
      </w:r>
      <w:r>
        <w:rPr>
          <w:rFonts w:cs="Times New Roman"/>
        </w:rPr>
        <w:t xml:space="preserve">A Fourth Further Amended Statement of Claim has not officially been filed. </w:t>
      </w:r>
    </w:p>
    <w:p w:rsidR="006A370E" w:rsidRPr="002A0774" w:rsidRDefault="006A370E" w:rsidP="006A370E">
      <w:pPr>
        <w:pStyle w:val="ParaNoNdepar-AltN"/>
        <w:rPr>
          <w:rFonts w:cs="Times New Roman"/>
        </w:rPr>
      </w:pPr>
      <w:r>
        <w:rPr>
          <w:rFonts w:cs="Times New Roman"/>
        </w:rPr>
        <w:t xml:space="preserve">In 2006, </w:t>
      </w:r>
      <w:r w:rsidRPr="00FD55E3">
        <w:rPr>
          <w:rFonts w:cs="Times New Roman"/>
        </w:rPr>
        <w:t xml:space="preserve">Microsoft sought an order striking out the claim altogether and an order dismissing the action. In the alternative, it sought to strike out only portions of the claim. </w:t>
      </w:r>
      <w:r>
        <w:rPr>
          <w:rFonts w:cs="Times New Roman"/>
        </w:rPr>
        <w:t xml:space="preserve"> </w:t>
      </w:r>
      <w:r w:rsidRPr="002A0774">
        <w:rPr>
          <w:rFonts w:cs="Times New Roman"/>
        </w:rPr>
        <w:t xml:space="preserve">The parties agreed that the outcome of the </w:t>
      </w:r>
      <w:r>
        <w:rPr>
          <w:rFonts w:cs="Times New Roman"/>
        </w:rPr>
        <w:t xml:space="preserve">application </w:t>
      </w:r>
      <w:r w:rsidRPr="002A0774">
        <w:rPr>
          <w:rFonts w:cs="Times New Roman"/>
        </w:rPr>
        <w:t>to strike would be determinative of the certification requirement under s. 4(1</w:t>
      </w:r>
      <w:proofErr w:type="gramStart"/>
      <w:r w:rsidRPr="002A0774">
        <w:rPr>
          <w:rFonts w:cs="Times New Roman"/>
        </w:rPr>
        <w:t>)(</w:t>
      </w:r>
      <w:proofErr w:type="gramEnd"/>
      <w:r w:rsidRPr="002A0774">
        <w:rPr>
          <w:rFonts w:cs="Times New Roman"/>
        </w:rPr>
        <w:t xml:space="preserve">a) </w:t>
      </w:r>
      <w:r>
        <w:rPr>
          <w:rFonts w:cs="Times New Roman"/>
        </w:rPr>
        <w:t xml:space="preserve">of the </w:t>
      </w:r>
      <w:r>
        <w:rPr>
          <w:rFonts w:cs="Times New Roman"/>
          <w:i/>
        </w:rPr>
        <w:t xml:space="preserve">CPA </w:t>
      </w:r>
      <w:r w:rsidRPr="002A0774">
        <w:rPr>
          <w:rFonts w:cs="Times New Roman"/>
        </w:rPr>
        <w:t xml:space="preserve">that the pleadings disclose a cause of action. </w:t>
      </w:r>
    </w:p>
    <w:p w:rsidR="006A370E" w:rsidRPr="00FD55E3" w:rsidRDefault="006A370E" w:rsidP="006A370E">
      <w:pPr>
        <w:pStyle w:val="ParaNoNdepar-AltN"/>
        <w:rPr>
          <w:rFonts w:cs="Times New Roman"/>
        </w:rPr>
      </w:pPr>
      <w:proofErr w:type="spellStart"/>
      <w:r w:rsidRPr="00FD55E3">
        <w:rPr>
          <w:rFonts w:cs="Times New Roman"/>
        </w:rPr>
        <w:lastRenderedPageBreak/>
        <w:t>Tysoe</w:t>
      </w:r>
      <w:proofErr w:type="spellEnd"/>
      <w:r w:rsidRPr="00FD55E3">
        <w:rPr>
          <w:rFonts w:cs="Times New Roman"/>
        </w:rPr>
        <w:t xml:space="preserve"> J. found causes of action under s. 36 of the </w:t>
      </w:r>
      <w:r w:rsidRPr="00FD55E3">
        <w:rPr>
          <w:rFonts w:cs="Times New Roman"/>
          <w:i/>
        </w:rPr>
        <w:t>Competition Act</w:t>
      </w:r>
      <w:r>
        <w:rPr>
          <w:rFonts w:cs="Times New Roman"/>
        </w:rPr>
        <w:t>, R.S.C. 1985, c. C-34,</w:t>
      </w:r>
      <w:r w:rsidRPr="00FD55E3">
        <w:rPr>
          <w:rFonts w:cs="Times New Roman"/>
        </w:rPr>
        <w:t xml:space="preserve"> in tort for conspiracy and intentional interference with economic interest</w:t>
      </w:r>
      <w:r>
        <w:rPr>
          <w:rFonts w:cs="Times New Roman"/>
        </w:rPr>
        <w:t>s</w:t>
      </w:r>
      <w:r w:rsidRPr="00FD55E3">
        <w:rPr>
          <w:rFonts w:cs="Times New Roman"/>
        </w:rPr>
        <w:t xml:space="preserve"> and in restitution for waiver of tort</w:t>
      </w:r>
      <w:r>
        <w:rPr>
          <w:rFonts w:cs="Times New Roman"/>
        </w:rPr>
        <w:t xml:space="preserve"> (2006 BCSC 1047, 57 B.C.L.R. (4th) 323)</w:t>
      </w:r>
      <w:r w:rsidRPr="00FD55E3">
        <w:rPr>
          <w:rFonts w:cs="Times New Roman"/>
        </w:rPr>
        <w:t xml:space="preserve">. </w:t>
      </w:r>
      <w:r>
        <w:rPr>
          <w:rFonts w:cs="Times New Roman"/>
        </w:rPr>
        <w:t xml:space="preserve">He ordered that the portions of the pleadings dealing with unjust enrichment and constructive trust should be struck out as they were not sufficient to support such claims, unless they were amended by Pro-Sys. Upon further motion to amend the claims (2006 BCSC 1738, 59 B.C.L.R. (4th) 111), </w:t>
      </w:r>
      <w:proofErr w:type="spellStart"/>
      <w:r>
        <w:rPr>
          <w:rFonts w:cs="Times New Roman"/>
        </w:rPr>
        <w:t>Tysoe</w:t>
      </w:r>
      <w:proofErr w:type="spellEnd"/>
      <w:r>
        <w:rPr>
          <w:rFonts w:cs="Times New Roman"/>
        </w:rPr>
        <w:t xml:space="preserve"> J. allowed amendments to support the claims of unjust enrichment and constructive trust. </w:t>
      </w:r>
    </w:p>
    <w:p w:rsidR="006A370E" w:rsidRPr="00FD55E3" w:rsidRDefault="006A370E" w:rsidP="006A370E">
      <w:pPr>
        <w:pStyle w:val="ParaNoNdepar-AltN"/>
        <w:rPr>
          <w:rFonts w:cs="Times New Roman"/>
        </w:rPr>
      </w:pPr>
      <w:r w:rsidRPr="00FD55E3">
        <w:rPr>
          <w:rFonts w:cs="Times New Roman"/>
        </w:rPr>
        <w:t>Following his ruling</w:t>
      </w:r>
      <w:r>
        <w:rPr>
          <w:rFonts w:cs="Times New Roman"/>
        </w:rPr>
        <w:t>s</w:t>
      </w:r>
      <w:r w:rsidRPr="00FD55E3">
        <w:rPr>
          <w:rFonts w:cs="Times New Roman"/>
        </w:rPr>
        <w:t xml:space="preserve"> on the </w:t>
      </w:r>
      <w:r>
        <w:rPr>
          <w:rFonts w:cs="Times New Roman"/>
        </w:rPr>
        <w:t xml:space="preserve">applications </w:t>
      </w:r>
      <w:r w:rsidRPr="00FD55E3">
        <w:rPr>
          <w:rFonts w:cs="Times New Roman"/>
        </w:rPr>
        <w:t>to strike</w:t>
      </w:r>
      <w:r>
        <w:rPr>
          <w:rFonts w:cs="Times New Roman"/>
        </w:rPr>
        <w:t xml:space="preserve"> and to amend</w:t>
      </w:r>
      <w:r w:rsidRPr="00FD55E3">
        <w:rPr>
          <w:rFonts w:cs="Times New Roman"/>
        </w:rPr>
        <w:t xml:space="preserve">, </w:t>
      </w:r>
      <w:proofErr w:type="spellStart"/>
      <w:r w:rsidRPr="00FD55E3">
        <w:rPr>
          <w:rFonts w:cs="Times New Roman"/>
        </w:rPr>
        <w:t>Tysoe</w:t>
      </w:r>
      <w:proofErr w:type="spellEnd"/>
      <w:r w:rsidRPr="00FD55E3">
        <w:rPr>
          <w:rFonts w:cs="Times New Roman"/>
        </w:rPr>
        <w:t xml:space="preserve"> J. was appointed to the British Columbia Court of Appeal (“B</w:t>
      </w:r>
      <w:r>
        <w:rPr>
          <w:rFonts w:cs="Times New Roman"/>
        </w:rPr>
        <w:t>.</w:t>
      </w:r>
      <w:r w:rsidRPr="00FD55E3">
        <w:rPr>
          <w:rFonts w:cs="Times New Roman"/>
        </w:rPr>
        <w:t>C</w:t>
      </w:r>
      <w:r>
        <w:rPr>
          <w:rFonts w:cs="Times New Roman"/>
        </w:rPr>
        <w:t>.</w:t>
      </w:r>
      <w:r w:rsidRPr="00FD55E3">
        <w:rPr>
          <w:rFonts w:cs="Times New Roman"/>
        </w:rPr>
        <w:t>C</w:t>
      </w:r>
      <w:r>
        <w:rPr>
          <w:rFonts w:cs="Times New Roman"/>
        </w:rPr>
        <w:t>.</w:t>
      </w:r>
      <w:r w:rsidRPr="00FD55E3">
        <w:rPr>
          <w:rFonts w:cs="Times New Roman"/>
        </w:rPr>
        <w:t>A</w:t>
      </w:r>
      <w:r>
        <w:rPr>
          <w:rFonts w:cs="Times New Roman"/>
        </w:rPr>
        <w:t>.</w:t>
      </w:r>
      <w:r w:rsidRPr="00FD55E3">
        <w:rPr>
          <w:rFonts w:cs="Times New Roman"/>
        </w:rPr>
        <w:t>”), and Myers J. assumed management of the case. Myers J. assessed the remaining certification requirements</w:t>
      </w:r>
      <w:r>
        <w:rPr>
          <w:rFonts w:cs="Times New Roman"/>
        </w:rPr>
        <w:t xml:space="preserve"> set out in s. 4(1) of the </w:t>
      </w:r>
      <w:r>
        <w:rPr>
          <w:rFonts w:cs="Times New Roman"/>
          <w:i/>
        </w:rPr>
        <w:t>CPA</w:t>
      </w:r>
      <w:r w:rsidRPr="00FD55E3">
        <w:rPr>
          <w:rFonts w:cs="Times New Roman"/>
        </w:rPr>
        <w:t xml:space="preserve">, namely </w:t>
      </w:r>
      <w:r>
        <w:rPr>
          <w:rFonts w:cs="Times New Roman"/>
        </w:rPr>
        <w:t>(</w:t>
      </w:r>
      <w:proofErr w:type="spellStart"/>
      <w:r w:rsidRPr="00FD55E3">
        <w:rPr>
          <w:rFonts w:cs="Times New Roman"/>
        </w:rPr>
        <w:t>i</w:t>
      </w:r>
      <w:proofErr w:type="spellEnd"/>
      <w:r w:rsidRPr="00FD55E3">
        <w:rPr>
          <w:rFonts w:cs="Times New Roman"/>
        </w:rPr>
        <w:t>)</w:t>
      </w:r>
      <w:r w:rsidRPr="00055B17">
        <w:rPr>
          <w:rFonts w:cs="Times New Roman"/>
        </w:rPr>
        <w:t xml:space="preserve"> </w:t>
      </w:r>
      <w:r w:rsidRPr="00FD55E3">
        <w:rPr>
          <w:rFonts w:cs="Times New Roman"/>
        </w:rPr>
        <w:t>whether there was an identifiable class</w:t>
      </w:r>
      <w:r>
        <w:rPr>
          <w:rFonts w:cs="Times New Roman"/>
        </w:rPr>
        <w:t xml:space="preserve"> (s. 4(1)(b))</w:t>
      </w:r>
      <w:r w:rsidRPr="00FD55E3">
        <w:rPr>
          <w:rFonts w:cs="Times New Roman"/>
        </w:rPr>
        <w:t xml:space="preserve">; </w:t>
      </w:r>
      <w:r>
        <w:rPr>
          <w:rFonts w:cs="Times New Roman"/>
        </w:rPr>
        <w:t>(</w:t>
      </w:r>
      <w:r w:rsidRPr="00FD55E3">
        <w:rPr>
          <w:rFonts w:cs="Times New Roman"/>
        </w:rPr>
        <w:t xml:space="preserve">ii) whether </w:t>
      </w:r>
      <w:r>
        <w:rPr>
          <w:rFonts w:cs="Times New Roman"/>
        </w:rPr>
        <w:t>the claims of the class members raised</w:t>
      </w:r>
      <w:r w:rsidRPr="00FD55E3">
        <w:rPr>
          <w:rFonts w:cs="Times New Roman"/>
        </w:rPr>
        <w:t xml:space="preserve"> common issues</w:t>
      </w:r>
      <w:r>
        <w:rPr>
          <w:rFonts w:cs="Times New Roman"/>
        </w:rPr>
        <w:t xml:space="preserve"> (s. 4(1)(c))</w:t>
      </w:r>
      <w:r w:rsidRPr="00FD55E3">
        <w:rPr>
          <w:rFonts w:cs="Times New Roman"/>
        </w:rPr>
        <w:t xml:space="preserve">; </w:t>
      </w:r>
      <w:r>
        <w:rPr>
          <w:rFonts w:cs="Times New Roman"/>
        </w:rPr>
        <w:t>(</w:t>
      </w:r>
      <w:r w:rsidRPr="00FD55E3">
        <w:rPr>
          <w:rFonts w:cs="Times New Roman"/>
        </w:rPr>
        <w:t>iii) whether the class action was the preferable procedure</w:t>
      </w:r>
      <w:r>
        <w:rPr>
          <w:rFonts w:cs="Times New Roman"/>
        </w:rPr>
        <w:t xml:space="preserve"> (s. 4(1)(d))</w:t>
      </w:r>
      <w:r w:rsidRPr="00FD55E3">
        <w:rPr>
          <w:rFonts w:cs="Times New Roman"/>
        </w:rPr>
        <w:t xml:space="preserve">; and </w:t>
      </w:r>
      <w:r>
        <w:rPr>
          <w:rFonts w:cs="Times New Roman"/>
        </w:rPr>
        <w:t>(</w:t>
      </w:r>
      <w:r w:rsidRPr="00FD55E3">
        <w:rPr>
          <w:rFonts w:cs="Times New Roman"/>
        </w:rPr>
        <w:t>iv) whether Pro-Sys and Neil Godfrey could adequately represent the class</w:t>
      </w:r>
      <w:r>
        <w:rPr>
          <w:rFonts w:cs="Times New Roman"/>
        </w:rPr>
        <w:t xml:space="preserve"> (s. 4(1)(e))</w:t>
      </w:r>
      <w:r w:rsidRPr="00FD55E3">
        <w:rPr>
          <w:rFonts w:cs="Times New Roman"/>
        </w:rPr>
        <w:t>. Myers J. certified the action</w:t>
      </w:r>
      <w:r>
        <w:rPr>
          <w:rFonts w:cs="Times New Roman"/>
        </w:rPr>
        <w:t>,</w:t>
      </w:r>
      <w:r w:rsidRPr="00FD55E3">
        <w:rPr>
          <w:rFonts w:cs="Times New Roman"/>
        </w:rPr>
        <w:t xml:space="preserve"> finding that all four of the remaining requirements for certification were met</w:t>
      </w:r>
      <w:r>
        <w:rPr>
          <w:rFonts w:cs="Times New Roman"/>
        </w:rPr>
        <w:t xml:space="preserve"> (2010 BCSC 285 (</w:t>
      </w:r>
      <w:proofErr w:type="spellStart"/>
      <w:r>
        <w:rPr>
          <w:rFonts w:cs="Times New Roman"/>
        </w:rPr>
        <w:t>CanLII</w:t>
      </w:r>
      <w:proofErr w:type="spellEnd"/>
      <w:r>
        <w:rPr>
          <w:rFonts w:cs="Times New Roman"/>
        </w:rPr>
        <w:t>))</w:t>
      </w:r>
      <w:r w:rsidRPr="00FD55E3">
        <w:rPr>
          <w:rFonts w:cs="Times New Roman"/>
        </w:rPr>
        <w:t>. The common issues certified by Myers J. are listed in the appendix to these reasons.</w:t>
      </w:r>
    </w:p>
    <w:p w:rsidR="006A370E" w:rsidRPr="00FD55E3" w:rsidRDefault="00DF53FF" w:rsidP="00DF53FF">
      <w:pPr>
        <w:pStyle w:val="Title2LevelTitre2Niveau"/>
        <w:numPr>
          <w:ilvl w:val="0"/>
          <w:numId w:val="0"/>
        </w:numPr>
        <w:tabs>
          <w:tab w:val="left" w:pos="540"/>
        </w:tabs>
        <w:ind w:left="540" w:hanging="540"/>
        <w:rPr>
          <w:rFonts w:cs="Times New Roman"/>
        </w:rPr>
      </w:pPr>
      <w:bookmarkStart w:id="24" w:name="_Toc360611900"/>
      <w:bookmarkStart w:id="25" w:name="_Toc367887577"/>
      <w:bookmarkStart w:id="26" w:name="_Toc367948541"/>
      <w:bookmarkStart w:id="27" w:name="_Toc367957370"/>
      <w:bookmarkStart w:id="28" w:name="_Toc369188618"/>
      <w:bookmarkStart w:id="29" w:name="_Toc370903000"/>
      <w:r w:rsidRPr="00DF53FF">
        <w:rPr>
          <w:rFonts w:cs="Times New Roman"/>
          <w:i w:val="0"/>
        </w:rPr>
        <w:t>B.</w:t>
      </w:r>
      <w:r w:rsidRPr="00DF53FF">
        <w:rPr>
          <w:rFonts w:cs="Times New Roman"/>
          <w:i w:val="0"/>
        </w:rPr>
        <w:tab/>
      </w:r>
      <w:r w:rsidR="006A370E">
        <w:rPr>
          <w:rFonts w:cs="Times New Roman"/>
        </w:rPr>
        <w:t>Appeal of the C</w:t>
      </w:r>
      <w:r w:rsidR="006A370E" w:rsidRPr="00FD55E3">
        <w:rPr>
          <w:rFonts w:cs="Times New Roman"/>
        </w:rPr>
        <w:t>ertification to the British Columbia Court of Appeal</w:t>
      </w:r>
      <w:bookmarkEnd w:id="24"/>
      <w:bookmarkEnd w:id="25"/>
      <w:bookmarkEnd w:id="26"/>
      <w:bookmarkEnd w:id="27"/>
      <w:bookmarkEnd w:id="28"/>
      <w:r w:rsidR="006A370E">
        <w:rPr>
          <w:rFonts w:cs="Times New Roman"/>
        </w:rPr>
        <w:t>, 2011 BCCA 186, 304 B.C.A.C. 90</w:t>
      </w:r>
      <w:bookmarkEnd w:id="29"/>
    </w:p>
    <w:p w:rsidR="006A370E" w:rsidRPr="00FD55E3" w:rsidRDefault="006A370E" w:rsidP="006A370E">
      <w:pPr>
        <w:pStyle w:val="ParaNoNdepar-AltN"/>
        <w:rPr>
          <w:rFonts w:cs="Times New Roman"/>
        </w:rPr>
      </w:pPr>
      <w:r w:rsidRPr="00FD55E3">
        <w:rPr>
          <w:rFonts w:cs="Times New Roman"/>
        </w:rPr>
        <w:lastRenderedPageBreak/>
        <w:t xml:space="preserve">Microsoft appealed from the decisions of </w:t>
      </w:r>
      <w:proofErr w:type="spellStart"/>
      <w:r w:rsidRPr="00FD55E3">
        <w:rPr>
          <w:rFonts w:cs="Times New Roman"/>
        </w:rPr>
        <w:t>Tysoe</w:t>
      </w:r>
      <w:proofErr w:type="spellEnd"/>
      <w:r w:rsidRPr="00FD55E3">
        <w:rPr>
          <w:rFonts w:cs="Times New Roman"/>
        </w:rPr>
        <w:t xml:space="preserve"> and Myers JJ.  The majority of the B</w:t>
      </w:r>
      <w:r>
        <w:rPr>
          <w:rFonts w:cs="Times New Roman"/>
        </w:rPr>
        <w:t>.</w:t>
      </w:r>
      <w:r w:rsidRPr="00FD55E3">
        <w:rPr>
          <w:rFonts w:cs="Times New Roman"/>
        </w:rPr>
        <w:t>C</w:t>
      </w:r>
      <w:r>
        <w:rPr>
          <w:rFonts w:cs="Times New Roman"/>
        </w:rPr>
        <w:t>.</w:t>
      </w:r>
      <w:r w:rsidRPr="00FD55E3">
        <w:rPr>
          <w:rFonts w:cs="Times New Roman"/>
        </w:rPr>
        <w:t>C</w:t>
      </w:r>
      <w:r>
        <w:rPr>
          <w:rFonts w:cs="Times New Roman"/>
        </w:rPr>
        <w:t>.</w:t>
      </w:r>
      <w:r w:rsidRPr="00FD55E3">
        <w:rPr>
          <w:rFonts w:cs="Times New Roman"/>
        </w:rPr>
        <w:t>A</w:t>
      </w:r>
      <w:r>
        <w:rPr>
          <w:rFonts w:cs="Times New Roman"/>
        </w:rPr>
        <w:t>.</w:t>
      </w:r>
      <w:r w:rsidRPr="00FD55E3">
        <w:rPr>
          <w:rFonts w:cs="Times New Roman"/>
        </w:rPr>
        <w:t xml:space="preserve">, </w:t>
      </w:r>
      <w:r w:rsidRPr="00F754A5">
        <w:rPr>
          <w:rFonts w:cs="Times New Roman"/>
          <w:i/>
        </w:rPr>
        <w:t>per</w:t>
      </w:r>
      <w:r w:rsidRPr="00FD55E3">
        <w:rPr>
          <w:rFonts w:cs="Times New Roman"/>
        </w:rPr>
        <w:t xml:space="preserve"> Lowry J.A</w:t>
      </w:r>
      <w:r>
        <w:rPr>
          <w:rFonts w:cs="Times New Roman"/>
        </w:rPr>
        <w:t>.</w:t>
      </w:r>
      <w:r w:rsidRPr="00FD55E3">
        <w:rPr>
          <w:rFonts w:cs="Times New Roman"/>
        </w:rPr>
        <w:t xml:space="preserve"> (Frankel J.A. concurring), allowed the appeal, set aside the certification</w:t>
      </w:r>
      <w:r>
        <w:rPr>
          <w:rFonts w:cs="Times New Roman"/>
        </w:rPr>
        <w:t xml:space="preserve"> order</w:t>
      </w:r>
      <w:r w:rsidRPr="00FD55E3">
        <w:rPr>
          <w:rFonts w:cs="Times New Roman"/>
        </w:rPr>
        <w:t xml:space="preserve"> and dismissed the action, finding it plain and obvious that the class members had no cause of action under s. 4(1)(a) of the </w:t>
      </w:r>
      <w:r w:rsidRPr="00FD55E3">
        <w:rPr>
          <w:rFonts w:cs="Times New Roman"/>
          <w:i/>
        </w:rPr>
        <w:t>CPA</w:t>
      </w:r>
      <w:r w:rsidRPr="00FD55E3">
        <w:rPr>
          <w:rFonts w:cs="Times New Roman"/>
        </w:rPr>
        <w:t xml:space="preserve">. The majority reached this conclusion after determining that indirect purchaser actions were not available as a matter of law in Canada. As such, it did not consider the other certification requirements. </w:t>
      </w:r>
    </w:p>
    <w:p w:rsidR="006A370E" w:rsidRPr="00FD55E3" w:rsidRDefault="006A370E" w:rsidP="006A370E">
      <w:pPr>
        <w:pStyle w:val="ParaNoNdepar-AltN"/>
        <w:rPr>
          <w:rFonts w:cs="Times New Roman"/>
        </w:rPr>
      </w:pPr>
      <w:r w:rsidRPr="00FD55E3">
        <w:rPr>
          <w:rFonts w:cs="Times New Roman"/>
        </w:rPr>
        <w:t xml:space="preserve">Donald J.A., dissenting, would have </w:t>
      </w:r>
      <w:r>
        <w:rPr>
          <w:rFonts w:cs="Times New Roman"/>
        </w:rPr>
        <w:t xml:space="preserve">dismissed the appeal and </w:t>
      </w:r>
      <w:r w:rsidRPr="00FD55E3">
        <w:rPr>
          <w:rFonts w:cs="Times New Roman"/>
        </w:rPr>
        <w:t>certified the action, finding indirect purchaser actions to be permitted in Canada, and finding sufficient grounds for</w:t>
      </w:r>
      <w:r>
        <w:rPr>
          <w:rFonts w:cs="Times New Roman"/>
        </w:rPr>
        <w:t xml:space="preserve"> the action</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In the B</w:t>
      </w:r>
      <w:r>
        <w:rPr>
          <w:rFonts w:cs="Times New Roman"/>
        </w:rPr>
        <w:t>.</w:t>
      </w:r>
      <w:r w:rsidRPr="00FD55E3">
        <w:rPr>
          <w:rFonts w:cs="Times New Roman"/>
        </w:rPr>
        <w:t>C</w:t>
      </w:r>
      <w:r>
        <w:rPr>
          <w:rFonts w:cs="Times New Roman"/>
        </w:rPr>
        <w:t>.</w:t>
      </w:r>
      <w:r w:rsidRPr="00FD55E3">
        <w:rPr>
          <w:rFonts w:cs="Times New Roman"/>
        </w:rPr>
        <w:t>C</w:t>
      </w:r>
      <w:r>
        <w:rPr>
          <w:rFonts w:cs="Times New Roman"/>
        </w:rPr>
        <w:t>.</w:t>
      </w:r>
      <w:r w:rsidRPr="00FD55E3">
        <w:rPr>
          <w:rFonts w:cs="Times New Roman"/>
        </w:rPr>
        <w:t>A</w:t>
      </w:r>
      <w:r>
        <w:rPr>
          <w:rFonts w:cs="Times New Roman"/>
        </w:rPr>
        <w:t>.</w:t>
      </w:r>
      <w:r w:rsidRPr="00FD55E3">
        <w:rPr>
          <w:rFonts w:cs="Times New Roman"/>
        </w:rPr>
        <w:t xml:space="preserve">, the present case was heard together with another case dealing with substantially similar issues </w:t>
      </w:r>
      <w:r>
        <w:rPr>
          <w:rFonts w:cs="Times New Roman"/>
        </w:rPr>
        <w:t>(</w:t>
      </w:r>
      <w:r w:rsidRPr="00FD55E3">
        <w:rPr>
          <w:rFonts w:cs="Times New Roman"/>
          <w:i/>
        </w:rPr>
        <w:t>Sun-</w:t>
      </w:r>
      <w:proofErr w:type="spellStart"/>
      <w:r w:rsidRPr="00FD55E3">
        <w:rPr>
          <w:rFonts w:cs="Times New Roman"/>
          <w:i/>
        </w:rPr>
        <w:t>Rype</w:t>
      </w:r>
      <w:proofErr w:type="spellEnd"/>
      <w:r w:rsidRPr="00FD55E3">
        <w:rPr>
          <w:rFonts w:cs="Times New Roman"/>
          <w:i/>
        </w:rPr>
        <w:t xml:space="preserve"> </w:t>
      </w:r>
      <w:r w:rsidRPr="00FD55E3">
        <w:rPr>
          <w:rFonts w:cs="Times New Roman"/>
          <w:i/>
          <w:iCs/>
          <w:szCs w:val="24"/>
        </w:rPr>
        <w:t>Products Ltd. v. Archer Daniels Midland Co</w:t>
      </w:r>
      <w:r w:rsidR="00ED304F">
        <w:rPr>
          <w:rFonts w:cs="Times New Roman"/>
          <w:i/>
          <w:iCs/>
          <w:szCs w:val="24"/>
        </w:rPr>
        <w:t>.</w:t>
      </w:r>
      <w:r>
        <w:rPr>
          <w:rFonts w:cs="Times New Roman"/>
          <w:iCs/>
          <w:szCs w:val="24"/>
        </w:rPr>
        <w:t>,</w:t>
      </w:r>
      <w:r w:rsidRPr="00FD55E3">
        <w:rPr>
          <w:rFonts w:cs="Times New Roman"/>
          <w:i/>
          <w:iCs/>
          <w:szCs w:val="24"/>
        </w:rPr>
        <w:t xml:space="preserve"> </w:t>
      </w:r>
      <w:r w:rsidRPr="00FD55E3">
        <w:rPr>
          <w:rFonts w:cs="Times New Roman"/>
          <w:szCs w:val="24"/>
        </w:rPr>
        <w:t>2011 BCCA 187</w:t>
      </w:r>
      <w:r>
        <w:rPr>
          <w:rFonts w:cs="Times New Roman"/>
          <w:szCs w:val="24"/>
        </w:rPr>
        <w:t>, 305 B.C.A.C. 55)</w:t>
      </w:r>
      <w:r w:rsidRPr="00FD55E3">
        <w:rPr>
          <w:rFonts w:cs="Times New Roman"/>
          <w:szCs w:val="24"/>
        </w:rPr>
        <w:t xml:space="preserve">. Counsel for the plaintiffs was the same in </w:t>
      </w:r>
      <w:r>
        <w:rPr>
          <w:rFonts w:cs="Times New Roman"/>
          <w:szCs w:val="24"/>
        </w:rPr>
        <w:t xml:space="preserve">both </w:t>
      </w:r>
      <w:r w:rsidRPr="00FD55E3">
        <w:rPr>
          <w:rFonts w:cs="Times New Roman"/>
          <w:szCs w:val="24"/>
        </w:rPr>
        <w:t>appeal</w:t>
      </w:r>
      <w:r>
        <w:rPr>
          <w:rFonts w:cs="Times New Roman"/>
          <w:szCs w:val="24"/>
        </w:rPr>
        <w:t>s</w:t>
      </w:r>
      <w:r w:rsidRPr="00FD55E3">
        <w:rPr>
          <w:rFonts w:cs="Times New Roman"/>
          <w:szCs w:val="24"/>
        </w:rPr>
        <w:t xml:space="preserve"> and </w:t>
      </w:r>
      <w:r>
        <w:rPr>
          <w:rFonts w:cs="Times New Roman"/>
          <w:szCs w:val="24"/>
        </w:rPr>
        <w:t>the</w:t>
      </w:r>
      <w:r w:rsidRPr="00FD55E3">
        <w:rPr>
          <w:rFonts w:cs="Times New Roman"/>
          <w:szCs w:val="24"/>
        </w:rPr>
        <w:t xml:space="preserve"> appeals were heard by the same panel of judges. As in the present appeal, in </w:t>
      </w:r>
      <w:r w:rsidRPr="00FD55E3">
        <w:rPr>
          <w:rFonts w:cs="Times New Roman"/>
          <w:i/>
          <w:szCs w:val="24"/>
        </w:rPr>
        <w:t>Sun-</w:t>
      </w:r>
      <w:proofErr w:type="spellStart"/>
      <w:r w:rsidRPr="00FD55E3">
        <w:rPr>
          <w:rFonts w:cs="Times New Roman"/>
          <w:i/>
          <w:szCs w:val="24"/>
        </w:rPr>
        <w:t>Rype</w:t>
      </w:r>
      <w:proofErr w:type="spellEnd"/>
      <w:r w:rsidRPr="00FD55E3">
        <w:rPr>
          <w:rFonts w:cs="Times New Roman"/>
          <w:szCs w:val="24"/>
        </w:rPr>
        <w:t>, the issue of whether indirect purchaser actions are available in Canada was determinative. In reasons released simultaneously with the reasons in this appeal, the majority of the B</w:t>
      </w:r>
      <w:r>
        <w:rPr>
          <w:rFonts w:cs="Times New Roman"/>
          <w:szCs w:val="24"/>
        </w:rPr>
        <w:t>.</w:t>
      </w:r>
      <w:r w:rsidRPr="00FD55E3">
        <w:rPr>
          <w:rFonts w:cs="Times New Roman"/>
          <w:szCs w:val="24"/>
        </w:rPr>
        <w:t>C</w:t>
      </w:r>
      <w:r>
        <w:rPr>
          <w:rFonts w:cs="Times New Roman"/>
          <w:szCs w:val="24"/>
        </w:rPr>
        <w:t>.</w:t>
      </w:r>
      <w:r w:rsidRPr="00FD55E3">
        <w:rPr>
          <w:rFonts w:cs="Times New Roman"/>
          <w:szCs w:val="24"/>
        </w:rPr>
        <w:t>C</w:t>
      </w:r>
      <w:r>
        <w:rPr>
          <w:rFonts w:cs="Times New Roman"/>
          <w:szCs w:val="24"/>
        </w:rPr>
        <w:t>.</w:t>
      </w:r>
      <w:r w:rsidRPr="00FD55E3">
        <w:rPr>
          <w:rFonts w:cs="Times New Roman"/>
          <w:szCs w:val="24"/>
        </w:rPr>
        <w:t>A</w:t>
      </w:r>
      <w:r>
        <w:rPr>
          <w:rFonts w:cs="Times New Roman"/>
          <w:szCs w:val="24"/>
        </w:rPr>
        <w:t>.</w:t>
      </w:r>
      <w:r w:rsidRPr="00FD55E3">
        <w:rPr>
          <w:rFonts w:cs="Times New Roman"/>
          <w:szCs w:val="24"/>
        </w:rPr>
        <w:t xml:space="preserve"> disposed of </w:t>
      </w:r>
      <w:r w:rsidRPr="00FD55E3">
        <w:rPr>
          <w:rFonts w:cs="Times New Roman"/>
          <w:i/>
          <w:szCs w:val="24"/>
        </w:rPr>
        <w:t>Sun-</w:t>
      </w:r>
      <w:proofErr w:type="spellStart"/>
      <w:r w:rsidRPr="00FD55E3">
        <w:rPr>
          <w:rFonts w:cs="Times New Roman"/>
          <w:i/>
          <w:szCs w:val="24"/>
        </w:rPr>
        <w:t>Rype</w:t>
      </w:r>
      <w:proofErr w:type="spellEnd"/>
      <w:r w:rsidRPr="00FD55E3">
        <w:rPr>
          <w:rFonts w:cs="Times New Roman"/>
          <w:i/>
          <w:szCs w:val="24"/>
        </w:rPr>
        <w:t xml:space="preserve"> </w:t>
      </w:r>
      <w:r w:rsidRPr="00FD55E3">
        <w:rPr>
          <w:rFonts w:cs="Times New Roman"/>
          <w:szCs w:val="24"/>
        </w:rPr>
        <w:t xml:space="preserve">in the same manner, decertifying and dismissing the </w:t>
      </w:r>
      <w:r>
        <w:rPr>
          <w:rFonts w:cs="Times New Roman"/>
          <w:szCs w:val="24"/>
        </w:rPr>
        <w:t xml:space="preserve">indirect purchasers’ </w:t>
      </w:r>
      <w:r w:rsidRPr="00FD55E3">
        <w:rPr>
          <w:rFonts w:cs="Times New Roman"/>
          <w:szCs w:val="24"/>
        </w:rPr>
        <w:t>class action on the basis that indirect purchaser actions were not available under Canadian law. Donald J.A. dissented</w:t>
      </w:r>
      <w:r>
        <w:rPr>
          <w:rFonts w:cs="Times New Roman"/>
          <w:szCs w:val="24"/>
        </w:rPr>
        <w:t>, finding, as in this appeal, that indirect purchaser actions were permitted</w:t>
      </w:r>
      <w:r w:rsidRPr="00FD55E3">
        <w:rPr>
          <w:rFonts w:cs="Times New Roman"/>
          <w:szCs w:val="24"/>
        </w:rPr>
        <w:t xml:space="preserve">. </w:t>
      </w:r>
    </w:p>
    <w:p w:rsidR="006A370E" w:rsidRPr="00FD55E3" w:rsidRDefault="006A370E" w:rsidP="006A370E">
      <w:pPr>
        <w:pStyle w:val="ParaNoNdepar-AltN"/>
        <w:rPr>
          <w:rFonts w:cs="Times New Roman"/>
        </w:rPr>
      </w:pPr>
      <w:r w:rsidRPr="00FD55E3">
        <w:rPr>
          <w:rFonts w:cs="Times New Roman"/>
          <w:szCs w:val="24"/>
        </w:rPr>
        <w:lastRenderedPageBreak/>
        <w:t xml:space="preserve">Leave to appeal was granted in both cases by this Court. They were heard with another indirect purchaser class action </w:t>
      </w:r>
      <w:r w:rsidRPr="00FD55E3">
        <w:rPr>
          <w:rFonts w:cs="Times New Roman"/>
        </w:rPr>
        <w:t xml:space="preserve">originating in Quebec, </w:t>
      </w:r>
      <w:r>
        <w:rPr>
          <w:rFonts w:cs="Times New Roman"/>
          <w:i/>
        </w:rPr>
        <w:t>Infineon Technologies AG</w:t>
      </w:r>
      <w:r w:rsidRPr="00FD55E3">
        <w:rPr>
          <w:rFonts w:cs="Times New Roman"/>
          <w:i/>
        </w:rPr>
        <w:t xml:space="preserve"> v. Option </w:t>
      </w:r>
      <w:proofErr w:type="spellStart"/>
      <w:r>
        <w:rPr>
          <w:rFonts w:cs="Times New Roman"/>
          <w:i/>
        </w:rPr>
        <w:t>c</w:t>
      </w:r>
      <w:r w:rsidRPr="00FD55E3">
        <w:rPr>
          <w:rFonts w:cs="Times New Roman"/>
          <w:i/>
        </w:rPr>
        <w:t>onsommateur</w:t>
      </w:r>
      <w:r>
        <w:rPr>
          <w:rFonts w:cs="Times New Roman"/>
          <w:i/>
        </w:rPr>
        <w:t>s</w:t>
      </w:r>
      <w:proofErr w:type="spellEnd"/>
      <w:r w:rsidRPr="00FD55E3">
        <w:rPr>
          <w:rFonts w:cs="Times New Roman"/>
        </w:rPr>
        <w:t>,</w:t>
      </w:r>
      <w:r>
        <w:rPr>
          <w:rFonts w:cs="Times New Roman"/>
        </w:rPr>
        <w:t xml:space="preserve"> 2013 SCC 59</w:t>
      </w:r>
      <w:r>
        <w:t xml:space="preserve">, [2013] 3 S.C.R. </w:t>
      </w:r>
      <w:r w:rsidR="007C24F1">
        <w:t>600</w:t>
      </w:r>
      <w:r>
        <w:rPr>
          <w:rFonts w:cs="Times New Roman"/>
        </w:rPr>
        <w:t>,</w:t>
      </w:r>
      <w:r w:rsidRPr="00FD55E3">
        <w:rPr>
          <w:rFonts w:cs="Times New Roman"/>
        </w:rPr>
        <w:t xml:space="preserve"> which this Court has addressed in separate reasons, </w:t>
      </w:r>
      <w:r w:rsidRPr="00F754A5">
        <w:rPr>
          <w:rFonts w:cs="Times New Roman"/>
          <w:i/>
        </w:rPr>
        <w:t>per</w:t>
      </w:r>
      <w:r w:rsidRPr="00FD55E3">
        <w:rPr>
          <w:rFonts w:cs="Times New Roman"/>
        </w:rPr>
        <w:t xml:space="preserve"> LeBel and Wagner JJ</w:t>
      </w:r>
      <w:r>
        <w:rPr>
          <w:rFonts w:cs="Times New Roman"/>
        </w:rPr>
        <w:t xml:space="preserve">. Reasons in </w:t>
      </w:r>
      <w:r w:rsidRPr="00620AE2">
        <w:rPr>
          <w:rFonts w:cs="Times New Roman"/>
          <w:i/>
        </w:rPr>
        <w:t>Sun-</w:t>
      </w:r>
      <w:proofErr w:type="spellStart"/>
      <w:r w:rsidRPr="00620AE2">
        <w:rPr>
          <w:rFonts w:cs="Times New Roman"/>
          <w:i/>
        </w:rPr>
        <w:t>Rype</w:t>
      </w:r>
      <w:proofErr w:type="spellEnd"/>
      <w:r>
        <w:rPr>
          <w:rFonts w:cs="Times New Roman"/>
        </w:rPr>
        <w:t xml:space="preserve"> can be found at 2013 SCC 58</w:t>
      </w:r>
      <w:r>
        <w:t xml:space="preserve">, [2013] 3 S.C.R. </w:t>
      </w:r>
      <w:r w:rsidR="007C24F1">
        <w:t>545</w:t>
      </w:r>
      <w:r>
        <w:rPr>
          <w:rFonts w:cs="Times New Roman"/>
        </w:rPr>
        <w:t>.</w:t>
      </w:r>
    </w:p>
    <w:p w:rsidR="006A370E" w:rsidRPr="00FD55E3" w:rsidRDefault="00DF53FF" w:rsidP="00DF53FF">
      <w:pPr>
        <w:pStyle w:val="Title1LevelTitre1Niveau-AltL"/>
        <w:numPr>
          <w:ilvl w:val="0"/>
          <w:numId w:val="0"/>
        </w:numPr>
        <w:tabs>
          <w:tab w:val="left" w:pos="540"/>
        </w:tabs>
        <w:ind w:left="540" w:hanging="540"/>
        <w:rPr>
          <w:rFonts w:cs="Times New Roman"/>
        </w:rPr>
      </w:pPr>
      <w:bookmarkStart w:id="30" w:name="_Toc370903001"/>
      <w:r w:rsidRPr="00DF53FF">
        <w:rPr>
          <w:rFonts w:cs="Times New Roman"/>
          <w:u w:val="none"/>
        </w:rPr>
        <w:t>IV.</w:t>
      </w:r>
      <w:r w:rsidRPr="00DF53FF">
        <w:rPr>
          <w:rFonts w:cs="Times New Roman"/>
          <w:u w:val="none"/>
        </w:rPr>
        <w:tab/>
      </w:r>
      <w:r w:rsidR="006A370E">
        <w:rPr>
          <w:rFonts w:cs="Times New Roman"/>
        </w:rPr>
        <w:t>Analysis</w:t>
      </w:r>
      <w:bookmarkEnd w:id="30"/>
    </w:p>
    <w:p w:rsidR="006A370E" w:rsidRPr="00FD55E3" w:rsidRDefault="006A370E" w:rsidP="006A370E">
      <w:pPr>
        <w:pStyle w:val="ParaNoNdepar-AltN"/>
        <w:rPr>
          <w:rFonts w:cs="Times New Roman"/>
        </w:rPr>
      </w:pPr>
      <w:r w:rsidRPr="00FD55E3">
        <w:rPr>
          <w:rFonts w:cs="Times New Roman"/>
        </w:rPr>
        <w:t>The issues are addressed</w:t>
      </w:r>
      <w:r>
        <w:rPr>
          <w:rFonts w:cs="Times New Roman"/>
        </w:rPr>
        <w:t xml:space="preserve"> in the following order:</w:t>
      </w:r>
      <w:r w:rsidRPr="00FD55E3">
        <w:rPr>
          <w:rFonts w:cs="Times New Roman"/>
        </w:rPr>
        <w:t xml:space="preserve"> </w:t>
      </w:r>
    </w:p>
    <w:p w:rsidR="006A370E" w:rsidRPr="00FD55E3" w:rsidRDefault="006A370E" w:rsidP="00DF53FF">
      <w:pPr>
        <w:pStyle w:val="Citation-AltC"/>
        <w:numPr>
          <w:ilvl w:val="0"/>
          <w:numId w:val="4"/>
        </w:numPr>
        <w:spacing w:after="480" w:line="480" w:lineRule="auto"/>
        <w:ind w:left="806" w:hanging="806"/>
        <w:contextualSpacing w:val="0"/>
      </w:pPr>
      <w:r w:rsidRPr="00FD55E3">
        <w:t>Did the</w:t>
      </w:r>
      <w:r>
        <w:t xml:space="preserve"> majority of the</w:t>
      </w:r>
      <w:r w:rsidRPr="00FD55E3">
        <w:t xml:space="preserve"> B</w:t>
      </w:r>
      <w:r>
        <w:t>.</w:t>
      </w:r>
      <w:r w:rsidRPr="00FD55E3">
        <w:t>C</w:t>
      </w:r>
      <w:r>
        <w:t>.</w:t>
      </w:r>
      <w:r w:rsidRPr="00FD55E3">
        <w:t>C</w:t>
      </w:r>
      <w:r>
        <w:t>.</w:t>
      </w:r>
      <w:r w:rsidRPr="00FD55E3">
        <w:t>A</w:t>
      </w:r>
      <w:r>
        <w:t>.</w:t>
      </w:r>
      <w:r w:rsidRPr="00FD55E3">
        <w:t xml:space="preserve"> err in finding that indirect purchaser actions were not available as a matter of law in Canada?</w:t>
      </w:r>
    </w:p>
    <w:p w:rsidR="006A370E" w:rsidRPr="00FD55E3" w:rsidRDefault="006A370E" w:rsidP="00DF53FF">
      <w:pPr>
        <w:pStyle w:val="Citation-AltC"/>
        <w:numPr>
          <w:ilvl w:val="0"/>
          <w:numId w:val="4"/>
        </w:numPr>
        <w:spacing w:after="480" w:line="480" w:lineRule="auto"/>
        <w:ind w:left="806" w:hanging="806"/>
        <w:contextualSpacing w:val="0"/>
      </w:pPr>
      <w:r w:rsidRPr="00FD55E3">
        <w:t xml:space="preserve">Were the findings of </w:t>
      </w:r>
      <w:proofErr w:type="spellStart"/>
      <w:r w:rsidRPr="00FD55E3">
        <w:t>Tysoe</w:t>
      </w:r>
      <w:proofErr w:type="spellEnd"/>
      <w:r w:rsidRPr="00FD55E3">
        <w:t xml:space="preserve"> J. as to the requirement that the pleadings disclose a cause of action under s. 4(1</w:t>
      </w:r>
      <w:proofErr w:type="gramStart"/>
      <w:r w:rsidRPr="00FD55E3">
        <w:t>)(</w:t>
      </w:r>
      <w:proofErr w:type="gramEnd"/>
      <w:r w:rsidRPr="00FD55E3">
        <w:t xml:space="preserve">a) of the </w:t>
      </w:r>
      <w:r w:rsidRPr="00FD55E3">
        <w:rPr>
          <w:i/>
        </w:rPr>
        <w:t xml:space="preserve">CPA </w:t>
      </w:r>
      <w:r w:rsidRPr="00FD55E3">
        <w:t>correct?</w:t>
      </w:r>
    </w:p>
    <w:p w:rsidR="006A370E" w:rsidRPr="00FD55E3" w:rsidRDefault="006A370E" w:rsidP="00DF53FF">
      <w:pPr>
        <w:pStyle w:val="Citation-AltC"/>
        <w:numPr>
          <w:ilvl w:val="0"/>
          <w:numId w:val="4"/>
        </w:numPr>
        <w:spacing w:line="480" w:lineRule="auto"/>
        <w:ind w:left="810" w:hanging="810"/>
      </w:pPr>
      <w:r w:rsidRPr="00FD55E3">
        <w:t>Were the findings of Myers J. as to the balance of the certification requirements under s.</w:t>
      </w:r>
      <w:r>
        <w:t xml:space="preserve"> </w:t>
      </w:r>
      <w:r w:rsidRPr="00FD55E3">
        <w:t xml:space="preserve">4(1) of the </w:t>
      </w:r>
      <w:r w:rsidRPr="00FD55E3">
        <w:rPr>
          <w:i/>
        </w:rPr>
        <w:t>CPA</w:t>
      </w:r>
      <w:r w:rsidRPr="00FD55E3">
        <w:t xml:space="preserve"> correct?</w:t>
      </w:r>
    </w:p>
    <w:p w:rsidR="006A370E" w:rsidRPr="00FD55E3" w:rsidRDefault="00DF53FF" w:rsidP="00DF53FF">
      <w:pPr>
        <w:pStyle w:val="Title2LevelTitre2Niveau"/>
        <w:numPr>
          <w:ilvl w:val="0"/>
          <w:numId w:val="0"/>
        </w:numPr>
        <w:tabs>
          <w:tab w:val="left" w:pos="540"/>
        </w:tabs>
        <w:ind w:left="540" w:hanging="540"/>
        <w:rPr>
          <w:rFonts w:cs="Times New Roman"/>
        </w:rPr>
      </w:pPr>
      <w:bookmarkStart w:id="31" w:name="_Toc360611902"/>
      <w:bookmarkStart w:id="32" w:name="_Toc367887579"/>
      <w:bookmarkStart w:id="33" w:name="_Toc367948543"/>
      <w:bookmarkStart w:id="34" w:name="_Toc367957372"/>
      <w:bookmarkStart w:id="35" w:name="_Toc369188620"/>
      <w:bookmarkStart w:id="36" w:name="_Toc370903002"/>
      <w:r w:rsidRPr="00DF53FF">
        <w:rPr>
          <w:rFonts w:cs="Times New Roman"/>
          <w:i w:val="0"/>
        </w:rPr>
        <w:t>A.</w:t>
      </w:r>
      <w:r w:rsidRPr="00DF53FF">
        <w:rPr>
          <w:rFonts w:cs="Times New Roman"/>
          <w:i w:val="0"/>
        </w:rPr>
        <w:tab/>
      </w:r>
      <w:r w:rsidR="006A370E" w:rsidRPr="00FD55E3">
        <w:rPr>
          <w:rFonts w:cs="Times New Roman"/>
        </w:rPr>
        <w:t>Indirect Purchaser Actions (the “Passing</w:t>
      </w:r>
      <w:r w:rsidR="006A370E">
        <w:rPr>
          <w:rFonts w:cs="Times New Roman"/>
        </w:rPr>
        <w:t>-On” I</w:t>
      </w:r>
      <w:r w:rsidR="006A370E" w:rsidRPr="00FD55E3">
        <w:rPr>
          <w:rFonts w:cs="Times New Roman"/>
        </w:rPr>
        <w:t>ssue)</w:t>
      </w:r>
      <w:bookmarkEnd w:id="31"/>
      <w:bookmarkEnd w:id="32"/>
      <w:bookmarkEnd w:id="33"/>
      <w:bookmarkEnd w:id="34"/>
      <w:bookmarkEnd w:id="35"/>
      <w:bookmarkEnd w:id="36"/>
    </w:p>
    <w:p w:rsidR="006A370E" w:rsidRPr="00FD55E3" w:rsidRDefault="006A370E" w:rsidP="006A370E">
      <w:pPr>
        <w:pStyle w:val="ParaNoNdepar-AltN"/>
        <w:rPr>
          <w:rFonts w:cs="Times New Roman"/>
        </w:rPr>
      </w:pPr>
      <w:r w:rsidRPr="00FD55E3">
        <w:rPr>
          <w:rFonts w:cs="Times New Roman"/>
        </w:rPr>
        <w:t xml:space="preserve">In this appeal, the parties have introduced numerous issues. The one occupying the largest portion of the factums and the oral argument was the question of whether indirect purchasers have the right to bring an action to recover losses that </w:t>
      </w:r>
      <w:r w:rsidRPr="00FD55E3">
        <w:rPr>
          <w:rFonts w:cs="Times New Roman"/>
        </w:rPr>
        <w:lastRenderedPageBreak/>
        <w:t>were passed on to them. Some sources have treated this issue as one of standing. I think it more appropriate to treat it as a threshold issue to be determined before moving into the specific causes of action alleged in the certification</w:t>
      </w:r>
      <w:r>
        <w:rPr>
          <w:rFonts w:cs="Times New Roman"/>
        </w:rPr>
        <w:t xml:space="preserve"> application</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As I have described above, indirect purchasers are consumers who have not purchased a product directly from the alleged </w:t>
      </w:r>
      <w:proofErr w:type="spellStart"/>
      <w:r w:rsidRPr="00FD55E3">
        <w:rPr>
          <w:rFonts w:cs="Times New Roman"/>
        </w:rPr>
        <w:t>overcharger</w:t>
      </w:r>
      <w:proofErr w:type="spellEnd"/>
      <w:r w:rsidRPr="00FD55E3">
        <w:rPr>
          <w:rFonts w:cs="Times New Roman"/>
        </w:rPr>
        <w:t xml:space="preserve">, but who have purchased it either from one of the </w:t>
      </w:r>
      <w:proofErr w:type="spellStart"/>
      <w:r w:rsidRPr="00FD55E3">
        <w:rPr>
          <w:rFonts w:cs="Times New Roman"/>
        </w:rPr>
        <w:t>overcharger’s</w:t>
      </w:r>
      <w:proofErr w:type="spellEnd"/>
      <w:r w:rsidRPr="00FD55E3">
        <w:rPr>
          <w:rFonts w:cs="Times New Roman"/>
        </w:rPr>
        <w:t xml:space="preserve"> direct purchasers, or from some other intermediary in the chain of distribution. The issue is whether indirect purchasers have a cause of action against the party who has effectuated the overcharge at the top of the distribution chain that has allegedly injured them indirectly as the result of the overcharge being “passed on” down the chain to them. </w:t>
      </w:r>
    </w:p>
    <w:p w:rsidR="006A370E" w:rsidRPr="00FD55E3" w:rsidRDefault="006A370E" w:rsidP="006A370E">
      <w:pPr>
        <w:pStyle w:val="ParaNoNdepar-AltN"/>
        <w:rPr>
          <w:rFonts w:cs="Times New Roman"/>
        </w:rPr>
      </w:pPr>
      <w:r w:rsidRPr="00FD55E3">
        <w:rPr>
          <w:rFonts w:cs="Times New Roman"/>
        </w:rPr>
        <w:t xml:space="preserve">Microsoft argues that indirect purchasers should have no such cause of action.  Its submits that permitting indirect purchasers to bring an action against the alleged </w:t>
      </w:r>
      <w:proofErr w:type="spellStart"/>
      <w:r w:rsidRPr="00FD55E3">
        <w:rPr>
          <w:rFonts w:cs="Times New Roman"/>
        </w:rPr>
        <w:t>overcharger</w:t>
      </w:r>
      <w:proofErr w:type="spellEnd"/>
      <w:r w:rsidRPr="00FD55E3">
        <w:rPr>
          <w:rFonts w:cs="Times New Roman"/>
        </w:rPr>
        <w:t xml:space="preserve"> to recover loss that has been “passed on” would be inconsistent with this Court’s jurisprudence, which it says rejected passing on as a defence. Microsoft says that the </w:t>
      </w:r>
      <w:r>
        <w:rPr>
          <w:rFonts w:cs="Times New Roman"/>
        </w:rPr>
        <w:t>rejection of the “passing-</w:t>
      </w:r>
      <w:r w:rsidRPr="00FD55E3">
        <w:rPr>
          <w:rFonts w:cs="Times New Roman"/>
        </w:rPr>
        <w:t xml:space="preserve">on” </w:t>
      </w:r>
      <w:r w:rsidRPr="00FD55E3">
        <w:rPr>
          <w:rFonts w:cs="Times New Roman"/>
          <w:i/>
        </w:rPr>
        <w:t>defence</w:t>
      </w:r>
      <w:r w:rsidRPr="00FD55E3">
        <w:rPr>
          <w:rFonts w:cs="Times New Roman"/>
        </w:rPr>
        <w:t xml:space="preserve"> necessarily entails a rejection of the </w:t>
      </w:r>
      <w:r w:rsidRPr="00FD55E3">
        <w:rPr>
          <w:rFonts w:cs="Times New Roman"/>
          <w:i/>
        </w:rPr>
        <w:t xml:space="preserve">offensive </w:t>
      </w:r>
      <w:r w:rsidRPr="00FD55E3">
        <w:rPr>
          <w:rFonts w:cs="Times New Roman"/>
        </w:rPr>
        <w:t>use of passing on by indirect purchasers to recover overcharges that were passed on to them.  I begin wi</w:t>
      </w:r>
      <w:r>
        <w:rPr>
          <w:rFonts w:cs="Times New Roman"/>
        </w:rPr>
        <w:t>th a description of the passing-</w:t>
      </w:r>
      <w:r w:rsidRPr="00FD55E3">
        <w:rPr>
          <w:rFonts w:cs="Times New Roman"/>
        </w:rPr>
        <w:t xml:space="preserve">on defence and then deal with its impact on indirect purchaser actions. </w:t>
      </w:r>
    </w:p>
    <w:p w:rsidR="006A370E" w:rsidRPr="00FD55E3" w:rsidRDefault="00DF53FF" w:rsidP="00DF53FF">
      <w:pPr>
        <w:pStyle w:val="Title3LevelTitre3Niveau"/>
        <w:numPr>
          <w:ilvl w:val="0"/>
          <w:numId w:val="0"/>
        </w:numPr>
        <w:tabs>
          <w:tab w:val="left" w:pos="1170"/>
          <w:tab w:val="left" w:pos="1800"/>
        </w:tabs>
        <w:ind w:left="1800" w:hanging="1800"/>
        <w:rPr>
          <w:rFonts w:cs="Times New Roman"/>
        </w:rPr>
      </w:pPr>
      <w:bookmarkStart w:id="37" w:name="_Toc360611903"/>
      <w:bookmarkStart w:id="38" w:name="_Toc367887580"/>
      <w:bookmarkStart w:id="39" w:name="_Toc367948544"/>
      <w:bookmarkStart w:id="40" w:name="_Toc367957373"/>
      <w:bookmarkStart w:id="41" w:name="_Toc369188621"/>
      <w:bookmarkStart w:id="42" w:name="_Toc370903003"/>
      <w:r w:rsidRPr="00DF53FF">
        <w:rPr>
          <w:rFonts w:cs="Times New Roman"/>
          <w:u w:val="none"/>
        </w:rPr>
        <w:tab/>
        <w:t>(1)</w:t>
      </w:r>
      <w:r w:rsidRPr="00DF53FF">
        <w:rPr>
          <w:rFonts w:cs="Times New Roman"/>
          <w:u w:val="none"/>
        </w:rPr>
        <w:tab/>
      </w:r>
      <w:r w:rsidR="006A370E" w:rsidRPr="00FD55E3">
        <w:rPr>
          <w:rFonts w:cs="Times New Roman"/>
        </w:rPr>
        <w:t xml:space="preserve">Rejection of </w:t>
      </w:r>
      <w:r w:rsidR="006A370E">
        <w:rPr>
          <w:rFonts w:cs="Times New Roman"/>
        </w:rPr>
        <w:t xml:space="preserve">Passing </w:t>
      </w:r>
      <w:proofErr w:type="gramStart"/>
      <w:r w:rsidR="006A370E">
        <w:rPr>
          <w:rFonts w:cs="Times New Roman"/>
        </w:rPr>
        <w:t>On</w:t>
      </w:r>
      <w:proofErr w:type="gramEnd"/>
      <w:r w:rsidR="006A370E">
        <w:rPr>
          <w:rFonts w:cs="Times New Roman"/>
        </w:rPr>
        <w:t xml:space="preserve"> as a Defenc</w:t>
      </w:r>
      <w:r w:rsidR="006A370E" w:rsidRPr="00FD55E3">
        <w:rPr>
          <w:rFonts w:cs="Times New Roman"/>
        </w:rPr>
        <w:t>e</w:t>
      </w:r>
      <w:bookmarkEnd w:id="37"/>
      <w:bookmarkEnd w:id="38"/>
      <w:bookmarkEnd w:id="39"/>
      <w:bookmarkEnd w:id="40"/>
      <w:bookmarkEnd w:id="41"/>
      <w:bookmarkEnd w:id="42"/>
    </w:p>
    <w:p w:rsidR="006A370E" w:rsidRPr="00FD55E3" w:rsidRDefault="006A370E" w:rsidP="006A370E">
      <w:pPr>
        <w:pStyle w:val="ParaNoNdepar-AltN"/>
        <w:rPr>
          <w:rFonts w:cs="Times New Roman"/>
        </w:rPr>
      </w:pPr>
      <w:r>
        <w:rPr>
          <w:rFonts w:cs="Times New Roman"/>
        </w:rPr>
        <w:lastRenderedPageBreak/>
        <w:t>The passing-</w:t>
      </w:r>
      <w:r w:rsidRPr="00FD55E3">
        <w:rPr>
          <w:rFonts w:cs="Times New Roman"/>
        </w:rPr>
        <w:t xml:space="preserve">on defence was typically advanced by an </w:t>
      </w:r>
      <w:proofErr w:type="spellStart"/>
      <w:r w:rsidRPr="00FD55E3">
        <w:rPr>
          <w:rFonts w:cs="Times New Roman"/>
        </w:rPr>
        <w:t>overcharger</w:t>
      </w:r>
      <w:proofErr w:type="spellEnd"/>
      <w:r w:rsidRPr="00FD55E3">
        <w:rPr>
          <w:rFonts w:cs="Times New Roman"/>
        </w:rPr>
        <w:t xml:space="preserve"> at the top of a distribution chain. It was invoked under the proposition that if the direct purchaser who sustained the original overcharge then passed that overcharge on to its own customers, the gain conferred on the </w:t>
      </w:r>
      <w:proofErr w:type="spellStart"/>
      <w:r w:rsidRPr="00FD55E3">
        <w:rPr>
          <w:rFonts w:cs="Times New Roman"/>
        </w:rPr>
        <w:t>overcharger</w:t>
      </w:r>
      <w:proofErr w:type="spellEnd"/>
      <w:r w:rsidRPr="00FD55E3">
        <w:rPr>
          <w:rFonts w:cs="Times New Roman"/>
        </w:rPr>
        <w:t xml:space="preserve"> was not at the expense of the direct purchaser because the direct purchaser suffered no loss. As such, the fact that the overcharge was “passed on” was argued to be</w:t>
      </w:r>
      <w:r>
        <w:rPr>
          <w:rFonts w:cs="Times New Roman"/>
        </w:rPr>
        <w:t xml:space="preserve"> a defenc</w:t>
      </w:r>
      <w:r w:rsidRPr="00FD55E3">
        <w:rPr>
          <w:rFonts w:cs="Times New Roman"/>
        </w:rPr>
        <w:t xml:space="preserve">e to actions brought by the direct purchaser against the party responsible for the overcharge. </w:t>
      </w:r>
    </w:p>
    <w:p w:rsidR="006A370E" w:rsidRPr="00FD55E3" w:rsidRDefault="006A370E" w:rsidP="006A370E">
      <w:pPr>
        <w:pStyle w:val="ParaNoNdepar-AltN"/>
        <w:rPr>
          <w:rFonts w:cs="Times New Roman"/>
        </w:rPr>
      </w:pPr>
      <w:r w:rsidRPr="00FD55E3">
        <w:rPr>
          <w:rFonts w:cs="Times New Roman"/>
        </w:rPr>
        <w:t xml:space="preserve">The </w:t>
      </w:r>
      <w:r>
        <w:rPr>
          <w:rFonts w:cs="Times New Roman"/>
        </w:rPr>
        <w:t>passing-</w:t>
      </w:r>
      <w:r w:rsidRPr="00FD55E3">
        <w:rPr>
          <w:rFonts w:cs="Times New Roman"/>
        </w:rPr>
        <w:t xml:space="preserve">on defence has been rejected in both Canadian and U.S. jurisprudence. It was first addressed by the Supreme Court of the United States in 1968 in </w:t>
      </w:r>
      <w:r w:rsidRPr="00FD55E3">
        <w:rPr>
          <w:rFonts w:cs="Times New Roman"/>
          <w:i/>
        </w:rPr>
        <w:t>Hanover Shoe, Inc. v. United Shoe Machinery Corp.</w:t>
      </w:r>
      <w:r>
        <w:rPr>
          <w:rFonts w:cs="Times New Roman"/>
        </w:rPr>
        <w:t>,</w:t>
      </w:r>
      <w:r w:rsidRPr="00FD55E3">
        <w:rPr>
          <w:rFonts w:cs="Times New Roman"/>
        </w:rPr>
        <w:t xml:space="preserve"> 392 U.S. 481</w:t>
      </w:r>
      <w:r>
        <w:rPr>
          <w:rFonts w:cs="Times New Roman"/>
        </w:rPr>
        <w:t xml:space="preserve"> (1968).  </w:t>
      </w:r>
      <w:r w:rsidRPr="00FD55E3">
        <w:rPr>
          <w:rFonts w:cs="Times New Roman"/>
        </w:rPr>
        <w:t xml:space="preserve">In that case, Hanover sued United for damages under U.S. antitrust laws because United would only lease, not sell, </w:t>
      </w:r>
      <w:r>
        <w:rPr>
          <w:rFonts w:cs="Times New Roman"/>
        </w:rPr>
        <w:t xml:space="preserve">its shoe </w:t>
      </w:r>
      <w:r w:rsidRPr="00FD55E3">
        <w:rPr>
          <w:rFonts w:cs="Times New Roman"/>
        </w:rPr>
        <w:t>machinery, which Hanover claimed resulted in an overcharge to it.  United</w:t>
      </w:r>
      <w:r w:rsidRPr="00FD55E3">
        <w:rPr>
          <w:rFonts w:cs="Times New Roman"/>
          <w:i/>
        </w:rPr>
        <w:t xml:space="preserve"> </w:t>
      </w:r>
      <w:r w:rsidRPr="00FD55E3">
        <w:rPr>
          <w:rFonts w:cs="Times New Roman"/>
        </w:rPr>
        <w:t>argued that Hanover</w:t>
      </w:r>
      <w:r w:rsidRPr="00FD55E3">
        <w:rPr>
          <w:rFonts w:cs="Times New Roman"/>
          <w:i/>
        </w:rPr>
        <w:t xml:space="preserve"> </w:t>
      </w:r>
      <w:r w:rsidRPr="00FD55E3">
        <w:rPr>
          <w:rFonts w:cs="Times New Roman"/>
        </w:rPr>
        <w:t>had passed on the overcharge to its own customers and had therefore suffered no harm.  The U.S. Supreme Court (</w:t>
      </w:r>
      <w:r w:rsidRPr="00F754A5">
        <w:rPr>
          <w:rFonts w:cs="Times New Roman"/>
          <w:i/>
        </w:rPr>
        <w:t>per</w:t>
      </w:r>
      <w:r w:rsidRPr="00FD55E3">
        <w:rPr>
          <w:rFonts w:cs="Times New Roman"/>
        </w:rPr>
        <w:t xml:space="preserve"> White J., Stewart J. dissenting) rejected the passing</w:t>
      </w:r>
      <w:r>
        <w:rPr>
          <w:rFonts w:cs="Times New Roman"/>
        </w:rPr>
        <w:t>-</w:t>
      </w:r>
      <w:r w:rsidRPr="00FD55E3">
        <w:rPr>
          <w:rFonts w:cs="Times New Roman"/>
        </w:rPr>
        <w:t>on defence to overcharging. It cited difficulties in ascertaining the nature and extent of the passing on of the overcharge as the reason for rejecting the defence:</w:t>
      </w:r>
    </w:p>
    <w:p w:rsidR="006A370E" w:rsidRPr="00FD55E3" w:rsidRDefault="006A370E" w:rsidP="006A370E">
      <w:pPr>
        <w:pStyle w:val="Citation-AltC"/>
        <w:rPr>
          <w:rFonts w:eastAsiaTheme="minorEastAsia"/>
          <w:lang w:eastAsia="en-US"/>
        </w:rPr>
      </w:pPr>
      <w:r w:rsidRPr="00FD55E3">
        <w:rPr>
          <w:rFonts w:eastAsiaTheme="minorEastAsia"/>
          <w:lang w:eastAsia="en-US"/>
        </w:rPr>
        <w:t xml:space="preserve">Even if it could be shown that the buyer raised his price in response to, and in the amount of, the overcharge and that his margin of profit and total sales had not thereafter declined, there would remain the nearly insuperable difficulty of demonstrating that the particular plaintiff could not or would not have raised his prices absent the overcharge or maintained the higher price had the overcharge been discontinued. Since establishing the applicability of the passing-on defense would require a </w:t>
      </w:r>
      <w:r w:rsidRPr="00FD55E3">
        <w:rPr>
          <w:rFonts w:eastAsiaTheme="minorEastAsia"/>
          <w:lang w:eastAsia="en-US"/>
        </w:rPr>
        <w:lastRenderedPageBreak/>
        <w:t>convincing showing of each of these virtually unascertainable figures, the task would normally prove insurmountable.</w:t>
      </w:r>
      <w:r>
        <w:t xml:space="preserve">  [p. 493]</w:t>
      </w:r>
    </w:p>
    <w:p w:rsidR="006A370E" w:rsidRPr="00FD55E3" w:rsidRDefault="006A370E" w:rsidP="006A370E">
      <w:pPr>
        <w:pStyle w:val="ParaNoNdepar-AltN"/>
        <w:rPr>
          <w:rFonts w:cs="Times New Roman"/>
        </w:rPr>
      </w:pPr>
      <w:r w:rsidRPr="00FD55E3">
        <w:rPr>
          <w:rFonts w:cs="Times New Roman"/>
        </w:rPr>
        <w:t xml:space="preserve">The court added that to leave the only actionable causes in the hands of the indirect purchasers who “have only a tiny stake in </w:t>
      </w:r>
      <w:r>
        <w:rPr>
          <w:rFonts w:cs="Times New Roman"/>
        </w:rPr>
        <w:t xml:space="preserve">a </w:t>
      </w:r>
      <w:r w:rsidRPr="00FD55E3">
        <w:rPr>
          <w:rFonts w:cs="Times New Roman"/>
        </w:rPr>
        <w:t>lawsuit and little interest in attempting a class action”, would mean that “those who violate the antitrust laws by price fixing or monopolizing would retain the fruits of their illegality”</w:t>
      </w:r>
      <w:r>
        <w:rPr>
          <w:rFonts w:cs="Times New Roman"/>
        </w:rPr>
        <w:t xml:space="preserve"> (</w:t>
      </w:r>
      <w:r>
        <w:rPr>
          <w:rFonts w:cs="Times New Roman"/>
          <w:i/>
        </w:rPr>
        <w:t>Hanover Shoe</w:t>
      </w:r>
      <w:r>
        <w:rPr>
          <w:rFonts w:cs="Times New Roman"/>
        </w:rPr>
        <w:t>, at</w:t>
      </w:r>
      <w:r w:rsidRPr="00FD55E3">
        <w:rPr>
          <w:rFonts w:cs="Times New Roman"/>
        </w:rPr>
        <w:t xml:space="preserve"> p. 494</w:t>
      </w:r>
      <w:r>
        <w:rPr>
          <w:rFonts w:cs="Times New Roman"/>
        </w:rPr>
        <w:t>)</w:t>
      </w:r>
      <w:r w:rsidRPr="00FD55E3">
        <w:rPr>
          <w:rFonts w:cs="Times New Roman"/>
        </w:rPr>
        <w:t xml:space="preserve">.  The </w:t>
      </w:r>
      <w:r>
        <w:rPr>
          <w:rFonts w:cs="Times New Roman"/>
        </w:rPr>
        <w:t>court thus rejected the passing-</w:t>
      </w:r>
      <w:r w:rsidRPr="00FD55E3">
        <w:rPr>
          <w:rFonts w:cs="Times New Roman"/>
        </w:rPr>
        <w:t xml:space="preserve">on defence. Since </w:t>
      </w:r>
      <w:r w:rsidRPr="00FD55E3">
        <w:rPr>
          <w:rFonts w:cs="Times New Roman"/>
          <w:i/>
        </w:rPr>
        <w:t>Hanover Shoe</w:t>
      </w:r>
      <w:r w:rsidRPr="00FD55E3">
        <w:rPr>
          <w:rFonts w:cs="Times New Roman"/>
        </w:rPr>
        <w:t>,</w:t>
      </w:r>
      <w:r w:rsidRPr="00FD55E3">
        <w:rPr>
          <w:rFonts w:cs="Times New Roman"/>
          <w:i/>
        </w:rPr>
        <w:t xml:space="preserve"> </w:t>
      </w:r>
      <w:r w:rsidRPr="00FD55E3">
        <w:rPr>
          <w:rFonts w:cs="Times New Roman"/>
        </w:rPr>
        <w:t xml:space="preserve">defendants who effectuate illegal overcharges have been precluded from employing the </w:t>
      </w:r>
      <w:r>
        <w:rPr>
          <w:rFonts w:cs="Times New Roman"/>
        </w:rPr>
        <w:t>passing-</w:t>
      </w:r>
      <w:r w:rsidRPr="00FD55E3">
        <w:rPr>
          <w:rFonts w:cs="Times New Roman"/>
        </w:rPr>
        <w:t>on defen</w:t>
      </w:r>
      <w:r>
        <w:rPr>
          <w:rFonts w:cs="Times New Roman"/>
        </w:rPr>
        <w:t>c</w:t>
      </w:r>
      <w:r w:rsidRPr="00FD55E3">
        <w:rPr>
          <w:rFonts w:cs="Times New Roman"/>
        </w:rPr>
        <w:t xml:space="preserve">e as a means of absolving themselves of liability to their direct purchasers. </w:t>
      </w:r>
    </w:p>
    <w:p w:rsidR="006A370E" w:rsidRPr="00FD55E3" w:rsidRDefault="006A370E" w:rsidP="006A370E">
      <w:pPr>
        <w:pStyle w:val="ParaNoNdepar-AltN"/>
        <w:rPr>
          <w:rFonts w:cs="Times New Roman"/>
        </w:rPr>
      </w:pPr>
      <w:r w:rsidRPr="00FD55E3">
        <w:rPr>
          <w:rFonts w:cs="Times New Roman"/>
        </w:rPr>
        <w:t>The p</w:t>
      </w:r>
      <w:r>
        <w:rPr>
          <w:rFonts w:cs="Times New Roman"/>
        </w:rPr>
        <w:t>assing-</w:t>
      </w:r>
      <w:r w:rsidRPr="00FD55E3">
        <w:rPr>
          <w:rFonts w:cs="Times New Roman"/>
        </w:rPr>
        <w:t xml:space="preserve">on defence was rejected in Canada in </w:t>
      </w:r>
      <w:proofErr w:type="spellStart"/>
      <w:r w:rsidRPr="00FD55E3">
        <w:rPr>
          <w:rFonts w:cs="Times New Roman"/>
          <w:i/>
        </w:rPr>
        <w:t>Kingstreet</w:t>
      </w:r>
      <w:proofErr w:type="spellEnd"/>
      <w:r w:rsidRPr="00FD55E3">
        <w:rPr>
          <w:rFonts w:cs="Times New Roman"/>
          <w:i/>
        </w:rPr>
        <w:t xml:space="preserve"> Investments Ltd. v. New Brunswick (Finance)</w:t>
      </w:r>
      <w:r w:rsidRPr="00FD55E3">
        <w:rPr>
          <w:rFonts w:cs="Times New Roman"/>
        </w:rPr>
        <w:t>,</w:t>
      </w:r>
      <w:r>
        <w:rPr>
          <w:rFonts w:cs="Times New Roman"/>
        </w:rPr>
        <w:t xml:space="preserve"> 2007 SCC 1,</w:t>
      </w:r>
      <w:r w:rsidRPr="00FD55E3">
        <w:rPr>
          <w:rFonts w:cs="Times New Roman"/>
        </w:rPr>
        <w:t xml:space="preserve"> [2007] 1 S.C.R. 3, in the context of a claim for the recovery of taxes paid pursuant to </w:t>
      </w:r>
      <w:r w:rsidRPr="00FD55E3">
        <w:rPr>
          <w:rFonts w:cs="Times New Roman"/>
          <w:i/>
        </w:rPr>
        <w:t xml:space="preserve">ultra </w:t>
      </w:r>
      <w:proofErr w:type="spellStart"/>
      <w:r w:rsidRPr="00FD55E3">
        <w:rPr>
          <w:rFonts w:cs="Times New Roman"/>
          <w:i/>
        </w:rPr>
        <w:t>vires</w:t>
      </w:r>
      <w:proofErr w:type="spellEnd"/>
      <w:r w:rsidRPr="00FD55E3">
        <w:rPr>
          <w:rFonts w:cs="Times New Roman"/>
          <w:i/>
        </w:rPr>
        <w:t xml:space="preserve"> </w:t>
      </w:r>
      <w:r w:rsidRPr="00FD55E3">
        <w:rPr>
          <w:rFonts w:cs="Times New Roman"/>
        </w:rPr>
        <w:t xml:space="preserve">legislation.  The dispute in that case arose out of a claim for the recovery of </w:t>
      </w:r>
      <w:r w:rsidRPr="00FD55E3">
        <w:rPr>
          <w:rFonts w:cs="Times New Roman"/>
          <w:i/>
        </w:rPr>
        <w:t xml:space="preserve">ultra </w:t>
      </w:r>
      <w:proofErr w:type="spellStart"/>
      <w:r w:rsidRPr="00FD55E3">
        <w:rPr>
          <w:rFonts w:cs="Times New Roman"/>
          <w:i/>
        </w:rPr>
        <w:t>vires</w:t>
      </w:r>
      <w:proofErr w:type="spellEnd"/>
      <w:r w:rsidRPr="00FD55E3">
        <w:rPr>
          <w:rFonts w:cs="Times New Roman"/>
          <w:i/>
        </w:rPr>
        <w:t xml:space="preserve"> </w:t>
      </w:r>
      <w:r w:rsidRPr="00FD55E3">
        <w:rPr>
          <w:rFonts w:cs="Times New Roman"/>
        </w:rPr>
        <w:t xml:space="preserve">user charges on liquor levied by the province of New Brunswick against </w:t>
      </w:r>
      <w:proofErr w:type="spellStart"/>
      <w:r w:rsidRPr="00FD55E3">
        <w:rPr>
          <w:rFonts w:cs="Times New Roman"/>
        </w:rPr>
        <w:t>Kingstreet</w:t>
      </w:r>
      <w:proofErr w:type="spellEnd"/>
      <w:r w:rsidRPr="00FD55E3">
        <w:rPr>
          <w:rFonts w:cs="Times New Roman"/>
        </w:rPr>
        <w:t xml:space="preserve"> Investments, whose business, among other things, involved the operation of night clubs.  </w:t>
      </w:r>
      <w:proofErr w:type="spellStart"/>
      <w:r w:rsidRPr="00FD55E3">
        <w:rPr>
          <w:rFonts w:cs="Times New Roman"/>
        </w:rPr>
        <w:t>Bastarache</w:t>
      </w:r>
      <w:proofErr w:type="spellEnd"/>
      <w:r w:rsidRPr="00FD55E3">
        <w:rPr>
          <w:rFonts w:cs="Times New Roman"/>
        </w:rPr>
        <w:t xml:space="preserve"> J., writing for a unanimous Court, held that a public authority who had illegally overcharged a taxpayer could not reduce its liability for the overcharge simply by establishing that some or all of the overcharge was passed on to the taxpayer’s customers. </w:t>
      </w:r>
    </w:p>
    <w:p w:rsidR="006A370E" w:rsidRPr="00FD55E3" w:rsidRDefault="006A370E" w:rsidP="006A370E">
      <w:pPr>
        <w:pStyle w:val="ParaNoNdepar-AltN"/>
        <w:rPr>
          <w:rFonts w:cs="Times New Roman"/>
        </w:rPr>
      </w:pPr>
      <w:proofErr w:type="spellStart"/>
      <w:r w:rsidRPr="00FD55E3">
        <w:rPr>
          <w:rFonts w:cs="Times New Roman"/>
        </w:rPr>
        <w:lastRenderedPageBreak/>
        <w:t>Bastarache</w:t>
      </w:r>
      <w:proofErr w:type="spellEnd"/>
      <w:r w:rsidRPr="00FD55E3">
        <w:rPr>
          <w:rFonts w:cs="Times New Roman"/>
        </w:rPr>
        <w:t xml:space="preserve"> J. found the passing</w:t>
      </w:r>
      <w:r>
        <w:rPr>
          <w:rFonts w:cs="Times New Roman"/>
        </w:rPr>
        <w:t>-</w:t>
      </w:r>
      <w:r w:rsidRPr="00FD55E3">
        <w:rPr>
          <w:rFonts w:cs="Times New Roman"/>
        </w:rPr>
        <w:t xml:space="preserve">on </w:t>
      </w:r>
      <w:r>
        <w:rPr>
          <w:rFonts w:cs="Times New Roman"/>
        </w:rPr>
        <w:t>defenc</w:t>
      </w:r>
      <w:r w:rsidRPr="00FD55E3">
        <w:rPr>
          <w:rFonts w:cs="Times New Roman"/>
        </w:rPr>
        <w:t>e to be inconsistent with the basic premise of restitution law</w:t>
      </w:r>
      <w:r>
        <w:rPr>
          <w:rFonts w:cs="Times New Roman"/>
        </w:rPr>
        <w:t xml:space="preserve">.  </w:t>
      </w:r>
      <w:r w:rsidRPr="00FD55E3">
        <w:rPr>
          <w:rFonts w:cs="Times New Roman"/>
        </w:rPr>
        <w:t xml:space="preserve">Basic </w:t>
      </w:r>
      <w:proofErr w:type="spellStart"/>
      <w:r w:rsidRPr="00FD55E3">
        <w:rPr>
          <w:rFonts w:cs="Times New Roman"/>
        </w:rPr>
        <w:t>restitutionary</w:t>
      </w:r>
      <w:proofErr w:type="spellEnd"/>
      <w:r w:rsidRPr="00FD55E3">
        <w:rPr>
          <w:rFonts w:cs="Times New Roman"/>
        </w:rPr>
        <w:t xml:space="preserve"> principles “provide for restoration of ‘what has been taken or received from the plaintiff without </w:t>
      </w:r>
      <w:proofErr w:type="gramStart"/>
      <w:r w:rsidRPr="00FD55E3">
        <w:rPr>
          <w:rFonts w:cs="Times New Roman"/>
        </w:rPr>
        <w:t>justification’</w:t>
      </w:r>
      <w:r>
        <w:rPr>
          <w:rFonts w:cs="Times New Roman"/>
        </w:rPr>
        <w:t xml:space="preserve"> .</w:t>
      </w:r>
      <w:proofErr w:type="gramEnd"/>
      <w:r>
        <w:rPr>
          <w:rFonts w:cs="Times New Roman"/>
        </w:rPr>
        <w:t> . . </w:t>
      </w:r>
      <w:r w:rsidRPr="00FD55E3">
        <w:rPr>
          <w:rFonts w:cs="Times New Roman"/>
        </w:rPr>
        <w:t>. Restitution law is not concerned by the possibility of the plaintiff obtaining a windfall precisely because it is not founded on the concept of compensation for loss”</w:t>
      </w:r>
      <w:r>
        <w:rPr>
          <w:rFonts w:cs="Times New Roman"/>
        </w:rPr>
        <w:t xml:space="preserve"> (</w:t>
      </w:r>
      <w:proofErr w:type="spellStart"/>
      <w:r w:rsidRPr="00FD55E3">
        <w:rPr>
          <w:rFonts w:cs="Times New Roman"/>
          <w:i/>
        </w:rPr>
        <w:t>Kingstreet</w:t>
      </w:r>
      <w:proofErr w:type="spellEnd"/>
      <w:r>
        <w:rPr>
          <w:rFonts w:cs="Times New Roman"/>
        </w:rPr>
        <w:t>,</w:t>
      </w:r>
      <w:r w:rsidRPr="00FD55E3">
        <w:rPr>
          <w:rFonts w:cs="Times New Roman"/>
          <w:i/>
        </w:rPr>
        <w:t xml:space="preserve"> </w:t>
      </w:r>
      <w:r w:rsidRPr="00FD55E3">
        <w:rPr>
          <w:rFonts w:cs="Times New Roman"/>
        </w:rPr>
        <w:t xml:space="preserve">at </w:t>
      </w:r>
      <w:proofErr w:type="spellStart"/>
      <w:r w:rsidRPr="00FD55E3">
        <w:rPr>
          <w:rFonts w:cs="Times New Roman"/>
        </w:rPr>
        <w:t>para</w:t>
      </w:r>
      <w:proofErr w:type="spellEnd"/>
      <w:r w:rsidRPr="00FD55E3">
        <w:rPr>
          <w:rFonts w:cs="Times New Roman"/>
        </w:rPr>
        <w:t>. 47</w:t>
      </w:r>
      <w:r>
        <w:rPr>
          <w:rFonts w:cs="Times New Roman"/>
        </w:rPr>
        <w:t>,</w:t>
      </w:r>
      <w:r w:rsidRPr="00FD55E3">
        <w:rPr>
          <w:rFonts w:cs="Times New Roman"/>
        </w:rPr>
        <w:t xml:space="preserve"> quoting </w:t>
      </w:r>
      <w:r w:rsidRPr="00FD55E3">
        <w:rPr>
          <w:rFonts w:cs="Times New Roman"/>
          <w:i/>
        </w:rPr>
        <w:t xml:space="preserve">Commissioner of State Revenue </w:t>
      </w:r>
      <w:r w:rsidRPr="00620AE2">
        <w:rPr>
          <w:rFonts w:cs="Times New Roman"/>
          <w:i/>
        </w:rPr>
        <w:t>(</w:t>
      </w:r>
      <w:r>
        <w:rPr>
          <w:rFonts w:cs="Times New Roman"/>
          <w:i/>
        </w:rPr>
        <w:t>Victoria</w:t>
      </w:r>
      <w:r w:rsidRPr="00620AE2">
        <w:rPr>
          <w:rFonts w:cs="Times New Roman"/>
          <w:i/>
        </w:rPr>
        <w:t>)</w:t>
      </w:r>
      <w:r>
        <w:rPr>
          <w:rFonts w:cs="Times New Roman"/>
          <w:i/>
        </w:rPr>
        <w:t xml:space="preserve"> </w:t>
      </w:r>
      <w:r w:rsidRPr="00FD55E3">
        <w:rPr>
          <w:rFonts w:cs="Times New Roman"/>
          <w:i/>
        </w:rPr>
        <w:t xml:space="preserve">v. Royal Insurance Australia Ltd. </w:t>
      </w:r>
      <w:r w:rsidRPr="00FD55E3">
        <w:rPr>
          <w:rFonts w:cs="Times New Roman"/>
        </w:rPr>
        <w:t xml:space="preserve">(1994), </w:t>
      </w:r>
      <w:r>
        <w:rPr>
          <w:rFonts w:cs="Times New Roman"/>
        </w:rPr>
        <w:t>182 C.L.R. 51</w:t>
      </w:r>
      <w:r w:rsidRPr="00FD55E3">
        <w:rPr>
          <w:rFonts w:cs="Times New Roman"/>
        </w:rPr>
        <w:t xml:space="preserve"> (H.C.</w:t>
      </w:r>
      <w:r>
        <w:rPr>
          <w:rFonts w:cs="Times New Roman"/>
        </w:rPr>
        <w:t>A.</w:t>
      </w:r>
      <w:r w:rsidRPr="00FD55E3">
        <w:rPr>
          <w:rFonts w:cs="Times New Roman"/>
        </w:rPr>
        <w:t>)</w:t>
      </w:r>
      <w:r>
        <w:rPr>
          <w:rFonts w:cs="Times New Roman"/>
        </w:rPr>
        <w:t>,</w:t>
      </w:r>
      <w:r w:rsidRPr="00FD55E3">
        <w:rPr>
          <w:rFonts w:cs="Times New Roman"/>
        </w:rPr>
        <w:t xml:space="preserve"> at p. 71</w:t>
      </w:r>
      <w:r>
        <w:rPr>
          <w:rFonts w:cs="Times New Roman"/>
        </w:rPr>
        <w:t>)</w:t>
      </w:r>
      <w:r w:rsidRPr="00FD55E3">
        <w:rPr>
          <w:rFonts w:cs="Times New Roman"/>
        </w:rPr>
        <w:t xml:space="preserve">. </w:t>
      </w:r>
      <w:r>
        <w:rPr>
          <w:rFonts w:cs="Times New Roman"/>
        </w:rPr>
        <w:t>Accordingly,</w:t>
      </w:r>
      <w:r w:rsidRPr="00FD55E3">
        <w:rPr>
          <w:rFonts w:cs="Times New Roman"/>
        </w:rPr>
        <w:t xml:space="preserve"> “</w:t>
      </w:r>
      <w:r>
        <w:rPr>
          <w:rFonts w:cs="Times New Roman"/>
        </w:rPr>
        <w:t>[</w:t>
      </w:r>
      <w:r w:rsidRPr="00FD55E3">
        <w:rPr>
          <w:rFonts w:cs="Times New Roman"/>
        </w:rPr>
        <w:t>a</w:t>
      </w:r>
      <w:r>
        <w:rPr>
          <w:rFonts w:cs="Times New Roman"/>
        </w:rPr>
        <w:t>]</w:t>
      </w:r>
      <w:r w:rsidRPr="00FD55E3">
        <w:rPr>
          <w:rFonts w:cs="Times New Roman"/>
        </w:rPr>
        <w:t>s between the taxpayer and the Crown, the question of whether the taxpayer has been able to recoup its loss from some ot</w:t>
      </w:r>
      <w:r>
        <w:rPr>
          <w:rFonts w:cs="Times New Roman"/>
        </w:rPr>
        <w:t>her source is simply irrelevant</w:t>
      </w:r>
      <w:r w:rsidRPr="00FD55E3">
        <w:rPr>
          <w:rFonts w:cs="Times New Roman"/>
        </w:rPr>
        <w:t xml:space="preserve">” </w:t>
      </w:r>
      <w:r>
        <w:rPr>
          <w:rFonts w:cs="Times New Roman"/>
        </w:rPr>
        <w:t>(</w:t>
      </w:r>
      <w:proofErr w:type="spellStart"/>
      <w:r>
        <w:rPr>
          <w:rFonts w:cs="Times New Roman"/>
          <w:i/>
        </w:rPr>
        <w:t>Kingstreet</w:t>
      </w:r>
      <w:proofErr w:type="spellEnd"/>
      <w:r>
        <w:rPr>
          <w:rFonts w:cs="Times New Roman"/>
        </w:rPr>
        <w:t>,</w:t>
      </w:r>
      <w:r w:rsidRPr="00FD55E3">
        <w:rPr>
          <w:rFonts w:cs="Times New Roman"/>
          <w:i/>
        </w:rPr>
        <w:t xml:space="preserve"> </w:t>
      </w:r>
      <w:r w:rsidRPr="00FD55E3">
        <w:rPr>
          <w:rFonts w:cs="Times New Roman"/>
        </w:rPr>
        <w:t xml:space="preserve">at </w:t>
      </w:r>
      <w:proofErr w:type="spellStart"/>
      <w:r w:rsidRPr="00FD55E3">
        <w:rPr>
          <w:rFonts w:cs="Times New Roman"/>
        </w:rPr>
        <w:t>para</w:t>
      </w:r>
      <w:proofErr w:type="spellEnd"/>
      <w:r>
        <w:rPr>
          <w:rFonts w:cs="Times New Roman"/>
        </w:rPr>
        <w:t>.</w:t>
      </w:r>
      <w:r w:rsidRPr="00FD55E3">
        <w:rPr>
          <w:rFonts w:cs="Times New Roman"/>
        </w:rPr>
        <w:t xml:space="preserve"> 45</w:t>
      </w:r>
      <w:r>
        <w:rPr>
          <w:rFonts w:cs="Times New Roman"/>
        </w:rPr>
        <w:t>,</w:t>
      </w:r>
      <w:r w:rsidRPr="00FD55E3">
        <w:rPr>
          <w:rFonts w:cs="Times New Roman"/>
        </w:rPr>
        <w:t xml:space="preserve"> quoting </w:t>
      </w:r>
      <w:r>
        <w:rPr>
          <w:rFonts w:cs="Times New Roman"/>
        </w:rPr>
        <w:t xml:space="preserve">P. D. </w:t>
      </w:r>
      <w:proofErr w:type="spellStart"/>
      <w:r w:rsidRPr="00FD55E3">
        <w:rPr>
          <w:rFonts w:cs="Times New Roman"/>
        </w:rPr>
        <w:t>Maddaugh</w:t>
      </w:r>
      <w:proofErr w:type="spellEnd"/>
      <w:r>
        <w:rPr>
          <w:rFonts w:cs="Times New Roman"/>
        </w:rPr>
        <w:t xml:space="preserve"> </w:t>
      </w:r>
      <w:r w:rsidRPr="00FD55E3">
        <w:rPr>
          <w:rFonts w:cs="Times New Roman"/>
        </w:rPr>
        <w:t xml:space="preserve">and </w:t>
      </w:r>
      <w:r>
        <w:rPr>
          <w:rFonts w:cs="Times New Roman"/>
        </w:rPr>
        <w:t xml:space="preserve">J. D. </w:t>
      </w:r>
      <w:proofErr w:type="spellStart"/>
      <w:r w:rsidRPr="00FD55E3">
        <w:rPr>
          <w:rFonts w:cs="Times New Roman"/>
        </w:rPr>
        <w:t>McCamus</w:t>
      </w:r>
      <w:proofErr w:type="spellEnd"/>
      <w:r>
        <w:rPr>
          <w:rFonts w:cs="Times New Roman"/>
        </w:rPr>
        <w:t xml:space="preserve">, </w:t>
      </w:r>
      <w:r w:rsidRPr="00FD55E3">
        <w:rPr>
          <w:rFonts w:cs="Times New Roman"/>
          <w:i/>
        </w:rPr>
        <w:t>The Law of Restitution</w:t>
      </w:r>
      <w:r w:rsidRPr="00FD55E3">
        <w:rPr>
          <w:rFonts w:cs="Times New Roman"/>
        </w:rPr>
        <w:t xml:space="preserve"> (loose-leaf </w:t>
      </w:r>
      <w:r>
        <w:rPr>
          <w:rFonts w:cs="Times New Roman"/>
        </w:rPr>
        <w:t>2005</w:t>
      </w:r>
      <w:r w:rsidRPr="00FD55E3">
        <w:rPr>
          <w:rFonts w:cs="Times New Roman"/>
        </w:rPr>
        <w:t>)</w:t>
      </w:r>
      <w:r>
        <w:rPr>
          <w:rFonts w:cs="Times New Roman"/>
        </w:rPr>
        <w:t>, at p. 11-45)</w:t>
      </w:r>
      <w:r w:rsidRPr="00FD55E3">
        <w:rPr>
          <w:rFonts w:cs="Times New Roman"/>
        </w:rPr>
        <w:t>.</w:t>
      </w:r>
    </w:p>
    <w:p w:rsidR="006A370E" w:rsidRPr="00FD55E3" w:rsidRDefault="006A370E" w:rsidP="006A370E">
      <w:pPr>
        <w:pStyle w:val="ParaNoNdepar-AltN"/>
        <w:rPr>
          <w:rFonts w:cs="Times New Roman"/>
        </w:rPr>
      </w:pPr>
      <w:proofErr w:type="spellStart"/>
      <w:r w:rsidRPr="00FD55E3">
        <w:rPr>
          <w:rFonts w:cs="Times New Roman"/>
        </w:rPr>
        <w:t>Bastarache</w:t>
      </w:r>
      <w:proofErr w:type="spellEnd"/>
      <w:r w:rsidRPr="00FD55E3">
        <w:rPr>
          <w:rFonts w:cs="Times New Roman"/>
        </w:rPr>
        <w:t xml:space="preserve"> J. also found the passing</w:t>
      </w:r>
      <w:r>
        <w:rPr>
          <w:rFonts w:cs="Times New Roman"/>
        </w:rPr>
        <w:t>-</w:t>
      </w:r>
      <w:r w:rsidRPr="00FD55E3">
        <w:rPr>
          <w:rFonts w:cs="Times New Roman"/>
        </w:rPr>
        <w:t>on defen</w:t>
      </w:r>
      <w:r>
        <w:rPr>
          <w:rFonts w:cs="Times New Roman"/>
        </w:rPr>
        <w:t>c</w:t>
      </w:r>
      <w:r w:rsidRPr="00FD55E3">
        <w:rPr>
          <w:rFonts w:cs="Times New Roman"/>
        </w:rPr>
        <w:t xml:space="preserve">e to be “economically misconceived” </w:t>
      </w:r>
      <w:r>
        <w:rPr>
          <w:rFonts w:cs="Times New Roman"/>
        </w:rPr>
        <w:t>(</w:t>
      </w:r>
      <w:proofErr w:type="spellStart"/>
      <w:r w:rsidRPr="00FD55E3">
        <w:rPr>
          <w:rFonts w:cs="Times New Roman"/>
          <w:i/>
        </w:rPr>
        <w:t>Kingstreet</w:t>
      </w:r>
      <w:proofErr w:type="spellEnd"/>
      <w:r>
        <w:rPr>
          <w:rFonts w:cs="Times New Roman"/>
        </w:rPr>
        <w:t>,</w:t>
      </w:r>
      <w:r w:rsidRPr="00FD55E3">
        <w:rPr>
          <w:rFonts w:cs="Times New Roman"/>
        </w:rPr>
        <w:t xml:space="preserve"> at </w:t>
      </w:r>
      <w:proofErr w:type="spellStart"/>
      <w:r w:rsidRPr="00FD55E3">
        <w:rPr>
          <w:rFonts w:cs="Times New Roman"/>
        </w:rPr>
        <w:t>para</w:t>
      </w:r>
      <w:proofErr w:type="spellEnd"/>
      <w:r w:rsidRPr="00FD55E3">
        <w:rPr>
          <w:rFonts w:cs="Times New Roman"/>
        </w:rPr>
        <w:t>. 48</w:t>
      </w:r>
      <w:r>
        <w:rPr>
          <w:rFonts w:cs="Times New Roman"/>
        </w:rPr>
        <w:t>)</w:t>
      </w:r>
      <w:r w:rsidRPr="00FD55E3">
        <w:rPr>
          <w:rFonts w:cs="Times New Roman"/>
        </w:rPr>
        <w:t>. By this he accepted that the task of determining the ultimate location of the harm of the overcharge is “exceedingly difficult and constitutes an inappropria</w:t>
      </w:r>
      <w:r>
        <w:rPr>
          <w:rFonts w:cs="Times New Roman"/>
        </w:rPr>
        <w:t>te basis for denying relief”</w:t>
      </w:r>
      <w:r w:rsidRPr="00FD55E3">
        <w:rPr>
          <w:rFonts w:cs="Times New Roman"/>
        </w:rPr>
        <w:t xml:space="preserve"> </w:t>
      </w:r>
      <w:r>
        <w:rPr>
          <w:rFonts w:cs="Times New Roman"/>
        </w:rPr>
        <w:t>(</w:t>
      </w:r>
      <w:proofErr w:type="spellStart"/>
      <w:r w:rsidRPr="00FD55E3">
        <w:rPr>
          <w:rFonts w:cs="Times New Roman"/>
        </w:rPr>
        <w:t>para</w:t>
      </w:r>
      <w:proofErr w:type="spellEnd"/>
      <w:r w:rsidRPr="00FD55E3">
        <w:rPr>
          <w:rFonts w:cs="Times New Roman"/>
        </w:rPr>
        <w:t>. 44</w:t>
      </w:r>
      <w:r>
        <w:rPr>
          <w:rFonts w:cs="Times New Roman"/>
        </w:rPr>
        <w:t>)</w:t>
      </w:r>
      <w:r w:rsidRPr="00FD55E3">
        <w:rPr>
          <w:rFonts w:cs="Times New Roman"/>
        </w:rPr>
        <w:t xml:space="preserve">. Echoing the misgivings expressed in </w:t>
      </w:r>
      <w:r w:rsidRPr="00FD55E3">
        <w:rPr>
          <w:rFonts w:cs="Times New Roman"/>
          <w:i/>
        </w:rPr>
        <w:t>Hanover Shoe</w:t>
      </w:r>
      <w:r w:rsidRPr="00FD55E3">
        <w:rPr>
          <w:rFonts w:cs="Times New Roman"/>
        </w:rPr>
        <w:t xml:space="preserve">, he cited the inherent difficulty in accounting for the effects of market </w:t>
      </w:r>
      <w:proofErr w:type="spellStart"/>
      <w:r w:rsidRPr="00FD55E3">
        <w:rPr>
          <w:rFonts w:cs="Times New Roman"/>
        </w:rPr>
        <w:t>elasticities</w:t>
      </w:r>
      <w:proofErr w:type="spellEnd"/>
      <w:r w:rsidRPr="00FD55E3">
        <w:rPr>
          <w:rFonts w:cs="Times New Roman"/>
        </w:rPr>
        <w:t xml:space="preserve"> on the prices charged by direct purchasers as the basis for this conclusion. He found these complexities made it impossible to tell what part, if any</w:t>
      </w:r>
      <w:r>
        <w:rPr>
          <w:rFonts w:cs="Times New Roman"/>
        </w:rPr>
        <w:t>,</w:t>
      </w:r>
      <w:r w:rsidRPr="00FD55E3">
        <w:rPr>
          <w:rFonts w:cs="Times New Roman"/>
        </w:rPr>
        <w:t xml:space="preserve"> of the ov</w:t>
      </w:r>
      <w:r>
        <w:rPr>
          <w:rFonts w:cs="Times New Roman"/>
        </w:rPr>
        <w:t>ercharge was actually passed on</w:t>
      </w:r>
      <w:r w:rsidRPr="00FD55E3">
        <w:rPr>
          <w:rFonts w:cs="Times New Roman"/>
        </w:rPr>
        <w:t xml:space="preserve"> </w:t>
      </w:r>
      <w:r>
        <w:rPr>
          <w:rFonts w:cs="Times New Roman"/>
        </w:rPr>
        <w:t>(</w:t>
      </w:r>
      <w:proofErr w:type="spellStart"/>
      <w:r w:rsidRPr="0088448C">
        <w:rPr>
          <w:rFonts w:cs="Times New Roman"/>
          <w:i/>
        </w:rPr>
        <w:t>Kingstreet</w:t>
      </w:r>
      <w:proofErr w:type="spellEnd"/>
      <w:r>
        <w:rPr>
          <w:rFonts w:cs="Times New Roman"/>
        </w:rPr>
        <w:t>,</w:t>
      </w:r>
      <w:r w:rsidRPr="00FD55E3">
        <w:rPr>
          <w:rFonts w:cs="Times New Roman"/>
          <w:i/>
        </w:rPr>
        <w:t xml:space="preserve"> </w:t>
      </w:r>
      <w:r w:rsidRPr="00FD55E3">
        <w:rPr>
          <w:rFonts w:cs="Times New Roman"/>
        </w:rPr>
        <w:t xml:space="preserve">at </w:t>
      </w:r>
      <w:proofErr w:type="spellStart"/>
      <w:r w:rsidRPr="00FD55E3">
        <w:rPr>
          <w:rFonts w:cs="Times New Roman"/>
        </w:rPr>
        <w:t>para</w:t>
      </w:r>
      <w:proofErr w:type="spellEnd"/>
      <w:r w:rsidRPr="00FD55E3">
        <w:rPr>
          <w:rFonts w:cs="Times New Roman"/>
        </w:rPr>
        <w:t>. 48</w:t>
      </w:r>
      <w:r>
        <w:rPr>
          <w:rFonts w:cs="Times New Roman"/>
        </w:rPr>
        <w:t>)</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lastRenderedPageBreak/>
        <w:t xml:space="preserve">Pro-Sys says that </w:t>
      </w:r>
      <w:proofErr w:type="spellStart"/>
      <w:r w:rsidRPr="00FD55E3">
        <w:rPr>
          <w:rFonts w:cs="Times New Roman"/>
          <w:i/>
        </w:rPr>
        <w:t>Kingstreet</w:t>
      </w:r>
      <w:proofErr w:type="spellEnd"/>
      <w:r w:rsidRPr="00FD55E3">
        <w:rPr>
          <w:rFonts w:cs="Times New Roman"/>
          <w:i/>
        </w:rPr>
        <w:t xml:space="preserve"> </w:t>
      </w:r>
      <w:r w:rsidRPr="00FD55E3">
        <w:rPr>
          <w:rFonts w:cs="Times New Roman"/>
        </w:rPr>
        <w:t>stands only</w:t>
      </w:r>
      <w:r>
        <w:rPr>
          <w:rFonts w:cs="Times New Roman"/>
        </w:rPr>
        <w:t xml:space="preserve"> for the rejection of the defenc</w:t>
      </w:r>
      <w:r w:rsidRPr="00FD55E3">
        <w:rPr>
          <w:rFonts w:cs="Times New Roman"/>
        </w:rPr>
        <w:t xml:space="preserve">e in the context of </w:t>
      </w:r>
      <w:r w:rsidRPr="00FD55E3">
        <w:rPr>
          <w:rFonts w:cs="Times New Roman"/>
          <w:i/>
        </w:rPr>
        <w:t xml:space="preserve">ultra </w:t>
      </w:r>
      <w:proofErr w:type="spellStart"/>
      <w:r w:rsidRPr="00FD55E3">
        <w:rPr>
          <w:rFonts w:cs="Times New Roman"/>
          <w:i/>
        </w:rPr>
        <w:t>vires</w:t>
      </w:r>
      <w:proofErr w:type="spellEnd"/>
      <w:r w:rsidRPr="00FD55E3">
        <w:rPr>
          <w:rFonts w:cs="Times New Roman"/>
          <w:i/>
        </w:rPr>
        <w:t xml:space="preserve"> </w:t>
      </w:r>
      <w:r w:rsidRPr="00FD55E3">
        <w:rPr>
          <w:rFonts w:cs="Times New Roman"/>
        </w:rPr>
        <w:t xml:space="preserve">taxes. In my view, however, there are three reasons that lead to the conclusion that </w:t>
      </w:r>
      <w:proofErr w:type="spellStart"/>
      <w:r w:rsidRPr="00FD55E3">
        <w:rPr>
          <w:rFonts w:cs="Times New Roman"/>
        </w:rPr>
        <w:t>Bastarache</w:t>
      </w:r>
      <w:proofErr w:type="spellEnd"/>
      <w:r w:rsidRPr="00FD55E3">
        <w:rPr>
          <w:rFonts w:cs="Times New Roman"/>
        </w:rPr>
        <w:t xml:space="preserve"> J.’s </w:t>
      </w:r>
      <w:r>
        <w:rPr>
          <w:rFonts w:cs="Times New Roman"/>
        </w:rPr>
        <w:t>rejection of the passing-</w:t>
      </w:r>
      <w:r w:rsidRPr="00FD55E3">
        <w:rPr>
          <w:rFonts w:cs="Times New Roman"/>
        </w:rPr>
        <w:t xml:space="preserve">on defence in </w:t>
      </w:r>
      <w:proofErr w:type="spellStart"/>
      <w:r w:rsidRPr="00FD55E3">
        <w:rPr>
          <w:rFonts w:cs="Times New Roman"/>
          <w:i/>
        </w:rPr>
        <w:t>Kingstreet</w:t>
      </w:r>
      <w:proofErr w:type="spellEnd"/>
      <w:r w:rsidRPr="00FD55E3">
        <w:rPr>
          <w:rFonts w:cs="Times New Roman"/>
        </w:rPr>
        <w:t xml:space="preserve"> was not limited to that context. </w:t>
      </w:r>
    </w:p>
    <w:p w:rsidR="006A370E" w:rsidRPr="00FD55E3" w:rsidRDefault="006A370E" w:rsidP="006A370E">
      <w:pPr>
        <w:pStyle w:val="ParaNoNdepar-AltN"/>
        <w:rPr>
          <w:rFonts w:eastAsiaTheme="minorHAnsi" w:cs="Times New Roman"/>
        </w:rPr>
      </w:pPr>
      <w:r w:rsidRPr="00FD55E3">
        <w:rPr>
          <w:rFonts w:cs="Times New Roman"/>
        </w:rPr>
        <w:t>First, this Court’s jurisprudence supports the broader rejection</w:t>
      </w:r>
      <w:r>
        <w:rPr>
          <w:rFonts w:cs="Times New Roman"/>
        </w:rPr>
        <w:t xml:space="preserve"> of the passing-</w:t>
      </w:r>
      <w:r w:rsidRPr="00FD55E3">
        <w:rPr>
          <w:rFonts w:cs="Times New Roman"/>
        </w:rPr>
        <w:t xml:space="preserve">on defence. In </w:t>
      </w:r>
      <w:r>
        <w:rPr>
          <w:rFonts w:cs="Times New Roman"/>
          <w:i/>
        </w:rPr>
        <w:t xml:space="preserve">British Columbia v. </w:t>
      </w:r>
      <w:r w:rsidRPr="00FD55E3">
        <w:rPr>
          <w:rFonts w:cs="Times New Roman"/>
          <w:i/>
        </w:rPr>
        <w:t>Canadian Forest Products Ltd.</w:t>
      </w:r>
      <w:r w:rsidRPr="00FD55E3">
        <w:rPr>
          <w:rFonts w:cs="Times New Roman"/>
        </w:rPr>
        <w:t xml:space="preserve">, </w:t>
      </w:r>
      <w:r>
        <w:rPr>
          <w:rFonts w:cs="Times New Roman"/>
        </w:rPr>
        <w:t>2004 SCC 38, [2004] 2 S.C.R. 74 (“</w:t>
      </w:r>
      <w:r w:rsidRPr="00FD55E3">
        <w:rPr>
          <w:rFonts w:cs="Times New Roman"/>
          <w:i/>
        </w:rPr>
        <w:t>Canfor</w:t>
      </w:r>
      <w:r>
        <w:rPr>
          <w:rFonts w:cs="Times New Roman"/>
        </w:rPr>
        <w:t>”)</w:t>
      </w:r>
      <w:r w:rsidRPr="00FD55E3">
        <w:rPr>
          <w:rFonts w:cs="Times New Roman"/>
        </w:rPr>
        <w:t>, t</w:t>
      </w:r>
      <w:r>
        <w:rPr>
          <w:rFonts w:cs="Times New Roman"/>
        </w:rPr>
        <w:t>he Crown claimed “diminution of</w:t>
      </w:r>
      <w:r w:rsidRPr="00FD55E3">
        <w:rPr>
          <w:rFonts w:cs="Times New Roman"/>
        </w:rPr>
        <w:t xml:space="preserve"> the value of the timber” that it sold, following a forest fire caused largely by Canfor. Though the Court ultimately held in that case that the Crown had not in fact suffered loss because it was able to recover its damages through the regulatory scheme it had instituted, </w:t>
      </w:r>
      <w:proofErr w:type="spellStart"/>
      <w:r w:rsidRPr="00FD55E3">
        <w:rPr>
          <w:rFonts w:cs="Times New Roman"/>
        </w:rPr>
        <w:t>Binnie</w:t>
      </w:r>
      <w:proofErr w:type="spellEnd"/>
      <w:r w:rsidRPr="00FD55E3">
        <w:rPr>
          <w:rFonts w:cs="Times New Roman"/>
        </w:rPr>
        <w:t xml:space="preserve"> J. stated (albeit in </w:t>
      </w:r>
      <w:r w:rsidRPr="00FD55E3">
        <w:rPr>
          <w:rFonts w:cs="Times New Roman"/>
          <w:i/>
        </w:rPr>
        <w:t>obiter</w:t>
      </w:r>
      <w:r w:rsidRPr="00FD55E3">
        <w:rPr>
          <w:rFonts w:cs="Times New Roman"/>
        </w:rPr>
        <w:t>) that “[</w:t>
      </w:r>
      <w:proofErr w:type="spellStart"/>
      <w:r w:rsidRPr="00FD55E3">
        <w:rPr>
          <w:rFonts w:cs="Times New Roman"/>
        </w:rPr>
        <w:t>i</w:t>
      </w:r>
      <w:proofErr w:type="spellEnd"/>
      <w:r w:rsidRPr="00FD55E3">
        <w:rPr>
          <w:rFonts w:cs="Times New Roman"/>
        </w:rPr>
        <w:t>]t is not generally open to a wrongdoer to dispute the existence of a loss on the basis it has been ‘passed on’ by the plaintiff” because this would burden courts with “the endlessness and futility of the effort to follow every tra</w:t>
      </w:r>
      <w:r>
        <w:rPr>
          <w:rFonts w:cs="Times New Roman"/>
        </w:rPr>
        <w:t>nsaction to its ultimate result” (</w:t>
      </w:r>
      <w:proofErr w:type="spellStart"/>
      <w:r w:rsidRPr="00FD55E3">
        <w:rPr>
          <w:rFonts w:cs="Times New Roman"/>
        </w:rPr>
        <w:t>para</w:t>
      </w:r>
      <w:proofErr w:type="spellEnd"/>
      <w:r w:rsidRPr="00FD55E3">
        <w:rPr>
          <w:rFonts w:cs="Times New Roman"/>
        </w:rPr>
        <w:t>. 111</w:t>
      </w:r>
      <w:r>
        <w:rPr>
          <w:rFonts w:cs="Times New Roman"/>
        </w:rPr>
        <w:t>,</w:t>
      </w:r>
      <w:r w:rsidRPr="00FD55E3">
        <w:rPr>
          <w:rFonts w:cs="Times New Roman"/>
        </w:rPr>
        <w:t xml:space="preserve"> quoting </w:t>
      </w:r>
      <w:r w:rsidRPr="00FD55E3">
        <w:rPr>
          <w:rFonts w:cs="Times New Roman"/>
          <w:i/>
          <w:iCs/>
        </w:rPr>
        <w:t>Southern Pacific Co. v. Darnell-</w:t>
      </w:r>
      <w:proofErr w:type="spellStart"/>
      <w:r w:rsidRPr="00FD55E3">
        <w:rPr>
          <w:rFonts w:cs="Times New Roman"/>
          <w:i/>
          <w:iCs/>
        </w:rPr>
        <w:t>Taenzer</w:t>
      </w:r>
      <w:proofErr w:type="spellEnd"/>
      <w:r w:rsidRPr="00FD55E3">
        <w:rPr>
          <w:rFonts w:cs="Times New Roman"/>
          <w:i/>
          <w:iCs/>
        </w:rPr>
        <w:t xml:space="preserve"> Lumber Co.</w:t>
      </w:r>
      <w:r w:rsidRPr="00FD55E3">
        <w:rPr>
          <w:rFonts w:cs="Times New Roman"/>
        </w:rPr>
        <w:t>, 245 U.S. 531 (1918), at p. 534</w:t>
      </w:r>
      <w:r>
        <w:rPr>
          <w:rFonts w:cs="Times New Roman"/>
        </w:rPr>
        <w:t>)</w:t>
      </w:r>
      <w:r w:rsidRPr="00FD55E3">
        <w:rPr>
          <w:rFonts w:cs="Times New Roman"/>
        </w:rPr>
        <w:t>. Likewise, in the same decision LeBel J., dissenting, though not on this point, said that “</w:t>
      </w:r>
      <w:r w:rsidRPr="00FD55E3">
        <w:rPr>
          <w:rFonts w:cs="Times New Roman"/>
          <w:szCs w:val="24"/>
        </w:rPr>
        <w:t xml:space="preserve">the passing-on </w:t>
      </w:r>
      <w:r>
        <w:rPr>
          <w:rFonts w:cs="Times New Roman"/>
          <w:szCs w:val="24"/>
        </w:rPr>
        <w:t>defence</w:t>
      </w:r>
      <w:r w:rsidRPr="00FD55E3">
        <w:rPr>
          <w:rFonts w:cs="Times New Roman"/>
          <w:szCs w:val="24"/>
        </w:rPr>
        <w:t>, on the facts of this case and generally, must not be allowed to take hold</w:t>
      </w:r>
      <w:r>
        <w:rPr>
          <w:rFonts w:cs="Times New Roman"/>
          <w:szCs w:val="24"/>
        </w:rPr>
        <w:t xml:space="preserve"> in Canadian jurisprudence” (</w:t>
      </w:r>
      <w:proofErr w:type="spellStart"/>
      <w:r w:rsidRPr="00FD55E3">
        <w:rPr>
          <w:rFonts w:cs="Times New Roman"/>
          <w:szCs w:val="24"/>
        </w:rPr>
        <w:t>para</w:t>
      </w:r>
      <w:proofErr w:type="spellEnd"/>
      <w:r w:rsidRPr="00FD55E3">
        <w:rPr>
          <w:rFonts w:cs="Times New Roman"/>
          <w:szCs w:val="24"/>
        </w:rPr>
        <w:t xml:space="preserve">. </w:t>
      </w:r>
      <w:r>
        <w:rPr>
          <w:rFonts w:cs="Times New Roman"/>
          <w:szCs w:val="24"/>
        </w:rPr>
        <w:t>1</w:t>
      </w:r>
      <w:r w:rsidRPr="00FD55E3">
        <w:rPr>
          <w:rFonts w:cs="Times New Roman"/>
          <w:szCs w:val="24"/>
        </w:rPr>
        <w:t>97</w:t>
      </w:r>
      <w:r>
        <w:rPr>
          <w:rFonts w:cs="Times New Roman"/>
          <w:szCs w:val="24"/>
        </w:rPr>
        <w:t>)</w:t>
      </w:r>
      <w:r w:rsidRPr="00FD55E3">
        <w:rPr>
          <w:rFonts w:cs="Times New Roman"/>
          <w:szCs w:val="24"/>
        </w:rPr>
        <w:t xml:space="preserve">. </w:t>
      </w:r>
      <w:r w:rsidRPr="00FD55E3">
        <w:rPr>
          <w:rFonts w:cs="Times New Roman"/>
        </w:rPr>
        <w:t>To allow otherwise, LeBel J. indicated, would force a difficult burden of proof on the plaintiff to demonstrate not only that it had suffered a loss, but that it did not engage in any other transactions t</w:t>
      </w:r>
      <w:r>
        <w:rPr>
          <w:rFonts w:cs="Times New Roman"/>
        </w:rPr>
        <w:t>hat would have offset the loss (</w:t>
      </w:r>
      <w:proofErr w:type="spellStart"/>
      <w:r w:rsidRPr="00FD55E3">
        <w:rPr>
          <w:rFonts w:cs="Times New Roman"/>
        </w:rPr>
        <w:t>para</w:t>
      </w:r>
      <w:proofErr w:type="spellEnd"/>
      <w:r w:rsidRPr="00FD55E3">
        <w:rPr>
          <w:rFonts w:cs="Times New Roman"/>
        </w:rPr>
        <w:t>. 203</w:t>
      </w:r>
      <w:r>
        <w:rPr>
          <w:rFonts w:cs="Times New Roman"/>
        </w:rPr>
        <w:t>)</w:t>
      </w:r>
      <w:r w:rsidRPr="00FD55E3">
        <w:rPr>
          <w:rFonts w:cs="Times New Roman"/>
        </w:rPr>
        <w:t xml:space="preserve">. </w:t>
      </w:r>
    </w:p>
    <w:p w:rsidR="006A370E" w:rsidRPr="00FD55E3" w:rsidRDefault="006A370E" w:rsidP="006A370E">
      <w:pPr>
        <w:pStyle w:val="ParaNoNdepar-AltN"/>
        <w:rPr>
          <w:rFonts w:cs="Times New Roman"/>
          <w:szCs w:val="24"/>
        </w:rPr>
      </w:pPr>
      <w:r w:rsidRPr="00FD55E3">
        <w:rPr>
          <w:rFonts w:cs="Times New Roman"/>
          <w:szCs w:val="24"/>
        </w:rPr>
        <w:lastRenderedPageBreak/>
        <w:t xml:space="preserve">In </w:t>
      </w:r>
      <w:proofErr w:type="spellStart"/>
      <w:r w:rsidRPr="00FD55E3">
        <w:rPr>
          <w:rFonts w:cs="Times New Roman"/>
          <w:i/>
          <w:szCs w:val="24"/>
        </w:rPr>
        <w:t>Kingstreet</w:t>
      </w:r>
      <w:proofErr w:type="spellEnd"/>
      <w:r w:rsidRPr="00FD55E3">
        <w:rPr>
          <w:rFonts w:cs="Times New Roman"/>
          <w:szCs w:val="24"/>
        </w:rPr>
        <w:t xml:space="preserve">, </w:t>
      </w:r>
      <w:proofErr w:type="spellStart"/>
      <w:r w:rsidRPr="00FD55E3">
        <w:rPr>
          <w:rFonts w:cs="Times New Roman"/>
          <w:szCs w:val="24"/>
        </w:rPr>
        <w:t>Bastarache</w:t>
      </w:r>
      <w:proofErr w:type="spellEnd"/>
      <w:r w:rsidRPr="00FD55E3">
        <w:rPr>
          <w:rFonts w:cs="Times New Roman"/>
          <w:szCs w:val="24"/>
        </w:rPr>
        <w:t xml:space="preserve"> J. endorsed the reasons for rejecting the pa</w:t>
      </w:r>
      <w:r>
        <w:rPr>
          <w:rFonts w:cs="Times New Roman"/>
          <w:szCs w:val="24"/>
        </w:rPr>
        <w:t>ssing-on defenc</w:t>
      </w:r>
      <w:r w:rsidRPr="00FD55E3">
        <w:rPr>
          <w:rFonts w:cs="Times New Roman"/>
          <w:szCs w:val="24"/>
        </w:rPr>
        <w:t xml:space="preserve">e advanced by LeBel J. in the tort law context in </w:t>
      </w:r>
      <w:r w:rsidRPr="00FD55E3">
        <w:rPr>
          <w:rFonts w:cs="Times New Roman"/>
          <w:i/>
          <w:szCs w:val="24"/>
        </w:rPr>
        <w:t>Canfor</w:t>
      </w:r>
      <w:r w:rsidRPr="00FD55E3">
        <w:rPr>
          <w:rFonts w:cs="Times New Roman"/>
          <w:szCs w:val="24"/>
        </w:rPr>
        <w:t>, saying such rejection was</w:t>
      </w:r>
      <w:r w:rsidRPr="00FD55E3">
        <w:rPr>
          <w:rFonts w:cs="Times New Roman"/>
        </w:rPr>
        <w:t xml:space="preserve"> of equal if not greater</w:t>
      </w:r>
      <w:r>
        <w:rPr>
          <w:rFonts w:cs="Times New Roman"/>
        </w:rPr>
        <w:t xml:space="preserve"> consequence in restitution law (</w:t>
      </w:r>
      <w:proofErr w:type="spellStart"/>
      <w:r w:rsidRPr="00FD55E3">
        <w:rPr>
          <w:rFonts w:cs="Times New Roman"/>
        </w:rPr>
        <w:t>para</w:t>
      </w:r>
      <w:proofErr w:type="spellEnd"/>
      <w:r w:rsidRPr="00FD55E3">
        <w:rPr>
          <w:rFonts w:cs="Times New Roman"/>
        </w:rPr>
        <w:t>. 49</w:t>
      </w:r>
      <w:r>
        <w:rPr>
          <w:rFonts w:cs="Times New Roman"/>
        </w:rPr>
        <w:t>)</w:t>
      </w:r>
      <w:r w:rsidRPr="00FD55E3">
        <w:rPr>
          <w:rFonts w:cs="Times New Roman"/>
        </w:rPr>
        <w:t>.</w:t>
      </w:r>
    </w:p>
    <w:p w:rsidR="006A370E" w:rsidRPr="00FD55E3" w:rsidRDefault="006A370E" w:rsidP="006A370E">
      <w:pPr>
        <w:pStyle w:val="ParaNoNdepar-AltN"/>
        <w:rPr>
          <w:rFonts w:cs="Times New Roman"/>
        </w:rPr>
      </w:pPr>
      <w:r w:rsidRPr="00FD55E3">
        <w:rPr>
          <w:rFonts w:cs="Times New Roman"/>
          <w:szCs w:val="24"/>
        </w:rPr>
        <w:t xml:space="preserve">Second, in </w:t>
      </w:r>
      <w:proofErr w:type="spellStart"/>
      <w:r w:rsidRPr="00FD55E3">
        <w:rPr>
          <w:rFonts w:cs="Times New Roman"/>
          <w:i/>
          <w:szCs w:val="24"/>
        </w:rPr>
        <w:t>Kingstreet</w:t>
      </w:r>
      <w:proofErr w:type="spellEnd"/>
      <w:r w:rsidRPr="00FD55E3">
        <w:rPr>
          <w:rFonts w:cs="Times New Roman"/>
          <w:szCs w:val="24"/>
        </w:rPr>
        <w:t>,</w:t>
      </w:r>
      <w:r w:rsidRPr="00FD55E3">
        <w:rPr>
          <w:rFonts w:cs="Times New Roman"/>
          <w:i/>
          <w:szCs w:val="24"/>
        </w:rPr>
        <w:t xml:space="preserve"> </w:t>
      </w:r>
      <w:proofErr w:type="spellStart"/>
      <w:r w:rsidRPr="00FD55E3">
        <w:rPr>
          <w:rFonts w:cs="Times New Roman"/>
          <w:szCs w:val="24"/>
        </w:rPr>
        <w:t>Bastarache</w:t>
      </w:r>
      <w:proofErr w:type="spellEnd"/>
      <w:r w:rsidRPr="00FD55E3">
        <w:rPr>
          <w:rFonts w:cs="Times New Roman"/>
          <w:szCs w:val="24"/>
        </w:rPr>
        <w:t xml:space="preserve"> J. found that the </w:t>
      </w:r>
      <w:r w:rsidRPr="00FD55E3">
        <w:rPr>
          <w:rFonts w:cs="Times New Roman"/>
        </w:rPr>
        <w:t>reject</w:t>
      </w:r>
      <w:r>
        <w:rPr>
          <w:rFonts w:cs="Times New Roman"/>
        </w:rPr>
        <w:t>ion of the passing-on defence was</w:t>
      </w:r>
      <w:r w:rsidRPr="00FD55E3">
        <w:rPr>
          <w:rFonts w:cs="Times New Roman"/>
        </w:rPr>
        <w:t xml:space="preserve"> consistent with basic </w:t>
      </w:r>
      <w:proofErr w:type="spellStart"/>
      <w:r w:rsidRPr="00FD55E3">
        <w:rPr>
          <w:rFonts w:cs="Times New Roman"/>
        </w:rPr>
        <w:t>restitutionary</w:t>
      </w:r>
      <w:proofErr w:type="spellEnd"/>
      <w:r w:rsidRPr="00FD55E3">
        <w:rPr>
          <w:rFonts w:cs="Times New Roman"/>
        </w:rPr>
        <w:t xml:space="preserve"> law principles. Specifically, the rejection of the defence accords with the principle against unjust enrichment or </w:t>
      </w:r>
      <w:proofErr w:type="spellStart"/>
      <w:r w:rsidRPr="00FD55E3">
        <w:rPr>
          <w:rFonts w:cs="Times New Roman"/>
          <w:i/>
        </w:rPr>
        <w:t>nullus</w:t>
      </w:r>
      <w:proofErr w:type="spellEnd"/>
      <w:r w:rsidRPr="00FD55E3">
        <w:rPr>
          <w:rFonts w:cs="Times New Roman"/>
          <w:i/>
        </w:rPr>
        <w:t xml:space="preserve"> </w:t>
      </w:r>
      <w:proofErr w:type="spellStart"/>
      <w:r w:rsidRPr="00FD55E3">
        <w:rPr>
          <w:rFonts w:cs="Times New Roman"/>
          <w:i/>
        </w:rPr>
        <w:t>commodum</w:t>
      </w:r>
      <w:proofErr w:type="spellEnd"/>
      <w:r w:rsidRPr="00FD55E3">
        <w:rPr>
          <w:rFonts w:cs="Times New Roman"/>
          <w:i/>
        </w:rPr>
        <w:t xml:space="preserve"> </w:t>
      </w:r>
      <w:proofErr w:type="spellStart"/>
      <w:r w:rsidRPr="00FD55E3">
        <w:rPr>
          <w:rFonts w:cs="Times New Roman"/>
          <w:i/>
        </w:rPr>
        <w:t>capere</w:t>
      </w:r>
      <w:proofErr w:type="spellEnd"/>
      <w:r w:rsidRPr="00FD55E3">
        <w:rPr>
          <w:rFonts w:cs="Times New Roman"/>
          <w:i/>
        </w:rPr>
        <w:t xml:space="preserve"> </w:t>
      </w:r>
      <w:proofErr w:type="spellStart"/>
      <w:r w:rsidRPr="00FD55E3">
        <w:rPr>
          <w:rFonts w:cs="Times New Roman"/>
          <w:i/>
        </w:rPr>
        <w:t>potest</w:t>
      </w:r>
      <w:proofErr w:type="spellEnd"/>
      <w:r w:rsidRPr="00FD55E3">
        <w:rPr>
          <w:rFonts w:cs="Times New Roman"/>
          <w:i/>
        </w:rPr>
        <w:t xml:space="preserve"> de </w:t>
      </w:r>
      <w:proofErr w:type="spellStart"/>
      <w:r w:rsidRPr="00FD55E3">
        <w:rPr>
          <w:rFonts w:cs="Times New Roman"/>
          <w:i/>
        </w:rPr>
        <w:t>injuria</w:t>
      </w:r>
      <w:proofErr w:type="spellEnd"/>
      <w:r w:rsidRPr="00FD55E3">
        <w:rPr>
          <w:rFonts w:cs="Times New Roman"/>
          <w:i/>
        </w:rPr>
        <w:t xml:space="preserve"> </w:t>
      </w:r>
      <w:proofErr w:type="spellStart"/>
      <w:r w:rsidRPr="00FD55E3">
        <w:rPr>
          <w:rFonts w:cs="Times New Roman"/>
          <w:i/>
        </w:rPr>
        <w:t>sua</w:t>
      </w:r>
      <w:proofErr w:type="spellEnd"/>
      <w:r w:rsidRPr="00FD55E3">
        <w:rPr>
          <w:rFonts w:cs="Times New Roman"/>
          <w:i/>
        </w:rPr>
        <w:t xml:space="preserve"> </w:t>
      </w:r>
      <w:proofErr w:type="spellStart"/>
      <w:r w:rsidRPr="00FD55E3">
        <w:rPr>
          <w:rFonts w:cs="Times New Roman"/>
          <w:i/>
        </w:rPr>
        <w:t>propria</w:t>
      </w:r>
      <w:proofErr w:type="spellEnd"/>
      <w:r w:rsidRPr="00FD55E3">
        <w:rPr>
          <w:rFonts w:cs="Times New Roman"/>
          <w:i/>
        </w:rPr>
        <w:t xml:space="preserve"> </w:t>
      </w:r>
      <w:r w:rsidRPr="00FD55E3">
        <w:rPr>
          <w:rFonts w:cs="Times New Roman"/>
        </w:rPr>
        <w:t>(barring wrongdoers from benefiting from their unlawful actions). Preventing defendants from invoking passing on as a defence helps to ensure that wrongdoers are no</w:t>
      </w:r>
      <w:r>
        <w:rPr>
          <w:rFonts w:cs="Times New Roman"/>
        </w:rPr>
        <w:t>t permitted to retain their ill-</w:t>
      </w:r>
      <w:r w:rsidRPr="00FD55E3">
        <w:rPr>
          <w:rFonts w:cs="Times New Roman"/>
        </w:rPr>
        <w:t xml:space="preserve">gotten gains simply because it would be difficult to ascertain the precise extent of the harm. Likewise, it is important as a matter of </w:t>
      </w:r>
      <w:proofErr w:type="spellStart"/>
      <w:r w:rsidRPr="00FD55E3">
        <w:rPr>
          <w:rFonts w:cs="Times New Roman"/>
        </w:rPr>
        <w:t>restitutionary</w:t>
      </w:r>
      <w:proofErr w:type="spellEnd"/>
      <w:r w:rsidRPr="00FD55E3">
        <w:rPr>
          <w:rFonts w:cs="Times New Roman"/>
        </w:rPr>
        <w:t xml:space="preserve"> law to ensure that wrongdoers who overcharge their purchasers do not operate with impunity, on the grounds that complexities in tracing the overcharge through the chain of distribution will serve to shield them from liability. </w:t>
      </w:r>
    </w:p>
    <w:p w:rsidR="006A370E" w:rsidRPr="00FD55E3" w:rsidRDefault="006A370E" w:rsidP="006A370E">
      <w:pPr>
        <w:pStyle w:val="ParaNoNdepar-AltN"/>
        <w:rPr>
          <w:rFonts w:cs="Times New Roman"/>
        </w:rPr>
      </w:pPr>
      <w:r w:rsidRPr="00FD55E3">
        <w:rPr>
          <w:rFonts w:cs="Times New Roman"/>
        </w:rPr>
        <w:t>Finally, there is support in the academic commentary for the b</w:t>
      </w:r>
      <w:r>
        <w:rPr>
          <w:rFonts w:cs="Times New Roman"/>
        </w:rPr>
        <w:t>roader rejection of the passing-on defenc</w:t>
      </w:r>
      <w:r w:rsidRPr="00FD55E3">
        <w:rPr>
          <w:rFonts w:cs="Times New Roman"/>
        </w:rPr>
        <w:t xml:space="preserve">e. </w:t>
      </w:r>
      <w:proofErr w:type="spellStart"/>
      <w:r w:rsidRPr="00FD55E3">
        <w:rPr>
          <w:rFonts w:cs="Times New Roman"/>
        </w:rPr>
        <w:t>Maddaugh</w:t>
      </w:r>
      <w:proofErr w:type="spellEnd"/>
      <w:r w:rsidRPr="00FD55E3">
        <w:rPr>
          <w:rFonts w:cs="Times New Roman"/>
        </w:rPr>
        <w:t xml:space="preserve"> and </w:t>
      </w:r>
      <w:proofErr w:type="spellStart"/>
      <w:r w:rsidRPr="00FD55E3">
        <w:rPr>
          <w:rFonts w:cs="Times New Roman"/>
        </w:rPr>
        <w:t>McCamus</w:t>
      </w:r>
      <w:proofErr w:type="spellEnd"/>
      <w:r w:rsidRPr="00FD55E3">
        <w:rPr>
          <w:rFonts w:cs="Times New Roman"/>
        </w:rPr>
        <w:t xml:space="preserve"> have stated that </w:t>
      </w:r>
      <w:proofErr w:type="spellStart"/>
      <w:r w:rsidRPr="00FD55E3">
        <w:rPr>
          <w:rFonts w:cs="Times New Roman"/>
          <w:i/>
        </w:rPr>
        <w:t>Kingstreet</w:t>
      </w:r>
      <w:proofErr w:type="spellEnd"/>
      <w:r w:rsidRPr="00FD55E3">
        <w:rPr>
          <w:rFonts w:cs="Times New Roman"/>
          <w:i/>
        </w:rPr>
        <w:t xml:space="preserve"> </w:t>
      </w:r>
      <w:r w:rsidRPr="00FD55E3">
        <w:rPr>
          <w:rFonts w:cs="Times New Roman"/>
        </w:rPr>
        <w:t>was an “authoritative and apparently comprehensive rejection” of the passi</w:t>
      </w:r>
      <w:r>
        <w:rPr>
          <w:rFonts w:cs="Times New Roman"/>
        </w:rPr>
        <w:t>ng-</w:t>
      </w:r>
      <w:r w:rsidRPr="00FD55E3">
        <w:rPr>
          <w:rFonts w:cs="Times New Roman"/>
        </w:rPr>
        <w:t>on defence in Canada, and that “[</w:t>
      </w:r>
      <w:proofErr w:type="spellStart"/>
      <w:r w:rsidRPr="00FD55E3">
        <w:rPr>
          <w:rFonts w:cs="Times New Roman"/>
        </w:rPr>
        <w:t>i</w:t>
      </w:r>
      <w:proofErr w:type="spellEnd"/>
      <w:r w:rsidRPr="00FD55E3">
        <w:rPr>
          <w:rFonts w:cs="Times New Roman"/>
        </w:rPr>
        <w:t>]n reaching this conclusion, the Supreme Court reflected a broad international consensus with respect to the unsuitability of this defence</w:t>
      </w:r>
      <w:r>
        <w:rPr>
          <w:rFonts w:cs="Times New Roman"/>
        </w:rPr>
        <w:t xml:space="preserve">” </w:t>
      </w:r>
      <w:r w:rsidR="00DF53FF">
        <w:rPr>
          <w:rFonts w:cs="Times New Roman"/>
        </w:rPr>
        <w:t xml:space="preserve">((loose-leaf 2013), at </w:t>
      </w:r>
      <w:r>
        <w:rPr>
          <w:rFonts w:cs="Times New Roman"/>
        </w:rPr>
        <w:t xml:space="preserve">p. </w:t>
      </w:r>
      <w:r w:rsidRPr="00FD55E3">
        <w:rPr>
          <w:rFonts w:cs="Times New Roman"/>
        </w:rPr>
        <w:t>11-46</w:t>
      </w:r>
      <w:r w:rsidR="00DF53FF">
        <w:rPr>
          <w:rFonts w:cs="Times New Roman"/>
        </w:rPr>
        <w:t>)</w:t>
      </w:r>
      <w:r w:rsidRPr="00FD55E3">
        <w:rPr>
          <w:rFonts w:cs="Times New Roman"/>
        </w:rPr>
        <w:t>.</w:t>
      </w:r>
    </w:p>
    <w:p w:rsidR="006A370E" w:rsidRPr="00FD55E3" w:rsidRDefault="006A370E" w:rsidP="006A370E">
      <w:pPr>
        <w:pStyle w:val="ParaNoNdepar-AltN"/>
        <w:rPr>
          <w:rFonts w:cs="Times New Roman"/>
        </w:rPr>
      </w:pPr>
      <w:r w:rsidRPr="00FD55E3">
        <w:rPr>
          <w:rFonts w:cs="Times New Roman"/>
        </w:rPr>
        <w:lastRenderedPageBreak/>
        <w:t xml:space="preserve"> For these reasons, I conclude</w:t>
      </w:r>
      <w:r>
        <w:rPr>
          <w:rFonts w:cs="Times New Roman"/>
        </w:rPr>
        <w:t xml:space="preserve"> that</w:t>
      </w:r>
      <w:r w:rsidRPr="00FD55E3">
        <w:rPr>
          <w:rFonts w:cs="Times New Roman"/>
        </w:rPr>
        <w:t xml:space="preserve"> the</w:t>
      </w:r>
      <w:r>
        <w:rPr>
          <w:rFonts w:cs="Times New Roman"/>
        </w:rPr>
        <w:t xml:space="preserve"> rejection of the passing-</w:t>
      </w:r>
      <w:r w:rsidRPr="00FD55E3">
        <w:rPr>
          <w:rFonts w:cs="Times New Roman"/>
        </w:rPr>
        <w:t xml:space="preserve">on defence in </w:t>
      </w:r>
      <w:proofErr w:type="spellStart"/>
      <w:r w:rsidRPr="00FD55E3">
        <w:rPr>
          <w:rFonts w:cs="Times New Roman"/>
          <w:i/>
        </w:rPr>
        <w:t>Kingstreet</w:t>
      </w:r>
      <w:proofErr w:type="spellEnd"/>
      <w:r w:rsidRPr="00FD55E3">
        <w:rPr>
          <w:rFonts w:cs="Times New Roman"/>
          <w:i/>
        </w:rPr>
        <w:t xml:space="preserve"> </w:t>
      </w:r>
      <w:r w:rsidRPr="00FD55E3">
        <w:rPr>
          <w:rFonts w:cs="Times New Roman"/>
        </w:rPr>
        <w:t xml:space="preserve">is not limited to the context of the imposition of </w:t>
      </w:r>
      <w:r w:rsidRPr="00FD55E3">
        <w:rPr>
          <w:rFonts w:cs="Times New Roman"/>
          <w:i/>
        </w:rPr>
        <w:t xml:space="preserve">ultra </w:t>
      </w:r>
      <w:proofErr w:type="spellStart"/>
      <w:r w:rsidRPr="00FD55E3">
        <w:rPr>
          <w:rFonts w:cs="Times New Roman"/>
          <w:i/>
        </w:rPr>
        <w:t>vires</w:t>
      </w:r>
      <w:proofErr w:type="spellEnd"/>
      <w:r w:rsidRPr="00FD55E3">
        <w:rPr>
          <w:rFonts w:cs="Times New Roman"/>
          <w:i/>
        </w:rPr>
        <w:t xml:space="preserve"> </w:t>
      </w:r>
      <w:r w:rsidRPr="00FD55E3">
        <w:rPr>
          <w:rFonts w:cs="Times New Roman"/>
        </w:rPr>
        <w:t xml:space="preserve">taxes. There is no principled reason to reject the defence in one context but not another; </w:t>
      </w:r>
      <w:r>
        <w:rPr>
          <w:rFonts w:cs="Times New Roman"/>
        </w:rPr>
        <w:t>the passing-</w:t>
      </w:r>
      <w:r w:rsidRPr="00FD55E3">
        <w:rPr>
          <w:rFonts w:cs="Times New Roman"/>
        </w:rPr>
        <w:t xml:space="preserve">on defence is rejected throughout the whole of </w:t>
      </w:r>
      <w:proofErr w:type="spellStart"/>
      <w:r w:rsidRPr="00FD55E3">
        <w:rPr>
          <w:rFonts w:cs="Times New Roman"/>
        </w:rPr>
        <w:t>restitutionary</w:t>
      </w:r>
      <w:proofErr w:type="spellEnd"/>
      <w:r w:rsidRPr="00FD55E3">
        <w:rPr>
          <w:rFonts w:cs="Times New Roman"/>
        </w:rPr>
        <w:t xml:space="preserve"> law.</w:t>
      </w:r>
    </w:p>
    <w:p w:rsidR="006A370E" w:rsidRPr="00FD55E3" w:rsidRDefault="00A8174B" w:rsidP="00A8174B">
      <w:pPr>
        <w:pStyle w:val="Title3LevelTitre3Niveau"/>
        <w:numPr>
          <w:ilvl w:val="0"/>
          <w:numId w:val="0"/>
        </w:numPr>
        <w:tabs>
          <w:tab w:val="left" w:pos="1170"/>
        </w:tabs>
        <w:ind w:left="1800" w:hanging="1800"/>
        <w:rPr>
          <w:rFonts w:cs="Times New Roman"/>
        </w:rPr>
      </w:pPr>
      <w:bookmarkStart w:id="43" w:name="_Toc360611904"/>
      <w:bookmarkStart w:id="44" w:name="_Toc367887581"/>
      <w:bookmarkStart w:id="45" w:name="_Toc367948545"/>
      <w:bookmarkStart w:id="46" w:name="_Toc367957374"/>
      <w:bookmarkStart w:id="47" w:name="_Toc369188622"/>
      <w:bookmarkStart w:id="48" w:name="_Toc370903004"/>
      <w:r w:rsidRPr="00A8174B">
        <w:rPr>
          <w:rFonts w:cs="Times New Roman"/>
          <w:u w:val="none"/>
        </w:rPr>
        <w:tab/>
        <w:t>(2)</w:t>
      </w:r>
      <w:r w:rsidRPr="00A8174B">
        <w:rPr>
          <w:rFonts w:cs="Times New Roman"/>
          <w:u w:val="none"/>
        </w:rPr>
        <w:tab/>
      </w:r>
      <w:r w:rsidR="006A370E" w:rsidRPr="00FD55E3">
        <w:rPr>
          <w:rFonts w:cs="Times New Roman"/>
        </w:rPr>
        <w:t xml:space="preserve">Significance of the </w:t>
      </w:r>
      <w:r w:rsidR="006A370E">
        <w:rPr>
          <w:rFonts w:cs="Times New Roman"/>
        </w:rPr>
        <w:t>Passing-On Defenc</w:t>
      </w:r>
      <w:r w:rsidR="006A370E" w:rsidRPr="00FD55E3">
        <w:rPr>
          <w:rFonts w:cs="Times New Roman"/>
        </w:rPr>
        <w:t>e</w:t>
      </w:r>
      <w:r w:rsidR="006A370E">
        <w:rPr>
          <w:rFonts w:cs="Times New Roman"/>
        </w:rPr>
        <w:t xml:space="preserve"> in T</w:t>
      </w:r>
      <w:r w:rsidR="006A370E" w:rsidRPr="00FD55E3">
        <w:rPr>
          <w:rFonts w:cs="Times New Roman"/>
        </w:rPr>
        <w:t>his Appeal</w:t>
      </w:r>
      <w:bookmarkEnd w:id="43"/>
      <w:bookmarkEnd w:id="44"/>
      <w:bookmarkEnd w:id="45"/>
      <w:bookmarkEnd w:id="46"/>
      <w:bookmarkEnd w:id="47"/>
      <w:bookmarkEnd w:id="48"/>
      <w:r w:rsidR="006A370E"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As described above, </w:t>
      </w:r>
      <w:r>
        <w:rPr>
          <w:rFonts w:cs="Times New Roman"/>
        </w:rPr>
        <w:t>t</w:t>
      </w:r>
      <w:r w:rsidRPr="00FD55E3">
        <w:rPr>
          <w:rFonts w:cs="Times New Roman"/>
        </w:rPr>
        <w:t>he offensive use of passing on would provide the basis for indirect purchaser actions.</w:t>
      </w:r>
      <w:r>
        <w:rPr>
          <w:rFonts w:cs="Times New Roman"/>
        </w:rPr>
        <w:t xml:space="preserve"> </w:t>
      </w:r>
      <w:r w:rsidRPr="00FD55E3">
        <w:rPr>
          <w:rFonts w:cs="Times New Roman"/>
        </w:rPr>
        <w:t xml:space="preserve">Microsoft argues that this Court’s </w:t>
      </w:r>
      <w:r>
        <w:rPr>
          <w:rFonts w:cs="Times New Roman"/>
        </w:rPr>
        <w:t>rejection of the passing-</w:t>
      </w:r>
      <w:r w:rsidRPr="00FD55E3">
        <w:rPr>
          <w:rFonts w:cs="Times New Roman"/>
        </w:rPr>
        <w:t xml:space="preserve">on defence carries, as a necessary corollary, a corresponding rejection of the offensive use of passing on. The rationale is that the rejection should apply equally so that if </w:t>
      </w:r>
      <w:proofErr w:type="spellStart"/>
      <w:r w:rsidRPr="00FD55E3">
        <w:rPr>
          <w:rFonts w:cs="Times New Roman"/>
        </w:rPr>
        <w:t>overchargers</w:t>
      </w:r>
      <w:proofErr w:type="spellEnd"/>
      <w:r w:rsidRPr="00FD55E3">
        <w:rPr>
          <w:rFonts w:cs="Times New Roman"/>
        </w:rPr>
        <w:t xml:space="preserve"> are not permitted to rely on passing on in their own defence, indirect purchasers should also not be able to invoke passed on overcharges as a basis for their cause of action. </w:t>
      </w:r>
    </w:p>
    <w:p w:rsidR="006A370E" w:rsidRPr="00FD55E3" w:rsidRDefault="006A370E" w:rsidP="006A370E">
      <w:pPr>
        <w:pStyle w:val="ParaNoNdepar-AltN"/>
        <w:rPr>
          <w:rFonts w:cs="Times New Roman"/>
        </w:rPr>
      </w:pPr>
      <w:r w:rsidRPr="00FD55E3">
        <w:rPr>
          <w:rFonts w:cs="Times New Roman"/>
        </w:rPr>
        <w:t xml:space="preserve"> Microsoft relies on the 1977 decision of the U.S. Supreme Court in </w:t>
      </w:r>
      <w:r w:rsidRPr="00FD55E3">
        <w:rPr>
          <w:rFonts w:cs="Times New Roman"/>
          <w:i/>
        </w:rPr>
        <w:t>Illinois Brick Co</w:t>
      </w:r>
      <w:r>
        <w:rPr>
          <w:rFonts w:cs="Times New Roman"/>
        </w:rPr>
        <w:t>.</w:t>
      </w:r>
      <w:r w:rsidRPr="00FD55E3">
        <w:rPr>
          <w:rFonts w:cs="Times New Roman"/>
          <w:i/>
        </w:rPr>
        <w:t xml:space="preserve"> v. Illinois</w:t>
      </w:r>
      <w:r w:rsidRPr="00FD55E3">
        <w:rPr>
          <w:rFonts w:cs="Times New Roman"/>
        </w:rPr>
        <w:t xml:space="preserve">, 431 U.S. 720 (1977).  Illinois Brick manufactured concrete block and sold it to masonry contractors who in turn provided their services to general contractors. The general contractors incorporated the concrete </w:t>
      </w:r>
      <w:r>
        <w:rPr>
          <w:rFonts w:cs="Times New Roman"/>
        </w:rPr>
        <w:t xml:space="preserve">block </w:t>
      </w:r>
      <w:r w:rsidRPr="00FD55E3">
        <w:rPr>
          <w:rFonts w:cs="Times New Roman"/>
        </w:rPr>
        <w:t xml:space="preserve">into buildings and sold </w:t>
      </w:r>
      <w:r>
        <w:rPr>
          <w:rFonts w:cs="Times New Roman"/>
        </w:rPr>
        <w:t xml:space="preserve">the buildings </w:t>
      </w:r>
      <w:r w:rsidRPr="00FD55E3">
        <w:rPr>
          <w:rFonts w:cs="Times New Roman"/>
        </w:rPr>
        <w:t xml:space="preserve">to customers such as the State of Illinois. The State was therefore an indirect purchaser of the products of </w:t>
      </w:r>
      <w:r>
        <w:rPr>
          <w:rFonts w:cs="Times New Roman"/>
        </w:rPr>
        <w:t>Illinois Brick (</w:t>
      </w:r>
      <w:r w:rsidRPr="00FD55E3">
        <w:rPr>
          <w:rFonts w:cs="Times New Roman"/>
        </w:rPr>
        <w:t>p. 726</w:t>
      </w:r>
      <w:r>
        <w:rPr>
          <w:rFonts w:cs="Times New Roman"/>
        </w:rPr>
        <w:t>)</w:t>
      </w:r>
      <w:r w:rsidRPr="00FD55E3">
        <w:rPr>
          <w:rFonts w:cs="Times New Roman"/>
        </w:rPr>
        <w:t>. The State alleged that Illinois Brick had engaged in a conspiracy to fix the price</w:t>
      </w:r>
      <w:r>
        <w:rPr>
          <w:rFonts w:cs="Times New Roman"/>
        </w:rPr>
        <w:t>s</w:t>
      </w:r>
      <w:r w:rsidRPr="00FD55E3">
        <w:rPr>
          <w:rFonts w:cs="Times New Roman"/>
        </w:rPr>
        <w:t xml:space="preserve"> of concrete block, contrary to U.S. antitrust legislation</w:t>
      </w:r>
      <w:r>
        <w:rPr>
          <w:rFonts w:cs="Times New Roman"/>
        </w:rPr>
        <w:t>,</w:t>
      </w:r>
      <w:r w:rsidRPr="00FD55E3">
        <w:rPr>
          <w:rFonts w:cs="Times New Roman"/>
        </w:rPr>
        <w:t xml:space="preserve"> and brought an indirect purch</w:t>
      </w:r>
      <w:r>
        <w:rPr>
          <w:rFonts w:cs="Times New Roman"/>
        </w:rPr>
        <w:t>aser action against the company</w:t>
      </w:r>
      <w:r w:rsidRPr="00FD55E3">
        <w:rPr>
          <w:rFonts w:cs="Times New Roman"/>
        </w:rPr>
        <w:t xml:space="preserve"> </w:t>
      </w:r>
      <w:r>
        <w:rPr>
          <w:rFonts w:cs="Times New Roman"/>
        </w:rPr>
        <w:t>(</w:t>
      </w:r>
      <w:r w:rsidRPr="00FD55E3">
        <w:rPr>
          <w:rFonts w:cs="Times New Roman"/>
        </w:rPr>
        <w:t>p. 727</w:t>
      </w:r>
      <w:r>
        <w:rPr>
          <w:rFonts w:cs="Times New Roman"/>
        </w:rPr>
        <w:t>)</w:t>
      </w:r>
      <w:r w:rsidRPr="00FD55E3">
        <w:rPr>
          <w:rFonts w:cs="Times New Roman"/>
        </w:rPr>
        <w:t>.</w:t>
      </w:r>
    </w:p>
    <w:p w:rsidR="006A370E" w:rsidRPr="00FD55E3" w:rsidRDefault="006A370E" w:rsidP="006A370E">
      <w:pPr>
        <w:pStyle w:val="ParaNoNdepar-AltN"/>
        <w:rPr>
          <w:rFonts w:eastAsiaTheme="minorHAnsi" w:cs="Times New Roman"/>
        </w:rPr>
      </w:pPr>
      <w:r w:rsidRPr="00FD55E3">
        <w:rPr>
          <w:rFonts w:cs="Times New Roman"/>
        </w:rPr>
        <w:lastRenderedPageBreak/>
        <w:t xml:space="preserve">The U.S. Supreme Court found against the State of Illinois. It held that since, according to </w:t>
      </w:r>
      <w:r w:rsidRPr="00FD55E3">
        <w:rPr>
          <w:rFonts w:cs="Times New Roman"/>
          <w:i/>
        </w:rPr>
        <w:t>Hanover Shoe</w:t>
      </w:r>
      <w:r w:rsidRPr="00FD55E3">
        <w:rPr>
          <w:rFonts w:cs="Times New Roman"/>
        </w:rPr>
        <w:t>, passing on may not be used defensively, it should not be available to indirect purchasers to use offensively by bringing an action alleging that an overcharge was passed down to them. The court explained that “</w:t>
      </w:r>
      <w:r w:rsidRPr="00FD55E3">
        <w:rPr>
          <w:rFonts w:eastAsiaTheme="minorHAnsi" w:cs="Times New Roman"/>
        </w:rPr>
        <w:t>whatever rule [wa</w:t>
      </w:r>
      <w:r>
        <w:rPr>
          <w:rFonts w:eastAsiaTheme="minorHAnsi" w:cs="Times New Roman"/>
        </w:rPr>
        <w:t>s] to be adopted regarding pass-</w:t>
      </w:r>
      <w:r w:rsidRPr="00FD55E3">
        <w:rPr>
          <w:rFonts w:eastAsiaTheme="minorHAnsi" w:cs="Times New Roman"/>
        </w:rPr>
        <w:t>on in antitrust damages actions, it must apply equally to plaintiffs and defendants”</w:t>
      </w:r>
      <w:r>
        <w:rPr>
          <w:rFonts w:eastAsiaTheme="minorHAnsi" w:cs="Times New Roman"/>
        </w:rPr>
        <w:t xml:space="preserve"> (</w:t>
      </w:r>
      <w:r>
        <w:rPr>
          <w:rFonts w:eastAsiaTheme="minorHAnsi" w:cs="Times New Roman"/>
          <w:i/>
        </w:rPr>
        <w:t>Illinois Brick</w:t>
      </w:r>
      <w:r>
        <w:rPr>
          <w:rFonts w:eastAsiaTheme="minorHAnsi" w:cs="Times New Roman"/>
        </w:rPr>
        <w:t xml:space="preserve">, </w:t>
      </w:r>
      <w:r w:rsidRPr="00FD55E3">
        <w:rPr>
          <w:rFonts w:eastAsiaTheme="minorHAnsi" w:cs="Times New Roman"/>
        </w:rPr>
        <w:t>at p. 728</w:t>
      </w:r>
      <w:r>
        <w:rPr>
          <w:rFonts w:eastAsiaTheme="minorHAnsi" w:cs="Times New Roman"/>
        </w:rPr>
        <w:t>)</w:t>
      </w:r>
      <w:r w:rsidRPr="00FD55E3">
        <w:rPr>
          <w:rFonts w:eastAsiaTheme="minorHAnsi" w:cs="Times New Roman"/>
        </w:rPr>
        <w:t xml:space="preserve">.  </w:t>
      </w:r>
    </w:p>
    <w:p w:rsidR="006A370E" w:rsidRPr="00FD55E3" w:rsidRDefault="006A370E" w:rsidP="006A370E">
      <w:pPr>
        <w:pStyle w:val="ParaNoNdepar-AltN"/>
        <w:rPr>
          <w:rFonts w:eastAsiaTheme="minorHAnsi" w:cs="Times New Roman"/>
        </w:rPr>
      </w:pPr>
      <w:r w:rsidRPr="00FD55E3">
        <w:rPr>
          <w:rFonts w:cs="Times New Roman"/>
        </w:rPr>
        <w:t xml:space="preserve">Microsoft argues that, just as the prohibition on the offensive use of passing on in </w:t>
      </w:r>
      <w:r w:rsidRPr="00FD55E3">
        <w:rPr>
          <w:rFonts w:cs="Times New Roman"/>
          <w:i/>
        </w:rPr>
        <w:t xml:space="preserve">Illinois Brick </w:t>
      </w:r>
      <w:r w:rsidRPr="00FD55E3">
        <w:rPr>
          <w:rFonts w:cs="Times New Roman"/>
        </w:rPr>
        <w:t xml:space="preserve">was considered a </w:t>
      </w:r>
      <w:r>
        <w:rPr>
          <w:rFonts w:cs="Times New Roman"/>
        </w:rPr>
        <w:t>necessar</w:t>
      </w:r>
      <w:r w:rsidRPr="00FD55E3">
        <w:rPr>
          <w:rFonts w:cs="Times New Roman"/>
        </w:rPr>
        <w:t xml:space="preserve">y corollary </w:t>
      </w:r>
      <w:r>
        <w:rPr>
          <w:rFonts w:cs="Times New Roman"/>
        </w:rPr>
        <w:t>to the rejection of the passing-on defenc</w:t>
      </w:r>
      <w:r w:rsidRPr="00FD55E3">
        <w:rPr>
          <w:rFonts w:cs="Times New Roman"/>
        </w:rPr>
        <w:t xml:space="preserve">e in </w:t>
      </w:r>
      <w:r w:rsidRPr="00FD55E3">
        <w:rPr>
          <w:rFonts w:cs="Times New Roman"/>
          <w:i/>
        </w:rPr>
        <w:t>Hanover Shoe</w:t>
      </w:r>
      <w:r w:rsidRPr="00FD55E3">
        <w:rPr>
          <w:rFonts w:cs="Times New Roman"/>
        </w:rPr>
        <w:t>, the same result should flow in Canada from</w:t>
      </w:r>
      <w:r>
        <w:rPr>
          <w:rFonts w:cs="Times New Roman"/>
        </w:rPr>
        <w:t xml:space="preserve"> the rejection of the passing-</w:t>
      </w:r>
      <w:r w:rsidRPr="00FD55E3">
        <w:rPr>
          <w:rFonts w:cs="Times New Roman"/>
        </w:rPr>
        <w:t xml:space="preserve">on defence in </w:t>
      </w:r>
      <w:proofErr w:type="spellStart"/>
      <w:r w:rsidRPr="00FD55E3">
        <w:rPr>
          <w:rFonts w:cs="Times New Roman"/>
          <w:i/>
        </w:rPr>
        <w:t>Kingstreet</w:t>
      </w:r>
      <w:proofErr w:type="spellEnd"/>
      <w:r>
        <w:rPr>
          <w:rFonts w:cs="Times New Roman"/>
        </w:rPr>
        <w:t>.  The passing-</w:t>
      </w:r>
      <w:r w:rsidRPr="00FD55E3">
        <w:rPr>
          <w:rFonts w:cs="Times New Roman"/>
        </w:rPr>
        <w:t xml:space="preserve">on issue was not raised before either of the </w:t>
      </w:r>
      <w:r>
        <w:rPr>
          <w:rFonts w:cs="Times New Roman"/>
        </w:rPr>
        <w:t xml:space="preserve">applications </w:t>
      </w:r>
      <w:r w:rsidRPr="00FD55E3">
        <w:rPr>
          <w:rFonts w:cs="Times New Roman"/>
        </w:rPr>
        <w:t xml:space="preserve">judges because those decisions were released prior to </w:t>
      </w:r>
      <w:proofErr w:type="spellStart"/>
      <w:r w:rsidRPr="00FD55E3">
        <w:rPr>
          <w:rFonts w:cs="Times New Roman"/>
          <w:i/>
        </w:rPr>
        <w:t>Kingstreet</w:t>
      </w:r>
      <w:proofErr w:type="spellEnd"/>
      <w:r w:rsidRPr="00FD55E3">
        <w:rPr>
          <w:rFonts w:cs="Times New Roman"/>
        </w:rPr>
        <w:t>. However</w:t>
      </w:r>
      <w:r>
        <w:rPr>
          <w:rFonts w:cs="Times New Roman"/>
        </w:rPr>
        <w:t>,</w:t>
      </w:r>
      <w:r w:rsidRPr="00FD55E3">
        <w:rPr>
          <w:rFonts w:cs="Times New Roman"/>
        </w:rPr>
        <w:t xml:space="preserve"> the majority of the B</w:t>
      </w:r>
      <w:r>
        <w:rPr>
          <w:rFonts w:cs="Times New Roman"/>
        </w:rPr>
        <w:t>.</w:t>
      </w:r>
      <w:r w:rsidRPr="00FD55E3">
        <w:rPr>
          <w:rFonts w:cs="Times New Roman"/>
        </w:rPr>
        <w:t>C</w:t>
      </w:r>
      <w:r>
        <w:rPr>
          <w:rFonts w:cs="Times New Roman"/>
        </w:rPr>
        <w:t>.</w:t>
      </w:r>
      <w:r w:rsidRPr="00FD55E3">
        <w:rPr>
          <w:rFonts w:cs="Times New Roman"/>
        </w:rPr>
        <w:t>C</w:t>
      </w:r>
      <w:r>
        <w:rPr>
          <w:rFonts w:cs="Times New Roman"/>
        </w:rPr>
        <w:t>.</w:t>
      </w:r>
      <w:r w:rsidRPr="00FD55E3">
        <w:rPr>
          <w:rFonts w:cs="Times New Roman"/>
        </w:rPr>
        <w:t>A</w:t>
      </w:r>
      <w:r>
        <w:rPr>
          <w:rFonts w:cs="Times New Roman"/>
        </w:rPr>
        <w:t>.</w:t>
      </w:r>
      <w:r w:rsidRPr="00FD55E3">
        <w:rPr>
          <w:rFonts w:cs="Times New Roman"/>
        </w:rPr>
        <w:t xml:space="preserve"> accepted this argument in dismissing the Pro-Sys claim.</w:t>
      </w:r>
    </w:p>
    <w:p w:rsidR="006A370E" w:rsidRPr="00FD55E3" w:rsidRDefault="00A8174B" w:rsidP="00A8174B">
      <w:pPr>
        <w:pStyle w:val="Title3LevelTitre3Niveau"/>
        <w:numPr>
          <w:ilvl w:val="0"/>
          <w:numId w:val="0"/>
        </w:numPr>
        <w:tabs>
          <w:tab w:val="left" w:pos="1260"/>
        </w:tabs>
        <w:ind w:left="1890" w:hanging="1890"/>
        <w:rPr>
          <w:rFonts w:cs="Times New Roman"/>
        </w:rPr>
      </w:pPr>
      <w:bookmarkStart w:id="49" w:name="_Toc360611905"/>
      <w:bookmarkStart w:id="50" w:name="_Toc367887582"/>
      <w:bookmarkStart w:id="51" w:name="_Toc367948546"/>
      <w:bookmarkStart w:id="52" w:name="_Toc367957375"/>
      <w:bookmarkStart w:id="53" w:name="_Toc369188623"/>
      <w:bookmarkStart w:id="54" w:name="_Toc370903005"/>
      <w:r w:rsidRPr="00A8174B">
        <w:rPr>
          <w:rFonts w:cs="Times New Roman"/>
          <w:u w:val="none"/>
        </w:rPr>
        <w:tab/>
        <w:t>(3)</w:t>
      </w:r>
      <w:r w:rsidRPr="00A8174B">
        <w:rPr>
          <w:rFonts w:cs="Times New Roman"/>
          <w:u w:val="none"/>
        </w:rPr>
        <w:tab/>
      </w:r>
      <w:r w:rsidR="006A370E" w:rsidRPr="00FD55E3">
        <w:rPr>
          <w:rFonts w:cs="Times New Roman"/>
        </w:rPr>
        <w:t>Analysis of the “Necessary Corollary” Argument</w:t>
      </w:r>
      <w:bookmarkEnd w:id="49"/>
      <w:bookmarkEnd w:id="50"/>
      <w:bookmarkEnd w:id="51"/>
      <w:bookmarkEnd w:id="52"/>
      <w:bookmarkEnd w:id="53"/>
      <w:bookmarkEnd w:id="54"/>
    </w:p>
    <w:p w:rsidR="006A370E" w:rsidRPr="00FD55E3" w:rsidRDefault="006A370E" w:rsidP="006A370E">
      <w:pPr>
        <w:pStyle w:val="ParaNoNdepar-AltN"/>
        <w:rPr>
          <w:rFonts w:cs="Times New Roman"/>
        </w:rPr>
      </w:pPr>
      <w:r w:rsidRPr="00FD55E3">
        <w:rPr>
          <w:rFonts w:cs="Times New Roman"/>
        </w:rPr>
        <w:t>As I will explain, despite the rejection of the passing</w:t>
      </w:r>
      <w:r>
        <w:rPr>
          <w:rFonts w:cs="Times New Roman"/>
        </w:rPr>
        <w:t>-</w:t>
      </w:r>
      <w:r w:rsidRPr="00FD55E3">
        <w:rPr>
          <w:rFonts w:cs="Times New Roman"/>
        </w:rPr>
        <w:t xml:space="preserve">on defence, the arguments advanced by Microsoft as to why there should be a corresponding rejection of the offensive use of passing on are not persuasive. Symmetry for its own sake without adequate justification cannot support the “necessary corollary” argument. In my view, the arguments advanced by Microsoft do not provide such justification. </w:t>
      </w:r>
    </w:p>
    <w:p w:rsidR="006A370E" w:rsidRPr="00DE05BC" w:rsidRDefault="00A8174B" w:rsidP="00A8174B">
      <w:pPr>
        <w:pStyle w:val="Title4LevelTitre4Niveau"/>
        <w:numPr>
          <w:ilvl w:val="0"/>
          <w:numId w:val="0"/>
        </w:numPr>
        <w:tabs>
          <w:tab w:val="left" w:pos="1260"/>
        </w:tabs>
        <w:ind w:left="1980" w:hanging="1980"/>
      </w:pPr>
      <w:bookmarkStart w:id="55" w:name="_Toc360611906"/>
      <w:bookmarkStart w:id="56" w:name="_Toc367887583"/>
      <w:bookmarkStart w:id="57" w:name="_Toc367948547"/>
      <w:bookmarkStart w:id="58" w:name="_Toc367957376"/>
      <w:bookmarkStart w:id="59" w:name="_Toc369188624"/>
      <w:bookmarkStart w:id="60" w:name="_Toc370903006"/>
      <w:r>
        <w:tab/>
      </w:r>
      <w:r w:rsidRPr="00A8174B">
        <w:rPr>
          <w:i w:val="0"/>
        </w:rPr>
        <w:t>(a)</w:t>
      </w:r>
      <w:r w:rsidRPr="00A8174B">
        <w:rPr>
          <w:i w:val="0"/>
        </w:rPr>
        <w:tab/>
      </w:r>
      <w:r w:rsidR="006A370E" w:rsidRPr="00DE05BC">
        <w:t xml:space="preserve">Double or Multiple </w:t>
      </w:r>
      <w:proofErr w:type="gramStart"/>
      <w:r w:rsidR="006A370E" w:rsidRPr="00DE05BC">
        <w:t>Recovery</w:t>
      </w:r>
      <w:bookmarkEnd w:id="55"/>
      <w:bookmarkEnd w:id="56"/>
      <w:bookmarkEnd w:id="57"/>
      <w:bookmarkEnd w:id="58"/>
      <w:bookmarkEnd w:id="59"/>
      <w:bookmarkEnd w:id="60"/>
      <w:proofErr w:type="gramEnd"/>
    </w:p>
    <w:p w:rsidR="006A370E" w:rsidRPr="00FD55E3" w:rsidRDefault="006A370E" w:rsidP="006A370E">
      <w:pPr>
        <w:pStyle w:val="ParaNoNdepar-AltN"/>
        <w:rPr>
          <w:rFonts w:cs="Times New Roman"/>
        </w:rPr>
      </w:pPr>
      <w:r w:rsidRPr="00FD55E3">
        <w:rPr>
          <w:rFonts w:cs="Times New Roman"/>
        </w:rPr>
        <w:lastRenderedPageBreak/>
        <w:t xml:space="preserve">Microsoft submits that the offensive use of passing on through indirect purchaser actions leaves it exposed to liability from all purchasers in the chain of distribution. It says that its inability to employ the </w:t>
      </w:r>
      <w:r>
        <w:rPr>
          <w:rFonts w:cs="Times New Roman"/>
        </w:rPr>
        <w:t>passing-on defenc</w:t>
      </w:r>
      <w:r w:rsidRPr="00FD55E3">
        <w:rPr>
          <w:rFonts w:cs="Times New Roman"/>
        </w:rPr>
        <w:t>e means that direct purchasers would be able to seek recovery for the entire amount of the overcharge. If</w:t>
      </w:r>
      <w:r>
        <w:rPr>
          <w:rFonts w:cs="Times New Roman"/>
        </w:rPr>
        <w:t>,</w:t>
      </w:r>
      <w:r w:rsidRPr="00FD55E3">
        <w:rPr>
          <w:rFonts w:cs="Times New Roman"/>
        </w:rPr>
        <w:t xml:space="preserve"> at the same time, indirect purchasers bring actions, this would result in both direct and indirect purchasers seeking recovery of the same amount. Microsoft argues that this potential for double or even multiple </w:t>
      </w:r>
      <w:proofErr w:type="gramStart"/>
      <w:r w:rsidRPr="00FD55E3">
        <w:rPr>
          <w:rFonts w:cs="Times New Roman"/>
        </w:rPr>
        <w:t>recovery</w:t>
      </w:r>
      <w:proofErr w:type="gramEnd"/>
      <w:r w:rsidRPr="00FD55E3">
        <w:rPr>
          <w:rFonts w:cs="Times New Roman"/>
        </w:rPr>
        <w:t xml:space="preserve"> should be a sufficient reason to reject the offensive use of passing on. </w:t>
      </w:r>
    </w:p>
    <w:p w:rsidR="006A370E" w:rsidRPr="00FD55E3" w:rsidRDefault="006A370E" w:rsidP="006A370E">
      <w:pPr>
        <w:pStyle w:val="ParaNoNdepar-AltN"/>
        <w:rPr>
          <w:rFonts w:cs="Times New Roman"/>
        </w:rPr>
      </w:pPr>
      <w:r w:rsidRPr="00FD55E3">
        <w:rPr>
          <w:rFonts w:cs="Times New Roman"/>
        </w:rPr>
        <w:t xml:space="preserve"> In </w:t>
      </w:r>
      <w:r w:rsidRPr="00FD55E3">
        <w:rPr>
          <w:rFonts w:cs="Times New Roman"/>
          <w:i/>
        </w:rPr>
        <w:t>Illinois Brick</w:t>
      </w:r>
      <w:r>
        <w:rPr>
          <w:rFonts w:cs="Times New Roman"/>
        </w:rPr>
        <w:t>,</w:t>
      </w:r>
      <w:r w:rsidRPr="00FD55E3">
        <w:rPr>
          <w:rFonts w:cs="Times New Roman"/>
        </w:rPr>
        <w:t xml:space="preserve"> the U.S. Supreme Court considered multiple </w:t>
      </w:r>
      <w:proofErr w:type="gramStart"/>
      <w:r w:rsidRPr="00FD55E3">
        <w:rPr>
          <w:rFonts w:cs="Times New Roman"/>
        </w:rPr>
        <w:t>recovery</w:t>
      </w:r>
      <w:proofErr w:type="gramEnd"/>
      <w:r w:rsidRPr="00FD55E3">
        <w:rPr>
          <w:rFonts w:cs="Times New Roman"/>
        </w:rPr>
        <w:t xml:space="preserve"> to be a “serious risk” and said that it was “unwilling to </w:t>
      </w:r>
      <w:r>
        <w:rPr>
          <w:rFonts w:cs="Times New Roman"/>
        </w:rPr>
        <w:t>‘</w:t>
      </w:r>
      <w:r w:rsidRPr="00FD55E3">
        <w:rPr>
          <w:rFonts w:cs="Times New Roman"/>
        </w:rPr>
        <w:t>open the door to duplicative recoveries</w:t>
      </w:r>
      <w:r>
        <w:rPr>
          <w:rFonts w:cs="Times New Roman"/>
        </w:rPr>
        <w:t>’”</w:t>
      </w:r>
      <w:r w:rsidRPr="00FD55E3">
        <w:rPr>
          <w:rFonts w:cs="Times New Roman"/>
        </w:rPr>
        <w:t xml:space="preserve"> </w:t>
      </w:r>
      <w:r>
        <w:rPr>
          <w:rFonts w:cs="Times New Roman"/>
        </w:rPr>
        <w:t>(</w:t>
      </w:r>
      <w:r w:rsidRPr="00FD55E3">
        <w:rPr>
          <w:rFonts w:cs="Times New Roman"/>
        </w:rPr>
        <w:t>p</w:t>
      </w:r>
      <w:r>
        <w:rPr>
          <w:rFonts w:cs="Times New Roman"/>
        </w:rPr>
        <w:t>p</w:t>
      </w:r>
      <w:r w:rsidRPr="00FD55E3">
        <w:rPr>
          <w:rFonts w:cs="Times New Roman"/>
        </w:rPr>
        <w:t>. 73</w:t>
      </w:r>
      <w:r>
        <w:rPr>
          <w:rFonts w:cs="Times New Roman"/>
        </w:rPr>
        <w:t>0-</w:t>
      </w:r>
      <w:r w:rsidRPr="00FD55E3">
        <w:rPr>
          <w:rFonts w:cs="Times New Roman"/>
        </w:rPr>
        <w:t>31</w:t>
      </w:r>
      <w:r>
        <w:rPr>
          <w:rFonts w:cs="Times New Roman"/>
        </w:rPr>
        <w:t xml:space="preserve">, </w:t>
      </w:r>
      <w:r>
        <w:rPr>
          <w:rFonts w:cs="Times New Roman"/>
          <w:i/>
        </w:rPr>
        <w:t xml:space="preserve">per </w:t>
      </w:r>
      <w:r>
        <w:rPr>
          <w:rFonts w:cs="Times New Roman"/>
        </w:rPr>
        <w:t>White J.):</w:t>
      </w:r>
      <w:r w:rsidRPr="00FD55E3">
        <w:rPr>
          <w:rFonts w:cs="Times New Roman"/>
        </w:rPr>
        <w:t xml:space="preserve"> </w:t>
      </w:r>
    </w:p>
    <w:p w:rsidR="006A370E" w:rsidRPr="00FD55E3" w:rsidRDefault="006A370E" w:rsidP="006A370E">
      <w:pPr>
        <w:pStyle w:val="Citation-AltC"/>
        <w:rPr>
          <w:rFonts w:eastAsiaTheme="minorHAnsi"/>
        </w:rPr>
      </w:pPr>
      <w:r w:rsidRPr="00FD55E3">
        <w:t xml:space="preserve">A one-sided application of </w:t>
      </w:r>
      <w:r w:rsidRPr="00FD55E3">
        <w:rPr>
          <w:i/>
        </w:rPr>
        <w:t>Hanover Shoe</w:t>
      </w:r>
      <w:r w:rsidRPr="00FD55E3">
        <w:t xml:space="preserve"> substantially increases the possibility of inconsistent adjudications </w:t>
      </w:r>
      <w:r w:rsidRPr="00FB6EEF">
        <w:rPr>
          <w:rStyle w:val="st"/>
          <w:color w:val="222222"/>
        </w:rPr>
        <w:t>—</w:t>
      </w:r>
      <w:r>
        <w:rPr>
          <w:rStyle w:val="st"/>
          <w:rFonts w:ascii="Arial" w:hAnsi="Arial" w:cs="Arial"/>
          <w:color w:val="222222"/>
        </w:rPr>
        <w:t xml:space="preserve"> </w:t>
      </w:r>
      <w:r w:rsidRPr="00FD55E3">
        <w:t>and therefore</w:t>
      </w:r>
      <w:r>
        <w:t xml:space="preserve"> of</w:t>
      </w:r>
      <w:r w:rsidRPr="00FD55E3">
        <w:t xml:space="preserve"> unwarranted multiple liability for the defendant </w:t>
      </w:r>
      <w:r w:rsidRPr="00FB6EEF">
        <w:rPr>
          <w:rStyle w:val="st"/>
          <w:color w:val="222222"/>
        </w:rPr>
        <w:t>—</w:t>
      </w:r>
      <w:r>
        <w:rPr>
          <w:rStyle w:val="st"/>
          <w:color w:val="222222"/>
        </w:rPr>
        <w:t xml:space="preserve"> </w:t>
      </w:r>
      <w:r w:rsidRPr="00FD55E3">
        <w:rPr>
          <w:rFonts w:eastAsiaTheme="minorHAnsi"/>
        </w:rPr>
        <w:t>by presuming that one plaintiff (the direct purchaser) is entitled to full recovery while preventing the defendant from using that presumption against the other plaintiff</w:t>
      </w:r>
      <w:r>
        <w:rPr>
          <w:rFonts w:eastAsiaTheme="minorHAnsi"/>
        </w:rPr>
        <w:t xml:space="preserve"> </w:t>
      </w:r>
      <w:r w:rsidRPr="00FD55E3">
        <w:rPr>
          <w:rFonts w:eastAsiaTheme="minorHAnsi"/>
        </w:rPr>
        <w:t>.</w:t>
      </w:r>
      <w:r>
        <w:rPr>
          <w:rFonts w:eastAsiaTheme="minorHAnsi"/>
        </w:rPr>
        <w:t xml:space="preserve"> . . .</w:t>
      </w:r>
      <w:r w:rsidRPr="00FD55E3">
        <w:rPr>
          <w:rFonts w:eastAsiaTheme="minorHAnsi"/>
        </w:rPr>
        <w:t xml:space="preserve"> </w:t>
      </w:r>
      <w:r>
        <w:rPr>
          <w:rFonts w:eastAsiaTheme="minorHAnsi"/>
        </w:rPr>
        <w:t>[Emphasis deleted; p. 730.]</w:t>
      </w:r>
    </w:p>
    <w:p w:rsidR="006A370E" w:rsidRPr="00FD55E3" w:rsidRDefault="006A370E" w:rsidP="006A370E">
      <w:pPr>
        <w:pStyle w:val="ParaNoNdepar-AltN"/>
        <w:rPr>
          <w:rFonts w:cs="Times New Roman"/>
          <w:sz w:val="20"/>
        </w:rPr>
      </w:pPr>
      <w:r w:rsidRPr="00FD55E3">
        <w:rPr>
          <w:rFonts w:eastAsiaTheme="minorHAnsi" w:cs="Times New Roman"/>
        </w:rPr>
        <w:t>This concern cannot be lightly dismissed. However, in my view</w:t>
      </w:r>
      <w:r>
        <w:rPr>
          <w:rFonts w:eastAsiaTheme="minorHAnsi" w:cs="Times New Roman"/>
        </w:rPr>
        <w:t>,</w:t>
      </w:r>
      <w:r w:rsidRPr="00FD55E3">
        <w:rPr>
          <w:rFonts w:eastAsiaTheme="minorHAnsi" w:cs="Times New Roman"/>
        </w:rPr>
        <w:t xml:space="preserve"> there are countervailing arguments to be considered. Practically, the risk of duplicate or multiple recoveries can be managed by the courts.  Brennan J., dissenting in </w:t>
      </w:r>
      <w:r w:rsidRPr="00FD55E3">
        <w:rPr>
          <w:rFonts w:eastAsiaTheme="minorHAnsi" w:cs="Times New Roman"/>
          <w:i/>
        </w:rPr>
        <w:t>Illinois Brick</w:t>
      </w:r>
      <w:r w:rsidRPr="00FD55E3">
        <w:rPr>
          <w:rFonts w:eastAsiaTheme="minorHAnsi" w:cs="Times New Roman"/>
        </w:rPr>
        <w:t xml:space="preserve">, indicated that the risk of overlapping recovery exists only where additional suits are filed after an award for damages has been made or where actions by direct </w:t>
      </w:r>
      <w:r w:rsidRPr="00FD55E3">
        <w:rPr>
          <w:rFonts w:eastAsiaTheme="minorHAnsi" w:cs="Times New Roman"/>
        </w:rPr>
        <w:lastRenderedPageBreak/>
        <w:t xml:space="preserve">and indirect purchasers are pending at the same time. In both cases, he said, the risk is remote </w:t>
      </w:r>
      <w:r>
        <w:rPr>
          <w:rFonts w:eastAsiaTheme="minorHAnsi" w:cs="Times New Roman"/>
        </w:rPr>
        <w:t>(</w:t>
      </w:r>
      <w:r w:rsidRPr="00FD55E3">
        <w:rPr>
          <w:rFonts w:eastAsiaTheme="minorHAnsi" w:cs="Times New Roman"/>
        </w:rPr>
        <w:t>p</w:t>
      </w:r>
      <w:r>
        <w:rPr>
          <w:rFonts w:eastAsiaTheme="minorHAnsi" w:cs="Times New Roman"/>
        </w:rPr>
        <w:t>p</w:t>
      </w:r>
      <w:r w:rsidRPr="00FD55E3">
        <w:rPr>
          <w:rFonts w:eastAsiaTheme="minorHAnsi" w:cs="Times New Roman"/>
        </w:rPr>
        <w:t>. 762-</w:t>
      </w:r>
      <w:r>
        <w:rPr>
          <w:rFonts w:eastAsiaTheme="minorHAnsi" w:cs="Times New Roman"/>
        </w:rPr>
        <w:t>6</w:t>
      </w:r>
      <w:r w:rsidRPr="00FD55E3">
        <w:rPr>
          <w:rFonts w:eastAsiaTheme="minorHAnsi" w:cs="Times New Roman"/>
        </w:rPr>
        <w:t>4</w:t>
      </w:r>
      <w:r>
        <w:rPr>
          <w:rFonts w:eastAsiaTheme="minorHAnsi" w:cs="Times New Roman"/>
        </w:rPr>
        <w:t>)</w:t>
      </w:r>
      <w:r w:rsidRPr="00FD55E3">
        <w:rPr>
          <w:rFonts w:eastAsiaTheme="minorHAnsi" w:cs="Times New Roman"/>
        </w:rPr>
        <w:t xml:space="preserve">.  </w:t>
      </w:r>
    </w:p>
    <w:p w:rsidR="006A370E" w:rsidRPr="00FD55E3" w:rsidRDefault="006A370E" w:rsidP="006A370E">
      <w:pPr>
        <w:pStyle w:val="ParaNoNdepar-AltN"/>
        <w:rPr>
          <w:rFonts w:cs="Times New Roman"/>
          <w:sz w:val="20"/>
        </w:rPr>
      </w:pPr>
      <w:r w:rsidRPr="00FD55E3">
        <w:rPr>
          <w:rFonts w:eastAsiaTheme="minorHAnsi" w:cs="Times New Roman"/>
        </w:rPr>
        <w:t xml:space="preserve">In the first situation, Brennan J. stated that the complex </w:t>
      </w:r>
      <w:r w:rsidRPr="00FD55E3">
        <w:rPr>
          <w:rFonts w:eastAsiaTheme="minorHAnsi" w:cs="Times New Roman"/>
          <w:szCs w:val="24"/>
        </w:rPr>
        <w:t>and protracted nature of antitrust actions, coupled with the short four-year statute of limitations, “</w:t>
      </w:r>
      <w:r w:rsidRPr="00FD55E3">
        <w:rPr>
          <w:rFonts w:cs="Times New Roman"/>
          <w:szCs w:val="24"/>
        </w:rPr>
        <w:t>make it impractical for potential plaintiffs to sit on their rights until after entry of judgment in the earlier suit</w:t>
      </w:r>
      <w:r>
        <w:rPr>
          <w:rFonts w:cs="Times New Roman"/>
          <w:szCs w:val="24"/>
        </w:rPr>
        <w:t>”</w:t>
      </w:r>
      <w:r w:rsidRPr="00FD55E3">
        <w:rPr>
          <w:rFonts w:cs="Times New Roman"/>
          <w:szCs w:val="24"/>
        </w:rPr>
        <w:t xml:space="preserve"> </w:t>
      </w:r>
      <w:r>
        <w:rPr>
          <w:rFonts w:cs="Times New Roman"/>
          <w:szCs w:val="24"/>
        </w:rPr>
        <w:t>(</w:t>
      </w:r>
      <w:r>
        <w:rPr>
          <w:rFonts w:cs="Times New Roman"/>
          <w:i/>
          <w:szCs w:val="24"/>
        </w:rPr>
        <w:t>Illinois Brick</w:t>
      </w:r>
      <w:r>
        <w:rPr>
          <w:rFonts w:cs="Times New Roman"/>
          <w:szCs w:val="24"/>
        </w:rPr>
        <w:t xml:space="preserve">, at </w:t>
      </w:r>
      <w:r w:rsidRPr="00FB6EEF">
        <w:rPr>
          <w:rFonts w:cs="Times New Roman"/>
          <w:szCs w:val="24"/>
        </w:rPr>
        <w:t>p</w:t>
      </w:r>
      <w:r w:rsidRPr="00FD55E3">
        <w:rPr>
          <w:rFonts w:cs="Times New Roman"/>
          <w:szCs w:val="24"/>
        </w:rPr>
        <w:t>. 764</w:t>
      </w:r>
      <w:r>
        <w:rPr>
          <w:rFonts w:cs="Times New Roman"/>
          <w:szCs w:val="24"/>
        </w:rPr>
        <w:t>)</w:t>
      </w:r>
      <w:r w:rsidRPr="00FD55E3">
        <w:rPr>
          <w:rFonts w:cs="Times New Roman"/>
          <w:szCs w:val="24"/>
        </w:rPr>
        <w:t xml:space="preserve">. With respect to actions under the </w:t>
      </w:r>
      <w:r w:rsidRPr="00FD55E3">
        <w:rPr>
          <w:rFonts w:cs="Times New Roman"/>
          <w:i/>
          <w:szCs w:val="24"/>
        </w:rPr>
        <w:t>Competition Act</w:t>
      </w:r>
      <w:r w:rsidRPr="00FD55E3">
        <w:rPr>
          <w:rFonts w:cs="Times New Roman"/>
          <w:szCs w:val="24"/>
        </w:rPr>
        <w:t>, the same reasoning would apply in Canada where our competition actions are similarly complex and where legislation restricts individual recovery for damages f</w:t>
      </w:r>
      <w:r>
        <w:rPr>
          <w:rFonts w:cs="Times New Roman"/>
          <w:szCs w:val="24"/>
        </w:rPr>
        <w:t>or violations to just two years</w:t>
      </w:r>
      <w:r w:rsidRPr="00FD55E3">
        <w:rPr>
          <w:rFonts w:cs="Times New Roman"/>
          <w:szCs w:val="24"/>
        </w:rPr>
        <w:t xml:space="preserve"> </w:t>
      </w:r>
      <w:r>
        <w:rPr>
          <w:rFonts w:cs="Times New Roman"/>
          <w:szCs w:val="24"/>
        </w:rPr>
        <w:t>(</w:t>
      </w:r>
      <w:r w:rsidRPr="00FD55E3">
        <w:rPr>
          <w:rFonts w:cs="Times New Roman"/>
          <w:szCs w:val="24"/>
        </w:rPr>
        <w:t xml:space="preserve">see </w:t>
      </w:r>
      <w:r w:rsidRPr="00FD55E3">
        <w:rPr>
          <w:rFonts w:cs="Times New Roman"/>
          <w:i/>
          <w:szCs w:val="24"/>
        </w:rPr>
        <w:t>Competition Act</w:t>
      </w:r>
      <w:r>
        <w:rPr>
          <w:rFonts w:cs="Times New Roman"/>
          <w:szCs w:val="24"/>
        </w:rPr>
        <w:t>,</w:t>
      </w:r>
      <w:r w:rsidRPr="00FD55E3">
        <w:rPr>
          <w:rFonts w:cs="Times New Roman"/>
          <w:i/>
          <w:szCs w:val="24"/>
        </w:rPr>
        <w:t xml:space="preserve"> </w:t>
      </w:r>
      <w:r w:rsidRPr="00FD55E3">
        <w:rPr>
          <w:rFonts w:cs="Times New Roman"/>
          <w:szCs w:val="24"/>
        </w:rPr>
        <w:t xml:space="preserve">at </w:t>
      </w:r>
      <w:r>
        <w:rPr>
          <w:rFonts w:cs="Times New Roman"/>
          <w:szCs w:val="24"/>
        </w:rPr>
        <w:t>s. 36(4)(</w:t>
      </w:r>
      <w:r>
        <w:rPr>
          <w:rFonts w:cs="Times New Roman"/>
          <w:i/>
          <w:szCs w:val="24"/>
        </w:rPr>
        <w:t>a</w:t>
      </w:r>
      <w:r w:rsidRPr="00FD55E3">
        <w:rPr>
          <w:rFonts w:cs="Times New Roman"/>
          <w:szCs w:val="24"/>
        </w:rPr>
        <w:t>)</w:t>
      </w:r>
      <w:r>
        <w:rPr>
          <w:rFonts w:cs="Times New Roman"/>
          <w:szCs w:val="24"/>
        </w:rPr>
        <w:t>)</w:t>
      </w:r>
      <w:r w:rsidRPr="00FD55E3">
        <w:rPr>
          <w:rFonts w:cs="Times New Roman"/>
          <w:szCs w:val="24"/>
        </w:rPr>
        <w:t xml:space="preserve">. </w:t>
      </w:r>
    </w:p>
    <w:p w:rsidR="006A370E" w:rsidRPr="00FD55E3" w:rsidRDefault="006A370E" w:rsidP="006A370E">
      <w:pPr>
        <w:pStyle w:val="ParaNoNdepar-AltN"/>
        <w:rPr>
          <w:rFonts w:cs="Times New Roman"/>
          <w:sz w:val="20"/>
        </w:rPr>
      </w:pPr>
      <w:r w:rsidRPr="00FD55E3">
        <w:rPr>
          <w:rFonts w:cs="Times New Roman"/>
          <w:szCs w:val="24"/>
        </w:rPr>
        <w:t xml:space="preserve">As for the risk of double recovery where actions by direct and indirect purchasers are pending at the same time, it will be open to the defendant to bring evidence of this risk before the trial judge and ask the trial judge to modify any award of damages accordingly. </w:t>
      </w:r>
      <w:r w:rsidRPr="00FD55E3">
        <w:rPr>
          <w:rFonts w:eastAsiaTheme="minorHAnsi" w:cs="Times New Roman"/>
        </w:rPr>
        <w:t xml:space="preserve">In </w:t>
      </w:r>
      <w:r w:rsidRPr="00FD55E3">
        <w:rPr>
          <w:rFonts w:eastAsiaTheme="minorHAnsi" w:cs="Times New Roman"/>
          <w:i/>
        </w:rPr>
        <w:t>Multiple Access Ltd. v. McCutcheon</w:t>
      </w:r>
      <w:r w:rsidRPr="00FD55E3">
        <w:rPr>
          <w:rFonts w:eastAsiaTheme="minorHAnsi" w:cs="Times New Roman"/>
        </w:rPr>
        <w:t>, [1982] 2 S.C.R. 161, in discussing the risk of a plaintiff seeking double recovery under separa</w:t>
      </w:r>
      <w:r>
        <w:rPr>
          <w:rFonts w:eastAsiaTheme="minorHAnsi" w:cs="Times New Roman"/>
        </w:rPr>
        <w:t>te legal provisions, Dickson J.</w:t>
      </w:r>
      <w:r w:rsidRPr="00FD55E3">
        <w:rPr>
          <w:rFonts w:eastAsiaTheme="minorHAnsi" w:cs="Times New Roman"/>
        </w:rPr>
        <w:t xml:space="preserve"> </w:t>
      </w:r>
      <w:r>
        <w:rPr>
          <w:rFonts w:eastAsiaTheme="minorHAnsi" w:cs="Times New Roman"/>
        </w:rPr>
        <w:t xml:space="preserve">(as </w:t>
      </w:r>
      <w:r w:rsidRPr="00FD55E3">
        <w:rPr>
          <w:rFonts w:eastAsiaTheme="minorHAnsi" w:cs="Times New Roman"/>
        </w:rPr>
        <w:t>he then was</w:t>
      </w:r>
      <w:r>
        <w:rPr>
          <w:rFonts w:eastAsiaTheme="minorHAnsi" w:cs="Times New Roman"/>
        </w:rPr>
        <w:t>),</w:t>
      </w:r>
      <w:r w:rsidRPr="00FD55E3">
        <w:rPr>
          <w:rFonts w:eastAsiaTheme="minorHAnsi" w:cs="Times New Roman"/>
        </w:rPr>
        <w:t xml:space="preserve"> writing for the majority</w:t>
      </w:r>
      <w:r>
        <w:rPr>
          <w:rFonts w:eastAsiaTheme="minorHAnsi" w:cs="Times New Roman"/>
        </w:rPr>
        <w:t>,</w:t>
      </w:r>
      <w:r w:rsidRPr="00FD55E3">
        <w:rPr>
          <w:rFonts w:eastAsiaTheme="minorHAnsi" w:cs="Times New Roman"/>
        </w:rPr>
        <w:t xml:space="preserve"> held that</w:t>
      </w:r>
    </w:p>
    <w:p w:rsidR="006A370E" w:rsidRPr="00FD55E3" w:rsidRDefault="006A370E" w:rsidP="006A370E">
      <w:pPr>
        <w:pStyle w:val="Citation-AltC"/>
        <w:rPr>
          <w:sz w:val="20"/>
        </w:rPr>
      </w:pPr>
      <w:r w:rsidRPr="00FD55E3">
        <w:rPr>
          <w:rFonts w:eastAsiaTheme="minorHAnsi"/>
        </w:rPr>
        <w:t>[t]he courts are well able to prevent double recovery in the theoretical and unlikely event of plaintiffs trying to obtain relie</w:t>
      </w:r>
      <w:r>
        <w:rPr>
          <w:rFonts w:eastAsiaTheme="minorHAnsi"/>
        </w:rPr>
        <w:t>f under both sets of provisions</w:t>
      </w:r>
      <w:r w:rsidRPr="00FD55E3">
        <w:rPr>
          <w:rFonts w:eastAsiaTheme="minorHAnsi"/>
        </w:rPr>
        <w:t>.</w:t>
      </w:r>
      <w:r>
        <w:rPr>
          <w:rFonts w:eastAsiaTheme="minorHAnsi"/>
        </w:rPr>
        <w:t xml:space="preserve"> . . . [T]</w:t>
      </w:r>
      <w:r w:rsidRPr="00FD55E3">
        <w:rPr>
          <w:rFonts w:eastAsiaTheme="minorHAnsi"/>
        </w:rPr>
        <w:t>he Court at the final stage of finding and quantifying liability could prevent double recovery if in fact compensation and an accounting had already been made by a defendant. No court</w:t>
      </w:r>
      <w:r>
        <w:rPr>
          <w:rFonts w:eastAsiaTheme="minorHAnsi"/>
        </w:rPr>
        <w:t xml:space="preserve"> would permit double recovery. [p. 191]</w:t>
      </w:r>
      <w:r w:rsidRPr="00FD55E3">
        <w:rPr>
          <w:rFonts w:eastAsiaTheme="minorHAnsi"/>
        </w:rPr>
        <w:t xml:space="preserve">  </w:t>
      </w:r>
    </w:p>
    <w:p w:rsidR="006A370E" w:rsidRPr="00FD55E3" w:rsidRDefault="006A370E" w:rsidP="006A370E">
      <w:pPr>
        <w:pStyle w:val="ContinueParaSuitedupar-AltP"/>
        <w:rPr>
          <w:rFonts w:cs="Times New Roman"/>
        </w:rPr>
      </w:pPr>
      <w:r w:rsidRPr="00FD55E3">
        <w:rPr>
          <w:rFonts w:cs="Times New Roman"/>
        </w:rPr>
        <w:lastRenderedPageBreak/>
        <w:t xml:space="preserve">If the defendant is able to satisfy the judge that the risk is beyond the court’s control, the judge retains the discretion to deny the claim. </w:t>
      </w:r>
    </w:p>
    <w:p w:rsidR="006A370E" w:rsidRPr="00FD55E3" w:rsidRDefault="006A370E" w:rsidP="006A370E">
      <w:pPr>
        <w:pStyle w:val="ParaNoNdepar-AltN"/>
        <w:rPr>
          <w:rFonts w:cs="Times New Roman"/>
          <w:szCs w:val="24"/>
        </w:rPr>
      </w:pPr>
      <w:r w:rsidRPr="00FD55E3">
        <w:rPr>
          <w:rFonts w:cs="Times New Roman"/>
          <w:szCs w:val="24"/>
        </w:rPr>
        <w:t xml:space="preserve">Likewise, if the defendant presents evidence of parallel suits pending in other jurisdictions that would have the potential to result in multiple </w:t>
      </w:r>
      <w:proofErr w:type="gramStart"/>
      <w:r w:rsidRPr="00FD55E3">
        <w:rPr>
          <w:rFonts w:cs="Times New Roman"/>
          <w:szCs w:val="24"/>
        </w:rPr>
        <w:t>recovery</w:t>
      </w:r>
      <w:proofErr w:type="gramEnd"/>
      <w:r w:rsidRPr="00FD55E3">
        <w:rPr>
          <w:rFonts w:cs="Times New Roman"/>
          <w:szCs w:val="24"/>
        </w:rPr>
        <w:t xml:space="preserve">, the judge may deny the claim or modify the damage award in accordance with an award sought or granted in the other jurisdiction in order to prevent overlapping recovery. </w:t>
      </w:r>
    </w:p>
    <w:p w:rsidR="006A370E" w:rsidRPr="00FD55E3" w:rsidRDefault="006A370E" w:rsidP="006A370E">
      <w:pPr>
        <w:pStyle w:val="ParaNoNdepar-AltN"/>
        <w:rPr>
          <w:rFonts w:cs="Times New Roman"/>
          <w:szCs w:val="24"/>
        </w:rPr>
      </w:pPr>
      <w:r w:rsidRPr="00FD55E3">
        <w:rPr>
          <w:rFonts w:cs="Times New Roman"/>
          <w:szCs w:val="24"/>
        </w:rPr>
        <w:t xml:space="preserve">In view of these practical tools at the courts’ disposal, I would agree with </w:t>
      </w:r>
      <w:r w:rsidRPr="00FD55E3">
        <w:rPr>
          <w:rFonts w:eastAsiaTheme="minorHAnsi" w:cs="Times New Roman"/>
        </w:rPr>
        <w:t>Donald J.A.</w:t>
      </w:r>
      <w:r>
        <w:rPr>
          <w:rFonts w:eastAsiaTheme="minorHAnsi" w:cs="Times New Roman"/>
        </w:rPr>
        <w:t xml:space="preserve"> of the B.C.C.A.</w:t>
      </w:r>
      <w:r w:rsidRPr="00FD55E3">
        <w:rPr>
          <w:rFonts w:eastAsiaTheme="minorHAnsi" w:cs="Times New Roman"/>
        </w:rPr>
        <w:t xml:space="preserve">, dissenting in </w:t>
      </w:r>
      <w:r w:rsidRPr="00FD55E3">
        <w:rPr>
          <w:rFonts w:eastAsiaTheme="minorHAnsi" w:cs="Times New Roman"/>
          <w:i/>
        </w:rPr>
        <w:t>Sun-</w:t>
      </w:r>
      <w:proofErr w:type="spellStart"/>
      <w:r w:rsidRPr="00FD55E3">
        <w:rPr>
          <w:rFonts w:eastAsiaTheme="minorHAnsi" w:cs="Times New Roman"/>
          <w:i/>
        </w:rPr>
        <w:t>Rype</w:t>
      </w:r>
      <w:proofErr w:type="spellEnd"/>
      <w:r w:rsidRPr="00FD55E3">
        <w:rPr>
          <w:rFonts w:eastAsiaTheme="minorHAnsi" w:cs="Times New Roman"/>
        </w:rPr>
        <w:t>, that “the double recovery rule should not in the abstract bar a claim in real life cases where double recovery can be avoided”</w:t>
      </w:r>
      <w:r>
        <w:rPr>
          <w:rFonts w:eastAsiaTheme="minorHAnsi" w:cs="Times New Roman"/>
        </w:rPr>
        <w:t xml:space="preserve"> (</w:t>
      </w:r>
      <w:proofErr w:type="spellStart"/>
      <w:r w:rsidRPr="00FD55E3">
        <w:rPr>
          <w:rFonts w:eastAsiaTheme="minorHAnsi" w:cs="Times New Roman"/>
        </w:rPr>
        <w:t>para</w:t>
      </w:r>
      <w:proofErr w:type="spellEnd"/>
      <w:r w:rsidRPr="00FD55E3">
        <w:rPr>
          <w:rFonts w:eastAsiaTheme="minorHAnsi" w:cs="Times New Roman"/>
        </w:rPr>
        <w:t>. 30</w:t>
      </w:r>
      <w:r>
        <w:rPr>
          <w:rFonts w:eastAsiaTheme="minorHAnsi" w:cs="Times New Roman"/>
        </w:rPr>
        <w:t>)</w:t>
      </w:r>
      <w:r w:rsidRPr="00FD55E3">
        <w:rPr>
          <w:rFonts w:eastAsiaTheme="minorHAnsi" w:cs="Times New Roman"/>
        </w:rPr>
        <w:t xml:space="preserve">.  At this stage of the proceeding, Microsoft has not produced evidence to demonstrate that the courts in B.C. could not preclude double or multiple recovery. I would thus not </w:t>
      </w:r>
      <w:r w:rsidRPr="00FD55E3">
        <w:rPr>
          <w:rFonts w:cs="Times New Roman"/>
          <w:szCs w:val="24"/>
        </w:rPr>
        <w:t xml:space="preserve">reject indirect purchaser actions because of the risk of multiple </w:t>
      </w:r>
      <w:proofErr w:type="gramStart"/>
      <w:r w:rsidRPr="00FD55E3">
        <w:rPr>
          <w:rFonts w:cs="Times New Roman"/>
          <w:szCs w:val="24"/>
        </w:rPr>
        <w:t>recovery</w:t>
      </w:r>
      <w:proofErr w:type="gramEnd"/>
      <w:r w:rsidRPr="00FD55E3">
        <w:rPr>
          <w:rFonts w:cs="Times New Roman"/>
          <w:szCs w:val="24"/>
        </w:rPr>
        <w:t xml:space="preserve">. </w:t>
      </w:r>
    </w:p>
    <w:p w:rsidR="006A370E" w:rsidRPr="00DE05BC" w:rsidRDefault="00A8174B" w:rsidP="00A8174B">
      <w:pPr>
        <w:pStyle w:val="Title4LevelTitre4Niveau"/>
        <w:numPr>
          <w:ilvl w:val="0"/>
          <w:numId w:val="0"/>
        </w:numPr>
        <w:tabs>
          <w:tab w:val="left" w:pos="1170"/>
          <w:tab w:val="left" w:pos="2250"/>
        </w:tabs>
        <w:ind w:left="1800" w:hanging="1800"/>
      </w:pPr>
      <w:bookmarkStart w:id="61" w:name="_Toc360611907"/>
      <w:bookmarkStart w:id="62" w:name="_Toc367887584"/>
      <w:bookmarkStart w:id="63" w:name="_Toc367948548"/>
      <w:bookmarkStart w:id="64" w:name="_Toc367957377"/>
      <w:bookmarkStart w:id="65" w:name="_Toc369188625"/>
      <w:bookmarkStart w:id="66" w:name="_Toc370903007"/>
      <w:r>
        <w:tab/>
      </w:r>
      <w:r w:rsidRPr="00A8174B">
        <w:rPr>
          <w:i w:val="0"/>
        </w:rPr>
        <w:t>(b)</w:t>
      </w:r>
      <w:r w:rsidRPr="00A8174B">
        <w:rPr>
          <w:i w:val="0"/>
        </w:rPr>
        <w:tab/>
      </w:r>
      <w:r w:rsidR="006A370E" w:rsidRPr="00DE05BC">
        <w:t>Remoteness and Complexity</w:t>
      </w:r>
      <w:bookmarkEnd w:id="61"/>
      <w:bookmarkEnd w:id="62"/>
      <w:bookmarkEnd w:id="63"/>
      <w:bookmarkEnd w:id="64"/>
      <w:bookmarkEnd w:id="65"/>
      <w:bookmarkEnd w:id="66"/>
    </w:p>
    <w:p w:rsidR="006A370E" w:rsidRPr="00FD55E3" w:rsidRDefault="006A370E" w:rsidP="006A370E">
      <w:pPr>
        <w:pStyle w:val="ParaNoNdepar-AltN"/>
        <w:rPr>
          <w:rFonts w:cs="Times New Roman"/>
        </w:rPr>
      </w:pPr>
      <w:r w:rsidRPr="00FD55E3">
        <w:rPr>
          <w:rFonts w:cs="Times New Roman"/>
        </w:rPr>
        <w:t xml:space="preserve">Microsoft’s second argument is that the remoteness of the overcharge and the complexities associated with tracing the loss constitute </w:t>
      </w:r>
      <w:r>
        <w:rPr>
          <w:rFonts w:cs="Times New Roman"/>
        </w:rPr>
        <w:t>“‘</w:t>
      </w:r>
      <w:r w:rsidRPr="00FD55E3">
        <w:rPr>
          <w:rFonts w:cs="Times New Roman"/>
        </w:rPr>
        <w:t>serious</w:t>
      </w:r>
      <w:r>
        <w:rPr>
          <w:rFonts w:cs="Times New Roman"/>
        </w:rPr>
        <w:t>’</w:t>
      </w:r>
      <w:r w:rsidRPr="00FD55E3">
        <w:rPr>
          <w:rFonts w:cs="Times New Roman"/>
        </w:rPr>
        <w:t xml:space="preserve"> and </w:t>
      </w:r>
      <w:r>
        <w:rPr>
          <w:rFonts w:cs="Times New Roman"/>
        </w:rPr>
        <w:t>‘</w:t>
      </w:r>
      <w:r w:rsidRPr="00FD55E3">
        <w:rPr>
          <w:rFonts w:cs="Times New Roman"/>
        </w:rPr>
        <w:t>inherent</w:t>
      </w:r>
      <w:r>
        <w:rPr>
          <w:rFonts w:cs="Times New Roman"/>
        </w:rPr>
        <w:t>’</w:t>
      </w:r>
      <w:r w:rsidRPr="00FD55E3">
        <w:rPr>
          <w:rFonts w:cs="Times New Roman"/>
        </w:rPr>
        <w:t xml:space="preserve"> difficulties of</w:t>
      </w:r>
      <w:r>
        <w:rPr>
          <w:rFonts w:cs="Times New Roman"/>
        </w:rPr>
        <w:t xml:space="preserve"> proof associated with pass-on”</w:t>
      </w:r>
      <w:r w:rsidRPr="00FD55E3">
        <w:rPr>
          <w:rFonts w:cs="Times New Roman"/>
        </w:rPr>
        <w:t xml:space="preserve"> </w:t>
      </w:r>
      <w:r>
        <w:rPr>
          <w:rFonts w:cs="Times New Roman"/>
        </w:rPr>
        <w:t>(</w:t>
      </w:r>
      <w:r w:rsidRPr="00FD55E3">
        <w:rPr>
          <w:rFonts w:cs="Times New Roman"/>
        </w:rPr>
        <w:t>R</w:t>
      </w:r>
      <w:r>
        <w:rPr>
          <w:rFonts w:cs="Times New Roman"/>
        </w:rPr>
        <w:t>.</w:t>
      </w:r>
      <w:r w:rsidRPr="00FD55E3">
        <w:rPr>
          <w:rFonts w:cs="Times New Roman"/>
        </w:rPr>
        <w:t>F</w:t>
      </w:r>
      <w:r>
        <w:rPr>
          <w:rFonts w:cs="Times New Roman"/>
        </w:rPr>
        <w:t>.,</w:t>
      </w:r>
      <w:r w:rsidRPr="00FD55E3">
        <w:rPr>
          <w:rFonts w:cs="Times New Roman"/>
        </w:rPr>
        <w:t xml:space="preserve"> at </w:t>
      </w:r>
      <w:proofErr w:type="spellStart"/>
      <w:r w:rsidRPr="00FD55E3">
        <w:rPr>
          <w:rFonts w:cs="Times New Roman"/>
        </w:rPr>
        <w:t>para</w:t>
      </w:r>
      <w:proofErr w:type="spellEnd"/>
      <w:r w:rsidRPr="00FD55E3">
        <w:rPr>
          <w:rFonts w:cs="Times New Roman"/>
        </w:rPr>
        <w:t>. 20</w:t>
      </w:r>
      <w:r>
        <w:rPr>
          <w:rFonts w:cs="Times New Roman"/>
        </w:rPr>
        <w:t>)</w:t>
      </w:r>
      <w:r w:rsidRPr="00FD55E3">
        <w:rPr>
          <w:rFonts w:cs="Times New Roman"/>
        </w:rPr>
        <w:t xml:space="preserve">. These difficulties are said to give rise to confusion and uncertainty and place a burden on the institutional capacities of the courts tasked with following each overcharge to its ultimate result. </w:t>
      </w:r>
    </w:p>
    <w:p w:rsidR="006A370E" w:rsidRPr="00FD55E3" w:rsidRDefault="006A370E" w:rsidP="006A370E">
      <w:pPr>
        <w:pStyle w:val="ParaNoNdepar-AltN"/>
        <w:rPr>
          <w:rFonts w:eastAsiaTheme="minorHAnsi" w:cs="Times New Roman"/>
        </w:rPr>
      </w:pPr>
      <w:r w:rsidRPr="00FD55E3">
        <w:rPr>
          <w:rFonts w:cs="Times New Roman"/>
          <w:szCs w:val="24"/>
        </w:rPr>
        <w:lastRenderedPageBreak/>
        <w:t xml:space="preserve">Microsoft relies on the reasoning of the Ontario Court of Appeal in </w:t>
      </w:r>
      <w:proofErr w:type="spellStart"/>
      <w:r w:rsidRPr="00FD55E3">
        <w:rPr>
          <w:rFonts w:cs="Times New Roman"/>
          <w:i/>
          <w:szCs w:val="24"/>
        </w:rPr>
        <w:t>Chadha</w:t>
      </w:r>
      <w:proofErr w:type="spellEnd"/>
      <w:r w:rsidRPr="00FD55E3">
        <w:rPr>
          <w:rFonts w:cs="Times New Roman"/>
          <w:i/>
          <w:szCs w:val="24"/>
        </w:rPr>
        <w:t xml:space="preserve"> v. Bayer</w:t>
      </w:r>
      <w:r>
        <w:rPr>
          <w:rFonts w:cs="Times New Roman"/>
          <w:i/>
          <w:szCs w:val="24"/>
        </w:rPr>
        <w:t xml:space="preserve"> Inc. </w:t>
      </w:r>
      <w:r>
        <w:rPr>
          <w:rFonts w:cs="Times New Roman"/>
          <w:szCs w:val="24"/>
        </w:rPr>
        <w:t>(2003), 63 O.R. (3d) 22</w:t>
      </w:r>
      <w:r w:rsidRPr="00FD55E3">
        <w:rPr>
          <w:rFonts w:cs="Times New Roman"/>
          <w:szCs w:val="24"/>
        </w:rPr>
        <w:t xml:space="preserve">. In </w:t>
      </w:r>
      <w:proofErr w:type="spellStart"/>
      <w:r w:rsidRPr="00FD55E3">
        <w:rPr>
          <w:rFonts w:cs="Times New Roman"/>
          <w:i/>
          <w:szCs w:val="24"/>
        </w:rPr>
        <w:t>Chadha</w:t>
      </w:r>
      <w:proofErr w:type="spellEnd"/>
      <w:r>
        <w:rPr>
          <w:rFonts w:cs="Times New Roman"/>
          <w:szCs w:val="24"/>
        </w:rPr>
        <w:t>,</w:t>
      </w:r>
      <w:r w:rsidRPr="00FD55E3">
        <w:rPr>
          <w:rFonts w:cs="Times New Roman"/>
          <w:i/>
          <w:szCs w:val="24"/>
        </w:rPr>
        <w:t xml:space="preserve"> </w:t>
      </w:r>
      <w:r w:rsidRPr="00FD55E3">
        <w:rPr>
          <w:rFonts w:cs="Times New Roman"/>
          <w:szCs w:val="24"/>
        </w:rPr>
        <w:t>that court denied certification of an indirect purchaser action citing “the</w:t>
      </w:r>
      <w:r w:rsidRPr="00FD55E3">
        <w:rPr>
          <w:rFonts w:cs="Times New Roman"/>
        </w:rPr>
        <w:t xml:space="preserve"> many problems of proof facing the appellants</w:t>
      </w:r>
      <w:r>
        <w:rPr>
          <w:rFonts w:cs="Times New Roman"/>
        </w:rPr>
        <w:t xml:space="preserve"> . . . , </w:t>
      </w:r>
      <w:r w:rsidRPr="00FD55E3">
        <w:rPr>
          <w:rFonts w:cs="Times New Roman"/>
        </w:rPr>
        <w:t xml:space="preserve">including the number of parties in the chain of distribution and the ‘multitude of variables’ which would </w:t>
      </w:r>
      <w:r>
        <w:rPr>
          <w:rFonts w:cs="Times New Roman"/>
        </w:rPr>
        <w:t>affect the end-purchase price” (</w:t>
      </w:r>
      <w:proofErr w:type="spellStart"/>
      <w:r w:rsidRPr="00FD55E3">
        <w:rPr>
          <w:rFonts w:cs="Times New Roman"/>
        </w:rPr>
        <w:t>para</w:t>
      </w:r>
      <w:proofErr w:type="spellEnd"/>
      <w:r w:rsidRPr="00FD55E3">
        <w:rPr>
          <w:rFonts w:cs="Times New Roman"/>
        </w:rPr>
        <w:t>. 45 (adopting the findings of the Divisional Court</w:t>
      </w:r>
      <w:r>
        <w:rPr>
          <w:rFonts w:cs="Times New Roman"/>
        </w:rPr>
        <w:t>)</w:t>
      </w:r>
      <w:r w:rsidRPr="00FD55E3">
        <w:rPr>
          <w:rFonts w:cs="Times New Roman"/>
        </w:rPr>
        <w:t>). Microsoft argues that if any part of the overcharge was absorbed by any party in the chain, “the chain would be broken” and the extent of the overcharge would become increasingly difficult to trace</w:t>
      </w:r>
      <w:r>
        <w:rPr>
          <w:rFonts w:cs="Times New Roman"/>
        </w:rPr>
        <w:t xml:space="preserve"> (R.F., at </w:t>
      </w:r>
      <w:proofErr w:type="spellStart"/>
      <w:r>
        <w:rPr>
          <w:rFonts w:cs="Times New Roman"/>
        </w:rPr>
        <w:t>para</w:t>
      </w:r>
      <w:proofErr w:type="spellEnd"/>
      <w:r>
        <w:rPr>
          <w:rFonts w:cs="Times New Roman"/>
        </w:rPr>
        <w:t xml:space="preserve">. 22, quoting </w:t>
      </w:r>
      <w:proofErr w:type="spellStart"/>
      <w:r>
        <w:rPr>
          <w:rFonts w:cs="Times New Roman"/>
          <w:i/>
        </w:rPr>
        <w:t>Chadha</w:t>
      </w:r>
      <w:proofErr w:type="spellEnd"/>
      <w:r>
        <w:rPr>
          <w:rFonts w:cs="Times New Roman"/>
        </w:rPr>
        <w:t xml:space="preserve">, at </w:t>
      </w:r>
      <w:proofErr w:type="spellStart"/>
      <w:r>
        <w:rPr>
          <w:rFonts w:cs="Times New Roman"/>
        </w:rPr>
        <w:t>para</w:t>
      </w:r>
      <w:proofErr w:type="spellEnd"/>
      <w:r>
        <w:rPr>
          <w:rFonts w:cs="Times New Roman"/>
        </w:rPr>
        <w:t>. 45)</w:t>
      </w:r>
      <w:r w:rsidRPr="00FD55E3">
        <w:rPr>
          <w:rFonts w:cs="Times New Roman"/>
        </w:rPr>
        <w:t>. The reasons on this point in</w:t>
      </w:r>
      <w:r w:rsidRPr="00FD55E3">
        <w:rPr>
          <w:rFonts w:cs="Times New Roman"/>
          <w:i/>
        </w:rPr>
        <w:t xml:space="preserve"> Illinois Brick</w:t>
      </w:r>
      <w:r w:rsidRPr="00FD55E3">
        <w:rPr>
          <w:rFonts w:cs="Times New Roman"/>
        </w:rPr>
        <w:t>,</w:t>
      </w:r>
      <w:r w:rsidRPr="00FD55E3">
        <w:rPr>
          <w:rFonts w:cs="Times New Roman"/>
          <w:i/>
        </w:rPr>
        <w:t xml:space="preserve"> </w:t>
      </w:r>
      <w:r w:rsidRPr="00FD55E3">
        <w:rPr>
          <w:rFonts w:cs="Times New Roman"/>
        </w:rPr>
        <w:t>on which Microsoft relies heavily, point out that there are significant “</w:t>
      </w:r>
      <w:r w:rsidRPr="00FD55E3">
        <w:rPr>
          <w:rFonts w:eastAsiaTheme="minorHAnsi" w:cs="Times New Roman"/>
        </w:rPr>
        <w:t>uncertainties and difficul</w:t>
      </w:r>
      <w:r>
        <w:rPr>
          <w:rFonts w:eastAsiaTheme="minorHAnsi" w:cs="Times New Roman"/>
        </w:rPr>
        <w:t>ties in analyzing price and out</w:t>
      </w:r>
      <w:r w:rsidRPr="00FD55E3">
        <w:rPr>
          <w:rFonts w:eastAsiaTheme="minorHAnsi" w:cs="Times New Roman"/>
        </w:rPr>
        <w:t>put</w:t>
      </w:r>
      <w:r w:rsidRPr="00FD55E3">
        <w:rPr>
          <w:rFonts w:eastAsiaTheme="minorHAnsi" w:cs="Times New Roman"/>
          <w:b/>
          <w:bCs/>
        </w:rPr>
        <w:t xml:space="preserve"> </w:t>
      </w:r>
      <w:r w:rsidRPr="00FD55E3">
        <w:rPr>
          <w:rFonts w:eastAsiaTheme="minorHAnsi" w:cs="Times New Roman"/>
        </w:rPr>
        <w:t xml:space="preserve">decisions </w:t>
      </w:r>
      <w:r>
        <w:rPr>
          <w:rFonts w:eastAsiaTheme="minorHAnsi" w:cs="Times New Roman"/>
        </w:rPr>
        <w:t>‘</w:t>
      </w:r>
      <w:r w:rsidRPr="00FD55E3">
        <w:rPr>
          <w:rFonts w:eastAsiaTheme="minorHAnsi" w:cs="Times New Roman"/>
        </w:rPr>
        <w:t>in the real economic world rather than an economist’s hypothetical model</w:t>
      </w:r>
      <w:r>
        <w:rPr>
          <w:rFonts w:eastAsiaTheme="minorHAnsi" w:cs="Times New Roman"/>
        </w:rPr>
        <w:t>’</w:t>
      </w:r>
      <w:r w:rsidRPr="00FD55E3">
        <w:rPr>
          <w:rFonts w:eastAsiaTheme="minorHAnsi" w:cs="Times New Roman"/>
        </w:rPr>
        <w:t>”</w:t>
      </w:r>
      <w:r>
        <w:rPr>
          <w:rFonts w:eastAsiaTheme="minorHAnsi" w:cs="Times New Roman"/>
        </w:rPr>
        <w:t xml:space="preserve"> (pp. 731-32)</w:t>
      </w:r>
      <w:r w:rsidRPr="00FD55E3">
        <w:rPr>
          <w:rFonts w:eastAsiaTheme="minorHAnsi" w:cs="Times New Roman"/>
        </w:rPr>
        <w:t>. The court lamented the “costs to the judicial system and the efficient enforcement of the antitrust laws of attempting to reconstruct tho</w:t>
      </w:r>
      <w:r>
        <w:rPr>
          <w:rFonts w:eastAsiaTheme="minorHAnsi" w:cs="Times New Roman"/>
        </w:rPr>
        <w:t>se decisions in the courtroom” (</w:t>
      </w:r>
      <w:r w:rsidRPr="00FD55E3">
        <w:rPr>
          <w:rFonts w:eastAsiaTheme="minorHAnsi" w:cs="Times New Roman"/>
        </w:rPr>
        <w:t>p. 732)</w:t>
      </w:r>
      <w:r w:rsidRPr="00DE05BC">
        <w:rPr>
          <w:rFonts w:eastAsiaTheme="minorHAnsi" w:cs="Times New Roman"/>
        </w:rPr>
        <w:t>.</w:t>
      </w:r>
    </w:p>
    <w:p w:rsidR="006A370E" w:rsidRPr="00FD55E3" w:rsidRDefault="006A370E" w:rsidP="006A370E">
      <w:pPr>
        <w:pStyle w:val="ParaNoNdepar-AltN"/>
        <w:rPr>
          <w:rFonts w:cs="Times New Roman"/>
        </w:rPr>
      </w:pPr>
      <w:r w:rsidRPr="00FD55E3">
        <w:rPr>
          <w:rFonts w:cs="Times New Roman"/>
        </w:rPr>
        <w:t xml:space="preserve">Indirect purchaser actions, especially in the antitrust context, will often involve large amounts of evidence, complex economic theories and multiple parties in a chain of distribution, making the tracing of the overcharges to their ultimate end an unenviable task. However, Brennan J., dissenting in </w:t>
      </w:r>
      <w:r w:rsidRPr="00FD55E3">
        <w:rPr>
          <w:rFonts w:cs="Times New Roman"/>
          <w:i/>
        </w:rPr>
        <w:t>Illinois Brick</w:t>
      </w:r>
      <w:r w:rsidRPr="00FD55E3">
        <w:rPr>
          <w:rFonts w:cs="Times New Roman"/>
        </w:rPr>
        <w:t>, observed that these same concerns can</w:t>
      </w:r>
      <w:r>
        <w:rPr>
          <w:rFonts w:cs="Times New Roman"/>
        </w:rPr>
        <w:t xml:space="preserve"> be</w:t>
      </w:r>
      <w:r w:rsidRPr="00FD55E3">
        <w:rPr>
          <w:rFonts w:cs="Times New Roman"/>
        </w:rPr>
        <w:t xml:space="preserve"> raised in most antitrust cases, and should not stand in the way of allowing indirect purchasers an opportunity to make their case:  </w:t>
      </w:r>
    </w:p>
    <w:p w:rsidR="006A370E" w:rsidRPr="00FD55E3" w:rsidRDefault="006A370E" w:rsidP="006A370E">
      <w:pPr>
        <w:pStyle w:val="Citation-AltC"/>
        <w:rPr>
          <w:rFonts w:eastAsiaTheme="minorHAnsi"/>
        </w:rPr>
      </w:pPr>
      <w:r w:rsidRPr="00FD55E3">
        <w:t xml:space="preserve">Admittedly, there will be many cases in which the plaintiff will be unable to prove that the overcharge was passed on. In others, </w:t>
      </w:r>
      <w:r w:rsidRPr="00FD55E3">
        <w:rPr>
          <w:rFonts w:eastAsiaTheme="minorHAnsi"/>
        </w:rPr>
        <w:t xml:space="preserve">the portion of the </w:t>
      </w:r>
      <w:r w:rsidRPr="00FD55E3">
        <w:rPr>
          <w:rFonts w:eastAsiaTheme="minorHAnsi"/>
        </w:rPr>
        <w:lastRenderedPageBreak/>
        <w:t xml:space="preserve">overcharge passed on may be only approximately determinable. But again, this problem hardly distinguishes this case from other antitrust cases. Reasoned estimation is required in all antitrust cases, but “while the damages </w:t>
      </w:r>
      <w:r>
        <w:rPr>
          <w:rFonts w:eastAsiaTheme="minorHAnsi"/>
        </w:rPr>
        <w:t xml:space="preserve">[in such cases] </w:t>
      </w:r>
      <w:r w:rsidRPr="00FD55E3">
        <w:rPr>
          <w:rFonts w:eastAsiaTheme="minorHAnsi"/>
        </w:rPr>
        <w:t>may not be determined by mere speculation or guess, it will be enough if the evidence show the extent of the damages as a matter of just and reasonable inference, although the result be only approximate</w:t>
      </w:r>
      <w:r>
        <w:rPr>
          <w:rFonts w:eastAsiaTheme="minorHAnsi"/>
        </w:rPr>
        <w:t>.</w:t>
      </w:r>
      <w:r w:rsidRPr="00FD55E3">
        <w:rPr>
          <w:rFonts w:eastAsiaTheme="minorHAnsi"/>
        </w:rPr>
        <w:t>”</w:t>
      </w:r>
      <w:r>
        <w:rPr>
          <w:rFonts w:eastAsiaTheme="minorHAnsi"/>
        </w:rPr>
        <w:t xml:space="preserve"> . . . </w:t>
      </w:r>
      <w:r w:rsidRPr="00FD55E3">
        <w:rPr>
          <w:rFonts w:eastAsiaTheme="minorHAnsi"/>
        </w:rPr>
        <w:t>Lack of precision in apportioning damages between direct and indirect purchasers is thus plainly not a convincing reason for denying indirect purchasers an opportunity to prove their injuries and damages.</w:t>
      </w:r>
      <w:r>
        <w:rPr>
          <w:rFonts w:eastAsiaTheme="minorHAnsi"/>
        </w:rPr>
        <w:t xml:space="preserve"> </w:t>
      </w:r>
      <w:proofErr w:type="gramStart"/>
      <w:r>
        <w:rPr>
          <w:rFonts w:eastAsiaTheme="minorHAnsi"/>
        </w:rPr>
        <w:t>[Text in brackets in original; pp. 759-60.]</w:t>
      </w:r>
      <w:proofErr w:type="gramEnd"/>
    </w:p>
    <w:p w:rsidR="006A370E" w:rsidRPr="00FD55E3" w:rsidRDefault="006A370E" w:rsidP="006A370E">
      <w:pPr>
        <w:pStyle w:val="ParaNoNdepar-AltN"/>
        <w:rPr>
          <w:rFonts w:cs="Times New Roman"/>
        </w:rPr>
      </w:pPr>
      <w:r w:rsidRPr="00FD55E3">
        <w:rPr>
          <w:rFonts w:cs="Times New Roman"/>
        </w:rPr>
        <w:t>In bringing their action, the indirect purchasers willingly assume the burden of establishing that they have suffered loss. This task may well require expert testimony and complex economic evidence. Whether these tools will be sufficient to meet the burden of proof, in my view, is a factual question</w:t>
      </w:r>
      <w:r>
        <w:rPr>
          <w:rFonts w:cs="Times New Roman"/>
        </w:rPr>
        <w:t xml:space="preserve"> to be decided on a case-b</w:t>
      </w:r>
      <w:r w:rsidRPr="00FD55E3">
        <w:rPr>
          <w:rFonts w:cs="Times New Roman"/>
        </w:rPr>
        <w:t>y</w:t>
      </w:r>
      <w:r>
        <w:rPr>
          <w:rFonts w:cs="Times New Roman"/>
        </w:rPr>
        <w:t>-</w:t>
      </w:r>
      <w:r w:rsidRPr="00FD55E3">
        <w:rPr>
          <w:rFonts w:cs="Times New Roman"/>
        </w:rPr>
        <w:t xml:space="preserve">case basis. Indirect purchaser actions should not be barred altogether solely because of the likely complexity associated with proof of damages.  </w:t>
      </w:r>
    </w:p>
    <w:p w:rsidR="006A370E" w:rsidRPr="00DE05BC" w:rsidRDefault="00A8174B" w:rsidP="00A8174B">
      <w:pPr>
        <w:pStyle w:val="Title4LevelTitre4Niveau"/>
        <w:numPr>
          <w:ilvl w:val="0"/>
          <w:numId w:val="0"/>
        </w:numPr>
        <w:tabs>
          <w:tab w:val="left" w:pos="1170"/>
          <w:tab w:val="left" w:pos="2250"/>
        </w:tabs>
        <w:ind w:left="1800" w:hanging="1800"/>
      </w:pPr>
      <w:bookmarkStart w:id="67" w:name="_Toc360611908"/>
      <w:bookmarkStart w:id="68" w:name="_Toc367887585"/>
      <w:bookmarkStart w:id="69" w:name="_Toc367948549"/>
      <w:bookmarkStart w:id="70" w:name="_Toc367957378"/>
      <w:bookmarkStart w:id="71" w:name="_Toc369188626"/>
      <w:bookmarkStart w:id="72" w:name="_Toc370903008"/>
      <w:r>
        <w:rPr>
          <w:i w:val="0"/>
        </w:rPr>
        <w:tab/>
        <w:t>(c)</w:t>
      </w:r>
      <w:r>
        <w:rPr>
          <w:i w:val="0"/>
        </w:rPr>
        <w:tab/>
      </w:r>
      <w:r w:rsidR="006A370E" w:rsidRPr="00A8174B">
        <w:t>Deterrence</w:t>
      </w:r>
      <w:bookmarkEnd w:id="67"/>
      <w:bookmarkEnd w:id="68"/>
      <w:bookmarkEnd w:id="69"/>
      <w:bookmarkEnd w:id="70"/>
      <w:bookmarkEnd w:id="71"/>
      <w:bookmarkEnd w:id="72"/>
    </w:p>
    <w:p w:rsidR="006A370E" w:rsidRPr="00FD55E3" w:rsidRDefault="006A370E" w:rsidP="006A370E">
      <w:pPr>
        <w:pStyle w:val="ParaNoNdepar-AltN"/>
        <w:rPr>
          <w:rFonts w:cs="Times New Roman"/>
        </w:rPr>
      </w:pPr>
      <w:r w:rsidRPr="00FD55E3">
        <w:rPr>
          <w:rFonts w:cs="Times New Roman"/>
        </w:rPr>
        <w:t xml:space="preserve">A third argument, which was not raised by Microsoft, but which was discussed in </w:t>
      </w:r>
      <w:r w:rsidRPr="00FD55E3">
        <w:rPr>
          <w:rFonts w:cs="Times New Roman"/>
          <w:i/>
        </w:rPr>
        <w:t xml:space="preserve">Illinois Brick </w:t>
      </w:r>
      <w:r w:rsidRPr="00FD55E3">
        <w:rPr>
          <w:rFonts w:cs="Times New Roman"/>
        </w:rPr>
        <w:t>and is particularly relevant to competition actions, is that allowing the offensive use of passing on frustrates the enforcement of competition laws, thus reducing deterrence. While enforcement of competition law</w:t>
      </w:r>
      <w:r>
        <w:rPr>
          <w:rFonts w:cs="Times New Roman"/>
        </w:rPr>
        <w:t>s</w:t>
      </w:r>
      <w:r w:rsidRPr="00FD55E3">
        <w:rPr>
          <w:rFonts w:cs="Times New Roman"/>
        </w:rPr>
        <w:t xml:space="preserve"> is generally a question for the government, private individuals are engaged in the enforcement by way of s. 36 which gives them a right of recovery for breaches of Part VI of the </w:t>
      </w:r>
      <w:r w:rsidRPr="00FD55E3">
        <w:rPr>
          <w:rFonts w:cs="Times New Roman"/>
          <w:i/>
        </w:rPr>
        <w:t>Competition Act</w:t>
      </w:r>
      <w:r w:rsidRPr="00FD55E3">
        <w:rPr>
          <w:rFonts w:cs="Times New Roman"/>
        </w:rPr>
        <w:t xml:space="preserve">.  </w:t>
      </w:r>
    </w:p>
    <w:p w:rsidR="006A370E" w:rsidRPr="00FD55E3" w:rsidRDefault="006A370E" w:rsidP="006A370E">
      <w:pPr>
        <w:pStyle w:val="ParaNoNdepar-AltN"/>
        <w:rPr>
          <w:rFonts w:eastAsiaTheme="minorHAnsi" w:cs="Times New Roman"/>
        </w:rPr>
      </w:pPr>
      <w:r w:rsidRPr="00FD55E3">
        <w:rPr>
          <w:rFonts w:cs="Times New Roman"/>
        </w:rPr>
        <w:lastRenderedPageBreak/>
        <w:t xml:space="preserve">The majority in </w:t>
      </w:r>
      <w:r w:rsidRPr="00FD55E3">
        <w:rPr>
          <w:rFonts w:cs="Times New Roman"/>
          <w:i/>
        </w:rPr>
        <w:t>Illinois Brick</w:t>
      </w:r>
      <w:r w:rsidRPr="00FD55E3">
        <w:rPr>
          <w:rFonts w:cs="Times New Roman"/>
        </w:rPr>
        <w:t xml:space="preserve"> understood </w:t>
      </w:r>
      <w:r w:rsidRPr="00FD55E3">
        <w:rPr>
          <w:rFonts w:cs="Times New Roman"/>
          <w:i/>
        </w:rPr>
        <w:t xml:space="preserve">Hanover Shoe </w:t>
      </w:r>
      <w:r w:rsidRPr="00FD55E3">
        <w:rPr>
          <w:rFonts w:cs="Times New Roman"/>
        </w:rPr>
        <w:t>to stand for the proposition that “</w:t>
      </w:r>
      <w:r w:rsidRPr="00FD55E3">
        <w:rPr>
          <w:rFonts w:eastAsiaTheme="minorHAnsi" w:cs="Times New Roman"/>
        </w:rPr>
        <w:t>antitrust laws will be more effectively enforced by concentrating the full recovery for the overcharge in the direct purchasers rather than by allowing every plaintiff potentially affected by the overcharge to sue only for the amount i</w:t>
      </w:r>
      <w:r>
        <w:rPr>
          <w:rFonts w:eastAsiaTheme="minorHAnsi" w:cs="Times New Roman"/>
        </w:rPr>
        <w:t>t could show was absorbed by it”</w:t>
      </w:r>
      <w:r w:rsidRPr="00FD55E3">
        <w:rPr>
          <w:rFonts w:eastAsiaTheme="minorHAnsi" w:cs="Times New Roman"/>
        </w:rPr>
        <w:t xml:space="preserve"> </w:t>
      </w:r>
      <w:r>
        <w:rPr>
          <w:rFonts w:eastAsiaTheme="minorHAnsi" w:cs="Times New Roman"/>
        </w:rPr>
        <w:t>(p</w:t>
      </w:r>
      <w:r w:rsidRPr="00FD55E3">
        <w:rPr>
          <w:rFonts w:eastAsiaTheme="minorHAnsi" w:cs="Times New Roman"/>
        </w:rPr>
        <w:t>. 735</w:t>
      </w:r>
      <w:r>
        <w:rPr>
          <w:rFonts w:eastAsiaTheme="minorHAnsi" w:cs="Times New Roman"/>
        </w:rPr>
        <w:t>)</w:t>
      </w:r>
      <w:r w:rsidRPr="00FD55E3">
        <w:rPr>
          <w:rFonts w:eastAsiaTheme="minorHAnsi" w:cs="Times New Roman"/>
        </w:rPr>
        <w:t xml:space="preserve">. The majority in </w:t>
      </w:r>
      <w:r w:rsidRPr="00FD55E3">
        <w:rPr>
          <w:rFonts w:eastAsiaTheme="minorHAnsi" w:cs="Times New Roman"/>
          <w:i/>
        </w:rPr>
        <w:t xml:space="preserve">Illinois Brick </w:t>
      </w:r>
      <w:r w:rsidRPr="00FD55E3">
        <w:rPr>
          <w:rFonts w:eastAsiaTheme="minorHAnsi" w:cs="Times New Roman"/>
        </w:rPr>
        <w:t>agreed, finding that direct purchasers would be in the best position to bring an action because the “massive evidence and complicated theories” that are characteristic of indirect purchaser actions impose an unacceptable burden on those plaintiffs, making success of such actions unlikely and thereby defeating the deterrence objectives of antit</w:t>
      </w:r>
      <w:r>
        <w:rPr>
          <w:rFonts w:eastAsiaTheme="minorHAnsi" w:cs="Times New Roman"/>
        </w:rPr>
        <w:t>rust laws (</w:t>
      </w:r>
      <w:r w:rsidRPr="00FD55E3">
        <w:rPr>
          <w:rFonts w:eastAsiaTheme="minorHAnsi" w:cs="Times New Roman"/>
        </w:rPr>
        <w:t>p. 741</w:t>
      </w:r>
      <w:r>
        <w:rPr>
          <w:rFonts w:eastAsiaTheme="minorHAnsi" w:cs="Times New Roman"/>
        </w:rPr>
        <w:t>)</w:t>
      </w:r>
      <w:r w:rsidRPr="00FD55E3">
        <w:rPr>
          <w:rFonts w:eastAsiaTheme="minorHAnsi" w:cs="Times New Roman"/>
        </w:rPr>
        <w:t xml:space="preserve">.  </w:t>
      </w:r>
    </w:p>
    <w:p w:rsidR="006A370E" w:rsidRPr="00FD55E3" w:rsidRDefault="006A370E" w:rsidP="006A370E">
      <w:pPr>
        <w:pStyle w:val="ParaNoNdepar-AltN"/>
        <w:rPr>
          <w:rFonts w:eastAsiaTheme="minorHAnsi" w:cs="Times New Roman"/>
        </w:rPr>
      </w:pPr>
      <w:r w:rsidRPr="00FD55E3">
        <w:rPr>
          <w:rFonts w:eastAsiaTheme="minorHAnsi" w:cs="Times New Roman"/>
        </w:rPr>
        <w:t>In my opinion</w:t>
      </w:r>
      <w:r>
        <w:rPr>
          <w:rFonts w:eastAsiaTheme="minorHAnsi" w:cs="Times New Roman"/>
        </w:rPr>
        <w:t>,</w:t>
      </w:r>
      <w:r w:rsidRPr="00FD55E3">
        <w:rPr>
          <w:rFonts w:eastAsiaTheme="minorHAnsi" w:cs="Times New Roman"/>
        </w:rPr>
        <w:t xml:space="preserve"> allowing the offensive use of passing on should not frustrate the deterrence objectives of Canadian competition laws. I agree with Brennan J.</w:t>
      </w:r>
      <w:r>
        <w:rPr>
          <w:rFonts w:eastAsiaTheme="minorHAnsi" w:cs="Times New Roman"/>
        </w:rPr>
        <w:t>,</w:t>
      </w:r>
      <w:r w:rsidRPr="00FD55E3">
        <w:rPr>
          <w:rFonts w:eastAsiaTheme="minorHAnsi" w:cs="Times New Roman"/>
        </w:rPr>
        <w:t xml:space="preserve"> dissenting in </w:t>
      </w:r>
      <w:r w:rsidRPr="00FD55E3">
        <w:rPr>
          <w:rFonts w:eastAsiaTheme="minorHAnsi" w:cs="Times New Roman"/>
          <w:i/>
        </w:rPr>
        <w:t>Illinois Brick</w:t>
      </w:r>
      <w:r>
        <w:rPr>
          <w:rFonts w:eastAsiaTheme="minorHAnsi" w:cs="Times New Roman"/>
        </w:rPr>
        <w:t>,</w:t>
      </w:r>
      <w:r w:rsidRPr="00FD55E3">
        <w:rPr>
          <w:rFonts w:eastAsiaTheme="minorHAnsi" w:cs="Times New Roman"/>
          <w:i/>
        </w:rPr>
        <w:t xml:space="preserve"> </w:t>
      </w:r>
      <w:r w:rsidRPr="00FD55E3">
        <w:rPr>
          <w:rFonts w:eastAsiaTheme="minorHAnsi" w:cs="Times New Roman"/>
        </w:rPr>
        <w:t>that the offensive use of passing on, unlike the passing</w:t>
      </w:r>
      <w:r>
        <w:rPr>
          <w:rFonts w:eastAsiaTheme="minorHAnsi" w:cs="Times New Roman"/>
        </w:rPr>
        <w:t>-</w:t>
      </w:r>
      <w:r w:rsidRPr="00FD55E3">
        <w:rPr>
          <w:rFonts w:eastAsiaTheme="minorHAnsi" w:cs="Times New Roman"/>
        </w:rPr>
        <w:t xml:space="preserve">on defence, creates little danger that the </w:t>
      </w:r>
      <w:proofErr w:type="spellStart"/>
      <w:r w:rsidRPr="00FD55E3">
        <w:rPr>
          <w:rFonts w:eastAsiaTheme="minorHAnsi" w:cs="Times New Roman"/>
        </w:rPr>
        <w:t>overcharger</w:t>
      </w:r>
      <w:proofErr w:type="spellEnd"/>
      <w:r w:rsidRPr="00FD55E3">
        <w:rPr>
          <w:rFonts w:eastAsiaTheme="minorHAnsi" w:cs="Times New Roman"/>
        </w:rPr>
        <w:t xml:space="preserve"> will escape liability and frustrate deterrence objectives but</w:t>
      </w:r>
      <w:r>
        <w:rPr>
          <w:rFonts w:eastAsiaTheme="minorHAnsi" w:cs="Times New Roman"/>
        </w:rPr>
        <w:t>,</w:t>
      </w:r>
      <w:r w:rsidRPr="00FD55E3">
        <w:rPr>
          <w:rFonts w:eastAsiaTheme="minorHAnsi" w:cs="Times New Roman"/>
        </w:rPr>
        <w:t xml:space="preserve"> “[r]</w:t>
      </w:r>
      <w:proofErr w:type="spellStart"/>
      <w:r w:rsidRPr="00FD55E3">
        <w:rPr>
          <w:rFonts w:eastAsiaTheme="minorHAnsi" w:cs="Times New Roman"/>
        </w:rPr>
        <w:t>ather</w:t>
      </w:r>
      <w:proofErr w:type="spellEnd"/>
      <w:r w:rsidRPr="00FD55E3">
        <w:rPr>
          <w:rFonts w:eastAsiaTheme="minorHAnsi" w:cs="Times New Roman"/>
        </w:rPr>
        <w:t>,</w:t>
      </w:r>
      <w:r w:rsidRPr="00FD55E3">
        <w:rPr>
          <w:rFonts w:cs="Times New Roman"/>
          <w:szCs w:val="24"/>
        </w:rPr>
        <w:t xml:space="preserve"> the same policies of insuring the continued effectiveness of the [antitrust] action and preventing wrongdoers from retaining the spoils of their misdeeds favor allowing indirect purchasers to prove that overcharges were passed on to t</w:t>
      </w:r>
      <w:r>
        <w:rPr>
          <w:rFonts w:cs="Times New Roman"/>
          <w:szCs w:val="24"/>
        </w:rPr>
        <w:t>hem” (</w:t>
      </w:r>
      <w:r w:rsidRPr="00FD55E3">
        <w:rPr>
          <w:rFonts w:cs="Times New Roman"/>
          <w:szCs w:val="24"/>
        </w:rPr>
        <w:t>p. 753</w:t>
      </w:r>
      <w:r>
        <w:rPr>
          <w:rFonts w:cs="Times New Roman"/>
          <w:szCs w:val="24"/>
        </w:rPr>
        <w:t>)</w:t>
      </w:r>
      <w:r w:rsidRPr="00FD55E3">
        <w:rPr>
          <w:rFonts w:cs="Times New Roman"/>
          <w:szCs w:val="24"/>
        </w:rPr>
        <w:t>. The rationale for rejecting the passing</w:t>
      </w:r>
      <w:r>
        <w:rPr>
          <w:rFonts w:cs="Times New Roman"/>
          <w:szCs w:val="24"/>
        </w:rPr>
        <w:t>-</w:t>
      </w:r>
      <w:r w:rsidRPr="00FD55E3">
        <w:rPr>
          <w:rFonts w:cs="Times New Roman"/>
          <w:szCs w:val="24"/>
        </w:rPr>
        <w:t xml:space="preserve">on defence because it frustrates enforcement is not a reason for denying an action to those who have a valid claim against the </w:t>
      </w:r>
      <w:proofErr w:type="spellStart"/>
      <w:r w:rsidRPr="00FD55E3">
        <w:rPr>
          <w:rFonts w:cs="Times New Roman"/>
          <w:szCs w:val="24"/>
        </w:rPr>
        <w:t>overcharger</w:t>
      </w:r>
      <w:proofErr w:type="spellEnd"/>
      <w:r w:rsidRPr="00FD55E3">
        <w:rPr>
          <w:rFonts w:cs="Times New Roman"/>
          <w:szCs w:val="24"/>
        </w:rPr>
        <w:t xml:space="preserve">. </w:t>
      </w:r>
    </w:p>
    <w:p w:rsidR="006A370E" w:rsidRPr="00FD55E3" w:rsidRDefault="006A370E" w:rsidP="006A370E">
      <w:pPr>
        <w:pStyle w:val="ParaNoNdepar-AltN"/>
        <w:rPr>
          <w:rFonts w:eastAsiaTheme="minorHAnsi" w:cs="Times New Roman"/>
        </w:rPr>
      </w:pPr>
      <w:r w:rsidRPr="00FD55E3">
        <w:rPr>
          <w:rFonts w:eastAsiaTheme="minorHAnsi" w:cs="Times New Roman"/>
        </w:rPr>
        <w:lastRenderedPageBreak/>
        <w:t xml:space="preserve">Further, despite evidence advanced by the respondents in the </w:t>
      </w:r>
      <w:r w:rsidRPr="00FD55E3">
        <w:rPr>
          <w:rFonts w:eastAsiaTheme="minorHAnsi" w:cs="Times New Roman"/>
          <w:i/>
        </w:rPr>
        <w:t>Sun-</w:t>
      </w:r>
      <w:proofErr w:type="spellStart"/>
      <w:r w:rsidRPr="00FD55E3">
        <w:rPr>
          <w:rFonts w:eastAsiaTheme="minorHAnsi" w:cs="Times New Roman"/>
          <w:i/>
        </w:rPr>
        <w:t>Rype</w:t>
      </w:r>
      <w:proofErr w:type="spellEnd"/>
      <w:r w:rsidRPr="00FD55E3">
        <w:rPr>
          <w:rFonts w:eastAsiaTheme="minorHAnsi" w:cs="Times New Roman"/>
          <w:i/>
        </w:rPr>
        <w:t xml:space="preserve"> </w:t>
      </w:r>
      <w:r w:rsidRPr="00FD55E3">
        <w:rPr>
          <w:rFonts w:eastAsiaTheme="minorHAnsi" w:cs="Times New Roman"/>
        </w:rPr>
        <w:t xml:space="preserve">appeal that direct purchasers are often the parties most likely to take action against the </w:t>
      </w:r>
      <w:proofErr w:type="spellStart"/>
      <w:r w:rsidRPr="00FD55E3">
        <w:rPr>
          <w:rFonts w:eastAsiaTheme="minorHAnsi" w:cs="Times New Roman"/>
        </w:rPr>
        <w:t>overchargers</w:t>
      </w:r>
      <w:proofErr w:type="spellEnd"/>
      <w:r w:rsidRPr="00FD55E3">
        <w:rPr>
          <w:rFonts w:eastAsiaTheme="minorHAnsi" w:cs="Times New Roman"/>
        </w:rPr>
        <w:t>, there may be some situations where direct purchasers will have been overcharged but will be reticent to bring an action against the offending party for fear of jeopardizing a valuable business relationship. In this case</w:t>
      </w:r>
      <w:r>
        <w:rPr>
          <w:rFonts w:eastAsiaTheme="minorHAnsi" w:cs="Times New Roman"/>
        </w:rPr>
        <w:t>,</w:t>
      </w:r>
      <w:r w:rsidRPr="00FD55E3">
        <w:rPr>
          <w:rFonts w:eastAsiaTheme="minorHAnsi" w:cs="Times New Roman"/>
        </w:rPr>
        <w:t xml:space="preserve"> it is alleged that Microsoft’s direct purchasers are parties to the overcharging arrangements and would themselves not be likely plaintiffs. Indirect purchaser actions may, in such circumstances, be the only means by which overcharges are claimed and deterrence is promoted. The rejection of indirect purchaser actions in such cases would increase the possibility that the overcharge would remain in the hands of the wrongdoer. For these reasons</w:t>
      </w:r>
      <w:r>
        <w:rPr>
          <w:rFonts w:eastAsiaTheme="minorHAnsi" w:cs="Times New Roman"/>
        </w:rPr>
        <w:t>,</w:t>
      </w:r>
      <w:r w:rsidRPr="00FD55E3">
        <w:rPr>
          <w:rFonts w:eastAsiaTheme="minorHAnsi" w:cs="Times New Roman"/>
        </w:rPr>
        <w:t xml:space="preserve"> I would be of the view that an absolute bar on indirect purchaser actions</w:t>
      </w:r>
      <w:r>
        <w:rPr>
          <w:rFonts w:eastAsiaTheme="minorHAnsi" w:cs="Times New Roman"/>
        </w:rPr>
        <w:t>, thus leaving any potential action exclusively to direct purchasers,</w:t>
      </w:r>
      <w:r w:rsidRPr="00FD55E3">
        <w:rPr>
          <w:rFonts w:eastAsiaTheme="minorHAnsi" w:cs="Times New Roman"/>
        </w:rPr>
        <w:t xml:space="preserve"> would not necessarily result in more effective deterrence than exclusively direct purchaser actions.  </w:t>
      </w:r>
    </w:p>
    <w:p w:rsidR="006A370E" w:rsidRPr="00E2454C" w:rsidRDefault="00A8174B" w:rsidP="00A8174B">
      <w:pPr>
        <w:pStyle w:val="Title4LevelTitre4Niveau"/>
        <w:numPr>
          <w:ilvl w:val="0"/>
          <w:numId w:val="0"/>
        </w:numPr>
        <w:tabs>
          <w:tab w:val="left" w:pos="1170"/>
          <w:tab w:val="left" w:pos="2250"/>
        </w:tabs>
        <w:ind w:left="1800" w:hanging="1800"/>
      </w:pPr>
      <w:bookmarkStart w:id="73" w:name="_Toc360611909"/>
      <w:bookmarkStart w:id="74" w:name="_Toc367887586"/>
      <w:bookmarkStart w:id="75" w:name="_Toc367948550"/>
      <w:bookmarkStart w:id="76" w:name="_Toc367957379"/>
      <w:bookmarkStart w:id="77" w:name="_Toc369188627"/>
      <w:bookmarkStart w:id="78" w:name="_Toc370903009"/>
      <w:r>
        <w:tab/>
      </w:r>
      <w:r w:rsidRPr="00A8174B">
        <w:rPr>
          <w:i w:val="0"/>
        </w:rPr>
        <w:t>(d)</w:t>
      </w:r>
      <w:r w:rsidRPr="00A8174B">
        <w:rPr>
          <w:i w:val="0"/>
        </w:rPr>
        <w:tab/>
      </w:r>
      <w:proofErr w:type="spellStart"/>
      <w:r w:rsidR="006A370E" w:rsidRPr="00E2454C">
        <w:t>Restitutionary</w:t>
      </w:r>
      <w:proofErr w:type="spellEnd"/>
      <w:r w:rsidR="006A370E" w:rsidRPr="00E2454C">
        <w:t xml:space="preserve"> Principles</w:t>
      </w:r>
      <w:bookmarkEnd w:id="73"/>
      <w:bookmarkEnd w:id="74"/>
      <w:bookmarkEnd w:id="75"/>
      <w:bookmarkEnd w:id="76"/>
      <w:bookmarkEnd w:id="77"/>
      <w:bookmarkEnd w:id="78"/>
    </w:p>
    <w:p w:rsidR="006A370E" w:rsidRPr="00FD55E3" w:rsidRDefault="006A370E" w:rsidP="006A370E">
      <w:pPr>
        <w:pStyle w:val="ParaNoNdepar-AltN"/>
        <w:rPr>
          <w:rFonts w:cs="Times New Roman"/>
        </w:rPr>
      </w:pPr>
      <w:r w:rsidRPr="00FD55E3">
        <w:rPr>
          <w:rFonts w:cs="Times New Roman"/>
        </w:rPr>
        <w:t>Restitution law is remedial in nature and is concerned with the rec</w:t>
      </w:r>
      <w:r>
        <w:rPr>
          <w:rFonts w:cs="Times New Roman"/>
        </w:rPr>
        <w:t>overy of gains from wrongdoing (</w:t>
      </w:r>
      <w:r w:rsidRPr="00FD55E3">
        <w:rPr>
          <w:rFonts w:cs="Times New Roman"/>
        </w:rPr>
        <w:t xml:space="preserve">see </w:t>
      </w:r>
      <w:proofErr w:type="spellStart"/>
      <w:r w:rsidRPr="00FD55E3">
        <w:rPr>
          <w:rFonts w:cs="Times New Roman"/>
        </w:rPr>
        <w:t>Maddaugh</w:t>
      </w:r>
      <w:proofErr w:type="spellEnd"/>
      <w:r w:rsidRPr="00FD55E3">
        <w:rPr>
          <w:rFonts w:cs="Times New Roman"/>
        </w:rPr>
        <w:t xml:space="preserve"> and </w:t>
      </w:r>
      <w:proofErr w:type="spellStart"/>
      <w:r w:rsidRPr="00FD55E3">
        <w:rPr>
          <w:rFonts w:cs="Times New Roman"/>
        </w:rPr>
        <w:t>McCamus</w:t>
      </w:r>
      <w:proofErr w:type="spellEnd"/>
      <w:r>
        <w:rPr>
          <w:rFonts w:cs="Times New Roman"/>
        </w:rPr>
        <w:t xml:space="preserve"> (2013),</w:t>
      </w:r>
      <w:r w:rsidRPr="00FD55E3">
        <w:rPr>
          <w:rFonts w:cs="Times New Roman"/>
        </w:rPr>
        <w:t xml:space="preserve"> at </w:t>
      </w:r>
      <w:r>
        <w:rPr>
          <w:rFonts w:cs="Times New Roman"/>
        </w:rPr>
        <w:t>pp. 3-1 to</w:t>
      </w:r>
      <w:r w:rsidRPr="00FD55E3">
        <w:rPr>
          <w:rFonts w:cs="Times New Roman"/>
        </w:rPr>
        <w:t xml:space="preserve"> 3-3</w:t>
      </w:r>
      <w:r>
        <w:rPr>
          <w:rFonts w:cs="Times New Roman"/>
        </w:rPr>
        <w:t>)</w:t>
      </w:r>
      <w:r w:rsidRPr="00FD55E3">
        <w:rPr>
          <w:rFonts w:cs="Times New Roman"/>
        </w:rPr>
        <w:t xml:space="preserve">. In my view, allowing indirect purchaser actions is consistent with the remediation objective of restitution law because it allows for compensating the parties who have actually suffered the harm rather than merely reserving these actions for direct purchasers who may have in fact passed on the overcharge. </w:t>
      </w:r>
    </w:p>
    <w:p w:rsidR="006A370E" w:rsidRPr="00E2454C" w:rsidRDefault="00A8174B" w:rsidP="00A8174B">
      <w:pPr>
        <w:pStyle w:val="Title4LevelTitre4Niveau"/>
        <w:numPr>
          <w:ilvl w:val="0"/>
          <w:numId w:val="0"/>
        </w:numPr>
        <w:tabs>
          <w:tab w:val="left" w:pos="1170"/>
          <w:tab w:val="left" w:pos="2250"/>
        </w:tabs>
        <w:ind w:left="1800" w:hanging="1800"/>
      </w:pPr>
      <w:bookmarkStart w:id="79" w:name="_Toc360611910"/>
      <w:bookmarkStart w:id="80" w:name="_Toc367887587"/>
      <w:bookmarkStart w:id="81" w:name="_Toc367948551"/>
      <w:bookmarkStart w:id="82" w:name="_Toc367957380"/>
      <w:bookmarkStart w:id="83" w:name="_Toc369188628"/>
      <w:bookmarkStart w:id="84" w:name="_Toc370903010"/>
      <w:r>
        <w:lastRenderedPageBreak/>
        <w:tab/>
      </w:r>
      <w:r w:rsidRPr="00A8174B">
        <w:rPr>
          <w:i w:val="0"/>
        </w:rPr>
        <w:t>(</w:t>
      </w:r>
      <w:r>
        <w:rPr>
          <w:i w:val="0"/>
        </w:rPr>
        <w:t>e</w:t>
      </w:r>
      <w:r w:rsidRPr="00A8174B">
        <w:rPr>
          <w:i w:val="0"/>
        </w:rPr>
        <w:t>)</w:t>
      </w:r>
      <w:r w:rsidRPr="00A8174B">
        <w:rPr>
          <w:i w:val="0"/>
        </w:rPr>
        <w:tab/>
      </w:r>
      <w:r w:rsidR="006A370E">
        <w:t xml:space="preserve">Departure </w:t>
      </w:r>
      <w:proofErr w:type="gramStart"/>
      <w:r w:rsidR="006A370E">
        <w:t>F</w:t>
      </w:r>
      <w:r w:rsidR="006A370E" w:rsidRPr="00E2454C">
        <w:t>rom</w:t>
      </w:r>
      <w:proofErr w:type="gramEnd"/>
      <w:r w:rsidR="006A370E" w:rsidRPr="00E2454C">
        <w:t xml:space="preserve"> t</w:t>
      </w:r>
      <w:r w:rsidR="006A370E">
        <w:t>he R</w:t>
      </w:r>
      <w:r w:rsidR="006A370E" w:rsidRPr="00E2454C">
        <w:t>ule in Illinois Brick in the United States</w:t>
      </w:r>
      <w:bookmarkEnd w:id="79"/>
      <w:bookmarkEnd w:id="80"/>
      <w:bookmarkEnd w:id="81"/>
      <w:bookmarkEnd w:id="82"/>
      <w:bookmarkEnd w:id="83"/>
      <w:bookmarkEnd w:id="84"/>
    </w:p>
    <w:p w:rsidR="006A370E" w:rsidRPr="00FD55E3" w:rsidRDefault="006A370E" w:rsidP="006A370E">
      <w:pPr>
        <w:pStyle w:val="ParaNoNdepar-AltN"/>
        <w:rPr>
          <w:rFonts w:cs="Times New Roman"/>
        </w:rPr>
      </w:pPr>
      <w:r w:rsidRPr="00FD55E3">
        <w:rPr>
          <w:rFonts w:cs="Times New Roman"/>
        </w:rPr>
        <w:t xml:space="preserve">Although </w:t>
      </w:r>
      <w:r w:rsidRPr="00FD55E3">
        <w:rPr>
          <w:rFonts w:cs="Times New Roman"/>
          <w:i/>
        </w:rPr>
        <w:t xml:space="preserve">Illinois Brick </w:t>
      </w:r>
      <w:r w:rsidRPr="00FD55E3">
        <w:rPr>
          <w:rFonts w:cs="Times New Roman"/>
        </w:rPr>
        <w:t>remains the law at the federal level, it has been made inapplicable at the state level in many states through so-called “</w:t>
      </w:r>
      <w:proofErr w:type="spellStart"/>
      <w:r w:rsidRPr="00FD55E3">
        <w:rPr>
          <w:rFonts w:cs="Times New Roman"/>
        </w:rPr>
        <w:t>repealer</w:t>
      </w:r>
      <w:proofErr w:type="spellEnd"/>
      <w:r w:rsidRPr="00FD55E3">
        <w:rPr>
          <w:rFonts w:cs="Times New Roman"/>
        </w:rPr>
        <w:t xml:space="preserve"> statutes” or by judicial decisions. In 2007</w:t>
      </w:r>
      <w:r>
        <w:rPr>
          <w:rFonts w:cs="Times New Roman"/>
        </w:rPr>
        <w:t>,</w:t>
      </w:r>
      <w:r w:rsidRPr="00FD55E3">
        <w:rPr>
          <w:rFonts w:cs="Times New Roman"/>
        </w:rPr>
        <w:t xml:space="preserve"> the Antitrust Modernization Commission issued a report to Congress indicating that “more than thirty-five states permit indirect</w:t>
      </w:r>
      <w:r>
        <w:rPr>
          <w:rFonts w:cs="Times New Roman"/>
        </w:rPr>
        <w:t>,</w:t>
      </w:r>
      <w:r w:rsidRPr="00FD55E3">
        <w:rPr>
          <w:rFonts w:cs="Times New Roman"/>
        </w:rPr>
        <w:t xml:space="preserve"> as well as direct, purchasers to sue for damages under state law” (</w:t>
      </w:r>
      <w:r>
        <w:rPr>
          <w:rFonts w:cs="Times New Roman"/>
          <w:i/>
        </w:rPr>
        <w:t xml:space="preserve">Antitrust Modernization Commission: Report and </w:t>
      </w:r>
      <w:r w:rsidRPr="00E2454C">
        <w:rPr>
          <w:rFonts w:cs="Times New Roman"/>
          <w:i/>
        </w:rPr>
        <w:t>Recommendations</w:t>
      </w:r>
      <w:r>
        <w:rPr>
          <w:rFonts w:cs="Times New Roman"/>
        </w:rPr>
        <w:t xml:space="preserve"> (2007) (online), </w:t>
      </w:r>
      <w:r w:rsidRPr="00E2454C">
        <w:rPr>
          <w:rFonts w:cs="Times New Roman"/>
        </w:rPr>
        <w:t>at</w:t>
      </w:r>
      <w:r w:rsidRPr="00FD55E3">
        <w:rPr>
          <w:rFonts w:cs="Times New Roman"/>
        </w:rPr>
        <w:t xml:space="preserve"> p. 269). It recommended to Congress that the rule in </w:t>
      </w:r>
      <w:r w:rsidRPr="00FD55E3">
        <w:rPr>
          <w:rFonts w:cs="Times New Roman"/>
          <w:i/>
        </w:rPr>
        <w:t xml:space="preserve">Illinois Brick </w:t>
      </w:r>
      <w:r w:rsidRPr="00FD55E3">
        <w:rPr>
          <w:rFonts w:cs="Times New Roman"/>
        </w:rPr>
        <w:t>be statutorily repealed at the federal level</w:t>
      </w:r>
      <w:r>
        <w:rPr>
          <w:rFonts w:cs="Times New Roman"/>
        </w:rPr>
        <w:t xml:space="preserve"> (p. 270)</w:t>
      </w:r>
      <w:r w:rsidRPr="00FD55E3">
        <w:rPr>
          <w:rFonts w:cs="Times New Roman"/>
        </w:rPr>
        <w:t>. The validity of the “</w:t>
      </w:r>
      <w:proofErr w:type="spellStart"/>
      <w:r w:rsidRPr="00FD55E3">
        <w:rPr>
          <w:rFonts w:cs="Times New Roman"/>
        </w:rPr>
        <w:t>repealer</w:t>
      </w:r>
      <w:proofErr w:type="spellEnd"/>
      <w:r w:rsidRPr="00FD55E3">
        <w:rPr>
          <w:rFonts w:cs="Times New Roman"/>
        </w:rPr>
        <w:t xml:space="preserve"> statutes” came before the U.S. Supreme Court in </w:t>
      </w:r>
      <w:r w:rsidRPr="00FD55E3">
        <w:rPr>
          <w:rFonts w:cs="Times New Roman"/>
          <w:i/>
          <w:iCs/>
        </w:rPr>
        <w:t>California v. ARC America Corp.</w:t>
      </w:r>
      <w:r w:rsidRPr="00FD55E3">
        <w:rPr>
          <w:rFonts w:cs="Times New Roman"/>
          <w:iCs/>
        </w:rPr>
        <w:t>,</w:t>
      </w:r>
      <w:r w:rsidRPr="00FD55E3">
        <w:rPr>
          <w:rFonts w:cs="Times New Roman"/>
          <w:i/>
          <w:iCs/>
        </w:rPr>
        <w:t xml:space="preserve"> </w:t>
      </w:r>
      <w:r w:rsidRPr="00FD55E3">
        <w:rPr>
          <w:rFonts w:cs="Times New Roman"/>
        </w:rPr>
        <w:t xml:space="preserve">490 U.S. 93 (1989). That court held that </w:t>
      </w:r>
      <w:r w:rsidRPr="00FD55E3">
        <w:rPr>
          <w:rFonts w:cs="Times New Roman"/>
          <w:i/>
        </w:rPr>
        <w:t xml:space="preserve">Illinois Brick </w:t>
      </w:r>
      <w:r w:rsidRPr="00FD55E3">
        <w:rPr>
          <w:rFonts w:cs="Times New Roman"/>
        </w:rPr>
        <w:t xml:space="preserve">did not </w:t>
      </w:r>
      <w:proofErr w:type="spellStart"/>
      <w:r w:rsidRPr="00FD55E3">
        <w:rPr>
          <w:rFonts w:cs="Times New Roman"/>
        </w:rPr>
        <w:t>preempt</w:t>
      </w:r>
      <w:proofErr w:type="spellEnd"/>
      <w:r w:rsidRPr="00FD55E3">
        <w:rPr>
          <w:rFonts w:cs="Times New Roman"/>
        </w:rPr>
        <w:t xml:space="preserve"> the enactment of state antitrust laws, even if they had the effect of repealing the rule in </w:t>
      </w:r>
      <w:r w:rsidRPr="00FD55E3">
        <w:rPr>
          <w:rFonts w:cs="Times New Roman"/>
          <w:i/>
        </w:rPr>
        <w:t>Illinois Brick</w:t>
      </w:r>
      <w:r w:rsidRPr="00FD55E3">
        <w:rPr>
          <w:rFonts w:cs="Times New Roman"/>
        </w:rPr>
        <w:t xml:space="preserve">. These developments cast doubt on the “necessary corollary” approach in </w:t>
      </w:r>
      <w:r w:rsidRPr="00FD55E3">
        <w:rPr>
          <w:rFonts w:cs="Times New Roman"/>
          <w:i/>
        </w:rPr>
        <w:t>Illinois Brick</w:t>
      </w:r>
      <w:r w:rsidRPr="00FD55E3">
        <w:rPr>
          <w:rFonts w:cs="Times New Roman"/>
        </w:rPr>
        <w:t xml:space="preserve">. </w:t>
      </w:r>
    </w:p>
    <w:p w:rsidR="006A370E" w:rsidRPr="00E2454C" w:rsidRDefault="00A8174B" w:rsidP="00A8174B">
      <w:pPr>
        <w:pStyle w:val="Title4LevelTitre4Niveau"/>
        <w:numPr>
          <w:ilvl w:val="0"/>
          <w:numId w:val="0"/>
        </w:numPr>
        <w:tabs>
          <w:tab w:val="left" w:pos="1170"/>
          <w:tab w:val="left" w:pos="2250"/>
        </w:tabs>
        <w:ind w:left="1800" w:hanging="1800"/>
      </w:pPr>
      <w:bookmarkStart w:id="85" w:name="_Toc360611911"/>
      <w:bookmarkStart w:id="86" w:name="_Toc367887588"/>
      <w:bookmarkStart w:id="87" w:name="_Toc367948552"/>
      <w:bookmarkStart w:id="88" w:name="_Toc367957381"/>
      <w:bookmarkStart w:id="89" w:name="_Toc369188629"/>
      <w:bookmarkStart w:id="90" w:name="_Toc370903011"/>
      <w:r>
        <w:tab/>
      </w:r>
      <w:r w:rsidRPr="00A8174B">
        <w:rPr>
          <w:i w:val="0"/>
        </w:rPr>
        <w:t>(f)</w:t>
      </w:r>
      <w:r w:rsidRPr="00A8174B">
        <w:rPr>
          <w:i w:val="0"/>
        </w:rPr>
        <w:tab/>
      </w:r>
      <w:r w:rsidR="006A370E" w:rsidRPr="00E2454C">
        <w:t>Doctrinal Commentary</w:t>
      </w:r>
      <w:bookmarkEnd w:id="85"/>
      <w:bookmarkEnd w:id="86"/>
      <w:bookmarkEnd w:id="87"/>
      <w:bookmarkEnd w:id="88"/>
      <w:bookmarkEnd w:id="89"/>
      <w:bookmarkEnd w:id="90"/>
    </w:p>
    <w:p w:rsidR="006A370E" w:rsidRPr="00FD55E3" w:rsidRDefault="006A370E" w:rsidP="006A370E">
      <w:pPr>
        <w:pStyle w:val="ParaNoNdepar-AltN"/>
        <w:rPr>
          <w:rFonts w:cs="Times New Roman"/>
        </w:rPr>
      </w:pPr>
      <w:r w:rsidRPr="00FD55E3">
        <w:rPr>
          <w:rFonts w:cs="Times New Roman"/>
        </w:rPr>
        <w:t xml:space="preserve">Doctrinal discussions of indirect purchaser actions are still shaped by the initial exchange that occurred directly following the release of </w:t>
      </w:r>
      <w:r w:rsidRPr="00FD55E3">
        <w:rPr>
          <w:rFonts w:cs="Times New Roman"/>
          <w:i/>
        </w:rPr>
        <w:t>Illinois Brick</w:t>
      </w:r>
      <w:r w:rsidRPr="00FD55E3">
        <w:rPr>
          <w:rFonts w:cs="Times New Roman"/>
        </w:rPr>
        <w:t>. Shortly after the</w:t>
      </w:r>
      <w:r>
        <w:rPr>
          <w:rFonts w:cs="Times New Roman"/>
        </w:rPr>
        <w:t xml:space="preserve"> judg</w:t>
      </w:r>
      <w:r w:rsidRPr="00FD55E3">
        <w:rPr>
          <w:rFonts w:cs="Times New Roman"/>
        </w:rPr>
        <w:t xml:space="preserve">ment was issued, American scholars William </w:t>
      </w:r>
      <w:r>
        <w:rPr>
          <w:rFonts w:cs="Times New Roman"/>
        </w:rPr>
        <w:t xml:space="preserve">M. </w:t>
      </w:r>
      <w:proofErr w:type="spellStart"/>
      <w:r w:rsidRPr="00FD55E3">
        <w:rPr>
          <w:rFonts w:cs="Times New Roman"/>
        </w:rPr>
        <w:t>Landes</w:t>
      </w:r>
      <w:proofErr w:type="spellEnd"/>
      <w:r w:rsidRPr="00FD55E3">
        <w:rPr>
          <w:rFonts w:cs="Times New Roman"/>
        </w:rPr>
        <w:t xml:space="preserve"> and Richard </w:t>
      </w:r>
      <w:r>
        <w:rPr>
          <w:rFonts w:cs="Times New Roman"/>
        </w:rPr>
        <w:t xml:space="preserve">A. </w:t>
      </w:r>
      <w:r w:rsidRPr="00FD55E3">
        <w:rPr>
          <w:rFonts w:cs="Times New Roman"/>
        </w:rPr>
        <w:t>Posner (now a judge of the</w:t>
      </w:r>
      <w:r>
        <w:rPr>
          <w:rFonts w:cs="Times New Roman"/>
        </w:rPr>
        <w:t xml:space="preserve"> U.S. Court of Appeals for the Seventh</w:t>
      </w:r>
      <w:r w:rsidRPr="00FD55E3">
        <w:rPr>
          <w:rFonts w:cs="Times New Roman"/>
        </w:rPr>
        <w:t xml:space="preserve"> Circuit) published an article defending the rule bar</w:t>
      </w:r>
      <w:r>
        <w:rPr>
          <w:rFonts w:cs="Times New Roman"/>
        </w:rPr>
        <w:t>ring indirect purchaser actions</w:t>
      </w:r>
      <w:r w:rsidRPr="00FD55E3">
        <w:rPr>
          <w:rFonts w:cs="Times New Roman"/>
        </w:rPr>
        <w:t xml:space="preserve"> </w:t>
      </w:r>
      <w:r>
        <w:rPr>
          <w:rFonts w:cs="Times New Roman"/>
        </w:rPr>
        <w:t>(s</w:t>
      </w:r>
      <w:r w:rsidRPr="00FD55E3">
        <w:rPr>
          <w:rFonts w:cs="Times New Roman"/>
        </w:rPr>
        <w:t xml:space="preserve">ee </w:t>
      </w:r>
      <w:r>
        <w:rPr>
          <w:rFonts w:cs="Times New Roman"/>
        </w:rPr>
        <w:t>“</w:t>
      </w:r>
      <w:r w:rsidRPr="00E2454C">
        <w:rPr>
          <w:rFonts w:cs="Times New Roman"/>
          <w:iCs/>
        </w:rPr>
        <w:t xml:space="preserve">Should Indirect Purchasers Have Standing </w:t>
      </w:r>
      <w:proofErr w:type="gramStart"/>
      <w:r>
        <w:rPr>
          <w:rFonts w:cs="Times New Roman"/>
          <w:iCs/>
        </w:rPr>
        <w:t>T</w:t>
      </w:r>
      <w:r w:rsidRPr="00E2454C">
        <w:rPr>
          <w:rFonts w:cs="Times New Roman"/>
          <w:iCs/>
        </w:rPr>
        <w:t>o Sue Under</w:t>
      </w:r>
      <w:proofErr w:type="gramEnd"/>
      <w:r w:rsidRPr="00E2454C">
        <w:rPr>
          <w:rFonts w:cs="Times New Roman"/>
          <w:iCs/>
        </w:rPr>
        <w:t xml:space="preserve"> the Antitrust Laws? An Economic Analysis of the Rule of</w:t>
      </w:r>
      <w:r w:rsidRPr="00E2454C">
        <w:rPr>
          <w:rFonts w:cs="Times New Roman"/>
        </w:rPr>
        <w:t xml:space="preserve"> </w:t>
      </w:r>
      <w:r w:rsidRPr="00E2454C">
        <w:rPr>
          <w:rFonts w:cs="Times New Roman"/>
          <w:i/>
        </w:rPr>
        <w:t>Illinois Brick</w:t>
      </w:r>
      <w:r>
        <w:rPr>
          <w:rFonts w:cs="Times New Roman"/>
        </w:rPr>
        <w:t>” (1979),</w:t>
      </w:r>
      <w:r w:rsidRPr="00FD55E3">
        <w:rPr>
          <w:rFonts w:cs="Times New Roman"/>
        </w:rPr>
        <w:t xml:space="preserve"> 46 </w:t>
      </w:r>
      <w:r w:rsidRPr="00BF0A54">
        <w:rPr>
          <w:rFonts w:cs="Times New Roman"/>
          <w:i/>
        </w:rPr>
        <w:t>U. C</w:t>
      </w:r>
      <w:r>
        <w:rPr>
          <w:rFonts w:cs="Times New Roman"/>
          <w:i/>
        </w:rPr>
        <w:t>hi</w:t>
      </w:r>
      <w:r w:rsidRPr="00BF0A54">
        <w:rPr>
          <w:rFonts w:cs="Times New Roman"/>
          <w:i/>
        </w:rPr>
        <w:t>. L. R</w:t>
      </w:r>
      <w:r>
        <w:rPr>
          <w:rFonts w:cs="Times New Roman"/>
          <w:i/>
        </w:rPr>
        <w:t>ev</w:t>
      </w:r>
      <w:r w:rsidRPr="00BF0A54">
        <w:rPr>
          <w:rFonts w:cs="Times New Roman"/>
          <w:i/>
        </w:rPr>
        <w:t>.</w:t>
      </w:r>
      <w:r w:rsidRPr="00FD55E3">
        <w:rPr>
          <w:rFonts w:cs="Times New Roman"/>
        </w:rPr>
        <w:t xml:space="preserve"> 602, </w:t>
      </w:r>
      <w:r>
        <w:rPr>
          <w:rFonts w:cs="Times New Roman"/>
        </w:rPr>
        <w:t xml:space="preserve">at pp. </w:t>
      </w:r>
      <w:r w:rsidRPr="00FD55E3">
        <w:rPr>
          <w:rFonts w:cs="Times New Roman"/>
        </w:rPr>
        <w:t>6</w:t>
      </w:r>
      <w:r>
        <w:rPr>
          <w:rFonts w:cs="Times New Roman"/>
        </w:rPr>
        <w:t>34-</w:t>
      </w:r>
      <w:r w:rsidRPr="00FD55E3">
        <w:rPr>
          <w:rFonts w:cs="Times New Roman"/>
        </w:rPr>
        <w:t xml:space="preserve">35).  They </w:t>
      </w:r>
      <w:r w:rsidRPr="00FD55E3">
        <w:rPr>
          <w:rFonts w:cs="Times New Roman"/>
        </w:rPr>
        <w:lastRenderedPageBreak/>
        <w:t xml:space="preserve">argued that reserving the right to bring an action against </w:t>
      </w:r>
      <w:proofErr w:type="spellStart"/>
      <w:r w:rsidRPr="00FD55E3">
        <w:rPr>
          <w:rFonts w:cs="Times New Roman"/>
        </w:rPr>
        <w:t>overchargers</w:t>
      </w:r>
      <w:proofErr w:type="spellEnd"/>
      <w:r w:rsidRPr="00FD55E3">
        <w:rPr>
          <w:rFonts w:cs="Times New Roman"/>
        </w:rPr>
        <w:t xml:space="preserve"> to the direct purchasers alone would best promote the antitrust laws. They wrote that allowing indirect purchasers to bring actions would have little to no effect on the objectives of compensation and deterrence because direct purchasers would be more likely to discover the overcharges in the first place and would be more likely to have the information and resources required to bring a successful antitrust action. They called the direct purchaser a more “</w:t>
      </w:r>
      <w:r>
        <w:rPr>
          <w:rFonts w:cs="Times New Roman"/>
        </w:rPr>
        <w:t xml:space="preserve">efficient </w:t>
      </w:r>
      <w:r w:rsidRPr="00FD55E3">
        <w:rPr>
          <w:rFonts w:cs="Times New Roman"/>
        </w:rPr>
        <w:t xml:space="preserve">enforcer” of antitrust laws, and opined that with indirect purchasers, apportionment of the damages is so costly that it becomes a disincentive to sue and that sharing the right to sue among multiple parties has the effect of making the claims small and of </w:t>
      </w:r>
      <w:r>
        <w:rPr>
          <w:rFonts w:cs="Times New Roman"/>
        </w:rPr>
        <w:t>weakening the deterrence effect</w:t>
      </w:r>
      <w:r w:rsidRPr="00FD55E3">
        <w:rPr>
          <w:rFonts w:cs="Times New Roman"/>
        </w:rPr>
        <w:t xml:space="preserve"> (</w:t>
      </w:r>
      <w:r>
        <w:rPr>
          <w:rFonts w:cs="Times New Roman"/>
        </w:rPr>
        <w:t>p</w:t>
      </w:r>
      <w:r w:rsidRPr="00FD55E3">
        <w:rPr>
          <w:rFonts w:cs="Times New Roman"/>
        </w:rPr>
        <w:t>p.</w:t>
      </w:r>
      <w:r>
        <w:rPr>
          <w:rFonts w:cs="Times New Roman"/>
        </w:rPr>
        <w:t xml:space="preserve"> </w:t>
      </w:r>
      <w:r w:rsidRPr="00FD55E3">
        <w:rPr>
          <w:rFonts w:cs="Times New Roman"/>
        </w:rPr>
        <w:t xml:space="preserve">608-9). As to compensation, they argued that even if </w:t>
      </w:r>
      <w:r>
        <w:rPr>
          <w:rFonts w:cs="Times New Roman"/>
        </w:rPr>
        <w:t xml:space="preserve">indirect purchasers </w:t>
      </w:r>
      <w:r w:rsidRPr="00FD55E3">
        <w:rPr>
          <w:rFonts w:cs="Times New Roman"/>
        </w:rPr>
        <w:t xml:space="preserve">had no independent right of action, </w:t>
      </w:r>
      <w:r>
        <w:rPr>
          <w:rFonts w:cs="Times New Roman"/>
        </w:rPr>
        <w:t>they were nonetheless compensated</w:t>
      </w:r>
      <w:r w:rsidRPr="00FD55E3">
        <w:rPr>
          <w:rFonts w:cs="Times New Roman"/>
        </w:rPr>
        <w:t xml:space="preserve"> by </w:t>
      </w:r>
      <w:r>
        <w:rPr>
          <w:rFonts w:cs="Times New Roman"/>
        </w:rPr>
        <w:t xml:space="preserve">the ability of </w:t>
      </w:r>
      <w:r w:rsidRPr="00FD55E3">
        <w:rPr>
          <w:rFonts w:cs="Times New Roman"/>
        </w:rPr>
        <w:t>direct purchaser</w:t>
      </w:r>
      <w:r>
        <w:rPr>
          <w:rFonts w:cs="Times New Roman"/>
        </w:rPr>
        <w:t>s to bring an action</w:t>
      </w:r>
      <w:r w:rsidRPr="00FD55E3">
        <w:rPr>
          <w:rFonts w:cs="Times New Roman"/>
        </w:rPr>
        <w:t xml:space="preserve"> because the benefit accruing to the direct purchaser as a result of a</w:t>
      </w:r>
      <w:r>
        <w:rPr>
          <w:rFonts w:cs="Times New Roman"/>
        </w:rPr>
        <w:t>n anticipated</w:t>
      </w:r>
      <w:r w:rsidRPr="00FD55E3">
        <w:rPr>
          <w:rFonts w:cs="Times New Roman"/>
        </w:rPr>
        <w:t xml:space="preserve"> successful antitrust action against the </w:t>
      </w:r>
      <w:proofErr w:type="spellStart"/>
      <w:r w:rsidRPr="00FD55E3">
        <w:rPr>
          <w:rFonts w:cs="Times New Roman"/>
        </w:rPr>
        <w:t>overcharger</w:t>
      </w:r>
      <w:proofErr w:type="spellEnd"/>
      <w:r w:rsidRPr="00FD55E3">
        <w:rPr>
          <w:rFonts w:cs="Times New Roman"/>
        </w:rPr>
        <w:t xml:space="preserve"> would be reflected in the prices charged by the direct purchasers</w:t>
      </w:r>
      <w:r>
        <w:rPr>
          <w:rFonts w:cs="Times New Roman"/>
        </w:rPr>
        <w:t xml:space="preserve"> to the indirect purchasers (</w:t>
      </w:r>
      <w:r w:rsidRPr="00FD55E3">
        <w:rPr>
          <w:rFonts w:cs="Times New Roman"/>
        </w:rPr>
        <w:t>p. 605</w:t>
      </w:r>
      <w:r>
        <w:rPr>
          <w:rFonts w:cs="Times New Roman"/>
        </w:rPr>
        <w:t>)</w:t>
      </w:r>
      <w:r w:rsidRPr="00FD55E3">
        <w:rPr>
          <w:rFonts w:cs="Times New Roman"/>
        </w:rPr>
        <w:t>.</w:t>
      </w:r>
    </w:p>
    <w:p w:rsidR="006A370E" w:rsidRPr="00FD55E3" w:rsidRDefault="006A370E" w:rsidP="006A370E">
      <w:pPr>
        <w:pStyle w:val="ParaNoNdepar-AltN"/>
        <w:rPr>
          <w:rFonts w:cs="Times New Roman"/>
        </w:rPr>
      </w:pPr>
      <w:r w:rsidRPr="00FD55E3">
        <w:rPr>
          <w:rFonts w:cs="Times New Roman"/>
        </w:rPr>
        <w:t xml:space="preserve">Shortly after the publication of </w:t>
      </w:r>
      <w:proofErr w:type="spellStart"/>
      <w:r>
        <w:rPr>
          <w:rFonts w:cs="Times New Roman"/>
        </w:rPr>
        <w:t>Landes</w:t>
      </w:r>
      <w:proofErr w:type="spellEnd"/>
      <w:r>
        <w:rPr>
          <w:rFonts w:cs="Times New Roman"/>
        </w:rPr>
        <w:t xml:space="preserve"> and </w:t>
      </w:r>
      <w:r w:rsidRPr="00FD55E3">
        <w:rPr>
          <w:rFonts w:cs="Times New Roman"/>
        </w:rPr>
        <w:t>Posner’</w:t>
      </w:r>
      <w:r>
        <w:rPr>
          <w:rFonts w:cs="Times New Roman"/>
        </w:rPr>
        <w:t>s</w:t>
      </w:r>
      <w:r w:rsidRPr="00FD55E3">
        <w:rPr>
          <w:rFonts w:cs="Times New Roman"/>
        </w:rPr>
        <w:t xml:space="preserve"> article, two other antitrust authorities, Robert </w:t>
      </w:r>
      <w:r>
        <w:rPr>
          <w:rFonts w:cs="Times New Roman"/>
        </w:rPr>
        <w:t xml:space="preserve">G. </w:t>
      </w:r>
      <w:r w:rsidRPr="00FD55E3">
        <w:rPr>
          <w:rFonts w:cs="Times New Roman"/>
        </w:rPr>
        <w:t xml:space="preserve">Harris and Lawrence </w:t>
      </w:r>
      <w:r>
        <w:rPr>
          <w:rFonts w:cs="Times New Roman"/>
        </w:rPr>
        <w:t xml:space="preserve">A. </w:t>
      </w:r>
      <w:r w:rsidRPr="00FD55E3">
        <w:rPr>
          <w:rFonts w:cs="Times New Roman"/>
        </w:rPr>
        <w:t>Sullivan</w:t>
      </w:r>
      <w:r>
        <w:rPr>
          <w:rFonts w:cs="Times New Roman"/>
        </w:rPr>
        <w:t>,</w:t>
      </w:r>
      <w:r w:rsidRPr="00FD55E3">
        <w:rPr>
          <w:rFonts w:cs="Times New Roman"/>
        </w:rPr>
        <w:t xml:space="preserve"> expressed an opposing viewpoint </w:t>
      </w:r>
      <w:r>
        <w:rPr>
          <w:rFonts w:cs="Times New Roman"/>
        </w:rPr>
        <w:t>(</w:t>
      </w:r>
      <w:r w:rsidRPr="00FD55E3">
        <w:rPr>
          <w:rFonts w:cs="Times New Roman"/>
        </w:rPr>
        <w:t xml:space="preserve">see </w:t>
      </w:r>
      <w:r w:rsidRPr="00E2454C">
        <w:rPr>
          <w:rFonts w:cs="Times New Roman"/>
        </w:rPr>
        <w:t>“</w:t>
      </w:r>
      <w:r w:rsidRPr="00E2454C">
        <w:rPr>
          <w:rFonts w:cs="Times New Roman"/>
          <w:iCs/>
        </w:rPr>
        <w:t xml:space="preserve">Passing </w:t>
      </w:r>
      <w:r>
        <w:rPr>
          <w:rFonts w:cs="Times New Roman"/>
          <w:iCs/>
        </w:rPr>
        <w:t>O</w:t>
      </w:r>
      <w:r w:rsidRPr="00E2454C">
        <w:rPr>
          <w:rFonts w:cs="Times New Roman"/>
          <w:iCs/>
        </w:rPr>
        <w:t>n the Monopoly Overcharge: A Comprehensive Policy Analysis”</w:t>
      </w:r>
      <w:r>
        <w:rPr>
          <w:rFonts w:cs="Times New Roman"/>
          <w:iCs/>
        </w:rPr>
        <w:t xml:space="preserve"> (1979)</w:t>
      </w:r>
      <w:r w:rsidRPr="00E2454C">
        <w:rPr>
          <w:rFonts w:cs="Times New Roman"/>
        </w:rPr>
        <w:t xml:space="preserve">, </w:t>
      </w:r>
      <w:r>
        <w:rPr>
          <w:rFonts w:cs="Times New Roman"/>
        </w:rPr>
        <w:t xml:space="preserve">128 </w:t>
      </w:r>
      <w:r w:rsidRPr="00E2454C">
        <w:rPr>
          <w:rFonts w:cs="Times New Roman"/>
          <w:i/>
        </w:rPr>
        <w:t>U. P</w:t>
      </w:r>
      <w:r>
        <w:rPr>
          <w:rFonts w:cs="Times New Roman"/>
          <w:i/>
        </w:rPr>
        <w:t>a</w:t>
      </w:r>
      <w:r w:rsidRPr="00E2454C">
        <w:rPr>
          <w:rFonts w:cs="Times New Roman"/>
          <w:i/>
        </w:rPr>
        <w:t>. L. R</w:t>
      </w:r>
      <w:r>
        <w:rPr>
          <w:rFonts w:cs="Times New Roman"/>
          <w:i/>
        </w:rPr>
        <w:t>ev</w:t>
      </w:r>
      <w:r w:rsidRPr="00E2454C">
        <w:rPr>
          <w:rFonts w:cs="Times New Roman"/>
          <w:i/>
        </w:rPr>
        <w:t>.</w:t>
      </w:r>
      <w:r w:rsidRPr="00FD55E3">
        <w:rPr>
          <w:rFonts w:cs="Times New Roman"/>
        </w:rPr>
        <w:t xml:space="preserve"> 269, </w:t>
      </w:r>
      <w:r>
        <w:rPr>
          <w:rFonts w:cs="Times New Roman"/>
        </w:rPr>
        <w:t>at pp. 351-</w:t>
      </w:r>
      <w:r w:rsidRPr="00FD55E3">
        <w:rPr>
          <w:rFonts w:cs="Times New Roman"/>
        </w:rPr>
        <w:t>52</w:t>
      </w:r>
      <w:r>
        <w:rPr>
          <w:rFonts w:cs="Times New Roman"/>
        </w:rPr>
        <w:t>)</w:t>
      </w:r>
      <w:r w:rsidRPr="00FD55E3">
        <w:rPr>
          <w:rFonts w:cs="Times New Roman"/>
        </w:rPr>
        <w:t xml:space="preserve">. Harris and Sullivan argued that direct purchasers would be reluctant to disrupt valued supplier relationships and would thus be more likely to pass on the overcharge to their own customers. They would not therefore serve as </w:t>
      </w:r>
      <w:r>
        <w:rPr>
          <w:rFonts w:cs="Times New Roman"/>
        </w:rPr>
        <w:t xml:space="preserve">efficient </w:t>
      </w:r>
      <w:r w:rsidRPr="00FD55E3">
        <w:rPr>
          <w:rFonts w:cs="Times New Roman"/>
        </w:rPr>
        <w:t xml:space="preserve">enforcers of the antitrust laws </w:t>
      </w:r>
      <w:r w:rsidRPr="00FD55E3">
        <w:rPr>
          <w:rFonts w:cs="Times New Roman"/>
        </w:rPr>
        <w:lastRenderedPageBreak/>
        <w:t>and</w:t>
      </w:r>
      <w:r>
        <w:rPr>
          <w:rFonts w:cs="Times New Roman"/>
        </w:rPr>
        <w:t>,</w:t>
      </w:r>
      <w:r w:rsidRPr="00FD55E3">
        <w:rPr>
          <w:rFonts w:cs="Times New Roman"/>
        </w:rPr>
        <w:t xml:space="preserve"> rather, it would be more suitable to vest standing in the indirect purchasers in order to best achieve deterrence. </w:t>
      </w:r>
    </w:p>
    <w:p w:rsidR="006A370E" w:rsidRPr="00FD55E3" w:rsidRDefault="006A370E" w:rsidP="006A370E">
      <w:pPr>
        <w:pStyle w:val="ParaNoNdepar-AltN"/>
        <w:rPr>
          <w:rFonts w:cs="Times New Roman"/>
        </w:rPr>
      </w:pPr>
      <w:proofErr w:type="spellStart"/>
      <w:r>
        <w:rPr>
          <w:rFonts w:cs="Times New Roman"/>
        </w:rPr>
        <w:t>Landes</w:t>
      </w:r>
      <w:proofErr w:type="spellEnd"/>
      <w:r>
        <w:rPr>
          <w:rFonts w:cs="Times New Roman"/>
        </w:rPr>
        <w:t xml:space="preserve"> and </w:t>
      </w:r>
      <w:r w:rsidRPr="00FD55E3">
        <w:rPr>
          <w:rFonts w:cs="Times New Roman"/>
        </w:rPr>
        <w:t xml:space="preserve">Posner published a direct response to </w:t>
      </w:r>
      <w:r>
        <w:rPr>
          <w:rFonts w:cs="Times New Roman"/>
        </w:rPr>
        <w:t>Harris and Sullivan</w:t>
      </w:r>
      <w:r w:rsidRPr="00FD55E3">
        <w:rPr>
          <w:rFonts w:cs="Times New Roman"/>
        </w:rPr>
        <w:t xml:space="preserve"> the next year </w:t>
      </w:r>
      <w:r>
        <w:rPr>
          <w:rFonts w:cs="Times New Roman"/>
        </w:rPr>
        <w:t>(</w:t>
      </w:r>
      <w:r w:rsidRPr="00FD55E3">
        <w:rPr>
          <w:rFonts w:cs="Times New Roman"/>
        </w:rPr>
        <w:t xml:space="preserve">see </w:t>
      </w:r>
      <w:r w:rsidRPr="00E2454C">
        <w:rPr>
          <w:rFonts w:cs="Times New Roman"/>
        </w:rPr>
        <w:t>“</w:t>
      </w:r>
      <w:r w:rsidRPr="00E2454C">
        <w:rPr>
          <w:rFonts w:cs="Times New Roman"/>
          <w:iCs/>
        </w:rPr>
        <w:t>The Economics of Passing On: A Reply to Harris and Sullivan</w:t>
      </w:r>
      <w:r>
        <w:rPr>
          <w:rFonts w:cs="Times New Roman"/>
        </w:rPr>
        <w:t xml:space="preserve">” (1980), 128 </w:t>
      </w:r>
      <w:r w:rsidRPr="00E2454C">
        <w:rPr>
          <w:rFonts w:cs="Times New Roman"/>
          <w:i/>
        </w:rPr>
        <w:t>U. P</w:t>
      </w:r>
      <w:r>
        <w:rPr>
          <w:rFonts w:cs="Times New Roman"/>
          <w:i/>
        </w:rPr>
        <w:t>a</w:t>
      </w:r>
      <w:r w:rsidRPr="00E2454C">
        <w:rPr>
          <w:rFonts w:cs="Times New Roman"/>
          <w:i/>
        </w:rPr>
        <w:t>. L. R</w:t>
      </w:r>
      <w:r>
        <w:rPr>
          <w:rFonts w:cs="Times New Roman"/>
          <w:i/>
        </w:rPr>
        <w:t>ev</w:t>
      </w:r>
      <w:r w:rsidRPr="00E2454C">
        <w:rPr>
          <w:rFonts w:cs="Times New Roman"/>
          <w:i/>
        </w:rPr>
        <w:t>.</w:t>
      </w:r>
      <w:r w:rsidRPr="00FD55E3">
        <w:rPr>
          <w:rFonts w:cs="Times New Roman"/>
        </w:rPr>
        <w:t xml:space="preserve"> 1274</w:t>
      </w:r>
      <w:r>
        <w:rPr>
          <w:rFonts w:cs="Times New Roman"/>
        </w:rPr>
        <w:t>)</w:t>
      </w:r>
      <w:r w:rsidRPr="00FD55E3">
        <w:rPr>
          <w:rFonts w:cs="Times New Roman"/>
        </w:rPr>
        <w:t xml:space="preserve">. In response to Harris and Sullivan’s argument that direct purchasers would be reticent to sue so as not to compromise valuable commercial relationships, they stated that “any forbearance by the direct purchaser to sue will be compensated. The supplier must pay something to bind the direct purchaser to him and this payment is, functionally, a form of antitrust damages” </w:t>
      </w:r>
      <w:r>
        <w:rPr>
          <w:rFonts w:cs="Times New Roman"/>
        </w:rPr>
        <w:t>(</w:t>
      </w:r>
      <w:r w:rsidRPr="00FD55E3">
        <w:rPr>
          <w:rFonts w:cs="Times New Roman"/>
        </w:rPr>
        <w:t>p. 1278</w:t>
      </w:r>
      <w:r>
        <w:rPr>
          <w:rFonts w:cs="Times New Roman"/>
        </w:rPr>
        <w:t>)</w:t>
      </w:r>
      <w:r w:rsidRPr="00FD55E3">
        <w:rPr>
          <w:rFonts w:cs="Times New Roman"/>
        </w:rPr>
        <w:t xml:space="preserve">.  In other words, the direct purchaser is receiving a financial inducement to be a part of the conspiracy and this benefit could be passed along to the indirect purchasers. </w:t>
      </w:r>
    </w:p>
    <w:p w:rsidR="006A370E" w:rsidRPr="00FD55E3" w:rsidRDefault="006A370E" w:rsidP="006A370E">
      <w:pPr>
        <w:pStyle w:val="ParaNoNdepar-AltN"/>
        <w:rPr>
          <w:rFonts w:cs="Times New Roman"/>
        </w:rPr>
      </w:pPr>
      <w:r w:rsidRPr="00FD55E3">
        <w:rPr>
          <w:rFonts w:cs="Times New Roman"/>
        </w:rPr>
        <w:t xml:space="preserve">In the years since the exchange between </w:t>
      </w:r>
      <w:proofErr w:type="spellStart"/>
      <w:r>
        <w:rPr>
          <w:rFonts w:cs="Times New Roman"/>
        </w:rPr>
        <w:t>Landes</w:t>
      </w:r>
      <w:proofErr w:type="spellEnd"/>
      <w:r>
        <w:rPr>
          <w:rFonts w:cs="Times New Roman"/>
        </w:rPr>
        <w:t xml:space="preserve"> and </w:t>
      </w:r>
      <w:r w:rsidRPr="00FD55E3">
        <w:rPr>
          <w:rFonts w:cs="Times New Roman"/>
        </w:rPr>
        <w:t>Posner and Harris and</w:t>
      </w:r>
      <w:r>
        <w:rPr>
          <w:rFonts w:cs="Times New Roman"/>
        </w:rPr>
        <w:t xml:space="preserve"> Sullivan</w:t>
      </w:r>
      <w:r w:rsidRPr="00FD55E3">
        <w:rPr>
          <w:rFonts w:cs="Times New Roman"/>
        </w:rPr>
        <w:t xml:space="preserve">, the literature has reflected an ongoing debate on the issue of indirect purchaser actions and specifically the rule in </w:t>
      </w:r>
      <w:r w:rsidRPr="00FD55E3">
        <w:rPr>
          <w:rFonts w:cs="Times New Roman"/>
          <w:i/>
        </w:rPr>
        <w:t>Illinois Brick</w:t>
      </w:r>
      <w:r w:rsidRPr="00FD55E3">
        <w:rPr>
          <w:rFonts w:cs="Times New Roman"/>
        </w:rPr>
        <w:t>. A survey of the literature reveals that most recently, however, there is a significant body of academic authority in favour of repealing the decision</w:t>
      </w:r>
      <w:r>
        <w:rPr>
          <w:rFonts w:cs="Times New Roman"/>
        </w:rPr>
        <w:t xml:space="preserve"> in </w:t>
      </w:r>
      <w:r>
        <w:rPr>
          <w:rFonts w:cs="Times New Roman"/>
          <w:i/>
        </w:rPr>
        <w:t>Illinois Brick</w:t>
      </w:r>
      <w:r w:rsidRPr="00FD55E3">
        <w:rPr>
          <w:rFonts w:cs="Times New Roman"/>
        </w:rPr>
        <w:t xml:space="preserve"> in order to best serve the objectives of the antitrust laws. </w:t>
      </w:r>
    </w:p>
    <w:p w:rsidR="006A370E" w:rsidRPr="00FD55E3" w:rsidRDefault="006A370E" w:rsidP="006A370E">
      <w:pPr>
        <w:pStyle w:val="ParaNoNdepar-AltN"/>
        <w:rPr>
          <w:rFonts w:cs="Times New Roman"/>
        </w:rPr>
      </w:pPr>
      <w:r w:rsidRPr="00FD55E3">
        <w:rPr>
          <w:rFonts w:cs="Times New Roman"/>
        </w:rPr>
        <w:t>Some author</w:t>
      </w:r>
      <w:r>
        <w:rPr>
          <w:rFonts w:cs="Times New Roman"/>
        </w:rPr>
        <w:t xml:space="preserve">s, including Gregory J. </w:t>
      </w:r>
      <w:proofErr w:type="spellStart"/>
      <w:r>
        <w:rPr>
          <w:rFonts w:cs="Times New Roman"/>
        </w:rPr>
        <w:t>Werden</w:t>
      </w:r>
      <w:proofErr w:type="spellEnd"/>
      <w:r>
        <w:rPr>
          <w:rFonts w:cs="Times New Roman"/>
        </w:rPr>
        <w:t xml:space="preserve"> and</w:t>
      </w:r>
      <w:r w:rsidRPr="00FD55E3">
        <w:rPr>
          <w:rFonts w:cs="Times New Roman"/>
        </w:rPr>
        <w:t xml:space="preserve"> Marius Schwartz</w:t>
      </w:r>
      <w:r>
        <w:rPr>
          <w:rFonts w:cs="Times New Roman"/>
        </w:rPr>
        <w:t>,</w:t>
      </w:r>
      <w:r w:rsidRPr="00FD55E3">
        <w:rPr>
          <w:rFonts w:cs="Times New Roman"/>
        </w:rPr>
        <w:t xml:space="preserve"> joined Harris and Sullivan in their critique of </w:t>
      </w:r>
      <w:proofErr w:type="spellStart"/>
      <w:r>
        <w:rPr>
          <w:rFonts w:cs="Times New Roman"/>
        </w:rPr>
        <w:t>Landes</w:t>
      </w:r>
      <w:proofErr w:type="spellEnd"/>
      <w:r>
        <w:rPr>
          <w:rFonts w:cs="Times New Roman"/>
        </w:rPr>
        <w:t xml:space="preserve"> and </w:t>
      </w:r>
      <w:r w:rsidRPr="00FD55E3">
        <w:rPr>
          <w:rFonts w:cs="Times New Roman"/>
        </w:rPr>
        <w:t xml:space="preserve">Posner, stating specifically that the notion that indirect purchasers would see any of the benefits accruing to a direct </w:t>
      </w:r>
      <w:r w:rsidRPr="00FD55E3">
        <w:rPr>
          <w:rFonts w:cs="Times New Roman"/>
        </w:rPr>
        <w:lastRenderedPageBreak/>
        <w:t>purchaser as the result of a</w:t>
      </w:r>
      <w:r>
        <w:rPr>
          <w:rFonts w:cs="Times New Roman"/>
        </w:rPr>
        <w:t>n</w:t>
      </w:r>
      <w:r w:rsidRPr="00FD55E3">
        <w:rPr>
          <w:rFonts w:cs="Times New Roman"/>
        </w:rPr>
        <w:t xml:space="preserve"> </w:t>
      </w:r>
      <w:r>
        <w:rPr>
          <w:rFonts w:cs="Times New Roman"/>
        </w:rPr>
        <w:t>anticipated recovery</w:t>
      </w:r>
      <w:r w:rsidRPr="00FD55E3">
        <w:rPr>
          <w:rFonts w:cs="Times New Roman"/>
        </w:rPr>
        <w:t xml:space="preserve"> was “quite implausible” </w:t>
      </w:r>
      <w:r>
        <w:rPr>
          <w:rFonts w:cs="Times New Roman"/>
        </w:rPr>
        <w:t>(“</w:t>
      </w:r>
      <w:r w:rsidRPr="008C1311">
        <w:rPr>
          <w:rFonts w:cs="Times New Roman"/>
          <w:i/>
        </w:rPr>
        <w:t>Illinois Brick</w:t>
      </w:r>
      <w:r w:rsidRPr="00FD55E3">
        <w:rPr>
          <w:rFonts w:cs="Times New Roman"/>
        </w:rPr>
        <w:t xml:space="preserve"> </w:t>
      </w:r>
      <w:r w:rsidRPr="008C1311">
        <w:rPr>
          <w:rFonts w:cs="Times New Roman"/>
          <w:iCs/>
        </w:rPr>
        <w:t>and the Deterrence of Antitrust Violations</w:t>
      </w:r>
      <w:r>
        <w:rPr>
          <w:rFonts w:cs="Times New Roman"/>
          <w:iCs/>
        </w:rPr>
        <w:t xml:space="preserve"> </w:t>
      </w:r>
      <w:r w:rsidRPr="008C1311">
        <w:rPr>
          <w:rFonts w:cs="Times New Roman"/>
          <w:iCs/>
        </w:rPr>
        <w:t>—</w:t>
      </w:r>
      <w:r>
        <w:rPr>
          <w:rFonts w:cs="Times New Roman"/>
          <w:iCs/>
        </w:rPr>
        <w:t xml:space="preserve"> </w:t>
      </w:r>
      <w:r w:rsidRPr="008C1311">
        <w:rPr>
          <w:rFonts w:cs="Times New Roman"/>
          <w:iCs/>
        </w:rPr>
        <w:t>An Economic Analysis</w:t>
      </w:r>
      <w:r>
        <w:rPr>
          <w:rFonts w:cs="Times New Roman"/>
          <w:iCs/>
        </w:rPr>
        <w:t>” (1984)</w:t>
      </w:r>
      <w:r w:rsidRPr="00FD55E3">
        <w:rPr>
          <w:rFonts w:cs="Times New Roman"/>
        </w:rPr>
        <w:t xml:space="preserve">, 35 </w:t>
      </w:r>
      <w:r w:rsidRPr="008C1311">
        <w:rPr>
          <w:rFonts w:cs="Times New Roman"/>
          <w:i/>
        </w:rPr>
        <w:t>Hastings L.J.</w:t>
      </w:r>
      <w:r w:rsidRPr="00FD55E3">
        <w:rPr>
          <w:rFonts w:cs="Times New Roman"/>
        </w:rPr>
        <w:t xml:space="preserve"> 629, </w:t>
      </w:r>
      <w:r>
        <w:rPr>
          <w:rFonts w:cs="Times New Roman"/>
        </w:rPr>
        <w:t>at p. 638-39)</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The theory that direct purchasers may be unwilling to sue for fear of disrupting an important supplier relationship has also </w:t>
      </w:r>
      <w:r>
        <w:rPr>
          <w:rFonts w:cs="Times New Roman"/>
        </w:rPr>
        <w:t>found favour among academics</w:t>
      </w:r>
      <w:r w:rsidRPr="00FD55E3">
        <w:rPr>
          <w:rFonts w:cs="Times New Roman"/>
        </w:rPr>
        <w:t xml:space="preserve"> </w:t>
      </w:r>
      <w:r>
        <w:rPr>
          <w:rFonts w:cs="Times New Roman"/>
        </w:rPr>
        <w:t>(</w:t>
      </w:r>
      <w:r w:rsidRPr="00FD55E3">
        <w:rPr>
          <w:rFonts w:cs="Times New Roman"/>
        </w:rPr>
        <w:t>see e.g. K</w:t>
      </w:r>
      <w:r>
        <w:rPr>
          <w:rFonts w:cs="Times New Roman"/>
        </w:rPr>
        <w:t>. J. O’</w:t>
      </w:r>
      <w:r w:rsidRPr="00FD55E3">
        <w:rPr>
          <w:rFonts w:cs="Times New Roman"/>
        </w:rPr>
        <w:t xml:space="preserve">Connor, </w:t>
      </w:r>
      <w:r>
        <w:rPr>
          <w:rFonts w:cs="Times New Roman"/>
        </w:rPr>
        <w:t>“</w:t>
      </w:r>
      <w:r w:rsidRPr="008C1311">
        <w:rPr>
          <w:rFonts w:cs="Times New Roman"/>
        </w:rPr>
        <w:t>Is the</w:t>
      </w:r>
      <w:r w:rsidRPr="00FD55E3">
        <w:rPr>
          <w:rFonts w:cs="Times New Roman"/>
          <w:i/>
        </w:rPr>
        <w:t xml:space="preserve"> Illinois Brick </w:t>
      </w:r>
      <w:r w:rsidRPr="008C1311">
        <w:rPr>
          <w:rFonts w:cs="Times New Roman"/>
        </w:rPr>
        <w:t>Wall Crumbling?</w:t>
      </w:r>
      <w:r>
        <w:rPr>
          <w:rFonts w:cs="Times New Roman"/>
        </w:rPr>
        <w:t>” (2001),</w:t>
      </w:r>
      <w:r w:rsidRPr="00FD55E3">
        <w:rPr>
          <w:rFonts w:cs="Times New Roman"/>
        </w:rPr>
        <w:t xml:space="preserve"> 15</w:t>
      </w:r>
      <w:r>
        <w:rPr>
          <w:rFonts w:cs="Times New Roman"/>
        </w:rPr>
        <w:t>:3</w:t>
      </w:r>
      <w:r w:rsidRPr="00FD55E3">
        <w:rPr>
          <w:rFonts w:cs="Times New Roman"/>
        </w:rPr>
        <w:t xml:space="preserve"> </w:t>
      </w:r>
      <w:r w:rsidRPr="008C1311">
        <w:rPr>
          <w:rFonts w:cs="Times New Roman"/>
          <w:i/>
        </w:rPr>
        <w:t>Antitrust</w:t>
      </w:r>
      <w:r w:rsidRPr="00FD55E3">
        <w:rPr>
          <w:rFonts w:cs="Times New Roman"/>
        </w:rPr>
        <w:t xml:space="preserve"> 34, </w:t>
      </w:r>
      <w:r>
        <w:rPr>
          <w:rFonts w:cs="Times New Roman"/>
        </w:rPr>
        <w:t xml:space="preserve">at p. </w:t>
      </w:r>
      <w:r w:rsidRPr="00FD55E3">
        <w:rPr>
          <w:rFonts w:cs="Times New Roman"/>
        </w:rPr>
        <w:t>38 (noting that indirect purchasers are perhaps more likely to sue than are direct purchasers because they do not risk severing a “direct business relationship with the alleged violator”); A</w:t>
      </w:r>
      <w:r>
        <w:rPr>
          <w:rFonts w:cs="Times New Roman"/>
        </w:rPr>
        <w:t xml:space="preserve">. </w:t>
      </w:r>
      <w:proofErr w:type="spellStart"/>
      <w:r w:rsidRPr="00FD55E3">
        <w:rPr>
          <w:rFonts w:cs="Times New Roman"/>
        </w:rPr>
        <w:t>Thimmesch</w:t>
      </w:r>
      <w:proofErr w:type="spellEnd"/>
      <w:r w:rsidRPr="00FD55E3">
        <w:rPr>
          <w:rFonts w:cs="Times New Roman"/>
        </w:rPr>
        <w:t xml:space="preserve">, </w:t>
      </w:r>
      <w:r>
        <w:rPr>
          <w:rFonts w:cs="Times New Roman"/>
        </w:rPr>
        <w:t>“</w:t>
      </w:r>
      <w:r w:rsidRPr="008C1311">
        <w:rPr>
          <w:rFonts w:cs="Times New Roman"/>
        </w:rPr>
        <w:t>Beyond Treble Damages:</w:t>
      </w:r>
      <w:r w:rsidRPr="00FD55E3">
        <w:rPr>
          <w:rFonts w:cs="Times New Roman"/>
          <w:i/>
        </w:rPr>
        <w:t xml:space="preserve"> Hanover Shoe </w:t>
      </w:r>
      <w:r w:rsidRPr="008C1311">
        <w:rPr>
          <w:rFonts w:cs="Times New Roman"/>
        </w:rPr>
        <w:t>and Direct Purchaser Suits After</w:t>
      </w:r>
      <w:r w:rsidRPr="00FD55E3">
        <w:rPr>
          <w:rFonts w:cs="Times New Roman"/>
          <w:i/>
        </w:rPr>
        <w:t xml:space="preserve"> Comes v. Microsoft Corp.</w:t>
      </w:r>
      <w:r>
        <w:rPr>
          <w:rFonts w:cs="Times New Roman"/>
        </w:rPr>
        <w:t>” (2005),</w:t>
      </w:r>
      <w:r w:rsidRPr="00FD55E3">
        <w:rPr>
          <w:rFonts w:cs="Times New Roman"/>
        </w:rPr>
        <w:t xml:space="preserve"> 90 </w:t>
      </w:r>
      <w:r w:rsidRPr="008C1311">
        <w:rPr>
          <w:rFonts w:cs="Times New Roman"/>
          <w:i/>
        </w:rPr>
        <w:t>Iowa L. Rev.</w:t>
      </w:r>
      <w:r w:rsidRPr="00FD55E3">
        <w:rPr>
          <w:rFonts w:cs="Times New Roman"/>
        </w:rPr>
        <w:t xml:space="preserve"> 1649, </w:t>
      </w:r>
      <w:r>
        <w:rPr>
          <w:rFonts w:cs="Times New Roman"/>
        </w:rPr>
        <w:t>at p. 1668 and</w:t>
      </w:r>
      <w:r w:rsidRPr="00FD55E3">
        <w:rPr>
          <w:rFonts w:cs="Times New Roman"/>
        </w:rPr>
        <w:t xml:space="preserve"> </w:t>
      </w:r>
      <w:r>
        <w:rPr>
          <w:rFonts w:cs="Times New Roman"/>
        </w:rPr>
        <w:t>f</w:t>
      </w:r>
      <w:r w:rsidRPr="00FD55E3">
        <w:rPr>
          <w:rFonts w:cs="Times New Roman"/>
        </w:rPr>
        <w:t>n.</w:t>
      </w:r>
      <w:r>
        <w:rPr>
          <w:rFonts w:cs="Times New Roman"/>
        </w:rPr>
        <w:t xml:space="preserve"> </w:t>
      </w:r>
      <w:r w:rsidRPr="00FD55E3">
        <w:rPr>
          <w:rFonts w:cs="Times New Roman"/>
        </w:rPr>
        <w:t>127 (stating that in many situations the direct purchaser is in fact dependent upon the supplier and as such would be reticent to sue)</w:t>
      </w:r>
      <w:r>
        <w:rPr>
          <w:rFonts w:cs="Times New Roman"/>
        </w:rPr>
        <w:t>)</w:t>
      </w:r>
      <w:r w:rsidRPr="00FD55E3">
        <w:rPr>
          <w:rFonts w:cs="Times New Roman"/>
        </w:rPr>
        <w:t>. As recently as 2012</w:t>
      </w:r>
      <w:r>
        <w:rPr>
          <w:rFonts w:cs="Times New Roman"/>
        </w:rPr>
        <w:t>,</w:t>
      </w:r>
      <w:r w:rsidRPr="00FD55E3">
        <w:rPr>
          <w:rFonts w:cs="Times New Roman"/>
        </w:rPr>
        <w:t xml:space="preserve"> the same opinion has been expressed: “</w:t>
      </w:r>
      <w:r w:rsidRPr="00FD55E3">
        <w:rPr>
          <w:rFonts w:eastAsia="Times New Roman" w:cs="Times New Roman"/>
          <w:lang w:eastAsia="en-CA"/>
        </w:rPr>
        <w:t>This is especially true if direct purchasers are able to pass on any overcharges that result from an</w:t>
      </w:r>
      <w:r>
        <w:rPr>
          <w:rFonts w:eastAsia="Times New Roman" w:cs="Times New Roman"/>
          <w:lang w:eastAsia="en-CA"/>
        </w:rPr>
        <w:t>titrust violations to consumers. . . . [T]</w:t>
      </w:r>
      <w:r w:rsidRPr="00FD55E3">
        <w:rPr>
          <w:rFonts w:eastAsia="Times New Roman" w:cs="Times New Roman"/>
          <w:lang w:eastAsia="en-CA"/>
        </w:rPr>
        <w:t xml:space="preserve">he </w:t>
      </w:r>
      <w:r>
        <w:rPr>
          <w:rFonts w:eastAsia="Times New Roman" w:cs="Times New Roman"/>
          <w:lang w:eastAsia="en-CA"/>
        </w:rPr>
        <w:t>Supreme Court [of the United States]’s all-or-nothing ‘</w:t>
      </w:r>
      <w:r w:rsidRPr="00FD55E3">
        <w:rPr>
          <w:rFonts w:eastAsia="Times New Roman" w:cs="Times New Roman"/>
          <w:lang w:eastAsia="en-CA"/>
        </w:rPr>
        <w:t>Indirect Purchaser Rule</w:t>
      </w:r>
      <w:r>
        <w:rPr>
          <w:rFonts w:eastAsia="Times New Roman" w:cs="Times New Roman"/>
          <w:lang w:eastAsia="en-CA"/>
        </w:rPr>
        <w:t>’</w:t>
      </w:r>
      <w:r w:rsidRPr="00FD55E3">
        <w:rPr>
          <w:rFonts w:eastAsia="Times New Roman" w:cs="Times New Roman"/>
          <w:lang w:eastAsia="en-CA"/>
        </w:rPr>
        <w:t xml:space="preserve"> sweeps too broadly” </w:t>
      </w:r>
      <w:r>
        <w:rPr>
          <w:rFonts w:eastAsia="Times New Roman" w:cs="Times New Roman"/>
          <w:lang w:eastAsia="en-CA"/>
        </w:rPr>
        <w:t>(</w:t>
      </w:r>
      <w:r w:rsidRPr="00FD55E3">
        <w:rPr>
          <w:rFonts w:cs="Times New Roman"/>
          <w:szCs w:val="24"/>
        </w:rPr>
        <w:t>J. M</w:t>
      </w:r>
      <w:r>
        <w:rPr>
          <w:rFonts w:cs="Times New Roman"/>
          <w:szCs w:val="24"/>
        </w:rPr>
        <w:t>.</w:t>
      </w:r>
      <w:r w:rsidRPr="00FD55E3">
        <w:rPr>
          <w:rFonts w:cs="Times New Roman"/>
          <w:szCs w:val="24"/>
        </w:rPr>
        <w:t xml:space="preserve"> Glover, </w:t>
      </w:r>
      <w:r w:rsidRPr="008C1311">
        <w:rPr>
          <w:rFonts w:cs="Times New Roman"/>
          <w:szCs w:val="24"/>
        </w:rPr>
        <w:t>“The Structural Role of Private Enforcement Mechanisms in Public Law”</w:t>
      </w:r>
      <w:r>
        <w:rPr>
          <w:rFonts w:cs="Times New Roman"/>
          <w:szCs w:val="24"/>
        </w:rPr>
        <w:t xml:space="preserve"> (2012),</w:t>
      </w:r>
      <w:proofErr w:type="gramStart"/>
      <w:r w:rsidRPr="008C1311">
        <w:rPr>
          <w:rFonts w:eastAsia="Times New Roman" w:cs="Times New Roman"/>
          <w:lang w:eastAsia="en-CA"/>
        </w:rPr>
        <w:t xml:space="preserve">  </w:t>
      </w:r>
      <w:r w:rsidRPr="00FD55E3">
        <w:rPr>
          <w:rFonts w:eastAsia="Times New Roman" w:cs="Times New Roman"/>
          <w:lang w:eastAsia="en-CA"/>
        </w:rPr>
        <w:t>53</w:t>
      </w:r>
      <w:proofErr w:type="gramEnd"/>
      <w:r w:rsidRPr="00FD55E3">
        <w:rPr>
          <w:rFonts w:eastAsia="Times New Roman" w:cs="Times New Roman"/>
          <w:lang w:eastAsia="en-CA"/>
        </w:rPr>
        <w:t xml:space="preserve"> </w:t>
      </w:r>
      <w:r w:rsidRPr="008C1311">
        <w:rPr>
          <w:rFonts w:eastAsia="Times New Roman" w:cs="Times New Roman"/>
          <w:i/>
          <w:lang w:eastAsia="en-CA"/>
        </w:rPr>
        <w:t>Wm. &amp; Mary L. Rev.</w:t>
      </w:r>
      <w:r w:rsidRPr="00FD55E3">
        <w:rPr>
          <w:rFonts w:eastAsia="Times New Roman" w:cs="Times New Roman"/>
          <w:lang w:eastAsia="en-CA"/>
        </w:rPr>
        <w:t xml:space="preserve"> 1137, </w:t>
      </w:r>
      <w:r>
        <w:rPr>
          <w:rFonts w:eastAsia="Times New Roman" w:cs="Times New Roman"/>
          <w:lang w:eastAsia="en-CA"/>
        </w:rPr>
        <w:t>at p. 1187)</w:t>
      </w:r>
      <w:r w:rsidRPr="00FD55E3">
        <w:rPr>
          <w:rFonts w:eastAsia="Times New Roman" w:cs="Times New Roman"/>
          <w:lang w:eastAsia="en-CA"/>
        </w:rPr>
        <w:t>.</w:t>
      </w:r>
    </w:p>
    <w:p w:rsidR="006A370E" w:rsidRPr="00FD55E3" w:rsidRDefault="006A370E" w:rsidP="006A370E">
      <w:pPr>
        <w:pStyle w:val="ParaNoNdepar-AltN"/>
        <w:rPr>
          <w:rFonts w:cs="Times New Roman"/>
        </w:rPr>
      </w:pPr>
      <w:r w:rsidRPr="00FD55E3">
        <w:rPr>
          <w:rFonts w:cs="Times New Roman"/>
        </w:rPr>
        <w:t xml:space="preserve">As to the objective of compensation, several authors have commented that the rule in </w:t>
      </w:r>
      <w:r w:rsidRPr="00FD55E3">
        <w:rPr>
          <w:rFonts w:cs="Times New Roman"/>
          <w:i/>
        </w:rPr>
        <w:t xml:space="preserve">Illinois Brick </w:t>
      </w:r>
      <w:r w:rsidRPr="00FD55E3">
        <w:rPr>
          <w:rFonts w:cs="Times New Roman"/>
        </w:rPr>
        <w:t>in fact runs contrary to the goal of compensation</w:t>
      </w:r>
      <w:r>
        <w:rPr>
          <w:rFonts w:cs="Times New Roman"/>
        </w:rPr>
        <w:t>,</w:t>
      </w:r>
      <w:r w:rsidRPr="00FD55E3">
        <w:rPr>
          <w:rFonts w:cs="Times New Roman"/>
        </w:rPr>
        <w:t xml:space="preserve"> with one author calling it “[t]he most far-reaching deviation from the compensatory </w:t>
      </w:r>
      <w:r>
        <w:rPr>
          <w:rFonts w:cs="Times New Roman"/>
        </w:rPr>
        <w:lastRenderedPageBreak/>
        <w:t>rationale” (</w:t>
      </w:r>
      <w:r w:rsidRPr="00FD55E3">
        <w:rPr>
          <w:rFonts w:cs="Times New Roman"/>
        </w:rPr>
        <w:t>C</w:t>
      </w:r>
      <w:r>
        <w:rPr>
          <w:rFonts w:cs="Times New Roman"/>
        </w:rPr>
        <w:t xml:space="preserve">. </w:t>
      </w:r>
      <w:r w:rsidRPr="00FD55E3">
        <w:rPr>
          <w:rFonts w:cs="Times New Roman"/>
        </w:rPr>
        <w:t xml:space="preserve">C. Van </w:t>
      </w:r>
      <w:proofErr w:type="spellStart"/>
      <w:r w:rsidRPr="00FD55E3">
        <w:rPr>
          <w:rFonts w:cs="Times New Roman"/>
        </w:rPr>
        <w:t>Cott</w:t>
      </w:r>
      <w:proofErr w:type="spellEnd"/>
      <w:r w:rsidRPr="00FD55E3">
        <w:rPr>
          <w:rFonts w:cs="Times New Roman"/>
        </w:rPr>
        <w:t xml:space="preserve">, </w:t>
      </w:r>
      <w:r>
        <w:rPr>
          <w:rFonts w:cs="Times New Roman"/>
        </w:rPr>
        <w:t>“</w:t>
      </w:r>
      <w:r w:rsidRPr="008C1311">
        <w:rPr>
          <w:rFonts w:cs="Times New Roman"/>
        </w:rPr>
        <w:t>Standing at the Fringe: Antitrust Damages and the Fringe Producer</w:t>
      </w:r>
      <w:r>
        <w:rPr>
          <w:rFonts w:cs="Times New Roman"/>
        </w:rPr>
        <w:t>” (1983),</w:t>
      </w:r>
      <w:r w:rsidRPr="00FD55E3">
        <w:rPr>
          <w:rFonts w:cs="Times New Roman"/>
        </w:rPr>
        <w:t xml:space="preserve"> 35 </w:t>
      </w:r>
      <w:r w:rsidRPr="008C1311">
        <w:rPr>
          <w:rFonts w:cs="Times New Roman"/>
          <w:i/>
        </w:rPr>
        <w:t xml:space="preserve">Stan. L. Rev. </w:t>
      </w:r>
      <w:r w:rsidRPr="00FD55E3">
        <w:rPr>
          <w:rFonts w:cs="Times New Roman"/>
        </w:rPr>
        <w:t>763</w:t>
      </w:r>
      <w:r>
        <w:rPr>
          <w:rFonts w:cs="Times New Roman"/>
        </w:rPr>
        <w:t>,</w:t>
      </w:r>
      <w:r w:rsidRPr="00FD55E3">
        <w:rPr>
          <w:rFonts w:cs="Times New Roman"/>
        </w:rPr>
        <w:t xml:space="preserve"> at p. 775</w:t>
      </w:r>
      <w:r>
        <w:rPr>
          <w:rFonts w:cs="Times New Roman"/>
        </w:rPr>
        <w:t xml:space="preserve">). </w:t>
      </w:r>
      <w:r w:rsidRPr="00FD55E3">
        <w:rPr>
          <w:rFonts w:cs="Times New Roman"/>
        </w:rPr>
        <w:t xml:space="preserve">Likewise, Andrew </w:t>
      </w:r>
      <w:r>
        <w:rPr>
          <w:rFonts w:cs="Times New Roman"/>
        </w:rPr>
        <w:t xml:space="preserve">I. </w:t>
      </w:r>
      <w:proofErr w:type="spellStart"/>
      <w:r w:rsidRPr="00FD55E3">
        <w:rPr>
          <w:rFonts w:cs="Times New Roman"/>
        </w:rPr>
        <w:t>Gavil</w:t>
      </w:r>
      <w:proofErr w:type="spellEnd"/>
      <w:r w:rsidRPr="00FD55E3">
        <w:rPr>
          <w:rFonts w:cs="Times New Roman"/>
        </w:rPr>
        <w:t>, an antitrust scholar</w:t>
      </w:r>
      <w:r>
        <w:rPr>
          <w:rFonts w:cs="Times New Roman"/>
        </w:rPr>
        <w:t>,</w:t>
      </w:r>
      <w:r w:rsidRPr="00FD55E3">
        <w:rPr>
          <w:rFonts w:cs="Times New Roman"/>
        </w:rPr>
        <w:t xml:space="preserve"> has stated that “providing compensation to all victims of unlawful conduct for the harms inflicted by the wrongdoer is a secondary but also essential goal of a comprehensive remedial system, one that </w:t>
      </w:r>
      <w:r w:rsidRPr="00FD55E3">
        <w:rPr>
          <w:rFonts w:cs="Times New Roman"/>
          <w:i/>
          <w:iCs/>
        </w:rPr>
        <w:t xml:space="preserve">Illinois Brick </w:t>
      </w:r>
      <w:r w:rsidRPr="00FD55E3">
        <w:rPr>
          <w:rFonts w:cs="Times New Roman"/>
        </w:rPr>
        <w:t>disserves</w:t>
      </w:r>
      <w:r>
        <w:rPr>
          <w:rFonts w:cs="Times New Roman"/>
        </w:rPr>
        <w:t xml:space="preserve"> in many common circumstances” (“</w:t>
      </w:r>
      <w:r w:rsidRPr="008C1311">
        <w:rPr>
          <w:rFonts w:cs="Times New Roman"/>
        </w:rPr>
        <w:t xml:space="preserve">Thinking Outside the </w:t>
      </w:r>
      <w:r w:rsidRPr="008C1311">
        <w:rPr>
          <w:rFonts w:cs="Times New Roman"/>
          <w:i/>
        </w:rPr>
        <w:t>Illinois Brick</w:t>
      </w:r>
      <w:r>
        <w:rPr>
          <w:rFonts w:cs="Times New Roman"/>
        </w:rPr>
        <w:t xml:space="preserve"> Box: A P</w:t>
      </w:r>
      <w:r w:rsidRPr="008C1311">
        <w:rPr>
          <w:rFonts w:cs="Times New Roman"/>
        </w:rPr>
        <w:t>roposal for Reform</w:t>
      </w:r>
      <w:r>
        <w:rPr>
          <w:rFonts w:cs="Times New Roman"/>
        </w:rPr>
        <w:t>” (2009)</w:t>
      </w:r>
      <w:r w:rsidRPr="008C1311">
        <w:rPr>
          <w:rFonts w:cs="Times New Roman"/>
        </w:rPr>
        <w:t>,</w:t>
      </w:r>
      <w:r>
        <w:rPr>
          <w:rFonts w:cs="Times New Roman"/>
        </w:rPr>
        <w:t xml:space="preserve"> 76</w:t>
      </w:r>
      <w:r w:rsidRPr="00FD55E3">
        <w:rPr>
          <w:rFonts w:cs="Times New Roman"/>
        </w:rPr>
        <w:t xml:space="preserve"> </w:t>
      </w:r>
      <w:r w:rsidRPr="008C1311">
        <w:rPr>
          <w:rFonts w:cs="Times New Roman"/>
          <w:i/>
        </w:rPr>
        <w:t>Antitrust</w:t>
      </w:r>
      <w:r>
        <w:rPr>
          <w:rFonts w:cs="Times New Roman"/>
          <w:i/>
        </w:rPr>
        <w:t xml:space="preserve"> L.J.</w:t>
      </w:r>
      <w:r w:rsidRPr="00FD55E3">
        <w:rPr>
          <w:rFonts w:cs="Times New Roman"/>
        </w:rPr>
        <w:t xml:space="preserve"> 167</w:t>
      </w:r>
      <w:r>
        <w:rPr>
          <w:rFonts w:cs="Times New Roman"/>
        </w:rPr>
        <w:t>,</w:t>
      </w:r>
      <w:r w:rsidRPr="00FD55E3">
        <w:rPr>
          <w:rFonts w:cs="Times New Roman"/>
        </w:rPr>
        <w:t xml:space="preserve"> at </w:t>
      </w:r>
      <w:r>
        <w:rPr>
          <w:rFonts w:cs="Times New Roman"/>
        </w:rPr>
        <w:t xml:space="preserve">p. </w:t>
      </w:r>
      <w:r w:rsidRPr="00FD55E3">
        <w:rPr>
          <w:rFonts w:cs="Times New Roman"/>
        </w:rPr>
        <w:t>170).</w:t>
      </w:r>
    </w:p>
    <w:p w:rsidR="006A370E" w:rsidRPr="00FD55E3" w:rsidRDefault="006A370E" w:rsidP="006A370E">
      <w:pPr>
        <w:pStyle w:val="ParaNoNdepar-AltN"/>
        <w:rPr>
          <w:rFonts w:cs="Times New Roman"/>
        </w:rPr>
      </w:pPr>
      <w:r w:rsidRPr="00FD55E3">
        <w:rPr>
          <w:rFonts w:cs="Times New Roman"/>
        </w:rPr>
        <w:t xml:space="preserve">As can be seen from this overview, despite initial support from well-reputed antitrust scholars, it cannot be said that the rule in </w:t>
      </w:r>
      <w:r w:rsidRPr="00FD55E3">
        <w:rPr>
          <w:rFonts w:cs="Times New Roman"/>
          <w:i/>
        </w:rPr>
        <w:t xml:space="preserve">Illinois Brick </w:t>
      </w:r>
      <w:r w:rsidRPr="00FD55E3">
        <w:rPr>
          <w:rFonts w:cs="Times New Roman"/>
        </w:rPr>
        <w:t xml:space="preserve">still finds favour in the academic literature. </w:t>
      </w:r>
    </w:p>
    <w:p w:rsidR="006A370E" w:rsidRPr="00FD55E3" w:rsidRDefault="00A8174B" w:rsidP="00A8174B">
      <w:pPr>
        <w:pStyle w:val="Title3LevelTitre3Niveau"/>
        <w:numPr>
          <w:ilvl w:val="0"/>
          <w:numId w:val="0"/>
        </w:numPr>
        <w:tabs>
          <w:tab w:val="left" w:pos="1170"/>
        </w:tabs>
        <w:ind w:left="1980" w:hanging="1584"/>
        <w:rPr>
          <w:rFonts w:cs="Times New Roman"/>
        </w:rPr>
      </w:pPr>
      <w:bookmarkStart w:id="91" w:name="_Toc360611912"/>
      <w:bookmarkStart w:id="92" w:name="_Toc367887589"/>
      <w:bookmarkStart w:id="93" w:name="_Toc367948553"/>
      <w:bookmarkStart w:id="94" w:name="_Toc367957382"/>
      <w:bookmarkStart w:id="95" w:name="_Toc369188630"/>
      <w:bookmarkStart w:id="96" w:name="_Toc370903012"/>
      <w:r w:rsidRPr="00A8174B">
        <w:rPr>
          <w:rFonts w:cs="Times New Roman"/>
          <w:u w:val="none"/>
        </w:rPr>
        <w:tab/>
        <w:t>(4)</w:t>
      </w:r>
      <w:r w:rsidRPr="00A8174B">
        <w:rPr>
          <w:rFonts w:cs="Times New Roman"/>
          <w:u w:val="none"/>
        </w:rPr>
        <w:tab/>
      </w:r>
      <w:r w:rsidR="006A370E" w:rsidRPr="00FD55E3">
        <w:rPr>
          <w:rFonts w:cs="Times New Roman"/>
        </w:rPr>
        <w:t>Conclusion on the Offensive Use of Passing On</w:t>
      </w:r>
      <w:bookmarkEnd w:id="91"/>
      <w:bookmarkEnd w:id="92"/>
      <w:bookmarkEnd w:id="93"/>
      <w:bookmarkEnd w:id="94"/>
      <w:bookmarkEnd w:id="95"/>
      <w:bookmarkEnd w:id="96"/>
    </w:p>
    <w:p w:rsidR="006A370E" w:rsidRPr="00FD55E3" w:rsidRDefault="006A370E" w:rsidP="006A370E">
      <w:pPr>
        <w:pStyle w:val="ParaNoNdepar-AltN"/>
        <w:rPr>
          <w:rFonts w:cs="Times New Roman"/>
        </w:rPr>
      </w:pPr>
      <w:r w:rsidRPr="00FD55E3">
        <w:rPr>
          <w:rFonts w:cs="Times New Roman"/>
        </w:rPr>
        <w:t xml:space="preserve">Although </w:t>
      </w:r>
      <w:r>
        <w:rPr>
          <w:rFonts w:cs="Times New Roman"/>
        </w:rPr>
        <w:t>the passing-</w:t>
      </w:r>
      <w:r w:rsidRPr="00FD55E3">
        <w:rPr>
          <w:rFonts w:cs="Times New Roman"/>
        </w:rPr>
        <w:t xml:space="preserve">on </w:t>
      </w:r>
      <w:r w:rsidRPr="00FD55E3">
        <w:rPr>
          <w:rFonts w:cs="Times New Roman"/>
          <w:i/>
        </w:rPr>
        <w:t>defence</w:t>
      </w:r>
      <w:r w:rsidRPr="00FD55E3">
        <w:rPr>
          <w:rFonts w:cs="Times New Roman"/>
        </w:rPr>
        <w:t xml:space="preserve"> is unavailable as a matter of restitution law, it does not follow that indirect purchasers should be foreclosed from claiming losses passed on to them. In summary:</w:t>
      </w:r>
    </w:p>
    <w:p w:rsidR="006A370E" w:rsidRPr="00FD55E3" w:rsidRDefault="00A8174B" w:rsidP="00A8174B">
      <w:pPr>
        <w:pStyle w:val="Citation-AltC"/>
        <w:tabs>
          <w:tab w:val="left" w:pos="1080"/>
        </w:tabs>
        <w:spacing w:line="480" w:lineRule="auto"/>
        <w:ind w:left="1080" w:hanging="1080"/>
      </w:pPr>
      <w:r>
        <w:t>(1)</w:t>
      </w:r>
      <w:r>
        <w:tab/>
      </w:r>
      <w:r w:rsidR="006A370E" w:rsidRPr="00FD55E3">
        <w:t xml:space="preserve">The risks of multiple recovery and the concerns of complexity and remoteness are insufficient bases for precluding indirect purchasers from bringing actions against the defendants responsible for overcharges that may have been passed on to them. </w:t>
      </w:r>
    </w:p>
    <w:p w:rsidR="006A370E" w:rsidRPr="00FD55E3" w:rsidRDefault="006A370E" w:rsidP="006A370E">
      <w:pPr>
        <w:pStyle w:val="Citation-AltC"/>
        <w:ind w:left="0"/>
      </w:pPr>
    </w:p>
    <w:p w:rsidR="006A370E" w:rsidRPr="00FD55E3" w:rsidRDefault="00A8174B" w:rsidP="00A8174B">
      <w:pPr>
        <w:pStyle w:val="Citation-AltC"/>
        <w:tabs>
          <w:tab w:val="left" w:pos="1080"/>
        </w:tabs>
        <w:spacing w:line="480" w:lineRule="auto"/>
        <w:ind w:left="1080" w:hanging="1080"/>
      </w:pPr>
      <w:r>
        <w:lastRenderedPageBreak/>
        <w:t>(2)</w:t>
      </w:r>
      <w:r>
        <w:tab/>
      </w:r>
      <w:r w:rsidR="006A370E" w:rsidRPr="00FD55E3">
        <w:t xml:space="preserve">The deterrence function of the competition law in Canada is not likely to be impaired by indirect purchaser actions. </w:t>
      </w:r>
    </w:p>
    <w:p w:rsidR="006A370E" w:rsidRPr="00FD55E3" w:rsidRDefault="006A370E" w:rsidP="006A370E">
      <w:pPr>
        <w:pStyle w:val="Citation-AltC"/>
        <w:ind w:left="0"/>
      </w:pPr>
    </w:p>
    <w:p w:rsidR="006A370E" w:rsidRPr="00FD55E3" w:rsidRDefault="00A8174B" w:rsidP="00A8174B">
      <w:pPr>
        <w:pStyle w:val="Citation-AltC"/>
        <w:tabs>
          <w:tab w:val="left" w:pos="1080"/>
        </w:tabs>
        <w:spacing w:line="480" w:lineRule="auto"/>
        <w:ind w:left="1080" w:hanging="1080"/>
      </w:pPr>
      <w:r>
        <w:t>(3)</w:t>
      </w:r>
      <w:r>
        <w:tab/>
      </w:r>
      <w:r w:rsidR="006A370E" w:rsidRPr="00FD55E3">
        <w:t>W</w:t>
      </w:r>
      <w:r w:rsidR="006A370E">
        <w:t>hile the passing-</w:t>
      </w:r>
      <w:r w:rsidR="006A370E" w:rsidRPr="00FD55E3">
        <w:t xml:space="preserve">on defence is contrary to basic </w:t>
      </w:r>
      <w:proofErr w:type="spellStart"/>
      <w:r w:rsidR="006A370E" w:rsidRPr="00FD55E3">
        <w:t>restitutionary</w:t>
      </w:r>
      <w:proofErr w:type="spellEnd"/>
      <w:r w:rsidR="006A370E" w:rsidRPr="00FD55E3">
        <w:t xml:space="preserve"> principles, those same principles are promoted by allowing passing on to be used offensively. </w:t>
      </w:r>
    </w:p>
    <w:p w:rsidR="006A370E" w:rsidRPr="00FD55E3" w:rsidRDefault="006A370E" w:rsidP="006A370E">
      <w:pPr>
        <w:pStyle w:val="Citation-AltC"/>
        <w:ind w:left="0"/>
      </w:pPr>
    </w:p>
    <w:p w:rsidR="006A370E" w:rsidRPr="00FD55E3" w:rsidRDefault="00A8174B" w:rsidP="00A8174B">
      <w:pPr>
        <w:pStyle w:val="Citation-AltC"/>
        <w:tabs>
          <w:tab w:val="left" w:pos="1080"/>
        </w:tabs>
        <w:spacing w:line="480" w:lineRule="auto"/>
        <w:ind w:left="1080" w:hanging="1080"/>
      </w:pPr>
      <w:r>
        <w:t>(4)</w:t>
      </w:r>
      <w:r>
        <w:tab/>
      </w:r>
      <w:r w:rsidR="006A370E" w:rsidRPr="00FD55E3">
        <w:t xml:space="preserve">Although the rule in </w:t>
      </w:r>
      <w:r w:rsidR="006A370E" w:rsidRPr="00FD55E3">
        <w:rPr>
          <w:i/>
        </w:rPr>
        <w:t xml:space="preserve">Illinois Brick </w:t>
      </w:r>
      <w:r w:rsidR="006A370E" w:rsidRPr="00FD55E3">
        <w:t xml:space="preserve">remains good law at the federal level in the United States, its subsequent repeal at the state level in many jurisdictions and the report to Congress recommending its reversal demonstrate that its rationale is under question. </w:t>
      </w:r>
    </w:p>
    <w:p w:rsidR="006A370E" w:rsidRPr="00FD55E3" w:rsidRDefault="006A370E" w:rsidP="006A370E">
      <w:pPr>
        <w:pStyle w:val="Citation-AltC"/>
        <w:ind w:left="0"/>
      </w:pPr>
    </w:p>
    <w:p w:rsidR="006A370E" w:rsidRDefault="00A8174B" w:rsidP="00A8174B">
      <w:pPr>
        <w:pStyle w:val="Citation-AltC"/>
        <w:tabs>
          <w:tab w:val="left" w:pos="1080"/>
        </w:tabs>
        <w:spacing w:line="480" w:lineRule="auto"/>
        <w:ind w:left="1080" w:hanging="1080"/>
      </w:pPr>
      <w:r>
        <w:t>(5)</w:t>
      </w:r>
      <w:r>
        <w:tab/>
      </w:r>
      <w:r w:rsidR="006A370E" w:rsidRPr="00FD55E3">
        <w:t xml:space="preserve">Despite some initial support, the recent doctrinal commentary favours overturning the rule in </w:t>
      </w:r>
      <w:r w:rsidR="006A370E" w:rsidRPr="00FD55E3">
        <w:rPr>
          <w:i/>
        </w:rPr>
        <w:t>Illinois Brick</w:t>
      </w:r>
      <w:r w:rsidR="006A370E" w:rsidRPr="00FD55E3">
        <w:t xml:space="preserve">. </w:t>
      </w:r>
    </w:p>
    <w:p w:rsidR="006A370E" w:rsidRDefault="006A370E" w:rsidP="006A370E">
      <w:pPr>
        <w:pStyle w:val="Citation-AltC"/>
        <w:spacing w:line="480" w:lineRule="auto"/>
        <w:ind w:left="0"/>
      </w:pPr>
    </w:p>
    <w:p w:rsidR="006A370E" w:rsidRPr="008C1311" w:rsidRDefault="006A370E" w:rsidP="006A370E">
      <w:pPr>
        <w:pStyle w:val="Citation-AltC"/>
        <w:spacing w:line="480" w:lineRule="auto"/>
        <w:ind w:left="0"/>
      </w:pPr>
      <w:r w:rsidRPr="008C1311">
        <w:t>For these reasons</w:t>
      </w:r>
      <w:r>
        <w:t>,</w:t>
      </w:r>
      <w:r w:rsidRPr="008C1311">
        <w:t xml:space="preserve"> I would not agree with Microsoft’s argument that this C</w:t>
      </w:r>
      <w:r>
        <w:t>ourt’s rejection of the passing-</w:t>
      </w:r>
      <w:r w:rsidRPr="008C1311">
        <w:t xml:space="preserve">on defence in previous cases and affirmed here precludes indirect purchaser actions. </w:t>
      </w:r>
    </w:p>
    <w:p w:rsidR="006A370E" w:rsidRPr="00FD55E3" w:rsidRDefault="00A8174B" w:rsidP="00A8174B">
      <w:pPr>
        <w:pStyle w:val="Title2LevelTitre2Niveau"/>
        <w:numPr>
          <w:ilvl w:val="0"/>
          <w:numId w:val="0"/>
        </w:numPr>
        <w:tabs>
          <w:tab w:val="left" w:pos="540"/>
        </w:tabs>
        <w:ind w:left="540" w:hanging="540"/>
        <w:rPr>
          <w:rFonts w:cs="Times New Roman"/>
        </w:rPr>
      </w:pPr>
      <w:bookmarkStart w:id="97" w:name="_Toc360611913"/>
      <w:bookmarkStart w:id="98" w:name="_Toc367887590"/>
      <w:bookmarkStart w:id="99" w:name="_Toc367948554"/>
      <w:bookmarkStart w:id="100" w:name="_Toc367957383"/>
      <w:bookmarkStart w:id="101" w:name="_Toc369188631"/>
      <w:bookmarkStart w:id="102" w:name="_Toc370903013"/>
      <w:r w:rsidRPr="00A8174B">
        <w:rPr>
          <w:rFonts w:cs="Times New Roman"/>
          <w:i w:val="0"/>
        </w:rPr>
        <w:t>B.</w:t>
      </w:r>
      <w:r w:rsidRPr="00A8174B">
        <w:rPr>
          <w:rFonts w:cs="Times New Roman"/>
          <w:i w:val="0"/>
        </w:rPr>
        <w:tab/>
      </w:r>
      <w:r w:rsidR="006A370E" w:rsidRPr="00FD55E3">
        <w:rPr>
          <w:rFonts w:cs="Times New Roman"/>
        </w:rPr>
        <w:t>Certification of the Class Action</w:t>
      </w:r>
      <w:bookmarkEnd w:id="97"/>
      <w:bookmarkEnd w:id="98"/>
      <w:bookmarkEnd w:id="99"/>
      <w:bookmarkEnd w:id="100"/>
      <w:bookmarkEnd w:id="101"/>
      <w:bookmarkEnd w:id="102"/>
      <w:r w:rsidR="006A370E"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Having answered the threshold question and determined that indirect purchasers may use passing on offensively to bring an action, I turn to the question of whether the present action should be certified as a class action. Because the majority of the B</w:t>
      </w:r>
      <w:r>
        <w:rPr>
          <w:rFonts w:cs="Times New Roman"/>
        </w:rPr>
        <w:t>.</w:t>
      </w:r>
      <w:r w:rsidRPr="00FD55E3">
        <w:rPr>
          <w:rFonts w:cs="Times New Roman"/>
        </w:rPr>
        <w:t>C</w:t>
      </w:r>
      <w:r>
        <w:rPr>
          <w:rFonts w:cs="Times New Roman"/>
        </w:rPr>
        <w:t>.</w:t>
      </w:r>
      <w:r w:rsidRPr="00FD55E3">
        <w:rPr>
          <w:rFonts w:cs="Times New Roman"/>
        </w:rPr>
        <w:t>C</w:t>
      </w:r>
      <w:r>
        <w:rPr>
          <w:rFonts w:cs="Times New Roman"/>
        </w:rPr>
        <w:t>.</w:t>
      </w:r>
      <w:r w:rsidRPr="00FD55E3">
        <w:rPr>
          <w:rFonts w:cs="Times New Roman"/>
        </w:rPr>
        <w:t>A</w:t>
      </w:r>
      <w:r>
        <w:rPr>
          <w:rFonts w:cs="Times New Roman"/>
        </w:rPr>
        <w:t>.</w:t>
      </w:r>
      <w:r w:rsidRPr="00FD55E3">
        <w:rPr>
          <w:rFonts w:cs="Times New Roman"/>
        </w:rPr>
        <w:t xml:space="preserve"> disposed of the appeal based on its finding that indirect purchaser </w:t>
      </w:r>
      <w:r w:rsidRPr="00FD55E3">
        <w:rPr>
          <w:rFonts w:cs="Times New Roman"/>
        </w:rPr>
        <w:lastRenderedPageBreak/>
        <w:t xml:space="preserve">actions were not available in Canada, it did not consider the certification requirements dealt with by </w:t>
      </w:r>
      <w:proofErr w:type="spellStart"/>
      <w:r w:rsidRPr="00FD55E3">
        <w:rPr>
          <w:rFonts w:cs="Times New Roman"/>
        </w:rPr>
        <w:t>Tysoe</w:t>
      </w:r>
      <w:proofErr w:type="spellEnd"/>
      <w:r w:rsidRPr="00FD55E3">
        <w:rPr>
          <w:rFonts w:cs="Times New Roman"/>
        </w:rPr>
        <w:t xml:space="preserve"> J. (causes of action under s. 4(1</w:t>
      </w:r>
      <w:proofErr w:type="gramStart"/>
      <w:r w:rsidRPr="00FD55E3">
        <w:rPr>
          <w:rFonts w:cs="Times New Roman"/>
        </w:rPr>
        <w:t>)(</w:t>
      </w:r>
      <w:proofErr w:type="gramEnd"/>
      <w:r w:rsidRPr="00FD55E3">
        <w:rPr>
          <w:rFonts w:cs="Times New Roman"/>
        </w:rPr>
        <w:t>a)</w:t>
      </w:r>
      <w:r>
        <w:rPr>
          <w:rFonts w:cs="Times New Roman"/>
        </w:rPr>
        <w:t xml:space="preserve"> of the </w:t>
      </w:r>
      <w:r>
        <w:rPr>
          <w:rFonts w:cs="Times New Roman"/>
          <w:i/>
        </w:rPr>
        <w:t>CPA</w:t>
      </w:r>
      <w:r w:rsidRPr="00FD55E3">
        <w:rPr>
          <w:rFonts w:cs="Times New Roman"/>
        </w:rPr>
        <w:t xml:space="preserve">) and Myers J. (balance of the certification requirements under </w:t>
      </w:r>
      <w:r>
        <w:rPr>
          <w:rFonts w:cs="Times New Roman"/>
        </w:rPr>
        <w:t>s. 4(1)(b) to (e</w:t>
      </w:r>
      <w:r w:rsidRPr="00FD55E3">
        <w:rPr>
          <w:rFonts w:cs="Times New Roman"/>
        </w:rPr>
        <w:t>)</w:t>
      </w:r>
      <w:r>
        <w:rPr>
          <w:rFonts w:cs="Times New Roman"/>
        </w:rPr>
        <w:t xml:space="preserve"> of the </w:t>
      </w:r>
      <w:r>
        <w:rPr>
          <w:rFonts w:cs="Times New Roman"/>
          <w:i/>
        </w:rPr>
        <w:t>CPA</w:t>
      </w:r>
      <w:r w:rsidRPr="00FD55E3">
        <w:rPr>
          <w:rFonts w:cs="Times New Roman"/>
        </w:rPr>
        <w:t xml:space="preserve">). It therefore remains for this Court to review the certification analysis carried out by the two </w:t>
      </w:r>
      <w:r>
        <w:rPr>
          <w:rFonts w:cs="Times New Roman"/>
        </w:rPr>
        <w:t xml:space="preserve">applications </w:t>
      </w:r>
      <w:r w:rsidRPr="00FD55E3">
        <w:rPr>
          <w:rFonts w:cs="Times New Roman"/>
        </w:rPr>
        <w:t xml:space="preserve">judges.  Microsoft contests </w:t>
      </w:r>
      <w:r>
        <w:rPr>
          <w:rFonts w:cs="Times New Roman"/>
        </w:rPr>
        <w:t xml:space="preserve">their </w:t>
      </w:r>
      <w:r w:rsidRPr="00FD55E3">
        <w:rPr>
          <w:rFonts w:cs="Times New Roman"/>
        </w:rPr>
        <w:t xml:space="preserve">findings as to only three of the certification requirements: (1) whether the pleadings disclose a cause of action; (2) whether the claims raise common issues; and (3) whether a class action is the preferable procedure. </w:t>
      </w:r>
    </w:p>
    <w:p w:rsidR="006A370E" w:rsidRPr="00FD55E3" w:rsidRDefault="00A8174B" w:rsidP="00A8174B">
      <w:pPr>
        <w:pStyle w:val="Title3LevelTitre3Niveau"/>
        <w:numPr>
          <w:ilvl w:val="0"/>
          <w:numId w:val="0"/>
        </w:numPr>
        <w:tabs>
          <w:tab w:val="left" w:pos="1170"/>
        </w:tabs>
        <w:ind w:left="1800" w:hanging="1800"/>
        <w:rPr>
          <w:rFonts w:cs="Times New Roman"/>
        </w:rPr>
      </w:pPr>
      <w:bookmarkStart w:id="103" w:name="_Toc360611914"/>
      <w:bookmarkStart w:id="104" w:name="_Toc367887591"/>
      <w:bookmarkStart w:id="105" w:name="_Toc367948555"/>
      <w:bookmarkStart w:id="106" w:name="_Toc367957384"/>
      <w:bookmarkStart w:id="107" w:name="_Toc369188632"/>
      <w:bookmarkStart w:id="108" w:name="_Toc370903014"/>
      <w:r w:rsidRPr="00A8174B">
        <w:rPr>
          <w:rFonts w:cs="Times New Roman"/>
          <w:u w:val="none"/>
        </w:rPr>
        <w:tab/>
        <w:t>(1)</w:t>
      </w:r>
      <w:r w:rsidRPr="00A8174B">
        <w:rPr>
          <w:rFonts w:cs="Times New Roman"/>
          <w:u w:val="none"/>
        </w:rPr>
        <w:tab/>
      </w:r>
      <w:r w:rsidR="006A370E" w:rsidRPr="00FD55E3">
        <w:rPr>
          <w:rFonts w:cs="Times New Roman"/>
        </w:rPr>
        <w:t xml:space="preserve">The Requirements for Certification </w:t>
      </w:r>
      <w:proofErr w:type="gramStart"/>
      <w:r w:rsidR="006A370E">
        <w:rPr>
          <w:rFonts w:cs="Times New Roman"/>
        </w:rPr>
        <w:t>U</w:t>
      </w:r>
      <w:r w:rsidR="006A370E" w:rsidRPr="00FD55E3">
        <w:rPr>
          <w:rFonts w:cs="Times New Roman"/>
        </w:rPr>
        <w:t>nder</w:t>
      </w:r>
      <w:proofErr w:type="gramEnd"/>
      <w:r w:rsidR="006A370E" w:rsidRPr="00FD55E3">
        <w:rPr>
          <w:rFonts w:cs="Times New Roman"/>
        </w:rPr>
        <w:t xml:space="preserve"> the British Columbia </w:t>
      </w:r>
      <w:r w:rsidR="006A370E" w:rsidRPr="00FD55E3">
        <w:rPr>
          <w:rFonts w:cs="Times New Roman"/>
          <w:i/>
        </w:rPr>
        <w:t>Class Proceedings Act</w:t>
      </w:r>
      <w:bookmarkEnd w:id="103"/>
      <w:bookmarkEnd w:id="104"/>
      <w:bookmarkEnd w:id="105"/>
      <w:bookmarkEnd w:id="106"/>
      <w:bookmarkEnd w:id="107"/>
      <w:bookmarkEnd w:id="108"/>
    </w:p>
    <w:p w:rsidR="006A370E" w:rsidRPr="00FD55E3" w:rsidRDefault="006A370E" w:rsidP="006A370E">
      <w:pPr>
        <w:pStyle w:val="ParaNoNdepar-AltN"/>
        <w:rPr>
          <w:rFonts w:cs="Times New Roman"/>
        </w:rPr>
      </w:pPr>
      <w:r w:rsidRPr="00FD55E3">
        <w:rPr>
          <w:rFonts w:cs="Times New Roman"/>
        </w:rPr>
        <w:t xml:space="preserve">Section 4(1) of the </w:t>
      </w:r>
      <w:r w:rsidRPr="00FD55E3">
        <w:rPr>
          <w:rFonts w:cs="Times New Roman"/>
          <w:i/>
        </w:rPr>
        <w:t xml:space="preserve">CPA </w:t>
      </w:r>
      <w:r w:rsidRPr="00FD55E3">
        <w:rPr>
          <w:rFonts w:cs="Times New Roman"/>
        </w:rPr>
        <w:t>provides:</w:t>
      </w:r>
    </w:p>
    <w:p w:rsidR="006A370E" w:rsidRPr="00FD55E3" w:rsidRDefault="006A370E" w:rsidP="00433E90">
      <w:pPr>
        <w:pStyle w:val="ContinueParaSuitedupar-AltP"/>
        <w:spacing w:after="240" w:line="240" w:lineRule="auto"/>
        <w:ind w:left="1800" w:hanging="720"/>
        <w:rPr>
          <w:rFonts w:cs="Times New Roman"/>
        </w:rPr>
      </w:pPr>
      <w:r w:rsidRPr="00063A8F">
        <w:rPr>
          <w:rFonts w:cs="Times New Roman"/>
          <w:b/>
        </w:rPr>
        <w:t>4</w:t>
      </w:r>
      <w:r>
        <w:rPr>
          <w:rFonts w:cs="Times New Roman"/>
        </w:rPr>
        <w:t xml:space="preserve"> </w:t>
      </w:r>
      <w:r w:rsidRPr="00FD55E3">
        <w:rPr>
          <w:rFonts w:cs="Times New Roman"/>
        </w:rPr>
        <w:t>(1</w:t>
      </w:r>
      <w:proofErr w:type="gramStart"/>
      <w:r w:rsidRPr="00FD55E3">
        <w:rPr>
          <w:rFonts w:cs="Times New Roman"/>
        </w:rPr>
        <w:t xml:space="preserve">) </w:t>
      </w:r>
      <w:r>
        <w:rPr>
          <w:rFonts w:cs="Times New Roman"/>
        </w:rPr>
        <w:t xml:space="preserve"> </w:t>
      </w:r>
      <w:r w:rsidRPr="00FD55E3">
        <w:rPr>
          <w:rFonts w:cs="Times New Roman"/>
        </w:rPr>
        <w:t>The</w:t>
      </w:r>
      <w:proofErr w:type="gramEnd"/>
      <w:r w:rsidRPr="00FD55E3">
        <w:rPr>
          <w:rFonts w:cs="Times New Roman"/>
        </w:rPr>
        <w:t xml:space="preserve"> court must certify a proceeding as a class proceeding on an application under section 2 or 3 if all of the following requirements are met:</w:t>
      </w:r>
    </w:p>
    <w:p w:rsidR="006A370E" w:rsidRPr="00FD55E3" w:rsidRDefault="00A8174B" w:rsidP="00A8174B">
      <w:pPr>
        <w:pStyle w:val="Citation-AltC"/>
        <w:tabs>
          <w:tab w:val="left" w:pos="1800"/>
        </w:tabs>
        <w:ind w:left="2160" w:hanging="2160"/>
      </w:pPr>
      <w:r>
        <w:tab/>
        <w:t>(a)</w:t>
      </w:r>
      <w:r>
        <w:tab/>
      </w:r>
      <w:proofErr w:type="gramStart"/>
      <w:r w:rsidR="006A370E" w:rsidRPr="00FD55E3">
        <w:t>the</w:t>
      </w:r>
      <w:proofErr w:type="gramEnd"/>
      <w:r w:rsidR="006A370E" w:rsidRPr="00FD55E3">
        <w:t xml:space="preserve"> pleadings disclose a cause of action;</w:t>
      </w:r>
    </w:p>
    <w:p w:rsidR="006A370E" w:rsidRPr="00FD55E3" w:rsidRDefault="006A370E" w:rsidP="006A370E">
      <w:pPr>
        <w:pStyle w:val="Citation-AltC"/>
        <w:ind w:left="724"/>
      </w:pPr>
    </w:p>
    <w:p w:rsidR="006A370E" w:rsidRPr="00FD55E3" w:rsidRDefault="00A8174B" w:rsidP="00A8174B">
      <w:pPr>
        <w:pStyle w:val="Citation-AltC"/>
        <w:tabs>
          <w:tab w:val="left" w:pos="1800"/>
        </w:tabs>
        <w:ind w:left="2160" w:hanging="2160"/>
      </w:pPr>
      <w:r>
        <w:tab/>
        <w:t>(b)</w:t>
      </w:r>
      <w:r>
        <w:tab/>
      </w:r>
      <w:proofErr w:type="gramStart"/>
      <w:r w:rsidR="006A370E" w:rsidRPr="00FD55E3">
        <w:t>there</w:t>
      </w:r>
      <w:proofErr w:type="gramEnd"/>
      <w:r w:rsidR="006A370E" w:rsidRPr="00FD55E3">
        <w:t xml:space="preserve"> is an identifiable class of 2 or more persons;</w:t>
      </w:r>
    </w:p>
    <w:p w:rsidR="006A370E" w:rsidRPr="00FD55E3" w:rsidRDefault="006A370E" w:rsidP="006A370E">
      <w:pPr>
        <w:pStyle w:val="Citation-AltC"/>
        <w:ind w:left="724"/>
      </w:pPr>
    </w:p>
    <w:p w:rsidR="006A370E" w:rsidRPr="00FD55E3" w:rsidRDefault="00A8174B" w:rsidP="00A8174B">
      <w:pPr>
        <w:pStyle w:val="Citation-AltC"/>
        <w:tabs>
          <w:tab w:val="left" w:pos="1800"/>
        </w:tabs>
        <w:ind w:left="2160" w:hanging="2160"/>
      </w:pPr>
      <w:r>
        <w:tab/>
      </w:r>
      <w:r w:rsidR="00433E90">
        <w:t>(c)</w:t>
      </w:r>
      <w:r>
        <w:tab/>
      </w:r>
      <w:proofErr w:type="gramStart"/>
      <w:r w:rsidR="006A370E" w:rsidRPr="00FD55E3">
        <w:t>the</w:t>
      </w:r>
      <w:proofErr w:type="gramEnd"/>
      <w:r w:rsidR="006A370E" w:rsidRPr="00FD55E3">
        <w:t xml:space="preserve"> claims of the class members raise common issues, whether or not those common issues predominate over issues affecting only individual members;</w:t>
      </w:r>
    </w:p>
    <w:p w:rsidR="006A370E" w:rsidRPr="00FD55E3" w:rsidRDefault="006A370E" w:rsidP="006A370E">
      <w:pPr>
        <w:pStyle w:val="Citation-AltC"/>
        <w:ind w:left="724"/>
      </w:pPr>
    </w:p>
    <w:p w:rsidR="006A370E" w:rsidRPr="00FD55E3" w:rsidRDefault="00A8174B" w:rsidP="00A8174B">
      <w:pPr>
        <w:pStyle w:val="Citation-AltC"/>
        <w:tabs>
          <w:tab w:val="left" w:pos="1800"/>
        </w:tabs>
        <w:ind w:left="2160" w:hanging="2160"/>
      </w:pPr>
      <w:r>
        <w:tab/>
      </w:r>
      <w:r w:rsidR="006A370E" w:rsidRPr="00742437">
        <w:t>(d</w:t>
      </w:r>
      <w:r w:rsidR="006A370E">
        <w:t xml:space="preserve">) </w:t>
      </w:r>
      <w:proofErr w:type="gramStart"/>
      <w:r w:rsidR="006A370E" w:rsidRPr="00FD55E3">
        <w:t>a</w:t>
      </w:r>
      <w:proofErr w:type="gramEnd"/>
      <w:r w:rsidR="006A370E" w:rsidRPr="00FD55E3">
        <w:t xml:space="preserve"> class proceeding would be the preferable procedure for the fair and efficient resolution of the common issues;</w:t>
      </w:r>
    </w:p>
    <w:p w:rsidR="006A370E" w:rsidRPr="00FD55E3" w:rsidRDefault="006A370E" w:rsidP="006A370E">
      <w:pPr>
        <w:pStyle w:val="Citation-AltC"/>
        <w:ind w:left="724"/>
      </w:pPr>
    </w:p>
    <w:p w:rsidR="006A370E" w:rsidRPr="00FD55E3" w:rsidRDefault="00A8174B" w:rsidP="00A8174B">
      <w:pPr>
        <w:pStyle w:val="Citation-AltC"/>
        <w:tabs>
          <w:tab w:val="left" w:pos="1800"/>
        </w:tabs>
        <w:ind w:left="2160" w:hanging="2160"/>
      </w:pPr>
      <w:r>
        <w:tab/>
        <w:t xml:space="preserve">(e) </w:t>
      </w:r>
      <w:proofErr w:type="gramStart"/>
      <w:r w:rsidR="006A370E" w:rsidRPr="00FD55E3">
        <w:t>there</w:t>
      </w:r>
      <w:proofErr w:type="gramEnd"/>
      <w:r w:rsidR="006A370E" w:rsidRPr="00FD55E3">
        <w:t xml:space="preserve"> is a representative plaintiff who</w:t>
      </w:r>
    </w:p>
    <w:p w:rsidR="006A370E" w:rsidRPr="00FD55E3" w:rsidRDefault="006A370E" w:rsidP="006A370E">
      <w:pPr>
        <w:pStyle w:val="Citation-AltC"/>
      </w:pPr>
    </w:p>
    <w:p w:rsidR="006A370E" w:rsidRDefault="004E3AC5" w:rsidP="004E3AC5">
      <w:pPr>
        <w:pStyle w:val="Citation-AltC"/>
        <w:tabs>
          <w:tab w:val="left" w:pos="2160"/>
          <w:tab w:val="left" w:pos="2700"/>
        </w:tabs>
        <w:ind w:left="2700" w:hanging="2700"/>
      </w:pPr>
      <w:r>
        <w:tab/>
        <w:t>(</w:t>
      </w:r>
      <w:proofErr w:type="spellStart"/>
      <w:r>
        <w:t>i</w:t>
      </w:r>
      <w:proofErr w:type="spellEnd"/>
      <w:r>
        <w:t>)</w:t>
      </w:r>
      <w:r>
        <w:tab/>
      </w:r>
      <w:proofErr w:type="gramStart"/>
      <w:r w:rsidR="006A370E" w:rsidRPr="00FD55E3">
        <w:t>would</w:t>
      </w:r>
      <w:proofErr w:type="gramEnd"/>
      <w:r w:rsidR="006A370E" w:rsidRPr="00FD55E3">
        <w:t xml:space="preserve"> fairly and adequately represent the interests of the class,</w:t>
      </w:r>
    </w:p>
    <w:p w:rsidR="006A370E" w:rsidRPr="00FD55E3" w:rsidRDefault="006A370E" w:rsidP="006A370E">
      <w:pPr>
        <w:pStyle w:val="Citation-AltC"/>
        <w:ind w:left="2880"/>
      </w:pPr>
    </w:p>
    <w:p w:rsidR="006A370E" w:rsidRDefault="004E3AC5" w:rsidP="004E3AC5">
      <w:pPr>
        <w:pStyle w:val="Citation-AltC"/>
        <w:tabs>
          <w:tab w:val="left" w:pos="2160"/>
          <w:tab w:val="left" w:pos="2700"/>
        </w:tabs>
        <w:ind w:left="2700" w:hanging="2700"/>
      </w:pPr>
      <w:r>
        <w:lastRenderedPageBreak/>
        <w:tab/>
        <w:t>(ii)</w:t>
      </w:r>
      <w:r>
        <w:tab/>
      </w:r>
      <w:proofErr w:type="gramStart"/>
      <w:r w:rsidR="006A370E" w:rsidRPr="00FD55E3">
        <w:t>has</w:t>
      </w:r>
      <w:proofErr w:type="gramEnd"/>
      <w:r w:rsidR="006A370E" w:rsidRPr="00FD55E3">
        <w:t xml:space="preserve"> produced a plan for the proceeding that sets out a workable method of advancing the proceeding on behalf of the class and of notifying class members of the proceeding, and</w:t>
      </w:r>
    </w:p>
    <w:p w:rsidR="006A370E" w:rsidRDefault="006A370E" w:rsidP="006A370E">
      <w:pPr>
        <w:pStyle w:val="Citation-AltC"/>
        <w:ind w:left="2880"/>
      </w:pPr>
    </w:p>
    <w:p w:rsidR="006A370E" w:rsidRPr="00FD55E3" w:rsidRDefault="004E3AC5" w:rsidP="004E3AC5">
      <w:pPr>
        <w:pStyle w:val="Citation-AltC"/>
        <w:tabs>
          <w:tab w:val="left" w:pos="2160"/>
          <w:tab w:val="left" w:pos="2700"/>
        </w:tabs>
        <w:ind w:left="2700" w:hanging="2700"/>
      </w:pPr>
      <w:r>
        <w:tab/>
        <w:t>(iii)</w:t>
      </w:r>
      <w:r>
        <w:tab/>
      </w:r>
      <w:proofErr w:type="gramStart"/>
      <w:r w:rsidR="006A370E" w:rsidRPr="00FD55E3">
        <w:t>does</w:t>
      </w:r>
      <w:proofErr w:type="gramEnd"/>
      <w:r w:rsidR="006A370E" w:rsidRPr="00FD55E3">
        <w:t xml:space="preserve"> not have, on the common issues, an interest that is in conflict with the interests of other class members.</w:t>
      </w:r>
    </w:p>
    <w:p w:rsidR="006A370E" w:rsidRPr="00FD55E3" w:rsidRDefault="00433E90" w:rsidP="00433E90">
      <w:pPr>
        <w:pStyle w:val="Title3LevelTitre3Niveau"/>
        <w:numPr>
          <w:ilvl w:val="0"/>
          <w:numId w:val="0"/>
        </w:numPr>
        <w:tabs>
          <w:tab w:val="left" w:pos="1170"/>
        </w:tabs>
        <w:ind w:left="1800" w:hanging="1800"/>
        <w:rPr>
          <w:rFonts w:cs="Times New Roman"/>
        </w:rPr>
      </w:pPr>
      <w:bookmarkStart w:id="109" w:name="_Toc360611915"/>
      <w:bookmarkStart w:id="110" w:name="_Toc367887592"/>
      <w:bookmarkStart w:id="111" w:name="_Toc367948556"/>
      <w:bookmarkStart w:id="112" w:name="_Toc367957385"/>
      <w:bookmarkStart w:id="113" w:name="_Toc369188633"/>
      <w:bookmarkStart w:id="114" w:name="_Toc370903015"/>
      <w:r w:rsidRPr="00433E90">
        <w:rPr>
          <w:rFonts w:cs="Times New Roman"/>
          <w:u w:val="none"/>
        </w:rPr>
        <w:tab/>
        <w:t>(2)</w:t>
      </w:r>
      <w:r w:rsidRPr="00433E90">
        <w:rPr>
          <w:rFonts w:cs="Times New Roman"/>
          <w:u w:val="none"/>
        </w:rPr>
        <w:tab/>
      </w:r>
      <w:r w:rsidR="006A370E" w:rsidRPr="00FD55E3">
        <w:rPr>
          <w:rFonts w:cs="Times New Roman"/>
        </w:rPr>
        <w:t xml:space="preserve">Do the </w:t>
      </w:r>
      <w:r w:rsidR="006A370E">
        <w:rPr>
          <w:rFonts w:cs="Times New Roman"/>
        </w:rPr>
        <w:t>Pleadings Disclose a Cause of A</w:t>
      </w:r>
      <w:r w:rsidR="006A370E" w:rsidRPr="00FD55E3">
        <w:rPr>
          <w:rFonts w:cs="Times New Roman"/>
        </w:rPr>
        <w:t>ction?</w:t>
      </w:r>
      <w:bookmarkEnd w:id="109"/>
      <w:bookmarkEnd w:id="110"/>
      <w:bookmarkEnd w:id="111"/>
      <w:bookmarkEnd w:id="112"/>
      <w:bookmarkEnd w:id="113"/>
      <w:bookmarkEnd w:id="114"/>
    </w:p>
    <w:p w:rsidR="006A370E" w:rsidRPr="00FD55E3" w:rsidRDefault="006A370E" w:rsidP="006A370E">
      <w:pPr>
        <w:pStyle w:val="ParaNoNdepar-AltN"/>
        <w:rPr>
          <w:rFonts w:cs="Times New Roman"/>
        </w:rPr>
      </w:pPr>
      <w:r w:rsidRPr="00FD55E3">
        <w:rPr>
          <w:rFonts w:cs="Times New Roman"/>
        </w:rPr>
        <w:t xml:space="preserve">The first certification requirement requires that the pleadings disclose a cause of action. In </w:t>
      </w:r>
      <w:r w:rsidRPr="00FD55E3">
        <w:rPr>
          <w:rFonts w:cs="Times New Roman"/>
          <w:i/>
        </w:rPr>
        <w:t>Alberta v. Elder Advocates of Alberta Society</w:t>
      </w:r>
      <w:r w:rsidRPr="00FD55E3">
        <w:rPr>
          <w:rFonts w:cs="Times New Roman"/>
        </w:rPr>
        <w:t>,</w:t>
      </w:r>
      <w:r>
        <w:rPr>
          <w:rFonts w:cs="Times New Roman"/>
        </w:rPr>
        <w:t xml:space="preserve"> 2011 SCC 24, [2011] 2 S.C.R. 261 (“</w:t>
      </w:r>
      <w:r w:rsidRPr="00FD55E3">
        <w:rPr>
          <w:rFonts w:cs="Times New Roman"/>
          <w:i/>
        </w:rPr>
        <w:t>Alberta Elders</w:t>
      </w:r>
      <w:r>
        <w:rPr>
          <w:rFonts w:cs="Times New Roman"/>
        </w:rPr>
        <w:t>”)</w:t>
      </w:r>
      <w:r w:rsidRPr="00FD55E3">
        <w:rPr>
          <w:rFonts w:cs="Times New Roman"/>
        </w:rPr>
        <w:t>, this Court explained that this requirement is assessed on the same standard of proof that applies to a motion to dismiss</w:t>
      </w:r>
      <w:r>
        <w:rPr>
          <w:rFonts w:cs="Times New Roman"/>
        </w:rPr>
        <w:t>, as set out in</w:t>
      </w:r>
      <w:r w:rsidRPr="00FD55E3">
        <w:rPr>
          <w:rFonts w:cs="Times New Roman"/>
          <w:i/>
          <w:iCs/>
        </w:rPr>
        <w:t xml:space="preserve"> Hunt v. Carey Canada Inc.</w:t>
      </w:r>
      <w:r w:rsidRPr="00FD55E3">
        <w:rPr>
          <w:rFonts w:cs="Times New Roman"/>
        </w:rPr>
        <w:t>, [1990] 2 S.C.R. 959, at p. 980. That is, a plaintiff satisfies this requirement unless, assuming all facts pleaded to be true, it is plain and obvious that the plain</w:t>
      </w:r>
      <w:r>
        <w:rPr>
          <w:rFonts w:cs="Times New Roman"/>
        </w:rPr>
        <w:t>tiff’s claim cannot succeed</w:t>
      </w:r>
      <w:r w:rsidRPr="00FD55E3">
        <w:rPr>
          <w:rFonts w:cs="Times New Roman"/>
        </w:rPr>
        <w:t xml:space="preserve"> </w:t>
      </w:r>
      <w:r>
        <w:rPr>
          <w:rFonts w:cs="Times New Roman"/>
        </w:rPr>
        <w:t>(</w:t>
      </w:r>
      <w:r>
        <w:rPr>
          <w:rFonts w:cs="Times New Roman"/>
          <w:i/>
        </w:rPr>
        <w:t>Alberta</w:t>
      </w:r>
      <w:r w:rsidRPr="00FD55E3">
        <w:rPr>
          <w:rFonts w:cs="Times New Roman"/>
          <w:i/>
        </w:rPr>
        <w:t xml:space="preserve"> Elder</w:t>
      </w:r>
      <w:r>
        <w:rPr>
          <w:rFonts w:cs="Times New Roman"/>
          <w:i/>
        </w:rPr>
        <w:t>s</w:t>
      </w:r>
      <w:r w:rsidRPr="00FD55E3">
        <w:rPr>
          <w:rFonts w:cs="Times New Roman"/>
        </w:rPr>
        <w:t xml:space="preserve">, at </w:t>
      </w:r>
      <w:proofErr w:type="spellStart"/>
      <w:r w:rsidRPr="00FD55E3">
        <w:rPr>
          <w:rFonts w:cs="Times New Roman"/>
        </w:rPr>
        <w:t>para</w:t>
      </w:r>
      <w:proofErr w:type="spellEnd"/>
      <w:r>
        <w:rPr>
          <w:rFonts w:cs="Times New Roman"/>
        </w:rPr>
        <w:t>.</w:t>
      </w:r>
      <w:r w:rsidRPr="00FD55E3">
        <w:rPr>
          <w:rFonts w:cs="Times New Roman"/>
        </w:rPr>
        <w:t xml:space="preserve"> 20; </w:t>
      </w:r>
      <w:proofErr w:type="spellStart"/>
      <w:r w:rsidRPr="00FD55E3">
        <w:rPr>
          <w:rFonts w:cs="Times New Roman"/>
          <w:i/>
          <w:iCs/>
        </w:rPr>
        <w:t>Hollick</w:t>
      </w:r>
      <w:proofErr w:type="spellEnd"/>
      <w:r w:rsidRPr="00FD55E3">
        <w:rPr>
          <w:rFonts w:cs="Times New Roman"/>
          <w:i/>
          <w:iCs/>
        </w:rPr>
        <w:t xml:space="preserve"> v. Toronto (City)</w:t>
      </w:r>
      <w:r w:rsidRPr="00FD55E3">
        <w:rPr>
          <w:rFonts w:cs="Times New Roman"/>
        </w:rPr>
        <w:t xml:space="preserve">, 2001 SCC 68, [2001] 3 S.C.R. 158, at </w:t>
      </w:r>
      <w:proofErr w:type="spellStart"/>
      <w:r w:rsidRPr="00FD55E3">
        <w:rPr>
          <w:rFonts w:cs="Times New Roman"/>
        </w:rPr>
        <w:t>para</w:t>
      </w:r>
      <w:proofErr w:type="spellEnd"/>
      <w:r w:rsidRPr="00FD55E3">
        <w:rPr>
          <w:rFonts w:cs="Times New Roman"/>
        </w:rPr>
        <w:t>. 25</w:t>
      </w:r>
      <w:r>
        <w:rPr>
          <w:rFonts w:cs="Times New Roman"/>
        </w:rPr>
        <w:t>)</w:t>
      </w:r>
      <w:r w:rsidRPr="00FD55E3">
        <w:rPr>
          <w:rFonts w:cs="Times New Roman"/>
        </w:rPr>
        <w:t xml:space="preserve">.  </w:t>
      </w:r>
    </w:p>
    <w:p w:rsidR="006A370E" w:rsidRPr="00EF3C4C" w:rsidRDefault="006A370E" w:rsidP="006A370E">
      <w:pPr>
        <w:pStyle w:val="ParaNoNdepar-AltN"/>
        <w:rPr>
          <w:rFonts w:cs="Times New Roman"/>
        </w:rPr>
      </w:pPr>
      <w:r w:rsidRPr="00FD55E3">
        <w:rPr>
          <w:rFonts w:cs="Times New Roman"/>
        </w:rPr>
        <w:t xml:space="preserve">Pro-Sys has alleged causes of action </w:t>
      </w:r>
      <w:r>
        <w:rPr>
          <w:rFonts w:cs="Times New Roman"/>
        </w:rPr>
        <w:t xml:space="preserve">(1) </w:t>
      </w:r>
      <w:r w:rsidRPr="00FD55E3">
        <w:t xml:space="preserve">under s. 36 of the </w:t>
      </w:r>
      <w:r w:rsidRPr="00EF3C4C">
        <w:rPr>
          <w:i/>
        </w:rPr>
        <w:t>Competition Act</w:t>
      </w:r>
      <w:r>
        <w:t>,</w:t>
      </w:r>
      <w:r w:rsidRPr="00FD55E3">
        <w:t xml:space="preserve"> </w:t>
      </w:r>
      <w:r>
        <w:t xml:space="preserve">(2) </w:t>
      </w:r>
      <w:r w:rsidRPr="00FD55E3">
        <w:t>in tort for conspiracy and intentional interference with economic interest</w:t>
      </w:r>
      <w:r>
        <w:t>s</w:t>
      </w:r>
      <w:r w:rsidRPr="00FD55E3">
        <w:t xml:space="preserve">, and </w:t>
      </w:r>
      <w:r>
        <w:t xml:space="preserve">(3) </w:t>
      </w:r>
      <w:r w:rsidRPr="00FD55E3">
        <w:t xml:space="preserve">in restitution for unjust enrichment, constructive trust and waiver of tort. </w:t>
      </w:r>
      <w:r w:rsidRPr="00EF3C4C">
        <w:rPr>
          <w:rFonts w:cs="Times New Roman"/>
        </w:rPr>
        <w:t xml:space="preserve">For the reasons that follow, I would agree with </w:t>
      </w:r>
      <w:proofErr w:type="spellStart"/>
      <w:r w:rsidRPr="00EF3C4C">
        <w:rPr>
          <w:rFonts w:cs="Times New Roman"/>
        </w:rPr>
        <w:t>Tysoe</w:t>
      </w:r>
      <w:proofErr w:type="spellEnd"/>
      <w:r w:rsidRPr="00EF3C4C">
        <w:rPr>
          <w:rFonts w:cs="Times New Roman"/>
        </w:rPr>
        <w:t xml:space="preserve"> J. that the pleadings disclose causes of action that should not be struck out at this stage of the proceedings.  </w:t>
      </w:r>
    </w:p>
    <w:p w:rsidR="006A370E" w:rsidRPr="00FD55E3" w:rsidRDefault="00433E90" w:rsidP="00433E90">
      <w:pPr>
        <w:pStyle w:val="Title4LevelTitre4Niveau"/>
        <w:numPr>
          <w:ilvl w:val="0"/>
          <w:numId w:val="0"/>
        </w:numPr>
        <w:tabs>
          <w:tab w:val="left" w:pos="1170"/>
        </w:tabs>
        <w:ind w:left="1800" w:hanging="1800"/>
        <w:rPr>
          <w:rFonts w:cs="Times New Roman"/>
        </w:rPr>
      </w:pPr>
      <w:bookmarkStart w:id="115" w:name="_Toc360611916"/>
      <w:bookmarkStart w:id="116" w:name="_Toc367887593"/>
      <w:bookmarkStart w:id="117" w:name="_Toc367948557"/>
      <w:bookmarkStart w:id="118" w:name="_Toc367957386"/>
      <w:bookmarkStart w:id="119" w:name="_Toc369188634"/>
      <w:r>
        <w:rPr>
          <w:rFonts w:cs="Times New Roman"/>
        </w:rPr>
        <w:tab/>
      </w:r>
      <w:r w:rsidRPr="00433E90">
        <w:rPr>
          <w:rFonts w:cs="Times New Roman"/>
          <w:i w:val="0"/>
        </w:rPr>
        <w:t>(a)</w:t>
      </w:r>
      <w:r w:rsidRPr="00433E90">
        <w:rPr>
          <w:rFonts w:cs="Times New Roman"/>
          <w:i w:val="0"/>
        </w:rPr>
        <w:tab/>
      </w:r>
      <w:bookmarkStart w:id="120" w:name="_Toc370903016"/>
      <w:r w:rsidR="006A370E" w:rsidRPr="00FD55E3">
        <w:rPr>
          <w:rFonts w:cs="Times New Roman"/>
        </w:rPr>
        <w:t xml:space="preserve">Section 36 of the </w:t>
      </w:r>
      <w:r w:rsidR="006A370E" w:rsidRPr="00EF3C4C">
        <w:rPr>
          <w:rFonts w:cs="Times New Roman"/>
        </w:rPr>
        <w:t>Competition Act</w:t>
      </w:r>
      <w:bookmarkEnd w:id="115"/>
      <w:bookmarkEnd w:id="116"/>
      <w:bookmarkEnd w:id="117"/>
      <w:bookmarkEnd w:id="118"/>
      <w:bookmarkEnd w:id="119"/>
      <w:bookmarkEnd w:id="120"/>
    </w:p>
    <w:p w:rsidR="006A370E" w:rsidRPr="00FD55E3" w:rsidRDefault="006A370E" w:rsidP="006A370E">
      <w:pPr>
        <w:pStyle w:val="ParaNoNdepar-AltN"/>
        <w:rPr>
          <w:rFonts w:cs="Times New Roman"/>
        </w:rPr>
      </w:pPr>
      <w:r w:rsidRPr="00FD55E3">
        <w:rPr>
          <w:rFonts w:cs="Times New Roman"/>
        </w:rPr>
        <w:lastRenderedPageBreak/>
        <w:t xml:space="preserve">Under s. 36 of the </w:t>
      </w:r>
      <w:r w:rsidRPr="00FD55E3">
        <w:rPr>
          <w:rFonts w:cs="Times New Roman"/>
          <w:i/>
        </w:rPr>
        <w:t>Competition Act</w:t>
      </w:r>
      <w:r>
        <w:rPr>
          <w:rFonts w:cs="Times New Roman"/>
        </w:rPr>
        <w:t>,</w:t>
      </w:r>
      <w:r w:rsidRPr="00FD55E3">
        <w:rPr>
          <w:rFonts w:cs="Times New Roman"/>
        </w:rPr>
        <w:t xml:space="preserve"> any person who has suffered loss or damage as a result of conduct engaged in by any person contrary to Part VI of the </w:t>
      </w:r>
      <w:r w:rsidRPr="00EF3C4C">
        <w:rPr>
          <w:rFonts w:cs="Times New Roman"/>
        </w:rPr>
        <w:t xml:space="preserve">Act </w:t>
      </w:r>
      <w:r w:rsidRPr="00FD55E3">
        <w:rPr>
          <w:rFonts w:cs="Times New Roman"/>
        </w:rPr>
        <w:t>may sue for and recover that loss or damage. Section 36</w:t>
      </w:r>
      <w:r w:rsidRPr="00FD55E3">
        <w:rPr>
          <w:rFonts w:cs="Times New Roman"/>
          <w:i/>
        </w:rPr>
        <w:t xml:space="preserve"> </w:t>
      </w:r>
      <w:r w:rsidRPr="00FD55E3">
        <w:rPr>
          <w:rFonts w:cs="Times New Roman"/>
        </w:rPr>
        <w:t>provides:</w:t>
      </w:r>
    </w:p>
    <w:p w:rsidR="006A370E" w:rsidRPr="00FD55E3" w:rsidRDefault="006A370E" w:rsidP="00A04C95">
      <w:pPr>
        <w:pStyle w:val="Citation-AltC"/>
        <w:ind w:left="0" w:firstLine="1710"/>
      </w:pPr>
      <w:r w:rsidRPr="00B03BDB">
        <w:rPr>
          <w:b/>
        </w:rPr>
        <w:t>36</w:t>
      </w:r>
      <w:r>
        <w:rPr>
          <w:b/>
        </w:rPr>
        <w:t>.</w:t>
      </w:r>
      <w:r>
        <w:t xml:space="preserve"> </w:t>
      </w:r>
      <w:r w:rsidRPr="00FD55E3">
        <w:t xml:space="preserve">(1) Any person who has suffered loss or damage as a result of </w:t>
      </w:r>
    </w:p>
    <w:p w:rsidR="006A370E" w:rsidRPr="00FD55E3" w:rsidRDefault="006A370E" w:rsidP="006A370E">
      <w:pPr>
        <w:pStyle w:val="Citation-AltC"/>
        <w:ind w:left="0"/>
      </w:pPr>
    </w:p>
    <w:p w:rsidR="006A370E" w:rsidRPr="00FD55E3" w:rsidRDefault="006A370E" w:rsidP="006A370E">
      <w:pPr>
        <w:pStyle w:val="Citation-AltC"/>
        <w:tabs>
          <w:tab w:val="left" w:pos="1980"/>
          <w:tab w:val="left" w:pos="2160"/>
        </w:tabs>
        <w:ind w:left="1710"/>
      </w:pPr>
      <w:r>
        <w:t>(</w:t>
      </w:r>
      <w:proofErr w:type="gramStart"/>
      <w:r>
        <w:rPr>
          <w:i/>
        </w:rPr>
        <w:t>a</w:t>
      </w:r>
      <w:proofErr w:type="gramEnd"/>
      <w:r>
        <w:t xml:space="preserve">) </w:t>
      </w:r>
      <w:r w:rsidRPr="00EF3C4C">
        <w:t>conduct</w:t>
      </w:r>
      <w:r w:rsidRPr="00FD55E3">
        <w:t xml:space="preserve"> that is contrary to any provision of Part VI</w:t>
      </w:r>
      <w:r>
        <w:t xml:space="preserve"> . . .</w:t>
      </w:r>
    </w:p>
    <w:p w:rsidR="006A370E" w:rsidRPr="00FD55E3" w:rsidRDefault="006A370E" w:rsidP="006A370E">
      <w:pPr>
        <w:pStyle w:val="Citation-AltC"/>
        <w:ind w:left="0"/>
      </w:pPr>
    </w:p>
    <w:p w:rsidR="006A370E" w:rsidRDefault="006A370E" w:rsidP="006A370E">
      <w:pPr>
        <w:pStyle w:val="Citation-AltC"/>
        <w:ind w:left="0"/>
        <w:jc w:val="center"/>
      </w:pPr>
      <w:r>
        <w:t>. . .</w:t>
      </w:r>
    </w:p>
    <w:p w:rsidR="006A370E" w:rsidRPr="00FD55E3" w:rsidRDefault="006A370E" w:rsidP="006A370E">
      <w:pPr>
        <w:pStyle w:val="Citation-AltC"/>
        <w:ind w:left="0"/>
      </w:pPr>
    </w:p>
    <w:p w:rsidR="006A370E" w:rsidRPr="00FD55E3" w:rsidRDefault="006A370E" w:rsidP="006A370E">
      <w:pPr>
        <w:pStyle w:val="Citation-AltC"/>
        <w:ind w:left="1170"/>
      </w:pPr>
      <w:r w:rsidRPr="00FD55E3">
        <w:t>may in any court of competent jurisdiction, sue for and recover from the person who engaged in the conduct or failed to comply with the order an amount equal to the loss or damage proved to have been suffered by him, together with any additional amount that the court may allow not exceeding the full cost to him of any investigation in connection with the matter and of proceedings under this section.</w:t>
      </w:r>
    </w:p>
    <w:p w:rsidR="006A370E" w:rsidRPr="00EF3C4C" w:rsidRDefault="006A370E" w:rsidP="006A370E">
      <w:pPr>
        <w:pStyle w:val="ParaNoNdepar-AltN"/>
        <w:rPr>
          <w:rFonts w:cs="Times New Roman"/>
        </w:rPr>
      </w:pPr>
      <w:r w:rsidRPr="00FD55E3">
        <w:rPr>
          <w:rFonts w:cs="Times New Roman"/>
        </w:rPr>
        <w:t xml:space="preserve">Part VI of the </w:t>
      </w:r>
      <w:r w:rsidRPr="00FD55E3">
        <w:rPr>
          <w:rFonts w:cs="Times New Roman"/>
          <w:i/>
        </w:rPr>
        <w:t xml:space="preserve">Competition Act </w:t>
      </w:r>
      <w:r w:rsidRPr="00FD55E3">
        <w:rPr>
          <w:rFonts w:cs="Times New Roman"/>
        </w:rPr>
        <w:t xml:space="preserve">is entitled “Offences in Relation to Competition”. The Part VI offences alleged in this appeal are </w:t>
      </w:r>
      <w:r>
        <w:rPr>
          <w:rFonts w:cs="Times New Roman"/>
        </w:rPr>
        <w:t xml:space="preserve">(1) </w:t>
      </w:r>
      <w:r w:rsidRPr="00FD55E3">
        <w:t>conspiracy, contrary to s. 45(1)</w:t>
      </w:r>
      <w:r>
        <w:t>,</w:t>
      </w:r>
      <w:r w:rsidRPr="00FD55E3">
        <w:t xml:space="preserve"> and </w:t>
      </w:r>
      <w:r>
        <w:t xml:space="preserve">(2) </w:t>
      </w:r>
      <w:r w:rsidRPr="00FD55E3">
        <w:t>false or misleading representations</w:t>
      </w:r>
      <w:r>
        <w:t>,</w:t>
      </w:r>
      <w:r w:rsidRPr="00FD55E3">
        <w:t xml:space="preserve"> contrary to s. 52(1). </w:t>
      </w:r>
      <w:r>
        <w:t xml:space="preserve"> At the time of the hearing before </w:t>
      </w:r>
      <w:proofErr w:type="spellStart"/>
      <w:r>
        <w:t>Tysoe</w:t>
      </w:r>
      <w:proofErr w:type="spellEnd"/>
      <w:r>
        <w:t xml:space="preserve"> J., t</w:t>
      </w:r>
      <w:r w:rsidRPr="00FD55E3">
        <w:t>hose provisions read as follows:</w:t>
      </w:r>
    </w:p>
    <w:p w:rsidR="006A370E" w:rsidRPr="00FD55E3" w:rsidRDefault="006A370E" w:rsidP="006A370E">
      <w:pPr>
        <w:pStyle w:val="Citation-AltC"/>
        <w:ind w:left="1080" w:firstLine="360"/>
      </w:pPr>
      <w:r w:rsidRPr="00F673F2">
        <w:rPr>
          <w:b/>
        </w:rPr>
        <w:t>45</w:t>
      </w:r>
      <w:r>
        <w:rPr>
          <w:b/>
        </w:rPr>
        <w:t>.</w:t>
      </w:r>
      <w:r w:rsidRPr="00FD55E3">
        <w:t xml:space="preserve"> (1) </w:t>
      </w:r>
      <w:r>
        <w:t xml:space="preserve">[Conspiracy] </w:t>
      </w:r>
      <w:proofErr w:type="spellStart"/>
      <w:proofErr w:type="gramStart"/>
      <w:r w:rsidRPr="00FD55E3">
        <w:t>Every</w:t>
      </w:r>
      <w:proofErr w:type="gramEnd"/>
      <w:r w:rsidRPr="00FD55E3">
        <w:t xml:space="preserve"> one</w:t>
      </w:r>
      <w:proofErr w:type="spellEnd"/>
      <w:r w:rsidRPr="00FD55E3">
        <w:t xml:space="preserve"> who conspires, combines, agrees or arranges with another person</w:t>
      </w:r>
    </w:p>
    <w:p w:rsidR="006A370E" w:rsidRPr="00FD55E3" w:rsidRDefault="006A370E" w:rsidP="006A370E">
      <w:pPr>
        <w:pStyle w:val="Citation-AltC"/>
      </w:pPr>
    </w:p>
    <w:p w:rsidR="006A370E" w:rsidRDefault="006A370E" w:rsidP="006A370E">
      <w:pPr>
        <w:pStyle w:val="Citation-AltC"/>
        <w:ind w:left="1440"/>
      </w:pPr>
      <w:r>
        <w:t>(</w:t>
      </w:r>
      <w:r w:rsidRPr="003F1384">
        <w:rPr>
          <w:i/>
        </w:rPr>
        <w:t>a</w:t>
      </w:r>
      <w:r>
        <w:t>)</w:t>
      </w:r>
      <w:r>
        <w:tab/>
      </w:r>
      <w:proofErr w:type="gramStart"/>
      <w:r w:rsidRPr="00FD55E3">
        <w:t>to</w:t>
      </w:r>
      <w:proofErr w:type="gramEnd"/>
      <w:r w:rsidRPr="00FD55E3">
        <w:t xml:space="preserve"> limit unduly the facilities for transporting, producing, manufacturing, supplying, storing or dealing in any product, </w:t>
      </w:r>
    </w:p>
    <w:p w:rsidR="006A370E" w:rsidRPr="00FD55E3" w:rsidRDefault="006A370E" w:rsidP="006A370E">
      <w:pPr>
        <w:pStyle w:val="Citation-AltC"/>
        <w:ind w:left="1440"/>
      </w:pPr>
    </w:p>
    <w:p w:rsidR="006A370E" w:rsidRDefault="006A370E" w:rsidP="006A370E">
      <w:pPr>
        <w:pStyle w:val="Citation-AltC"/>
        <w:tabs>
          <w:tab w:val="left" w:pos="1440"/>
        </w:tabs>
        <w:ind w:left="1440"/>
      </w:pPr>
      <w:r>
        <w:t>(</w:t>
      </w:r>
      <w:r w:rsidRPr="00B85FED">
        <w:rPr>
          <w:i/>
        </w:rPr>
        <w:t>b</w:t>
      </w:r>
      <w:r>
        <w:t xml:space="preserve">) </w:t>
      </w:r>
      <w:r>
        <w:tab/>
      </w:r>
      <w:proofErr w:type="gramStart"/>
      <w:r w:rsidRPr="003F1384">
        <w:t>to</w:t>
      </w:r>
      <w:proofErr w:type="gramEnd"/>
      <w:r w:rsidRPr="00FD55E3">
        <w:t xml:space="preserve"> prevent, limit or lessen, unduly, the manufacture or production of a product or to enhance unreasonably the price thereof, </w:t>
      </w:r>
    </w:p>
    <w:p w:rsidR="006A370E" w:rsidRPr="00FD55E3" w:rsidRDefault="006A370E" w:rsidP="006A370E">
      <w:pPr>
        <w:pStyle w:val="Citation-AltC"/>
        <w:tabs>
          <w:tab w:val="left" w:pos="1440"/>
        </w:tabs>
        <w:ind w:left="1440"/>
      </w:pPr>
    </w:p>
    <w:p w:rsidR="006A370E" w:rsidRDefault="006A370E" w:rsidP="006A370E">
      <w:pPr>
        <w:pStyle w:val="Citation-AltC"/>
        <w:ind w:left="1440"/>
      </w:pPr>
      <w:r>
        <w:t>(</w:t>
      </w:r>
      <w:r w:rsidRPr="00B85FED">
        <w:rPr>
          <w:i/>
        </w:rPr>
        <w:t>c</w:t>
      </w:r>
      <w:r>
        <w:t>)</w:t>
      </w:r>
      <w:r>
        <w:tab/>
      </w:r>
      <w:r w:rsidRPr="003F1384">
        <w:t>to</w:t>
      </w:r>
      <w:r w:rsidRPr="00FD55E3">
        <w:t xml:space="preserve"> prevent or lessen, unduly, competition in the production, manufacture, purchase, barter, sale, storage, rental, transportation or supply of a product, or in the price of insurance on person</w:t>
      </w:r>
      <w:r>
        <w:t>s</w:t>
      </w:r>
      <w:r w:rsidRPr="00FD55E3">
        <w:t xml:space="preserve"> or property, or</w:t>
      </w:r>
    </w:p>
    <w:p w:rsidR="006A370E" w:rsidRPr="00FD55E3" w:rsidRDefault="006A370E" w:rsidP="006A370E">
      <w:pPr>
        <w:pStyle w:val="Citation-AltC"/>
        <w:ind w:left="1440"/>
      </w:pPr>
    </w:p>
    <w:p w:rsidR="006A370E" w:rsidRPr="00FD55E3" w:rsidRDefault="006A370E" w:rsidP="006A370E">
      <w:pPr>
        <w:pStyle w:val="Citation-AltC"/>
        <w:ind w:left="1440"/>
      </w:pPr>
      <w:r>
        <w:lastRenderedPageBreak/>
        <w:t>(</w:t>
      </w:r>
      <w:r w:rsidRPr="00B85FED">
        <w:rPr>
          <w:i/>
        </w:rPr>
        <w:t>d</w:t>
      </w:r>
      <w:r>
        <w:t>)</w:t>
      </w:r>
      <w:r>
        <w:tab/>
      </w:r>
      <w:proofErr w:type="gramStart"/>
      <w:r w:rsidRPr="003F1384">
        <w:t>to</w:t>
      </w:r>
      <w:proofErr w:type="gramEnd"/>
      <w:r w:rsidRPr="00FD55E3">
        <w:t xml:space="preserve"> otherwise restrain or injure competition unduly,</w:t>
      </w:r>
    </w:p>
    <w:p w:rsidR="006A370E" w:rsidRPr="00FD55E3" w:rsidRDefault="006A370E" w:rsidP="006A370E">
      <w:pPr>
        <w:pStyle w:val="Citation-AltC"/>
        <w:ind w:left="0"/>
      </w:pPr>
    </w:p>
    <w:p w:rsidR="006A370E" w:rsidRPr="00FD55E3" w:rsidRDefault="006A370E" w:rsidP="006A370E">
      <w:pPr>
        <w:pStyle w:val="Citation-AltC"/>
        <w:ind w:left="1080"/>
      </w:pPr>
      <w:proofErr w:type="gramStart"/>
      <w:r w:rsidRPr="00FD55E3">
        <w:t>is</w:t>
      </w:r>
      <w:proofErr w:type="gramEnd"/>
      <w:r w:rsidRPr="00FD55E3">
        <w:t xml:space="preserve"> guilty of an indictable offence and liable to imprisonment for a term not exceeding five years or to a fine not exceeding ten million dollars or to both.</w:t>
      </w:r>
    </w:p>
    <w:p w:rsidR="006A370E" w:rsidRPr="00FD55E3" w:rsidRDefault="006A370E" w:rsidP="006A370E">
      <w:pPr>
        <w:pStyle w:val="Citation-AltC"/>
        <w:ind w:left="0"/>
        <w:rPr>
          <w:u w:val="single"/>
        </w:rPr>
      </w:pPr>
    </w:p>
    <w:p w:rsidR="006A370E" w:rsidRPr="00FD55E3" w:rsidRDefault="006A370E" w:rsidP="006A370E">
      <w:pPr>
        <w:pStyle w:val="Citation-AltC"/>
        <w:ind w:left="1080" w:firstLine="360"/>
      </w:pPr>
      <w:r w:rsidRPr="00FD55E3">
        <w:rPr>
          <w:b/>
          <w:bCs/>
        </w:rPr>
        <w:t>52.</w:t>
      </w:r>
      <w:r w:rsidRPr="00FD55E3">
        <w:t> (1) </w:t>
      </w:r>
      <w:r>
        <w:t xml:space="preserve">[False or misleading representations] </w:t>
      </w:r>
      <w:r w:rsidRPr="00FD55E3">
        <w:t>No person shall, for the purpose of promoting, directly or indirectly, the supply or use of a product or for the purpose of promoting, directly or indirectly, any business interest, by any means whatever, knowingly or recklessly make a representation to the public that is false or misleading in a material respect.</w:t>
      </w:r>
    </w:p>
    <w:p w:rsidR="006A370E" w:rsidRPr="00FD55E3" w:rsidRDefault="006A370E" w:rsidP="006A370E">
      <w:pPr>
        <w:pStyle w:val="Citation-AltC"/>
        <w:ind w:left="0"/>
      </w:pPr>
    </w:p>
    <w:p w:rsidR="006A370E" w:rsidRPr="00FD55E3" w:rsidRDefault="006A370E" w:rsidP="006A370E">
      <w:pPr>
        <w:pStyle w:val="ParaNoNdepar-AltN"/>
        <w:rPr>
          <w:rFonts w:cs="Times New Roman"/>
        </w:rPr>
      </w:pPr>
      <w:r w:rsidRPr="00FD55E3">
        <w:rPr>
          <w:rFonts w:cs="Times New Roman"/>
        </w:rPr>
        <w:t xml:space="preserve">The bulk of Microsoft’s objections to the cause of action under s. 36 of the </w:t>
      </w:r>
      <w:r w:rsidRPr="00FD55E3">
        <w:rPr>
          <w:rFonts w:cs="Times New Roman"/>
          <w:i/>
        </w:rPr>
        <w:t xml:space="preserve">Competition Act </w:t>
      </w:r>
      <w:r w:rsidRPr="00FD55E3">
        <w:rPr>
          <w:rFonts w:cs="Times New Roman"/>
        </w:rPr>
        <w:t xml:space="preserve">are tied to the theory that offensive passing on is not permitted. In view of my earlier finding that indirect purchaser actions are permitted, those arguments are no longer of consequence in this appeal. </w:t>
      </w:r>
    </w:p>
    <w:p w:rsidR="006A370E" w:rsidRPr="00FD55E3" w:rsidRDefault="006A370E" w:rsidP="006A370E">
      <w:pPr>
        <w:pStyle w:val="ParaNoNdepar-AltN"/>
        <w:rPr>
          <w:rFonts w:cs="Times New Roman"/>
        </w:rPr>
      </w:pPr>
      <w:r w:rsidRPr="00FD55E3">
        <w:rPr>
          <w:rFonts w:cs="Times New Roman"/>
        </w:rPr>
        <w:t>However, Microsoft also argues that the s. 36 cause of action is not properly plead</w:t>
      </w:r>
      <w:r>
        <w:rPr>
          <w:rFonts w:cs="Times New Roman"/>
        </w:rPr>
        <w:t>ed</w:t>
      </w:r>
      <w:r w:rsidRPr="00FD55E3">
        <w:rPr>
          <w:rFonts w:cs="Times New Roman"/>
        </w:rPr>
        <w:t xml:space="preserve"> before this Court because it was not included in Pro-</w:t>
      </w:r>
      <w:proofErr w:type="spellStart"/>
      <w:r w:rsidRPr="00FD55E3">
        <w:rPr>
          <w:rFonts w:cs="Times New Roman"/>
        </w:rPr>
        <w:t>Sys’</w:t>
      </w:r>
      <w:r>
        <w:rPr>
          <w:rFonts w:cs="Times New Roman"/>
        </w:rPr>
        <w:t>s</w:t>
      </w:r>
      <w:proofErr w:type="spellEnd"/>
      <w:r w:rsidRPr="00FD55E3">
        <w:rPr>
          <w:rFonts w:cs="Times New Roman"/>
        </w:rPr>
        <w:t xml:space="preserve"> </w:t>
      </w:r>
      <w:r>
        <w:rPr>
          <w:rFonts w:cs="Times New Roman"/>
        </w:rPr>
        <w:t>statement of c</w:t>
      </w:r>
      <w:r w:rsidRPr="00FD55E3">
        <w:rPr>
          <w:rFonts w:cs="Times New Roman"/>
        </w:rPr>
        <w:t>laim. It argues that any attempt to add it now would be barred by the two</w:t>
      </w:r>
      <w:r>
        <w:rPr>
          <w:rFonts w:cs="Times New Roman"/>
        </w:rPr>
        <w:t>-</w:t>
      </w:r>
      <w:r w:rsidRPr="00FD55E3">
        <w:rPr>
          <w:rFonts w:cs="Times New Roman"/>
        </w:rPr>
        <w:t xml:space="preserve">year limitation period contained in s. 36(4) of the </w:t>
      </w:r>
      <w:r w:rsidRPr="00FA4B14">
        <w:rPr>
          <w:rFonts w:cs="Times New Roman"/>
        </w:rPr>
        <w:t>Act.</w:t>
      </w:r>
      <w:r w:rsidRPr="00FD55E3">
        <w:rPr>
          <w:rFonts w:cs="Times New Roman"/>
        </w:rPr>
        <w:t xml:space="preserve"> However, Donald J.A.</w:t>
      </w:r>
      <w:r>
        <w:rPr>
          <w:rFonts w:cs="Times New Roman"/>
        </w:rPr>
        <w:t>,</w:t>
      </w:r>
      <w:r w:rsidRPr="00FD55E3">
        <w:rPr>
          <w:rFonts w:cs="Times New Roman"/>
        </w:rPr>
        <w:t xml:space="preserve"> dissenting in the B</w:t>
      </w:r>
      <w:r>
        <w:rPr>
          <w:rFonts w:cs="Times New Roman"/>
        </w:rPr>
        <w:t>.</w:t>
      </w:r>
      <w:r w:rsidRPr="00FD55E3">
        <w:rPr>
          <w:rFonts w:cs="Times New Roman"/>
        </w:rPr>
        <w:t>C</w:t>
      </w:r>
      <w:r>
        <w:rPr>
          <w:rFonts w:cs="Times New Roman"/>
        </w:rPr>
        <w:t>.</w:t>
      </w:r>
      <w:r w:rsidRPr="00FD55E3">
        <w:rPr>
          <w:rFonts w:cs="Times New Roman"/>
        </w:rPr>
        <w:t>C</w:t>
      </w:r>
      <w:r>
        <w:rPr>
          <w:rFonts w:cs="Times New Roman"/>
        </w:rPr>
        <w:t>.</w:t>
      </w:r>
      <w:r w:rsidRPr="00FD55E3">
        <w:rPr>
          <w:rFonts w:cs="Times New Roman"/>
        </w:rPr>
        <w:t>A</w:t>
      </w:r>
      <w:r>
        <w:rPr>
          <w:rFonts w:cs="Times New Roman"/>
        </w:rPr>
        <w:t>.,</w:t>
      </w:r>
      <w:r w:rsidRPr="00FD55E3">
        <w:rPr>
          <w:rFonts w:cs="Times New Roman"/>
        </w:rPr>
        <w:t xml:space="preserve"> found Microsoft’s contention to be a purely technical objection, and not one that would form a basis to dismiss the claim. I would agree. The </w:t>
      </w:r>
      <w:r>
        <w:rPr>
          <w:rFonts w:cs="Times New Roman"/>
        </w:rPr>
        <w:t xml:space="preserve">Third </w:t>
      </w:r>
      <w:r w:rsidRPr="00FD55E3">
        <w:rPr>
          <w:rFonts w:cs="Times New Roman"/>
        </w:rPr>
        <w:t>Further Amended Statement of Claim alleges that the unlawful conduct was continuing, a fact that must be accepted as being true for the purposes of this appeal. As a result</w:t>
      </w:r>
      <w:r>
        <w:rPr>
          <w:rFonts w:cs="Times New Roman"/>
        </w:rPr>
        <w:t>,</w:t>
      </w:r>
      <w:r w:rsidRPr="00FD55E3">
        <w:rPr>
          <w:rFonts w:cs="Times New Roman"/>
        </w:rPr>
        <w:t xml:space="preserve"> it cannot be said that the action was not filed in a timely manner. </w:t>
      </w:r>
    </w:p>
    <w:p w:rsidR="006A370E" w:rsidRPr="00FD55E3" w:rsidRDefault="006A370E" w:rsidP="006A370E">
      <w:pPr>
        <w:pStyle w:val="ParaNoNdepar-AltN"/>
        <w:rPr>
          <w:rFonts w:cs="Times New Roman"/>
        </w:rPr>
      </w:pPr>
      <w:r w:rsidRPr="00FD55E3">
        <w:rPr>
          <w:rFonts w:cs="Times New Roman"/>
        </w:rPr>
        <w:lastRenderedPageBreak/>
        <w:t xml:space="preserve">Moreover, the </w:t>
      </w:r>
      <w:r>
        <w:rPr>
          <w:rFonts w:cs="Times New Roman"/>
        </w:rPr>
        <w:t xml:space="preserve">Third </w:t>
      </w:r>
      <w:r w:rsidRPr="00FD55E3">
        <w:rPr>
          <w:rFonts w:cs="Times New Roman"/>
        </w:rPr>
        <w:t>Further Amended Statement of Claim states specifically that “[t]he</w:t>
      </w:r>
      <w:r>
        <w:rPr>
          <w:rFonts w:cs="Times New Roman"/>
        </w:rPr>
        <w:t xml:space="preserve"> plaintiffs plead and rely upon . . . . </w:t>
      </w:r>
      <w:r w:rsidRPr="00FD55E3">
        <w:rPr>
          <w:rFonts w:cs="Times New Roman"/>
        </w:rPr>
        <w:t xml:space="preserve">Part VI of the </w:t>
      </w:r>
      <w:r w:rsidRPr="00FD55E3">
        <w:rPr>
          <w:rFonts w:cs="Times New Roman"/>
          <w:i/>
        </w:rPr>
        <w:t>Competition Act</w:t>
      </w:r>
      <w:r>
        <w:rPr>
          <w:rFonts w:cs="Times New Roman"/>
        </w:rPr>
        <w:t>” (</w:t>
      </w:r>
      <w:proofErr w:type="spellStart"/>
      <w:r w:rsidRPr="00FD55E3">
        <w:rPr>
          <w:rFonts w:cs="Times New Roman"/>
        </w:rPr>
        <w:t>para</w:t>
      </w:r>
      <w:proofErr w:type="spellEnd"/>
      <w:r w:rsidRPr="00FD55E3">
        <w:rPr>
          <w:rFonts w:cs="Times New Roman"/>
        </w:rPr>
        <w:t>. 109</w:t>
      </w:r>
      <w:r>
        <w:rPr>
          <w:rFonts w:cs="Times New Roman"/>
        </w:rPr>
        <w:t>, A.R., vol. II, at p. 48</w:t>
      </w:r>
      <w:r w:rsidRPr="00FD55E3">
        <w:rPr>
          <w:rFonts w:cs="Times New Roman"/>
        </w:rPr>
        <w:t>) and seek</w:t>
      </w:r>
      <w:r>
        <w:rPr>
          <w:rFonts w:cs="Times New Roman"/>
        </w:rPr>
        <w:t>s</w:t>
      </w:r>
      <w:r w:rsidRPr="00FD55E3">
        <w:rPr>
          <w:rFonts w:cs="Times New Roman"/>
        </w:rPr>
        <w:t xml:space="preserve"> damages accordingly. Although the </w:t>
      </w:r>
      <w:r>
        <w:rPr>
          <w:rFonts w:cs="Times New Roman"/>
        </w:rPr>
        <w:t xml:space="preserve">Third </w:t>
      </w:r>
      <w:r w:rsidRPr="00FD55E3">
        <w:rPr>
          <w:rFonts w:cs="Times New Roman"/>
        </w:rPr>
        <w:t xml:space="preserve">Further Amended Statement of Claim does not expressly refer to s. 36, recovery for breaches under Part VI of the </w:t>
      </w:r>
      <w:r w:rsidRPr="00FD55E3">
        <w:rPr>
          <w:rFonts w:cs="Times New Roman"/>
          <w:i/>
        </w:rPr>
        <w:t>Competition Act</w:t>
      </w:r>
      <w:r w:rsidRPr="00FD55E3">
        <w:rPr>
          <w:rFonts w:cs="Times New Roman"/>
        </w:rPr>
        <w:t xml:space="preserve"> may only be sought by private individuals through a claim under s. 36. I agree with Donald J.A. that “</w:t>
      </w:r>
      <w:r w:rsidRPr="00FD55E3">
        <w:rPr>
          <w:rFonts w:cs="Times New Roman"/>
          <w:szCs w:val="24"/>
        </w:rPr>
        <w:t xml:space="preserve">the parties put their minds to s. 36 at the certification hearing and so no surprise or prejudice can be complained of” </w:t>
      </w:r>
      <w:r>
        <w:rPr>
          <w:rFonts w:cs="Times New Roman"/>
          <w:szCs w:val="24"/>
        </w:rPr>
        <w:t>(</w:t>
      </w:r>
      <w:r w:rsidRPr="00FD55E3">
        <w:rPr>
          <w:rFonts w:cs="Times New Roman"/>
          <w:szCs w:val="24"/>
        </w:rPr>
        <w:t>B</w:t>
      </w:r>
      <w:r>
        <w:rPr>
          <w:rFonts w:cs="Times New Roman"/>
          <w:szCs w:val="24"/>
        </w:rPr>
        <w:t>.</w:t>
      </w:r>
      <w:r w:rsidRPr="00FD55E3">
        <w:rPr>
          <w:rFonts w:cs="Times New Roman"/>
          <w:szCs w:val="24"/>
        </w:rPr>
        <w:t>C</w:t>
      </w:r>
      <w:r>
        <w:rPr>
          <w:rFonts w:cs="Times New Roman"/>
          <w:szCs w:val="24"/>
        </w:rPr>
        <w:t>.</w:t>
      </w:r>
      <w:r w:rsidRPr="00FD55E3">
        <w:rPr>
          <w:rFonts w:cs="Times New Roman"/>
          <w:szCs w:val="24"/>
        </w:rPr>
        <w:t>C</w:t>
      </w:r>
      <w:r>
        <w:rPr>
          <w:rFonts w:cs="Times New Roman"/>
          <w:szCs w:val="24"/>
        </w:rPr>
        <w:t>.</w:t>
      </w:r>
      <w:r w:rsidRPr="00FD55E3">
        <w:rPr>
          <w:rFonts w:cs="Times New Roman"/>
          <w:szCs w:val="24"/>
        </w:rPr>
        <w:t>A</w:t>
      </w:r>
      <w:r>
        <w:rPr>
          <w:rFonts w:cs="Times New Roman"/>
          <w:szCs w:val="24"/>
        </w:rPr>
        <w:t>.,</w:t>
      </w:r>
      <w:r w:rsidRPr="00FD55E3">
        <w:rPr>
          <w:rFonts w:cs="Times New Roman"/>
          <w:szCs w:val="24"/>
        </w:rPr>
        <w:t xml:space="preserve"> at </w:t>
      </w:r>
      <w:proofErr w:type="spellStart"/>
      <w:r w:rsidRPr="00FD55E3">
        <w:rPr>
          <w:rFonts w:cs="Times New Roman"/>
          <w:szCs w:val="24"/>
        </w:rPr>
        <w:t>para</w:t>
      </w:r>
      <w:proofErr w:type="spellEnd"/>
      <w:r w:rsidRPr="00FD55E3">
        <w:rPr>
          <w:rFonts w:cs="Times New Roman"/>
          <w:szCs w:val="24"/>
        </w:rPr>
        <w:t>. 59</w:t>
      </w:r>
      <w:r>
        <w:rPr>
          <w:rFonts w:cs="Times New Roman"/>
          <w:szCs w:val="24"/>
        </w:rPr>
        <w:t>)</w:t>
      </w:r>
      <w:r w:rsidRPr="00FD55E3">
        <w:rPr>
          <w:rFonts w:cs="Times New Roman"/>
          <w:szCs w:val="24"/>
        </w:rPr>
        <w:t xml:space="preserve">. </w:t>
      </w:r>
      <w:r w:rsidRPr="00FD55E3">
        <w:rPr>
          <w:rFonts w:cs="Times New Roman"/>
        </w:rPr>
        <w:t>For these reasons</w:t>
      </w:r>
      <w:r>
        <w:rPr>
          <w:rFonts w:cs="Times New Roman"/>
        </w:rPr>
        <w:t>,</w:t>
      </w:r>
      <w:r w:rsidRPr="00FD55E3">
        <w:rPr>
          <w:rFonts w:cs="Times New Roman"/>
        </w:rPr>
        <w:t xml:space="preserve"> I would not accede to Microsoft’s argument that the claim should be barred by the limitation provision of the </w:t>
      </w:r>
      <w:r w:rsidRPr="00FD55E3">
        <w:rPr>
          <w:rFonts w:cs="Times New Roman"/>
          <w:i/>
        </w:rPr>
        <w:t>Competition Act</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Microsoft made other brief arguments objecting to the cause of action under s. 36. Before </w:t>
      </w:r>
      <w:proofErr w:type="spellStart"/>
      <w:r w:rsidRPr="00FD55E3">
        <w:rPr>
          <w:rFonts w:cs="Times New Roman"/>
        </w:rPr>
        <w:t>Tysoe</w:t>
      </w:r>
      <w:proofErr w:type="spellEnd"/>
      <w:r w:rsidRPr="00FD55E3">
        <w:rPr>
          <w:rFonts w:cs="Times New Roman"/>
        </w:rPr>
        <w:t xml:space="preserve"> J.</w:t>
      </w:r>
      <w:r>
        <w:rPr>
          <w:rFonts w:cs="Times New Roman"/>
        </w:rPr>
        <w:t>,</w:t>
      </w:r>
      <w:r w:rsidRPr="00FD55E3">
        <w:rPr>
          <w:rFonts w:cs="Times New Roman"/>
        </w:rPr>
        <w:t xml:space="preserve"> it argued that the Competition Tribunal should have jurisdiction over the enforcement of the competition law. I agree that a number of provisions of the </w:t>
      </w:r>
      <w:r w:rsidRPr="00FD55E3">
        <w:rPr>
          <w:rFonts w:cs="Times New Roman"/>
          <w:i/>
        </w:rPr>
        <w:t xml:space="preserve">Competition Act </w:t>
      </w:r>
      <w:r w:rsidRPr="00FD55E3">
        <w:rPr>
          <w:rFonts w:cs="Times New Roman"/>
        </w:rPr>
        <w:t xml:space="preserve">assign jurisdiction to the Competition Tribunal rather than the courts. However, that is not the case with s. 36, which expressly provides that any person who suffered loss by virtue of a breach of Part VI of the </w:t>
      </w:r>
      <w:r w:rsidRPr="00FA4B14">
        <w:rPr>
          <w:rFonts w:cs="Times New Roman"/>
        </w:rPr>
        <w:t xml:space="preserve">Act </w:t>
      </w:r>
      <w:r w:rsidRPr="00FD55E3">
        <w:rPr>
          <w:rFonts w:cs="Times New Roman"/>
        </w:rPr>
        <w:t xml:space="preserve">may seek to recover that loss. The section expressly confers jurisdiction on the court to entertain such claims. </w:t>
      </w:r>
    </w:p>
    <w:p w:rsidR="006A370E" w:rsidRPr="00FD55E3" w:rsidRDefault="006A370E" w:rsidP="006A370E">
      <w:pPr>
        <w:pStyle w:val="ParaNoNdepar-AltN"/>
        <w:rPr>
          <w:rFonts w:cs="Times New Roman"/>
        </w:rPr>
      </w:pPr>
      <w:r w:rsidRPr="00FD55E3">
        <w:rPr>
          <w:rFonts w:cs="Times New Roman"/>
        </w:rPr>
        <w:t>For all these reasons</w:t>
      </w:r>
      <w:r>
        <w:rPr>
          <w:rFonts w:cs="Times New Roman"/>
        </w:rPr>
        <w:t>,</w:t>
      </w:r>
      <w:r w:rsidRPr="00FD55E3">
        <w:rPr>
          <w:rFonts w:cs="Times New Roman"/>
        </w:rPr>
        <w:t xml:space="preserve"> it is not plain and obvious that a claim under s. 36 of the </w:t>
      </w:r>
      <w:r w:rsidRPr="00FD55E3">
        <w:rPr>
          <w:rFonts w:cs="Times New Roman"/>
          <w:i/>
        </w:rPr>
        <w:t xml:space="preserve">Competition Act </w:t>
      </w:r>
      <w:r w:rsidRPr="00FD55E3">
        <w:rPr>
          <w:rFonts w:cs="Times New Roman"/>
        </w:rPr>
        <w:t>would be unsuccessful. For the purposes of s. 4(1</w:t>
      </w:r>
      <w:proofErr w:type="gramStart"/>
      <w:r w:rsidRPr="00FD55E3">
        <w:rPr>
          <w:rFonts w:cs="Times New Roman"/>
        </w:rPr>
        <w:t>)(</w:t>
      </w:r>
      <w:proofErr w:type="gramEnd"/>
      <w:r w:rsidRPr="00FD55E3">
        <w:rPr>
          <w:rFonts w:cs="Times New Roman"/>
        </w:rPr>
        <w:t>a)</w:t>
      </w:r>
      <w:r>
        <w:rPr>
          <w:rFonts w:cs="Times New Roman"/>
        </w:rPr>
        <w:t xml:space="preserve"> of the </w:t>
      </w:r>
      <w:r>
        <w:rPr>
          <w:rFonts w:cs="Times New Roman"/>
          <w:i/>
        </w:rPr>
        <w:lastRenderedPageBreak/>
        <w:t>CPA</w:t>
      </w:r>
      <w:r>
        <w:rPr>
          <w:rFonts w:cs="Times New Roman"/>
        </w:rPr>
        <w:t>,</w:t>
      </w:r>
      <w:r w:rsidRPr="00FD55E3">
        <w:rPr>
          <w:rFonts w:cs="Times New Roman"/>
        </w:rPr>
        <w:t xml:space="preserve"> it cannot be said that the pleadings do not disclose a cause of action under s. 36 of the </w:t>
      </w:r>
      <w:r w:rsidRPr="00FD55E3">
        <w:rPr>
          <w:rFonts w:cs="Times New Roman"/>
          <w:i/>
        </w:rPr>
        <w:t>Competition Act</w:t>
      </w:r>
      <w:r w:rsidRPr="00FD55E3">
        <w:rPr>
          <w:rFonts w:cs="Times New Roman"/>
        </w:rPr>
        <w:t xml:space="preserve">.   </w:t>
      </w:r>
    </w:p>
    <w:p w:rsidR="006A370E" w:rsidRPr="00FD55E3" w:rsidRDefault="002E1456" w:rsidP="002E1456">
      <w:pPr>
        <w:pStyle w:val="Title4LevelTitre4Niveau"/>
        <w:numPr>
          <w:ilvl w:val="0"/>
          <w:numId w:val="0"/>
        </w:numPr>
        <w:tabs>
          <w:tab w:val="left" w:pos="1170"/>
        </w:tabs>
        <w:ind w:left="1800" w:hanging="936"/>
        <w:rPr>
          <w:rFonts w:cs="Times New Roman"/>
        </w:rPr>
      </w:pPr>
      <w:bookmarkStart w:id="121" w:name="_Toc360611917"/>
      <w:bookmarkStart w:id="122" w:name="_Toc367887594"/>
      <w:bookmarkStart w:id="123" w:name="_Toc367948558"/>
      <w:bookmarkStart w:id="124" w:name="_Toc367957387"/>
      <w:bookmarkStart w:id="125" w:name="_Toc369188635"/>
      <w:bookmarkStart w:id="126" w:name="_Toc370903017"/>
      <w:r>
        <w:rPr>
          <w:rFonts w:cs="Times New Roman"/>
        </w:rPr>
        <w:tab/>
      </w:r>
      <w:r w:rsidRPr="002E1456">
        <w:rPr>
          <w:rFonts w:cs="Times New Roman"/>
          <w:i w:val="0"/>
        </w:rPr>
        <w:t>(b)</w:t>
      </w:r>
      <w:r w:rsidRPr="002E1456">
        <w:rPr>
          <w:rFonts w:cs="Times New Roman"/>
          <w:i w:val="0"/>
        </w:rPr>
        <w:tab/>
      </w:r>
      <w:r w:rsidR="006A370E" w:rsidRPr="00FD55E3">
        <w:rPr>
          <w:rFonts w:cs="Times New Roman"/>
        </w:rPr>
        <w:t>Tort</w:t>
      </w:r>
      <w:bookmarkEnd w:id="121"/>
      <w:bookmarkEnd w:id="122"/>
      <w:bookmarkEnd w:id="123"/>
      <w:bookmarkEnd w:id="124"/>
      <w:bookmarkEnd w:id="125"/>
      <w:bookmarkEnd w:id="126"/>
    </w:p>
    <w:p w:rsidR="006A370E" w:rsidRPr="00FD55E3" w:rsidRDefault="006A370E" w:rsidP="006A370E">
      <w:pPr>
        <w:pStyle w:val="ParaNoNdepar-AltN"/>
        <w:rPr>
          <w:rFonts w:cs="Times New Roman"/>
        </w:rPr>
      </w:pPr>
      <w:r w:rsidRPr="00FD55E3">
        <w:rPr>
          <w:rFonts w:cs="Times New Roman"/>
        </w:rPr>
        <w:t xml:space="preserve">Pro-Sys alleges that Microsoft combined with various parties to commit the economic torts of conspiracy (both predominant purpose conspiracy and unlawful means conspiracy) and unlawful interference with economic interests. </w:t>
      </w:r>
      <w:r w:rsidRPr="00FD55E3">
        <w:rPr>
          <w:rFonts w:cs="Times New Roman"/>
          <w:lang w:val="en-US"/>
        </w:rPr>
        <w:t>A conspiracy arises when two or more parties agree “</w:t>
      </w:r>
      <w:r w:rsidRPr="00FD55E3">
        <w:rPr>
          <w:rFonts w:cs="Times New Roman"/>
        </w:rPr>
        <w:t>to do an unlawful act, or to do a lawful act by unlawful means</w:t>
      </w:r>
      <w:r>
        <w:rPr>
          <w:rFonts w:cs="Times New Roman"/>
          <w:lang w:val="en-US"/>
        </w:rPr>
        <w:t>” (</w:t>
      </w:r>
      <w:proofErr w:type="spellStart"/>
      <w:r>
        <w:rPr>
          <w:rFonts w:cs="Times New Roman"/>
          <w:i/>
          <w:iCs/>
        </w:rPr>
        <w:t>Mulcahy</w:t>
      </w:r>
      <w:proofErr w:type="spellEnd"/>
      <w:r>
        <w:rPr>
          <w:rFonts w:cs="Times New Roman"/>
          <w:i/>
          <w:iCs/>
        </w:rPr>
        <w:t xml:space="preserve"> v. The Queen</w:t>
      </w:r>
      <w:r w:rsidRPr="00FD55E3">
        <w:rPr>
          <w:rFonts w:cs="Times New Roman"/>
        </w:rPr>
        <w:t xml:space="preserve"> (1868), L.R. 3 H.L. 306</w:t>
      </w:r>
      <w:r>
        <w:rPr>
          <w:rFonts w:cs="Times New Roman"/>
        </w:rPr>
        <w:t>, at p. 317</w:t>
      </w:r>
      <w:r w:rsidRPr="00FD55E3">
        <w:rPr>
          <w:rFonts w:cs="Times New Roman"/>
        </w:rPr>
        <w:t>).</w:t>
      </w:r>
      <w:r w:rsidRPr="00FD55E3">
        <w:rPr>
          <w:rFonts w:cs="Times New Roman"/>
          <w:lang w:val="en-US"/>
        </w:rPr>
        <w:t xml:space="preserve"> </w:t>
      </w:r>
      <w:r w:rsidRPr="00FD55E3">
        <w:rPr>
          <w:rFonts w:cs="Times New Roman"/>
          <w:szCs w:val="24"/>
        </w:rPr>
        <w:t>Despite the fact that the tort of conspiracy traces its origins “to the Middle Ages, [it] is not now a well</w:t>
      </w:r>
      <w:r>
        <w:rPr>
          <w:rFonts w:cs="Times New Roman"/>
          <w:szCs w:val="24"/>
        </w:rPr>
        <w:t>-</w:t>
      </w:r>
      <w:r w:rsidRPr="00FD55E3">
        <w:rPr>
          <w:rFonts w:cs="Times New Roman"/>
          <w:szCs w:val="24"/>
        </w:rPr>
        <w:t>settled tort in terms of its current utility or the scope of the remedy it affords” (</w:t>
      </w:r>
      <w:r w:rsidRPr="00FD55E3">
        <w:rPr>
          <w:rFonts w:cs="Times New Roman"/>
          <w:i/>
          <w:szCs w:val="24"/>
        </w:rPr>
        <w:t>Golden Capital Securities Ltd. v. Holmes</w:t>
      </w:r>
      <w:r w:rsidRPr="00FD55E3">
        <w:rPr>
          <w:rFonts w:cs="Times New Roman"/>
          <w:szCs w:val="24"/>
        </w:rPr>
        <w:t>, 2004 BCCA 565</w:t>
      </w:r>
      <w:r>
        <w:rPr>
          <w:rFonts w:cs="Times New Roman"/>
          <w:szCs w:val="24"/>
        </w:rPr>
        <w:t>, 205 B.C.A.C. 54,</w:t>
      </w:r>
      <w:r w:rsidRPr="00FD55E3">
        <w:rPr>
          <w:rFonts w:cs="Times New Roman"/>
          <w:szCs w:val="24"/>
        </w:rPr>
        <w:t xml:space="preserve"> at </w:t>
      </w:r>
      <w:proofErr w:type="spellStart"/>
      <w:r w:rsidRPr="00FD55E3">
        <w:rPr>
          <w:rFonts w:cs="Times New Roman"/>
          <w:szCs w:val="24"/>
        </w:rPr>
        <w:t>para</w:t>
      </w:r>
      <w:proofErr w:type="spellEnd"/>
      <w:r w:rsidRPr="00FD55E3">
        <w:rPr>
          <w:rFonts w:cs="Times New Roman"/>
          <w:szCs w:val="24"/>
        </w:rPr>
        <w:t xml:space="preserve">. 42). </w:t>
      </w:r>
    </w:p>
    <w:p w:rsidR="006A370E" w:rsidRPr="00FD55E3" w:rsidRDefault="006A370E" w:rsidP="006A370E">
      <w:pPr>
        <w:pStyle w:val="ParaNoNdepar-AltN"/>
        <w:rPr>
          <w:rFonts w:cs="Times New Roman"/>
        </w:rPr>
      </w:pPr>
      <w:r w:rsidRPr="00FD55E3">
        <w:rPr>
          <w:rFonts w:cs="Times New Roman"/>
          <w:lang w:val="en-US"/>
        </w:rPr>
        <w:t>Nonetheless, in Canada</w:t>
      </w:r>
      <w:r>
        <w:rPr>
          <w:rFonts w:cs="Times New Roman"/>
          <w:lang w:val="en-US"/>
        </w:rPr>
        <w:t>,</w:t>
      </w:r>
      <w:r w:rsidRPr="00FD55E3">
        <w:rPr>
          <w:rFonts w:cs="Times New Roman"/>
          <w:lang w:val="en-US"/>
        </w:rPr>
        <w:t xml:space="preserve"> two types of actionable conspiracy remain available under tort law: predominant purpose conspiracy and unlawful means conspiracy. </w:t>
      </w:r>
      <w:r w:rsidRPr="00FD55E3">
        <w:rPr>
          <w:rFonts w:cs="Times New Roman"/>
        </w:rPr>
        <w:t xml:space="preserve">I first address the arguments related to predominant purpose conspiracy. I then turn to unlawful means conspiracy and unlawful interference with economic interests and deal with them together, as the arguments against these causes of action relate to the “unlawful means” requirement common to both torts. </w:t>
      </w:r>
    </w:p>
    <w:p w:rsidR="006A370E" w:rsidRPr="00FD55E3" w:rsidRDefault="002E1456" w:rsidP="002E1456">
      <w:pPr>
        <w:pStyle w:val="Title5LevelTitre5Niveau"/>
        <w:numPr>
          <w:ilvl w:val="0"/>
          <w:numId w:val="0"/>
        </w:numPr>
        <w:tabs>
          <w:tab w:val="left" w:pos="1170"/>
        </w:tabs>
        <w:ind w:left="1710" w:hanging="1710"/>
        <w:rPr>
          <w:rFonts w:cs="Times New Roman"/>
        </w:rPr>
      </w:pPr>
      <w:bookmarkStart w:id="127" w:name="_Toc360611918"/>
      <w:bookmarkStart w:id="128" w:name="_Toc367887595"/>
      <w:bookmarkStart w:id="129" w:name="_Toc367948559"/>
      <w:bookmarkStart w:id="130" w:name="_Toc367957388"/>
      <w:bookmarkStart w:id="131" w:name="_Toc369188636"/>
      <w:bookmarkStart w:id="132" w:name="_Toc370903018"/>
      <w:r w:rsidRPr="002E1456">
        <w:rPr>
          <w:rFonts w:cs="Times New Roman"/>
          <w:u w:val="none"/>
        </w:rPr>
        <w:tab/>
        <w:t>(</w:t>
      </w:r>
      <w:proofErr w:type="spellStart"/>
      <w:r w:rsidRPr="002E1456">
        <w:rPr>
          <w:rFonts w:cs="Times New Roman"/>
          <w:u w:val="none"/>
        </w:rPr>
        <w:t>i</w:t>
      </w:r>
      <w:proofErr w:type="spellEnd"/>
      <w:r w:rsidRPr="002E1456">
        <w:rPr>
          <w:rFonts w:cs="Times New Roman"/>
          <w:u w:val="none"/>
        </w:rPr>
        <w:t>)</w:t>
      </w:r>
      <w:r w:rsidRPr="002E1456">
        <w:rPr>
          <w:rFonts w:cs="Times New Roman"/>
          <w:u w:val="none"/>
        </w:rPr>
        <w:tab/>
      </w:r>
      <w:r w:rsidR="006A370E" w:rsidRPr="00FD55E3">
        <w:rPr>
          <w:rFonts w:cs="Times New Roman"/>
        </w:rPr>
        <w:t>Predominant Purpose Conspiracy</w:t>
      </w:r>
      <w:bookmarkEnd w:id="127"/>
      <w:bookmarkEnd w:id="128"/>
      <w:bookmarkEnd w:id="129"/>
      <w:bookmarkEnd w:id="130"/>
      <w:bookmarkEnd w:id="131"/>
      <w:bookmarkEnd w:id="132"/>
    </w:p>
    <w:p w:rsidR="006A370E" w:rsidRPr="00FD55E3" w:rsidRDefault="006A370E" w:rsidP="006A370E">
      <w:pPr>
        <w:pStyle w:val="ParaNoNdepar-AltN"/>
        <w:rPr>
          <w:rFonts w:cs="Times New Roman"/>
          <w:szCs w:val="24"/>
        </w:rPr>
      </w:pPr>
      <w:r w:rsidRPr="00FD55E3">
        <w:rPr>
          <w:rFonts w:cs="Times New Roman"/>
          <w:lang w:val="en-US"/>
        </w:rPr>
        <w:lastRenderedPageBreak/>
        <w:t xml:space="preserve">Predominant purpose conspiracy is made out where the predominant purpose of the defendant’s conduct is to cause injury to the plaintiff using either lawful or unlawful means, and the plaintiff does in fact suffer loss caused by the defendant’s conduct. Where lawful means are used, if their object is to injure the plaintiff, </w:t>
      </w:r>
      <w:r>
        <w:rPr>
          <w:rFonts w:cs="Times New Roman"/>
          <w:lang w:val="en-US"/>
        </w:rPr>
        <w:t>the lawful acts become unlawful</w:t>
      </w:r>
      <w:r w:rsidRPr="00FD55E3">
        <w:rPr>
          <w:rFonts w:cs="Times New Roman"/>
          <w:lang w:val="en-US"/>
        </w:rPr>
        <w:t xml:space="preserve"> </w:t>
      </w:r>
      <w:r>
        <w:rPr>
          <w:rFonts w:cs="Times New Roman"/>
          <w:lang w:val="en-US"/>
        </w:rPr>
        <w:t>(</w:t>
      </w:r>
      <w:r>
        <w:rPr>
          <w:rFonts w:cs="Times New Roman"/>
          <w:i/>
          <w:lang w:val="en-US"/>
        </w:rPr>
        <w:t xml:space="preserve">Canada </w:t>
      </w:r>
      <w:r w:rsidRPr="00FD55E3">
        <w:rPr>
          <w:rFonts w:cs="Times New Roman"/>
          <w:i/>
          <w:iCs/>
          <w:lang w:val="en-US"/>
        </w:rPr>
        <w:t xml:space="preserve">Cement </w:t>
      </w:r>
      <w:proofErr w:type="spellStart"/>
      <w:r w:rsidRPr="00FD55E3">
        <w:rPr>
          <w:rFonts w:cs="Times New Roman"/>
          <w:i/>
          <w:iCs/>
          <w:lang w:val="en-US"/>
        </w:rPr>
        <w:t>LaFarge</w:t>
      </w:r>
      <w:proofErr w:type="spellEnd"/>
      <w:r w:rsidRPr="00FD55E3">
        <w:rPr>
          <w:rFonts w:cs="Times New Roman"/>
          <w:i/>
          <w:iCs/>
          <w:lang w:val="en-US"/>
        </w:rPr>
        <w:t xml:space="preserve"> Ltd. v. British Columbia Lightweight Aggregate Ltd.</w:t>
      </w:r>
      <w:r w:rsidRPr="00FD55E3">
        <w:rPr>
          <w:rFonts w:cs="Times New Roman"/>
          <w:lang w:val="en-US"/>
        </w:rPr>
        <w:t>, [1983] 1 S.C.R. 452</w:t>
      </w:r>
      <w:r>
        <w:rPr>
          <w:rFonts w:cs="Times New Roman"/>
          <w:lang w:val="en-US"/>
        </w:rPr>
        <w:t>,</w:t>
      </w:r>
      <w:r w:rsidRPr="00FD55E3">
        <w:rPr>
          <w:rFonts w:cs="Times New Roman"/>
          <w:lang w:val="en-US"/>
        </w:rPr>
        <w:t xml:space="preserve"> at </w:t>
      </w:r>
      <w:r>
        <w:rPr>
          <w:rFonts w:cs="Times New Roman"/>
          <w:lang w:val="en-US"/>
        </w:rPr>
        <w:t>p</w:t>
      </w:r>
      <w:r w:rsidRPr="00FD55E3">
        <w:rPr>
          <w:rFonts w:cs="Times New Roman"/>
          <w:lang w:val="en-US"/>
        </w:rPr>
        <w:t>p. 471-72</w:t>
      </w:r>
      <w:r>
        <w:rPr>
          <w:rFonts w:cs="Times New Roman"/>
          <w:lang w:val="en-US"/>
        </w:rPr>
        <w:t>)</w:t>
      </w:r>
      <w:r w:rsidRPr="00FD55E3">
        <w:rPr>
          <w:rFonts w:cs="Times New Roman"/>
          <w:lang w:val="en-US"/>
        </w:rPr>
        <w:t xml:space="preserve">. </w:t>
      </w:r>
    </w:p>
    <w:p w:rsidR="006A370E" w:rsidRPr="00FD55E3" w:rsidRDefault="006A370E" w:rsidP="006A370E">
      <w:pPr>
        <w:pStyle w:val="ParaNoNdepar-AltN"/>
        <w:rPr>
          <w:rFonts w:cs="Times New Roman"/>
          <w:szCs w:val="24"/>
        </w:rPr>
      </w:pPr>
      <w:r w:rsidRPr="00FD55E3">
        <w:rPr>
          <w:rFonts w:cs="Times New Roman"/>
          <w:szCs w:val="24"/>
        </w:rPr>
        <w:t xml:space="preserve">It is worth noting that in </w:t>
      </w:r>
      <w:r w:rsidRPr="00FD55E3">
        <w:rPr>
          <w:rFonts w:cs="Times New Roman"/>
          <w:i/>
          <w:szCs w:val="24"/>
        </w:rPr>
        <w:t xml:space="preserve">Cement </w:t>
      </w:r>
      <w:proofErr w:type="spellStart"/>
      <w:r w:rsidRPr="00FD55E3">
        <w:rPr>
          <w:rFonts w:cs="Times New Roman"/>
          <w:i/>
          <w:szCs w:val="24"/>
        </w:rPr>
        <w:t>LaFarge</w:t>
      </w:r>
      <w:proofErr w:type="spellEnd"/>
      <w:r w:rsidRPr="00FD55E3">
        <w:rPr>
          <w:rFonts w:cs="Times New Roman"/>
          <w:szCs w:val="24"/>
        </w:rPr>
        <w:t xml:space="preserve">, </w:t>
      </w:r>
      <w:proofErr w:type="spellStart"/>
      <w:r w:rsidRPr="00FD55E3">
        <w:rPr>
          <w:rFonts w:cs="Times New Roman"/>
          <w:szCs w:val="24"/>
        </w:rPr>
        <w:t>Estey</w:t>
      </w:r>
      <w:proofErr w:type="spellEnd"/>
      <w:r w:rsidRPr="00FD55E3">
        <w:rPr>
          <w:rFonts w:cs="Times New Roman"/>
          <w:szCs w:val="24"/>
        </w:rPr>
        <w:t xml:space="preserve"> J. wrote that predominant purpose conspiracy is a “commercial anachronism” and that the approach to this tort should be to restrict its application:</w:t>
      </w:r>
    </w:p>
    <w:p w:rsidR="006A370E" w:rsidRPr="00FD55E3" w:rsidRDefault="006A370E" w:rsidP="006A370E">
      <w:pPr>
        <w:pStyle w:val="Citation-AltC"/>
        <w:ind w:firstLine="274"/>
      </w:pPr>
      <w:r w:rsidRPr="00FD55E3">
        <w:t xml:space="preserve">The tort of conspiracy to injure, even without the extension to include a conspiracy to perform unlawful acts where there is a constructive intent to injure, has been the target of much criticism throughout the common law world. It is indeed a commercial anachronism as so aptly illustrated by Lord </w:t>
      </w:r>
      <w:proofErr w:type="spellStart"/>
      <w:r w:rsidRPr="00FD55E3">
        <w:t>Diplock</w:t>
      </w:r>
      <w:proofErr w:type="spellEnd"/>
      <w:r w:rsidRPr="00FD55E3">
        <w:t xml:space="preserve"> in </w:t>
      </w:r>
      <w:proofErr w:type="spellStart"/>
      <w:r w:rsidRPr="00FA4B14">
        <w:rPr>
          <w:i/>
        </w:rPr>
        <w:t>Lonrho</w:t>
      </w:r>
      <w:proofErr w:type="spellEnd"/>
      <w:r w:rsidRPr="00FD55E3">
        <w:t xml:space="preserve">, </w:t>
      </w:r>
      <w:r w:rsidRPr="00FA4B14">
        <w:rPr>
          <w:i/>
        </w:rPr>
        <w:t>supra</w:t>
      </w:r>
      <w:r w:rsidRPr="00FD55E3">
        <w:t xml:space="preserve">, at pp. 188-89. In fact, the action may have lost much of its usefulness in our commercial world, and survives in our law as an anomaly. Whether that </w:t>
      </w:r>
      <w:proofErr w:type="gramStart"/>
      <w:r w:rsidRPr="00FD55E3">
        <w:t>be</w:t>
      </w:r>
      <w:proofErr w:type="gramEnd"/>
      <w:r w:rsidRPr="00FD55E3">
        <w:t xml:space="preserve"> so or not, it is now too late in the day to uproot the tort of conspiracy to injure from the common law. No doubt the reaction of the courts in the future will be to restrict its application for the very reasons that some now advocate its demise. </w:t>
      </w:r>
      <w:r>
        <w:t>[p. 473]</w:t>
      </w:r>
    </w:p>
    <w:p w:rsidR="006A370E" w:rsidRPr="00FD55E3" w:rsidRDefault="006A370E" w:rsidP="006A370E">
      <w:pPr>
        <w:pStyle w:val="ContinueParaSuitedupar-AltP"/>
        <w:rPr>
          <w:rFonts w:cs="Times New Roman"/>
        </w:rPr>
      </w:pPr>
      <w:r w:rsidRPr="00FD55E3">
        <w:rPr>
          <w:rFonts w:cs="Times New Roman"/>
        </w:rPr>
        <w:t xml:space="preserve">Notwithstanding these observations, whether predominant purpose conspiracy should be restricted so as not to apply to the facts of this case is not a matter that should be determined on </w:t>
      </w:r>
      <w:r>
        <w:rPr>
          <w:rFonts w:cs="Times New Roman"/>
        </w:rPr>
        <w:t xml:space="preserve">an application </w:t>
      </w:r>
      <w:r w:rsidRPr="00FD55E3">
        <w:rPr>
          <w:rFonts w:cs="Times New Roman"/>
        </w:rPr>
        <w:t>to strike pleadings.</w:t>
      </w:r>
    </w:p>
    <w:p w:rsidR="006A370E" w:rsidRPr="00FD55E3" w:rsidRDefault="006A370E" w:rsidP="006A370E">
      <w:pPr>
        <w:pStyle w:val="ParaNoNdepar-AltN"/>
        <w:rPr>
          <w:rFonts w:cs="Times New Roman"/>
        </w:rPr>
      </w:pPr>
      <w:r>
        <w:rPr>
          <w:rFonts w:cs="Times New Roman"/>
        </w:rPr>
        <w:t xml:space="preserve">At </w:t>
      </w:r>
      <w:proofErr w:type="spellStart"/>
      <w:r>
        <w:rPr>
          <w:rFonts w:cs="Times New Roman"/>
        </w:rPr>
        <w:t>para</w:t>
      </w:r>
      <w:proofErr w:type="spellEnd"/>
      <w:r>
        <w:rPr>
          <w:rFonts w:cs="Times New Roman"/>
        </w:rPr>
        <w:t>.</w:t>
      </w:r>
      <w:r w:rsidRPr="00FD55E3">
        <w:rPr>
          <w:rFonts w:cs="Times New Roman"/>
        </w:rPr>
        <w:t xml:space="preserve"> 91 of its </w:t>
      </w:r>
      <w:r>
        <w:rPr>
          <w:rFonts w:cs="Times New Roman"/>
        </w:rPr>
        <w:t xml:space="preserve">Third </w:t>
      </w:r>
      <w:r w:rsidRPr="00FD55E3">
        <w:rPr>
          <w:rFonts w:cs="Times New Roman"/>
        </w:rPr>
        <w:t xml:space="preserve">Further Amended Statement of Claim, in a section discussing both predominant purpose and unlawful means conspiracy, Pro-Sys states </w:t>
      </w:r>
      <w:r>
        <w:rPr>
          <w:rFonts w:cs="Times New Roman"/>
        </w:rPr>
        <w:lastRenderedPageBreak/>
        <w:t xml:space="preserve">that </w:t>
      </w:r>
      <w:r w:rsidRPr="00FD55E3">
        <w:rPr>
          <w:rFonts w:cs="Times New Roman"/>
        </w:rPr>
        <w:t>“[t]he defendants were motivated to conspire</w:t>
      </w:r>
      <w:r>
        <w:rPr>
          <w:rFonts w:cs="Times New Roman"/>
        </w:rPr>
        <w:t>”</w:t>
      </w:r>
      <w:r w:rsidRPr="00FD55E3">
        <w:rPr>
          <w:rFonts w:cs="Times New Roman"/>
        </w:rPr>
        <w:t xml:space="preserve"> and</w:t>
      </w:r>
      <w:r>
        <w:rPr>
          <w:rFonts w:cs="Times New Roman"/>
        </w:rPr>
        <w:t xml:space="preserve"> then lists the defendants’ three</w:t>
      </w:r>
      <w:r w:rsidRPr="00FD55E3">
        <w:rPr>
          <w:rFonts w:cs="Times New Roman"/>
        </w:rPr>
        <w:t xml:space="preserve"> </w:t>
      </w:r>
      <w:r>
        <w:rPr>
          <w:rFonts w:cs="Times New Roman"/>
        </w:rPr>
        <w:t>“</w:t>
      </w:r>
      <w:r w:rsidRPr="00FD55E3">
        <w:rPr>
          <w:rFonts w:cs="Times New Roman"/>
        </w:rPr>
        <w:t>predominant purposes and predominant concerns</w:t>
      </w:r>
      <w:r>
        <w:rPr>
          <w:rFonts w:cs="Times New Roman"/>
        </w:rPr>
        <w:t>”</w:t>
      </w:r>
      <w:r w:rsidRPr="00FD55E3">
        <w:rPr>
          <w:rFonts w:cs="Times New Roman"/>
        </w:rPr>
        <w:t>: (1) to harm the plaintiffs by requiring them to purchase Microsoft products rather than competitors</w:t>
      </w:r>
      <w:r>
        <w:rPr>
          <w:rFonts w:cs="Times New Roman"/>
        </w:rPr>
        <w:t>’</w:t>
      </w:r>
      <w:r w:rsidRPr="00FD55E3">
        <w:rPr>
          <w:rFonts w:cs="Times New Roman"/>
        </w:rPr>
        <w:t xml:space="preserve"> products; (2) to harm the plaintiffs by requiring them to pay artificially high prices; </w:t>
      </w:r>
      <w:r>
        <w:rPr>
          <w:rFonts w:cs="Times New Roman"/>
        </w:rPr>
        <w:t>and (3) to unlawfully increase their</w:t>
      </w:r>
      <w:r w:rsidRPr="00FD55E3">
        <w:rPr>
          <w:rFonts w:cs="Times New Roman"/>
        </w:rPr>
        <w:t xml:space="preserve"> profits</w:t>
      </w:r>
      <w:r>
        <w:rPr>
          <w:rFonts w:cs="Times New Roman"/>
        </w:rPr>
        <w:t xml:space="preserve"> (A.R., vol. II, at p. 43)</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Microsoft argues that the tort of predominant purpose conspiracy is not made out because Pro-</w:t>
      </w:r>
      <w:proofErr w:type="spellStart"/>
      <w:r w:rsidRPr="00FD55E3">
        <w:rPr>
          <w:rFonts w:cs="Times New Roman"/>
        </w:rPr>
        <w:t>Sys’</w:t>
      </w:r>
      <w:r>
        <w:rPr>
          <w:rFonts w:cs="Times New Roman"/>
        </w:rPr>
        <w:t>s</w:t>
      </w:r>
      <w:proofErr w:type="spellEnd"/>
      <w:r w:rsidRPr="00FD55E3">
        <w:rPr>
          <w:rFonts w:cs="Times New Roman"/>
        </w:rPr>
        <w:t xml:space="preserve"> </w:t>
      </w:r>
      <w:r>
        <w:rPr>
          <w:rFonts w:cs="Times New Roman"/>
        </w:rPr>
        <w:t>statement of c</w:t>
      </w:r>
      <w:r w:rsidRPr="00FD55E3">
        <w:rPr>
          <w:rFonts w:cs="Times New Roman"/>
        </w:rPr>
        <w:t>laim fails to identify o</w:t>
      </w:r>
      <w:r>
        <w:rPr>
          <w:rFonts w:cs="Times New Roman"/>
        </w:rPr>
        <w:t>ne</w:t>
      </w:r>
      <w:r w:rsidRPr="00FD55E3">
        <w:rPr>
          <w:rFonts w:cs="Times New Roman"/>
        </w:rPr>
        <w:t xml:space="preserve"> true predominant purpose and instead lists several “overlapping purpose</w:t>
      </w:r>
      <w:r>
        <w:rPr>
          <w:rFonts w:cs="Times New Roman"/>
        </w:rPr>
        <w:t>[</w:t>
      </w:r>
      <w:r w:rsidRPr="00FD55E3">
        <w:rPr>
          <w:rFonts w:cs="Times New Roman"/>
        </w:rPr>
        <w:t>s</w:t>
      </w:r>
      <w:r>
        <w:rPr>
          <w:rFonts w:cs="Times New Roman"/>
        </w:rPr>
        <w:t>]</w:t>
      </w:r>
      <w:r w:rsidRPr="00FD55E3">
        <w:rPr>
          <w:rFonts w:cs="Times New Roman"/>
        </w:rPr>
        <w:t xml:space="preserve">” </w:t>
      </w:r>
      <w:r>
        <w:rPr>
          <w:rFonts w:cs="Times New Roman"/>
        </w:rPr>
        <w:t>(</w:t>
      </w:r>
      <w:r w:rsidRPr="00FD55E3">
        <w:rPr>
          <w:rFonts w:cs="Times New Roman"/>
        </w:rPr>
        <w:t>R</w:t>
      </w:r>
      <w:r>
        <w:rPr>
          <w:rFonts w:cs="Times New Roman"/>
        </w:rPr>
        <w:t>.</w:t>
      </w:r>
      <w:r w:rsidRPr="00FD55E3">
        <w:rPr>
          <w:rFonts w:cs="Times New Roman"/>
        </w:rPr>
        <w:t>F</w:t>
      </w:r>
      <w:r>
        <w:rPr>
          <w:rFonts w:cs="Times New Roman"/>
        </w:rPr>
        <w:t>.,</w:t>
      </w:r>
      <w:r w:rsidRPr="00FD55E3">
        <w:rPr>
          <w:rFonts w:cs="Times New Roman"/>
        </w:rPr>
        <w:t xml:space="preserve"> at </w:t>
      </w:r>
      <w:proofErr w:type="spellStart"/>
      <w:r w:rsidRPr="00FD55E3">
        <w:rPr>
          <w:rFonts w:cs="Times New Roman"/>
        </w:rPr>
        <w:t>para</w:t>
      </w:r>
      <w:proofErr w:type="spellEnd"/>
      <w:r w:rsidRPr="00FD55E3">
        <w:rPr>
          <w:rFonts w:cs="Times New Roman"/>
        </w:rPr>
        <w:t>. 93</w:t>
      </w:r>
      <w:r>
        <w:rPr>
          <w:rFonts w:cs="Times New Roman"/>
        </w:rPr>
        <w:t>).</w:t>
      </w:r>
      <w:r w:rsidRPr="00FD55E3">
        <w:rPr>
          <w:rFonts w:cs="Times New Roman"/>
        </w:rPr>
        <w:t xml:space="preserve"> Microsoft submits that by pleading that it was “motivated solely by economic considerations” (</w:t>
      </w:r>
      <w:proofErr w:type="spellStart"/>
      <w:r>
        <w:rPr>
          <w:rFonts w:cs="Times New Roman"/>
        </w:rPr>
        <w:t>para</w:t>
      </w:r>
      <w:proofErr w:type="spellEnd"/>
      <w:r>
        <w:rPr>
          <w:rFonts w:cs="Times New Roman"/>
        </w:rPr>
        <w:t>. 94)</w:t>
      </w:r>
      <w:r w:rsidRPr="00FD55E3">
        <w:rPr>
          <w:rFonts w:cs="Times New Roman"/>
        </w:rPr>
        <w:t xml:space="preserve">, Pro-Sys in effect concedes that the predominant purpose of Microsoft’s alleged conduct could not have been to cause injury to the plaintiff as required under the law. </w:t>
      </w:r>
    </w:p>
    <w:p w:rsidR="006A370E" w:rsidRPr="00FD55E3" w:rsidRDefault="006A370E" w:rsidP="006A370E">
      <w:pPr>
        <w:pStyle w:val="ParaNoNdepar-AltN"/>
        <w:rPr>
          <w:rFonts w:cs="Times New Roman"/>
        </w:rPr>
      </w:pPr>
      <w:r w:rsidRPr="00FD55E3">
        <w:rPr>
          <w:rFonts w:cs="Times New Roman"/>
        </w:rPr>
        <w:t xml:space="preserve">There is disagreement between the parties as to what the pleadings mean. Microsoft says that Pro-Sys failed to identify injury to the plaintiffs as the one true predominant purpose. Pro-Sys argues that its pleadings state </w:t>
      </w:r>
      <w:r>
        <w:rPr>
          <w:rFonts w:cs="Times New Roman"/>
        </w:rPr>
        <w:t xml:space="preserve">that </w:t>
      </w:r>
      <w:r w:rsidRPr="00FD55E3">
        <w:rPr>
          <w:rFonts w:cs="Times New Roman"/>
        </w:rPr>
        <w:t xml:space="preserve">Microsoft acted with the predominant purpose of injuring the class members which resulted in, among other things, increased profits. While the pleadings could have been drafted with a more precise focus, I would hesitate on a pleadings </w:t>
      </w:r>
      <w:r>
        <w:rPr>
          <w:rFonts w:cs="Times New Roman"/>
        </w:rPr>
        <w:t xml:space="preserve">application </w:t>
      </w:r>
      <w:r w:rsidRPr="00FD55E3">
        <w:rPr>
          <w:rFonts w:cs="Times New Roman"/>
        </w:rPr>
        <w:t>to rule definitively that the predominant purpose conspiracy pleading is so flawed that no cause of action is disclosed. At this stage, I cannot rule out Pro-</w:t>
      </w:r>
      <w:proofErr w:type="spellStart"/>
      <w:r w:rsidRPr="00FD55E3">
        <w:rPr>
          <w:rFonts w:cs="Times New Roman"/>
        </w:rPr>
        <w:t>Sys’</w:t>
      </w:r>
      <w:r>
        <w:rPr>
          <w:rFonts w:cs="Times New Roman"/>
        </w:rPr>
        <w:t>s</w:t>
      </w:r>
      <w:proofErr w:type="spellEnd"/>
      <w:r w:rsidRPr="00FD55E3">
        <w:rPr>
          <w:rFonts w:cs="Times New Roman"/>
        </w:rPr>
        <w:t xml:space="preserve"> explanation that Microsoft’s primary intent was to injure the plaintiffs and that unlawfully increasing its profits </w:t>
      </w:r>
      <w:r w:rsidRPr="00FD55E3">
        <w:rPr>
          <w:rFonts w:cs="Times New Roman"/>
        </w:rPr>
        <w:lastRenderedPageBreak/>
        <w:t>was a result of that</w:t>
      </w:r>
      <w:r>
        <w:rPr>
          <w:rFonts w:cs="Times New Roman"/>
        </w:rPr>
        <w:t xml:space="preserve"> intention</w:t>
      </w:r>
      <w:r w:rsidRPr="00FD55E3">
        <w:rPr>
          <w:rFonts w:cs="Times New Roman"/>
        </w:rPr>
        <w:t>. For this reason, I cannot say it is plain and obvious that Pro-</w:t>
      </w:r>
      <w:proofErr w:type="spellStart"/>
      <w:r w:rsidRPr="00FD55E3">
        <w:rPr>
          <w:rFonts w:cs="Times New Roman"/>
        </w:rPr>
        <w:t>Sys’</w:t>
      </w:r>
      <w:r>
        <w:rPr>
          <w:rFonts w:cs="Times New Roman"/>
        </w:rPr>
        <w:t>s</w:t>
      </w:r>
      <w:proofErr w:type="spellEnd"/>
      <w:r w:rsidRPr="00FD55E3">
        <w:rPr>
          <w:rFonts w:cs="Times New Roman"/>
        </w:rPr>
        <w:t xml:space="preserve"> claim in predominant purpose conspiracy cannot succeed. </w:t>
      </w:r>
    </w:p>
    <w:p w:rsidR="006A370E" w:rsidRPr="00FD55E3" w:rsidRDefault="006A370E" w:rsidP="006A370E">
      <w:pPr>
        <w:pStyle w:val="ParaNoNdepar-AltN"/>
        <w:rPr>
          <w:rFonts w:cs="Times New Roman"/>
          <w:szCs w:val="24"/>
        </w:rPr>
      </w:pPr>
      <w:r w:rsidRPr="00FD55E3">
        <w:rPr>
          <w:rFonts w:cs="Times New Roman"/>
        </w:rPr>
        <w:t xml:space="preserve"> </w:t>
      </w:r>
      <w:r w:rsidRPr="00FD55E3">
        <w:rPr>
          <w:rFonts w:cs="Times New Roman"/>
          <w:szCs w:val="24"/>
        </w:rPr>
        <w:t>Microsoft also argues that this claim should be struck to the extent it applies as between corporate affiliates because “</w:t>
      </w:r>
      <w:r>
        <w:rPr>
          <w:rFonts w:cs="Times New Roman"/>
          <w:szCs w:val="24"/>
        </w:rPr>
        <w:t>[</w:t>
      </w:r>
      <w:r w:rsidRPr="00FD55E3">
        <w:rPr>
          <w:rFonts w:cs="Times New Roman"/>
          <w:szCs w:val="24"/>
        </w:rPr>
        <w:t>p</w:t>
      </w:r>
      <w:r>
        <w:rPr>
          <w:rFonts w:cs="Times New Roman"/>
          <w:szCs w:val="24"/>
        </w:rPr>
        <w:t>]</w:t>
      </w:r>
      <w:proofErr w:type="spellStart"/>
      <w:r w:rsidRPr="00FD55E3">
        <w:rPr>
          <w:rFonts w:cs="Times New Roman"/>
          <w:szCs w:val="24"/>
        </w:rPr>
        <w:t>arent</w:t>
      </w:r>
      <w:proofErr w:type="spellEnd"/>
      <w:r w:rsidRPr="00FD55E3">
        <w:rPr>
          <w:rFonts w:cs="Times New Roman"/>
          <w:szCs w:val="24"/>
        </w:rPr>
        <w:t xml:space="preserve"> and wholly-owned subsidiary corporations always act in combination” (R</w:t>
      </w:r>
      <w:r>
        <w:rPr>
          <w:rFonts w:cs="Times New Roman"/>
          <w:szCs w:val="24"/>
        </w:rPr>
        <w:t>.</w:t>
      </w:r>
      <w:r w:rsidRPr="00FD55E3">
        <w:rPr>
          <w:rFonts w:cs="Times New Roman"/>
          <w:szCs w:val="24"/>
        </w:rPr>
        <w:t>F</w:t>
      </w:r>
      <w:r>
        <w:rPr>
          <w:rFonts w:cs="Times New Roman"/>
          <w:szCs w:val="24"/>
        </w:rPr>
        <w:t>.,</w:t>
      </w:r>
      <w:r w:rsidRPr="00FD55E3">
        <w:rPr>
          <w:rFonts w:cs="Times New Roman"/>
          <w:szCs w:val="24"/>
        </w:rPr>
        <w:t xml:space="preserve"> at </w:t>
      </w:r>
      <w:proofErr w:type="spellStart"/>
      <w:r w:rsidRPr="00FD55E3">
        <w:rPr>
          <w:rFonts w:cs="Times New Roman"/>
          <w:szCs w:val="24"/>
        </w:rPr>
        <w:t>para</w:t>
      </w:r>
      <w:proofErr w:type="spellEnd"/>
      <w:r w:rsidRPr="00FD55E3">
        <w:rPr>
          <w:rFonts w:cs="Times New Roman"/>
          <w:szCs w:val="24"/>
        </w:rPr>
        <w:t xml:space="preserve">. 95). Pro-Sys says </w:t>
      </w:r>
      <w:r>
        <w:rPr>
          <w:rFonts w:cs="Times New Roman"/>
          <w:szCs w:val="24"/>
        </w:rPr>
        <w:t xml:space="preserve">that </w:t>
      </w:r>
      <w:r w:rsidRPr="00FD55E3">
        <w:rPr>
          <w:rFonts w:cs="Times New Roman"/>
          <w:szCs w:val="24"/>
        </w:rPr>
        <w:t>“[t]his is not t</w:t>
      </w:r>
      <w:r>
        <w:rPr>
          <w:rFonts w:cs="Times New Roman"/>
          <w:szCs w:val="24"/>
        </w:rPr>
        <w:t>rue as a matter of law” (a</w:t>
      </w:r>
      <w:r w:rsidRPr="00FD55E3">
        <w:rPr>
          <w:rFonts w:cs="Times New Roman"/>
          <w:szCs w:val="24"/>
        </w:rPr>
        <w:t>ppellant</w:t>
      </w:r>
      <w:r>
        <w:rPr>
          <w:rFonts w:cs="Times New Roman"/>
          <w:szCs w:val="24"/>
        </w:rPr>
        <w:t>s</w:t>
      </w:r>
      <w:r w:rsidR="00166655">
        <w:rPr>
          <w:rFonts w:cs="Times New Roman"/>
          <w:szCs w:val="24"/>
        </w:rPr>
        <w:t>’</w:t>
      </w:r>
      <w:r>
        <w:rPr>
          <w:rFonts w:cs="Times New Roman"/>
          <w:szCs w:val="24"/>
        </w:rPr>
        <w:t xml:space="preserve"> r</w:t>
      </w:r>
      <w:r w:rsidRPr="00FD55E3">
        <w:rPr>
          <w:rFonts w:cs="Times New Roman"/>
          <w:szCs w:val="24"/>
        </w:rPr>
        <w:t>esponse factum</w:t>
      </w:r>
      <w:r>
        <w:rPr>
          <w:rFonts w:cs="Times New Roman"/>
          <w:szCs w:val="24"/>
        </w:rPr>
        <w:t>,</w:t>
      </w:r>
      <w:r w:rsidRPr="00FD55E3">
        <w:rPr>
          <w:rFonts w:cs="Times New Roman"/>
          <w:szCs w:val="24"/>
        </w:rPr>
        <w:t xml:space="preserve"> at </w:t>
      </w:r>
      <w:proofErr w:type="spellStart"/>
      <w:r w:rsidRPr="00FD55E3">
        <w:rPr>
          <w:rFonts w:cs="Times New Roman"/>
          <w:szCs w:val="24"/>
        </w:rPr>
        <w:t>para</w:t>
      </w:r>
      <w:proofErr w:type="spellEnd"/>
      <w:r w:rsidRPr="00FD55E3">
        <w:rPr>
          <w:rFonts w:cs="Times New Roman"/>
          <w:szCs w:val="24"/>
        </w:rPr>
        <w:t xml:space="preserve">. 55). Both parties cite, among other cases, </w:t>
      </w:r>
      <w:proofErr w:type="spellStart"/>
      <w:r w:rsidRPr="00FD55E3">
        <w:rPr>
          <w:rFonts w:cs="Times New Roman"/>
          <w:szCs w:val="24"/>
        </w:rPr>
        <w:t>para</w:t>
      </w:r>
      <w:proofErr w:type="spellEnd"/>
      <w:r>
        <w:rPr>
          <w:rFonts w:cs="Times New Roman"/>
          <w:szCs w:val="24"/>
        </w:rPr>
        <w:t xml:space="preserve">. </w:t>
      </w:r>
      <w:r w:rsidRPr="00FD55E3">
        <w:rPr>
          <w:rFonts w:cs="Times New Roman"/>
          <w:szCs w:val="24"/>
        </w:rPr>
        <w:t xml:space="preserve">19 of </w:t>
      </w:r>
      <w:r w:rsidRPr="00FD55E3">
        <w:rPr>
          <w:rFonts w:cs="Times New Roman"/>
          <w:i/>
          <w:szCs w:val="24"/>
        </w:rPr>
        <w:t>Smith v. National Money Mart Co</w:t>
      </w:r>
      <w:r w:rsidRPr="00FD55E3">
        <w:rPr>
          <w:rFonts w:cs="Times New Roman"/>
          <w:szCs w:val="24"/>
        </w:rPr>
        <w:t>. (2006)</w:t>
      </w:r>
      <w:r>
        <w:rPr>
          <w:rFonts w:cs="Times New Roman"/>
          <w:szCs w:val="24"/>
        </w:rPr>
        <w:t>, 80 O.R. (3d) 81 (</w:t>
      </w:r>
      <w:r w:rsidRPr="00FD55E3">
        <w:rPr>
          <w:rFonts w:cs="Times New Roman"/>
          <w:szCs w:val="24"/>
        </w:rPr>
        <w:t>C.A.)</w:t>
      </w:r>
      <w:r>
        <w:rPr>
          <w:rFonts w:cs="Times New Roman"/>
          <w:szCs w:val="24"/>
        </w:rPr>
        <w:t>,</w:t>
      </w:r>
      <w:r w:rsidRPr="00FD55E3">
        <w:rPr>
          <w:rFonts w:cs="Times New Roman"/>
          <w:szCs w:val="24"/>
        </w:rPr>
        <w:t xml:space="preserve"> leave to appeal refused</w:t>
      </w:r>
      <w:r>
        <w:rPr>
          <w:rFonts w:cs="Times New Roman"/>
          <w:szCs w:val="24"/>
        </w:rPr>
        <w:t>,</w:t>
      </w:r>
      <w:r w:rsidRPr="00FD55E3">
        <w:rPr>
          <w:rFonts w:cs="Times New Roman"/>
          <w:szCs w:val="24"/>
        </w:rPr>
        <w:t xml:space="preserve"> [2006]</w:t>
      </w:r>
      <w:r>
        <w:rPr>
          <w:rFonts w:cs="Times New Roman"/>
          <w:szCs w:val="24"/>
        </w:rPr>
        <w:t xml:space="preserve"> 1 S.C.R. xii</w:t>
      </w:r>
      <w:r w:rsidRPr="00FD55E3">
        <w:rPr>
          <w:rFonts w:cs="Times New Roman"/>
          <w:szCs w:val="24"/>
        </w:rPr>
        <w:t xml:space="preserve">, which says </w:t>
      </w:r>
      <w:r>
        <w:rPr>
          <w:rFonts w:cs="Times New Roman"/>
          <w:szCs w:val="24"/>
        </w:rPr>
        <w:t xml:space="preserve">that </w:t>
      </w:r>
      <w:r w:rsidRPr="00FD55E3">
        <w:rPr>
          <w:rFonts w:cs="Times New Roman"/>
          <w:szCs w:val="24"/>
        </w:rPr>
        <w:t>“</w:t>
      </w:r>
      <w:r w:rsidRPr="00FD55E3">
        <w:rPr>
          <w:rFonts w:cs="Times New Roman"/>
        </w:rPr>
        <w:t>there can be a conspiracy between a parent and a subsidiary corporation</w:t>
      </w:r>
      <w:r w:rsidRPr="00FD55E3">
        <w:rPr>
          <w:rFonts w:cs="Times New Roman"/>
          <w:szCs w:val="24"/>
        </w:rPr>
        <w:t>”. In my view, this statement appears to leave open a cause of action in predominant purpose conspiracy even when the conspiracy is between affiliated corporations. Again, it would n</w:t>
      </w:r>
      <w:r>
        <w:rPr>
          <w:rFonts w:cs="Times New Roman"/>
          <w:szCs w:val="24"/>
        </w:rPr>
        <w:t xml:space="preserve">ot be appropriate on a pleadings application </w:t>
      </w:r>
      <w:r w:rsidRPr="00FD55E3">
        <w:rPr>
          <w:rFonts w:cs="Times New Roman"/>
          <w:szCs w:val="24"/>
        </w:rPr>
        <w:t xml:space="preserve">to make a definitive ruling on this issue. In the circumstances, I cannot say it is plain and obvious that the predominant purpose conspiracy claim as it applies to an alleged conspiracy between a parent </w:t>
      </w:r>
      <w:r>
        <w:rPr>
          <w:rFonts w:cs="Times New Roman"/>
          <w:szCs w:val="24"/>
        </w:rPr>
        <w:t xml:space="preserve">corporation </w:t>
      </w:r>
      <w:r w:rsidRPr="00FD55E3">
        <w:rPr>
          <w:rFonts w:cs="Times New Roman"/>
          <w:szCs w:val="24"/>
        </w:rPr>
        <w:t xml:space="preserve">and </w:t>
      </w:r>
      <w:r>
        <w:rPr>
          <w:rFonts w:cs="Times New Roman"/>
          <w:szCs w:val="24"/>
        </w:rPr>
        <w:t xml:space="preserve">its </w:t>
      </w:r>
      <w:r w:rsidRPr="00FD55E3">
        <w:rPr>
          <w:rFonts w:cs="Times New Roman"/>
          <w:szCs w:val="24"/>
        </w:rPr>
        <w:t>subsidiaries should be struck at this phase of the proceedings.</w:t>
      </w:r>
    </w:p>
    <w:p w:rsidR="006A370E" w:rsidRPr="00FD55E3" w:rsidRDefault="002E1456" w:rsidP="002E1456">
      <w:pPr>
        <w:pStyle w:val="Title5LevelTitre5Niveau"/>
        <w:numPr>
          <w:ilvl w:val="0"/>
          <w:numId w:val="0"/>
        </w:numPr>
        <w:tabs>
          <w:tab w:val="left" w:pos="1170"/>
        </w:tabs>
        <w:ind w:left="1710" w:hanging="1710"/>
        <w:rPr>
          <w:rFonts w:cs="Times New Roman"/>
        </w:rPr>
      </w:pPr>
      <w:bookmarkStart w:id="133" w:name="_Toc360611919"/>
      <w:bookmarkStart w:id="134" w:name="_Toc367887596"/>
      <w:bookmarkStart w:id="135" w:name="_Toc367948560"/>
      <w:bookmarkStart w:id="136" w:name="_Toc367957389"/>
      <w:bookmarkStart w:id="137" w:name="_Toc369188637"/>
      <w:bookmarkStart w:id="138" w:name="_Toc370903019"/>
      <w:r w:rsidRPr="002E1456">
        <w:rPr>
          <w:rFonts w:cs="Times New Roman"/>
          <w:u w:val="none"/>
        </w:rPr>
        <w:tab/>
        <w:t>(ii)</w:t>
      </w:r>
      <w:r w:rsidRPr="002E1456">
        <w:rPr>
          <w:rFonts w:cs="Times New Roman"/>
          <w:u w:val="none"/>
        </w:rPr>
        <w:tab/>
      </w:r>
      <w:r w:rsidR="006A370E">
        <w:rPr>
          <w:rFonts w:cs="Times New Roman"/>
        </w:rPr>
        <w:t xml:space="preserve">Unlawful Means Conspiracy and Intentional Interference </w:t>
      </w:r>
      <w:proofErr w:type="gramStart"/>
      <w:r w:rsidR="006A370E">
        <w:rPr>
          <w:rFonts w:cs="Times New Roman"/>
        </w:rPr>
        <w:t>With</w:t>
      </w:r>
      <w:proofErr w:type="gramEnd"/>
      <w:r w:rsidR="006A370E">
        <w:rPr>
          <w:rFonts w:cs="Times New Roman"/>
        </w:rPr>
        <w:t xml:space="preserve"> Economic I</w:t>
      </w:r>
      <w:r w:rsidR="006A370E" w:rsidRPr="00FD55E3">
        <w:rPr>
          <w:rFonts w:cs="Times New Roman"/>
        </w:rPr>
        <w:t>nterest</w:t>
      </w:r>
      <w:bookmarkEnd w:id="133"/>
      <w:bookmarkEnd w:id="134"/>
      <w:bookmarkEnd w:id="135"/>
      <w:bookmarkEnd w:id="136"/>
      <w:bookmarkEnd w:id="137"/>
      <w:r w:rsidR="006A370E">
        <w:rPr>
          <w:rFonts w:cs="Times New Roman"/>
        </w:rPr>
        <w:t>s</w:t>
      </w:r>
      <w:bookmarkEnd w:id="138"/>
    </w:p>
    <w:p w:rsidR="006A370E" w:rsidRPr="00FD55E3" w:rsidRDefault="006A370E" w:rsidP="006A370E">
      <w:pPr>
        <w:pStyle w:val="ParaNoNdepar-AltN"/>
        <w:rPr>
          <w:rFonts w:cs="Times New Roman"/>
        </w:rPr>
      </w:pPr>
      <w:r w:rsidRPr="00FD55E3">
        <w:rPr>
          <w:rFonts w:cs="Times New Roman"/>
          <w:lang w:val="en-US"/>
        </w:rPr>
        <w:t>The second type of conspiracy, called “unlawful means conspiracy”</w:t>
      </w:r>
      <w:r>
        <w:rPr>
          <w:rFonts w:cs="Times New Roman"/>
          <w:lang w:val="en-US"/>
        </w:rPr>
        <w:t>,</w:t>
      </w:r>
      <w:r w:rsidRPr="00FD55E3">
        <w:rPr>
          <w:rFonts w:cs="Times New Roman"/>
          <w:lang w:val="en-US"/>
        </w:rPr>
        <w:t xml:space="preserve"> requires no predominant purpose but requires that the unlawful conduct in question be directed toward the plaintiff, that the defendant should know that injury to the </w:t>
      </w:r>
      <w:r w:rsidRPr="00FD55E3">
        <w:rPr>
          <w:rFonts w:cs="Times New Roman"/>
          <w:lang w:val="en-US"/>
        </w:rPr>
        <w:lastRenderedPageBreak/>
        <w:t xml:space="preserve">plaintiff is likely to result, and that the injury to the plaintiff does in fact occur </w:t>
      </w:r>
      <w:r>
        <w:rPr>
          <w:rFonts w:cs="Times New Roman"/>
          <w:lang w:val="en-US"/>
        </w:rPr>
        <w:t>(</w:t>
      </w:r>
      <w:r w:rsidRPr="00FD55E3">
        <w:rPr>
          <w:rFonts w:cs="Times New Roman"/>
          <w:i/>
          <w:iCs/>
          <w:lang w:val="en-US"/>
        </w:rPr>
        <w:t xml:space="preserve">Cement </w:t>
      </w:r>
      <w:proofErr w:type="spellStart"/>
      <w:r w:rsidRPr="00FD55E3">
        <w:rPr>
          <w:rFonts w:cs="Times New Roman"/>
          <w:i/>
          <w:iCs/>
          <w:lang w:val="en-US"/>
        </w:rPr>
        <w:t>LaFarge</w:t>
      </w:r>
      <w:proofErr w:type="spellEnd"/>
      <w:r>
        <w:rPr>
          <w:rFonts w:cs="Times New Roman"/>
          <w:iCs/>
          <w:lang w:val="en-US"/>
        </w:rPr>
        <w:t>,</w:t>
      </w:r>
      <w:r w:rsidRPr="00FD55E3">
        <w:rPr>
          <w:rFonts w:cs="Times New Roman"/>
          <w:i/>
          <w:iCs/>
          <w:lang w:val="en-US"/>
        </w:rPr>
        <w:t xml:space="preserve"> </w:t>
      </w:r>
      <w:r w:rsidRPr="00FD55E3">
        <w:rPr>
          <w:rFonts w:cs="Times New Roman"/>
          <w:lang w:val="en-US"/>
        </w:rPr>
        <w:t>at p</w:t>
      </w:r>
      <w:r>
        <w:rPr>
          <w:rFonts w:cs="Times New Roman"/>
          <w:lang w:val="en-US"/>
        </w:rPr>
        <w:t>p</w:t>
      </w:r>
      <w:r w:rsidRPr="00FD55E3">
        <w:rPr>
          <w:rFonts w:cs="Times New Roman"/>
          <w:lang w:val="en-US"/>
        </w:rPr>
        <w:t>. 471-72</w:t>
      </w:r>
      <w:r>
        <w:rPr>
          <w:rFonts w:cs="Times New Roman"/>
          <w:lang w:val="en-US"/>
        </w:rPr>
        <w:t>)</w:t>
      </w:r>
      <w:r w:rsidRPr="00FD55E3">
        <w:rPr>
          <w:rFonts w:cs="Times New Roman"/>
          <w:lang w:val="en-US"/>
        </w:rPr>
        <w:t xml:space="preserve">.   </w:t>
      </w:r>
    </w:p>
    <w:p w:rsidR="006A370E" w:rsidRPr="00FD55E3" w:rsidRDefault="006A370E" w:rsidP="006A370E">
      <w:pPr>
        <w:pStyle w:val="ParaNoNdepar-AltN"/>
        <w:rPr>
          <w:rFonts w:cs="Times New Roman"/>
        </w:rPr>
      </w:pPr>
      <w:r w:rsidRPr="00FD55E3">
        <w:rPr>
          <w:rFonts w:cs="Times New Roman"/>
        </w:rPr>
        <w:t>The tort of intentional interference with economic interest</w:t>
      </w:r>
      <w:r>
        <w:rPr>
          <w:rFonts w:cs="Times New Roman"/>
        </w:rPr>
        <w:t>s</w:t>
      </w:r>
      <w:r w:rsidRPr="00FD55E3">
        <w:rPr>
          <w:rFonts w:cs="Times New Roman"/>
        </w:rPr>
        <w:t xml:space="preserve"> aims to provide a remedy to victims of intentional commercial wrongdoing </w:t>
      </w:r>
      <w:r>
        <w:rPr>
          <w:rFonts w:cs="Times New Roman"/>
        </w:rPr>
        <w:t>(</w:t>
      </w:r>
      <w:proofErr w:type="spellStart"/>
      <w:r w:rsidRPr="00FD55E3">
        <w:rPr>
          <w:rFonts w:cs="Times New Roman"/>
          <w:i/>
          <w:iCs/>
        </w:rPr>
        <w:t>Correia</w:t>
      </w:r>
      <w:proofErr w:type="spellEnd"/>
      <w:r w:rsidRPr="00FD55E3">
        <w:rPr>
          <w:rFonts w:cs="Times New Roman"/>
          <w:i/>
          <w:iCs/>
        </w:rPr>
        <w:t xml:space="preserve"> v. </w:t>
      </w:r>
      <w:proofErr w:type="spellStart"/>
      <w:r w:rsidRPr="00FD55E3">
        <w:rPr>
          <w:rFonts w:cs="Times New Roman"/>
          <w:i/>
          <w:iCs/>
        </w:rPr>
        <w:t>Canac</w:t>
      </w:r>
      <w:proofErr w:type="spellEnd"/>
      <w:r w:rsidRPr="00FD55E3">
        <w:rPr>
          <w:rFonts w:cs="Times New Roman"/>
          <w:i/>
          <w:iCs/>
        </w:rPr>
        <w:t xml:space="preserve"> Kitchens</w:t>
      </w:r>
      <w:r>
        <w:rPr>
          <w:rFonts w:cs="Times New Roman"/>
        </w:rPr>
        <w:t xml:space="preserve">, 2008 ONCA 506, 91 O.R. (3d) 353, at </w:t>
      </w:r>
      <w:proofErr w:type="spellStart"/>
      <w:r>
        <w:rPr>
          <w:rFonts w:cs="Times New Roman"/>
        </w:rPr>
        <w:t>para</w:t>
      </w:r>
      <w:proofErr w:type="spellEnd"/>
      <w:r>
        <w:rPr>
          <w:rFonts w:cs="Times New Roman"/>
        </w:rPr>
        <w:t>. 98</w:t>
      </w:r>
      <w:r w:rsidRPr="00FD55E3">
        <w:rPr>
          <w:rFonts w:cs="Times New Roman"/>
        </w:rPr>
        <w:t>;</w:t>
      </w:r>
      <w:r w:rsidRPr="00FD55E3">
        <w:rPr>
          <w:rFonts w:cs="Times New Roman"/>
          <w:i/>
          <w:iCs/>
        </w:rPr>
        <w:t xml:space="preserve"> OBG Ltd. v. Allan</w:t>
      </w:r>
      <w:r w:rsidRPr="00FD55E3">
        <w:rPr>
          <w:rFonts w:cs="Times New Roman"/>
        </w:rPr>
        <w:t>, [2007] UKHL 21</w:t>
      </w:r>
      <w:r>
        <w:rPr>
          <w:rFonts w:cs="Times New Roman"/>
        </w:rPr>
        <w:t>, [2008] 1 A.C. 1)</w:t>
      </w:r>
      <w:r w:rsidRPr="00FD55E3">
        <w:rPr>
          <w:rFonts w:cs="Times New Roman"/>
        </w:rPr>
        <w:t>. The three essential elements of this tort are (1) the defendant intended to injure the plaintiff’s economic interests; (2) the interference was by illegal or unlawful means; and (3) the plaintiff suffered ec</w:t>
      </w:r>
      <w:r>
        <w:rPr>
          <w:rFonts w:cs="Times New Roman"/>
        </w:rPr>
        <w:t>onomic loss or harm as a result</w:t>
      </w:r>
      <w:r w:rsidRPr="00FD55E3">
        <w:rPr>
          <w:rFonts w:cs="Times New Roman"/>
        </w:rPr>
        <w:t xml:space="preserve"> </w:t>
      </w:r>
      <w:r>
        <w:rPr>
          <w:rFonts w:cs="Times New Roman"/>
        </w:rPr>
        <w:t>(</w:t>
      </w:r>
      <w:r w:rsidRPr="00FD55E3">
        <w:rPr>
          <w:rFonts w:cs="Times New Roman"/>
        </w:rPr>
        <w:t>see P</w:t>
      </w:r>
      <w:r>
        <w:rPr>
          <w:rFonts w:cs="Times New Roman"/>
        </w:rPr>
        <w:t>.</w:t>
      </w:r>
      <w:r w:rsidRPr="00FD55E3">
        <w:rPr>
          <w:rFonts w:cs="Times New Roman"/>
        </w:rPr>
        <w:t xml:space="preserve"> H. Osborne, </w:t>
      </w:r>
      <w:r w:rsidRPr="00FD55E3">
        <w:rPr>
          <w:rFonts w:cs="Times New Roman"/>
          <w:i/>
        </w:rPr>
        <w:t>The Law of Torts</w:t>
      </w:r>
      <w:r w:rsidRPr="00FD55E3">
        <w:rPr>
          <w:rFonts w:cs="Times New Roman"/>
        </w:rPr>
        <w:t xml:space="preserve"> </w:t>
      </w:r>
      <w:r>
        <w:rPr>
          <w:rFonts w:cs="Times New Roman"/>
        </w:rPr>
        <w:t>(4th</w:t>
      </w:r>
      <w:r>
        <w:rPr>
          <w:rFonts w:cs="Times New Roman"/>
          <w:vertAlign w:val="superscript"/>
        </w:rPr>
        <w:t xml:space="preserve"> </w:t>
      </w:r>
      <w:r>
        <w:rPr>
          <w:rFonts w:cs="Times New Roman"/>
        </w:rPr>
        <w:t>ed.</w:t>
      </w:r>
      <w:r w:rsidRPr="00FD55E3">
        <w:rPr>
          <w:rFonts w:cs="Times New Roman"/>
        </w:rPr>
        <w:t xml:space="preserve"> 2011)</w:t>
      </w:r>
      <w:r>
        <w:rPr>
          <w:rFonts w:cs="Times New Roman"/>
        </w:rPr>
        <w:t>,</w:t>
      </w:r>
      <w:r w:rsidRPr="00FD55E3">
        <w:rPr>
          <w:rFonts w:cs="Times New Roman"/>
        </w:rPr>
        <w:t xml:space="preserve"> at p.</w:t>
      </w:r>
      <w:r>
        <w:rPr>
          <w:rFonts w:cs="Times New Roman"/>
        </w:rPr>
        <w:t xml:space="preserve"> </w:t>
      </w:r>
      <w:r w:rsidRPr="00FD55E3">
        <w:rPr>
          <w:rFonts w:cs="Times New Roman"/>
        </w:rPr>
        <w:t>336</w:t>
      </w:r>
      <w:r>
        <w:rPr>
          <w:rFonts w:cs="Times New Roman"/>
        </w:rPr>
        <w:t>)</w:t>
      </w:r>
      <w:r w:rsidRPr="00FD55E3">
        <w:rPr>
          <w:rFonts w:cs="Times New Roman"/>
        </w:rPr>
        <w:t>.</w:t>
      </w:r>
    </w:p>
    <w:p w:rsidR="006A370E" w:rsidRPr="00FD55E3" w:rsidRDefault="006A370E" w:rsidP="006A370E">
      <w:pPr>
        <w:pStyle w:val="ParaNoNdepar-AltN"/>
        <w:rPr>
          <w:rFonts w:cs="Times New Roman"/>
        </w:rPr>
      </w:pPr>
      <w:r w:rsidRPr="00FD55E3">
        <w:rPr>
          <w:rFonts w:cs="Times New Roman"/>
        </w:rPr>
        <w:t>Microsoft argues that the claims for unlawful means conspiracy and intentional interference with economic interest</w:t>
      </w:r>
      <w:r>
        <w:rPr>
          <w:rFonts w:cs="Times New Roman"/>
        </w:rPr>
        <w:t>s</w:t>
      </w:r>
      <w:r w:rsidRPr="00FD55E3">
        <w:rPr>
          <w:rFonts w:cs="Times New Roman"/>
        </w:rPr>
        <w:t xml:space="preserve"> should be struck because their common element requiring the use of “unlawful means” cannot be established. </w:t>
      </w:r>
    </w:p>
    <w:p w:rsidR="006A370E" w:rsidRPr="00FD55E3" w:rsidRDefault="006A370E" w:rsidP="006A370E">
      <w:pPr>
        <w:pStyle w:val="ParaNoNdepar-AltN"/>
        <w:rPr>
          <w:rFonts w:cs="Times New Roman"/>
        </w:rPr>
      </w:pPr>
      <w:r w:rsidRPr="00FD55E3">
        <w:rPr>
          <w:rFonts w:cs="Times New Roman"/>
        </w:rPr>
        <w:t>These alleged causes of action must be dealt with summarily as the proper approach to the unlawful means requirement common to both torts is p</w:t>
      </w:r>
      <w:r>
        <w:rPr>
          <w:rFonts w:cs="Times New Roman"/>
        </w:rPr>
        <w:t>resently under reserve in this C</w:t>
      </w:r>
      <w:r w:rsidRPr="00FD55E3">
        <w:rPr>
          <w:rFonts w:cs="Times New Roman"/>
        </w:rPr>
        <w:t xml:space="preserve">ourt in </w:t>
      </w:r>
      <w:r w:rsidRPr="00FD55E3">
        <w:rPr>
          <w:rFonts w:cs="Times New Roman"/>
          <w:i/>
          <w:szCs w:val="24"/>
        </w:rPr>
        <w:t>Bram Enterprises Ltd.</w:t>
      </w:r>
      <w:r>
        <w:rPr>
          <w:rFonts w:cs="Times New Roman"/>
          <w:i/>
          <w:szCs w:val="24"/>
        </w:rPr>
        <w:t xml:space="preserve"> v. </w:t>
      </w:r>
      <w:r w:rsidRPr="00FD55E3">
        <w:rPr>
          <w:rFonts w:cs="Times New Roman"/>
          <w:i/>
          <w:szCs w:val="24"/>
        </w:rPr>
        <w:t>A.I. Enterprises Ltd.</w:t>
      </w:r>
      <w:r>
        <w:rPr>
          <w:rFonts w:cs="Times New Roman"/>
          <w:szCs w:val="24"/>
        </w:rPr>
        <w:t>, 2012 NBCA 33, 387 N.B.R. (2d) 215, leave to appeal granted, [2012] 3 S.C.R. v</w:t>
      </w:r>
      <w:r w:rsidRPr="00FD55E3">
        <w:rPr>
          <w:rFonts w:cs="Times New Roman"/>
        </w:rPr>
        <w:t>. Suffice it to say that at this point it is not plain and obvious that there is no cause of action in unlawful means conspiracy or in intentional interference with economic interests. I would therefore not st</w:t>
      </w:r>
      <w:r>
        <w:rPr>
          <w:rFonts w:cs="Times New Roman"/>
        </w:rPr>
        <w:t>rike these claims. Depending</w:t>
      </w:r>
      <w:r w:rsidRPr="00FD55E3">
        <w:rPr>
          <w:rFonts w:cs="Times New Roman"/>
        </w:rPr>
        <w:t xml:space="preserve"> on the decision of this Court in </w:t>
      </w:r>
      <w:r>
        <w:rPr>
          <w:rFonts w:cs="Times New Roman"/>
          <w:i/>
        </w:rPr>
        <w:t>Bram</w:t>
      </w:r>
      <w:r w:rsidRPr="00FD55E3">
        <w:rPr>
          <w:rFonts w:cs="Times New Roman"/>
        </w:rPr>
        <w:t>, it will be open to Microsoft to raise the matter in the B</w:t>
      </w:r>
      <w:r>
        <w:rPr>
          <w:rFonts w:cs="Times New Roman"/>
        </w:rPr>
        <w:t>.</w:t>
      </w:r>
      <w:r w:rsidRPr="00FD55E3">
        <w:rPr>
          <w:rFonts w:cs="Times New Roman"/>
        </w:rPr>
        <w:t>C</w:t>
      </w:r>
      <w:r>
        <w:rPr>
          <w:rFonts w:cs="Times New Roman"/>
        </w:rPr>
        <w:t>.</w:t>
      </w:r>
      <w:r w:rsidRPr="00FD55E3">
        <w:rPr>
          <w:rFonts w:cs="Times New Roman"/>
        </w:rPr>
        <w:t>S</w:t>
      </w:r>
      <w:r>
        <w:rPr>
          <w:rFonts w:cs="Times New Roman"/>
        </w:rPr>
        <w:t>.</w:t>
      </w:r>
      <w:r w:rsidRPr="00FD55E3">
        <w:rPr>
          <w:rFonts w:cs="Times New Roman"/>
        </w:rPr>
        <w:t>C</w:t>
      </w:r>
      <w:r>
        <w:rPr>
          <w:rFonts w:cs="Times New Roman"/>
        </w:rPr>
        <w:t>.</w:t>
      </w:r>
      <w:r w:rsidRPr="00FD55E3">
        <w:rPr>
          <w:rFonts w:cs="Times New Roman"/>
        </w:rPr>
        <w:t xml:space="preserve"> should it consider it advisable to do so. </w:t>
      </w:r>
    </w:p>
    <w:p w:rsidR="006A370E" w:rsidRPr="00FD55E3" w:rsidRDefault="002E1456" w:rsidP="002E1456">
      <w:pPr>
        <w:pStyle w:val="Title4LevelTitre4Niveau"/>
        <w:numPr>
          <w:ilvl w:val="0"/>
          <w:numId w:val="0"/>
        </w:numPr>
        <w:tabs>
          <w:tab w:val="left" w:pos="1170"/>
        </w:tabs>
        <w:ind w:left="1800" w:hanging="1800"/>
        <w:rPr>
          <w:rFonts w:cs="Times New Roman"/>
        </w:rPr>
      </w:pPr>
      <w:bookmarkStart w:id="139" w:name="_Toc360611920"/>
      <w:bookmarkStart w:id="140" w:name="_Toc367887597"/>
      <w:bookmarkStart w:id="141" w:name="_Toc367948561"/>
      <w:bookmarkStart w:id="142" w:name="_Toc367957390"/>
      <w:bookmarkStart w:id="143" w:name="_Toc369188638"/>
      <w:r>
        <w:rPr>
          <w:rFonts w:cs="Times New Roman"/>
        </w:rPr>
        <w:lastRenderedPageBreak/>
        <w:tab/>
      </w:r>
      <w:r w:rsidRPr="002E1456">
        <w:rPr>
          <w:rFonts w:cs="Times New Roman"/>
          <w:i w:val="0"/>
        </w:rPr>
        <w:t>(c)</w:t>
      </w:r>
      <w:r w:rsidRPr="002E1456">
        <w:rPr>
          <w:rFonts w:cs="Times New Roman"/>
          <w:i w:val="0"/>
        </w:rPr>
        <w:tab/>
      </w:r>
      <w:bookmarkStart w:id="144" w:name="_Toc370903020"/>
      <w:r w:rsidR="006A370E" w:rsidRPr="00FD55E3">
        <w:rPr>
          <w:rFonts w:cs="Times New Roman"/>
        </w:rPr>
        <w:t>Restitution</w:t>
      </w:r>
      <w:bookmarkEnd w:id="139"/>
      <w:bookmarkEnd w:id="140"/>
      <w:bookmarkEnd w:id="141"/>
      <w:bookmarkEnd w:id="142"/>
      <w:bookmarkEnd w:id="143"/>
      <w:bookmarkEnd w:id="144"/>
    </w:p>
    <w:p w:rsidR="006A370E" w:rsidRPr="00FD55E3" w:rsidRDefault="006A370E" w:rsidP="006A370E">
      <w:pPr>
        <w:pStyle w:val="ParaNoNdepar-AltN"/>
        <w:rPr>
          <w:rFonts w:cs="Times New Roman"/>
          <w:lang w:val="en-US"/>
        </w:rPr>
      </w:pPr>
      <w:r w:rsidRPr="00FD55E3">
        <w:rPr>
          <w:rFonts w:cs="Times New Roman"/>
          <w:lang w:val="en-US"/>
        </w:rPr>
        <w:t xml:space="preserve">Pro-Sys makes </w:t>
      </w:r>
      <w:proofErr w:type="spellStart"/>
      <w:r w:rsidRPr="00FD55E3">
        <w:rPr>
          <w:rFonts w:cs="Times New Roman"/>
          <w:lang w:val="en-US"/>
        </w:rPr>
        <w:t>restitutionary</w:t>
      </w:r>
      <w:proofErr w:type="spellEnd"/>
      <w:r w:rsidRPr="00FD55E3">
        <w:rPr>
          <w:rFonts w:cs="Times New Roman"/>
          <w:lang w:val="en-US"/>
        </w:rPr>
        <w:t xml:space="preserve"> claims alleging causes of action in unjust enrichment, constructive trust and waiver of tort. </w:t>
      </w:r>
    </w:p>
    <w:p w:rsidR="006A370E" w:rsidRPr="00FD55E3" w:rsidRDefault="002E1456" w:rsidP="002E1456">
      <w:pPr>
        <w:pStyle w:val="Title4LevelTitre4Niveau"/>
        <w:numPr>
          <w:ilvl w:val="0"/>
          <w:numId w:val="0"/>
        </w:numPr>
        <w:tabs>
          <w:tab w:val="left" w:pos="1170"/>
        </w:tabs>
        <w:ind w:left="1800" w:hanging="1800"/>
        <w:rPr>
          <w:rFonts w:cs="Times New Roman"/>
        </w:rPr>
      </w:pPr>
      <w:bookmarkStart w:id="145" w:name="_Toc360611921"/>
      <w:bookmarkStart w:id="146" w:name="_Toc367887598"/>
      <w:bookmarkStart w:id="147" w:name="_Toc367948562"/>
      <w:bookmarkStart w:id="148" w:name="_Toc367957391"/>
      <w:bookmarkStart w:id="149" w:name="_Toc369188639"/>
      <w:bookmarkStart w:id="150" w:name="_Toc370903021"/>
      <w:r>
        <w:rPr>
          <w:rFonts w:cs="Times New Roman"/>
        </w:rPr>
        <w:tab/>
      </w:r>
      <w:r w:rsidRPr="002E1456">
        <w:rPr>
          <w:rFonts w:cs="Times New Roman"/>
          <w:i w:val="0"/>
        </w:rPr>
        <w:t>(</w:t>
      </w:r>
      <w:proofErr w:type="spellStart"/>
      <w:r w:rsidRPr="002E1456">
        <w:rPr>
          <w:rFonts w:cs="Times New Roman"/>
          <w:i w:val="0"/>
        </w:rPr>
        <w:t>i</w:t>
      </w:r>
      <w:proofErr w:type="spellEnd"/>
      <w:r w:rsidRPr="002E1456">
        <w:rPr>
          <w:rFonts w:cs="Times New Roman"/>
          <w:i w:val="0"/>
        </w:rPr>
        <w:t>)</w:t>
      </w:r>
      <w:r w:rsidRPr="002E1456">
        <w:rPr>
          <w:rFonts w:cs="Times New Roman"/>
          <w:i w:val="0"/>
        </w:rPr>
        <w:tab/>
      </w:r>
      <w:r w:rsidR="006A370E" w:rsidRPr="00E1659C">
        <w:rPr>
          <w:rFonts w:cs="Times New Roman"/>
          <w:i w:val="0"/>
          <w:u w:val="single"/>
        </w:rPr>
        <w:t>Unjust Enrichment</w:t>
      </w:r>
      <w:bookmarkEnd w:id="145"/>
      <w:bookmarkEnd w:id="146"/>
      <w:bookmarkEnd w:id="147"/>
      <w:bookmarkEnd w:id="148"/>
      <w:bookmarkEnd w:id="149"/>
      <w:bookmarkEnd w:id="150"/>
      <w:r w:rsidR="006A370E"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The </w:t>
      </w:r>
      <w:r>
        <w:rPr>
          <w:rFonts w:cs="Times New Roman"/>
        </w:rPr>
        <w:t>well-</w:t>
      </w:r>
      <w:r w:rsidRPr="00FD55E3">
        <w:rPr>
          <w:rFonts w:cs="Times New Roman"/>
        </w:rPr>
        <w:t>known elements required to esta</w:t>
      </w:r>
      <w:r>
        <w:rPr>
          <w:rFonts w:cs="Times New Roman"/>
        </w:rPr>
        <w:t>blish an unjust enrichment are</w:t>
      </w:r>
      <w:r w:rsidRPr="00FD55E3">
        <w:rPr>
          <w:rFonts w:cs="Times New Roman"/>
        </w:rPr>
        <w:t xml:space="preserve"> (1) an enrichment of the defendant; (2) a corresponding deprivation of the plaintiff; and (3) an absence of juristic reason (such as</w:t>
      </w:r>
      <w:r>
        <w:rPr>
          <w:rFonts w:cs="Times New Roman"/>
        </w:rPr>
        <w:t xml:space="preserve"> a contract) for the enrichment</w:t>
      </w:r>
      <w:r w:rsidRPr="00FD55E3">
        <w:rPr>
          <w:rFonts w:cs="Times New Roman"/>
        </w:rPr>
        <w:t xml:space="preserve"> </w:t>
      </w:r>
      <w:r>
        <w:rPr>
          <w:rFonts w:cs="Times New Roman"/>
        </w:rPr>
        <w:t>(</w:t>
      </w:r>
      <w:r w:rsidRPr="00FD55E3">
        <w:rPr>
          <w:rFonts w:cs="Times New Roman"/>
        </w:rPr>
        <w:t xml:space="preserve">see </w:t>
      </w:r>
      <w:r w:rsidRPr="00FD55E3">
        <w:rPr>
          <w:rFonts w:cs="Times New Roman"/>
          <w:i/>
        </w:rPr>
        <w:t>Alberta Elders</w:t>
      </w:r>
      <w:r>
        <w:rPr>
          <w:rFonts w:cs="Times New Roman"/>
        </w:rPr>
        <w:t>,</w:t>
      </w:r>
      <w:r w:rsidRPr="00FD55E3">
        <w:rPr>
          <w:rFonts w:cs="Times New Roman"/>
          <w:i/>
        </w:rPr>
        <w:t xml:space="preserve"> </w:t>
      </w:r>
      <w:r w:rsidRPr="00FD55E3">
        <w:rPr>
          <w:rFonts w:cs="Times New Roman"/>
        </w:rPr>
        <w:t xml:space="preserve">at </w:t>
      </w:r>
      <w:proofErr w:type="spellStart"/>
      <w:r w:rsidRPr="00FD55E3">
        <w:rPr>
          <w:rFonts w:cs="Times New Roman"/>
        </w:rPr>
        <w:t>para</w:t>
      </w:r>
      <w:proofErr w:type="spellEnd"/>
      <w:r w:rsidRPr="00FD55E3">
        <w:rPr>
          <w:rFonts w:cs="Times New Roman"/>
        </w:rPr>
        <w:t xml:space="preserve">. 82; </w:t>
      </w:r>
      <w:r w:rsidRPr="00FD55E3">
        <w:rPr>
          <w:rFonts w:cs="Times New Roman"/>
          <w:i/>
          <w:iCs/>
        </w:rPr>
        <w:t>Garland v. Consumers’ Gas Co.</w:t>
      </w:r>
      <w:r w:rsidRPr="00FD55E3">
        <w:rPr>
          <w:rFonts w:cs="Times New Roman"/>
        </w:rPr>
        <w:t xml:space="preserve">, 2004 SCC 25, [2004] 1 S.C.R. 629, at </w:t>
      </w:r>
      <w:proofErr w:type="spellStart"/>
      <w:r w:rsidRPr="00FD55E3">
        <w:rPr>
          <w:rFonts w:cs="Times New Roman"/>
        </w:rPr>
        <w:t>para</w:t>
      </w:r>
      <w:proofErr w:type="spellEnd"/>
      <w:r w:rsidRPr="00FD55E3">
        <w:rPr>
          <w:rFonts w:cs="Times New Roman"/>
        </w:rPr>
        <w:t xml:space="preserve">. 30; </w:t>
      </w:r>
      <w:proofErr w:type="spellStart"/>
      <w:r w:rsidRPr="00FD55E3">
        <w:rPr>
          <w:rFonts w:cs="Times New Roman"/>
          <w:i/>
        </w:rPr>
        <w:t>Rathwell</w:t>
      </w:r>
      <w:proofErr w:type="spellEnd"/>
      <w:r w:rsidRPr="00FD55E3">
        <w:rPr>
          <w:rFonts w:cs="Times New Roman"/>
          <w:i/>
        </w:rPr>
        <w:t xml:space="preserve"> v. </w:t>
      </w:r>
      <w:proofErr w:type="spellStart"/>
      <w:r w:rsidRPr="00FD55E3">
        <w:rPr>
          <w:rFonts w:cs="Times New Roman"/>
          <w:i/>
        </w:rPr>
        <w:t>Rathwell</w:t>
      </w:r>
      <w:proofErr w:type="spellEnd"/>
      <w:r>
        <w:rPr>
          <w:rFonts w:cs="Times New Roman"/>
        </w:rPr>
        <w:t>, [1978</w:t>
      </w:r>
      <w:r w:rsidRPr="00FD55E3">
        <w:rPr>
          <w:rFonts w:cs="Times New Roman"/>
        </w:rPr>
        <w:t xml:space="preserve">] 2 S.C.R. 436, at p. 455; </w:t>
      </w:r>
      <w:proofErr w:type="spellStart"/>
      <w:r w:rsidRPr="00FD55E3">
        <w:rPr>
          <w:rFonts w:cs="Times New Roman"/>
          <w:i/>
        </w:rPr>
        <w:t>Pet</w:t>
      </w:r>
      <w:r>
        <w:rPr>
          <w:rFonts w:cs="Times New Roman"/>
          <w:i/>
        </w:rPr>
        <w:t>t</w:t>
      </w:r>
      <w:r w:rsidRPr="00FD55E3">
        <w:rPr>
          <w:rFonts w:cs="Times New Roman"/>
          <w:i/>
        </w:rPr>
        <w:t>kus</w:t>
      </w:r>
      <w:proofErr w:type="spellEnd"/>
      <w:r w:rsidRPr="00FD55E3">
        <w:rPr>
          <w:rFonts w:cs="Times New Roman"/>
          <w:i/>
        </w:rPr>
        <w:t xml:space="preserve"> v. Becker</w:t>
      </w:r>
      <w:r w:rsidRPr="00FD55E3">
        <w:rPr>
          <w:rFonts w:cs="Times New Roman"/>
        </w:rPr>
        <w:t>, [1980] 2 S.C.R. 834</w:t>
      </w:r>
      <w:r>
        <w:rPr>
          <w:rFonts w:cs="Times New Roman"/>
        </w:rPr>
        <w:t>)</w:t>
      </w:r>
      <w:r w:rsidRPr="00FD55E3">
        <w:rPr>
          <w:rFonts w:cs="Times New Roman"/>
        </w:rPr>
        <w:t>. Pro-Sys says that Microsoft was unjustly enriched by the overcharge to its direct purchasers that was passed through the chain of distribution to the class members.</w:t>
      </w:r>
    </w:p>
    <w:p w:rsidR="006A370E" w:rsidRPr="00FD55E3" w:rsidRDefault="006A370E" w:rsidP="006A370E">
      <w:pPr>
        <w:pStyle w:val="ParaNoNdepar-AltN"/>
        <w:rPr>
          <w:rFonts w:cs="Times New Roman"/>
        </w:rPr>
      </w:pPr>
      <w:r w:rsidRPr="00FD55E3">
        <w:rPr>
          <w:rFonts w:cs="Times New Roman"/>
        </w:rPr>
        <w:t xml:space="preserve">Microsoft argues that any enrichment it received came from the direct purchasers, and not from the class members, and that this lack of a direct connection between it and the class members forecloses the claim of unjust enrichment. </w:t>
      </w:r>
      <w:r>
        <w:rPr>
          <w:rFonts w:cs="Times New Roman"/>
        </w:rPr>
        <w:t>Additionally</w:t>
      </w:r>
      <w:r w:rsidRPr="00FD55E3">
        <w:rPr>
          <w:rFonts w:cs="Times New Roman"/>
        </w:rPr>
        <w:t>, it says that the contracts between Microsoft and the direct purchasers and the contracts between the direct purchasers and the indirect purchasers (the existence of which are undisputed) constitute</w:t>
      </w:r>
      <w:r>
        <w:rPr>
          <w:rFonts w:cs="Times New Roman"/>
        </w:rPr>
        <w:t xml:space="preserve"> a</w:t>
      </w:r>
      <w:r w:rsidRPr="00FD55E3">
        <w:rPr>
          <w:rFonts w:cs="Times New Roman"/>
        </w:rPr>
        <w:t xml:space="preserve"> juristic reason for the enrichment.</w:t>
      </w:r>
    </w:p>
    <w:p w:rsidR="006A370E" w:rsidRPr="00FD55E3" w:rsidRDefault="006A370E" w:rsidP="006A370E">
      <w:pPr>
        <w:pStyle w:val="ParaNoNdepar-AltN"/>
        <w:rPr>
          <w:rFonts w:cs="Times New Roman"/>
          <w:szCs w:val="24"/>
        </w:rPr>
      </w:pPr>
      <w:r w:rsidRPr="00FD55E3">
        <w:rPr>
          <w:rFonts w:cs="Times New Roman"/>
        </w:rPr>
        <w:lastRenderedPageBreak/>
        <w:t>In support of its</w:t>
      </w:r>
      <w:r>
        <w:rPr>
          <w:rFonts w:cs="Times New Roman"/>
        </w:rPr>
        <w:t xml:space="preserve"> first</w:t>
      </w:r>
      <w:r w:rsidRPr="00FD55E3">
        <w:rPr>
          <w:rFonts w:cs="Times New Roman"/>
        </w:rPr>
        <w:t xml:space="preserve"> argument</w:t>
      </w:r>
      <w:r>
        <w:rPr>
          <w:rFonts w:cs="Times New Roman"/>
        </w:rPr>
        <w:t>,</w:t>
      </w:r>
      <w:r w:rsidRPr="00FD55E3">
        <w:rPr>
          <w:rFonts w:cs="Times New Roman"/>
        </w:rPr>
        <w:t xml:space="preserve"> Microsoft cites </w:t>
      </w:r>
      <w:r w:rsidRPr="00FD55E3">
        <w:rPr>
          <w:rFonts w:cs="Times New Roman"/>
          <w:i/>
        </w:rPr>
        <w:t>Peel (Regional Municipality) v. Canada</w:t>
      </w:r>
      <w:r>
        <w:rPr>
          <w:rFonts w:cs="Times New Roman"/>
        </w:rPr>
        <w:t>,</w:t>
      </w:r>
      <w:r w:rsidRPr="00FD55E3">
        <w:rPr>
          <w:rFonts w:cs="Times New Roman"/>
          <w:i/>
        </w:rPr>
        <w:t xml:space="preserve"> </w:t>
      </w:r>
      <w:r w:rsidRPr="00FD55E3">
        <w:rPr>
          <w:rFonts w:cs="Times New Roman"/>
        </w:rPr>
        <w:t xml:space="preserve">[1992] 3 S.C.R. 762. In </w:t>
      </w:r>
      <w:r w:rsidRPr="00FD55E3">
        <w:rPr>
          <w:rFonts w:cs="Times New Roman"/>
          <w:i/>
        </w:rPr>
        <w:t>Peel</w:t>
      </w:r>
      <w:r w:rsidRPr="00FD55E3">
        <w:rPr>
          <w:rFonts w:cs="Times New Roman"/>
        </w:rPr>
        <w:t xml:space="preserve">, </w:t>
      </w:r>
      <w:proofErr w:type="spellStart"/>
      <w:r w:rsidRPr="00FD55E3">
        <w:rPr>
          <w:rFonts w:cs="Times New Roman"/>
        </w:rPr>
        <w:t>McLachlin</w:t>
      </w:r>
      <w:proofErr w:type="spellEnd"/>
      <w:r w:rsidRPr="00FD55E3">
        <w:rPr>
          <w:rFonts w:cs="Times New Roman"/>
        </w:rPr>
        <w:t xml:space="preserve"> J. (as she then was) held</w:t>
      </w:r>
      <w:r>
        <w:rPr>
          <w:rFonts w:cs="Times New Roman"/>
        </w:rPr>
        <w:t>,</w:t>
      </w:r>
      <w:r w:rsidRPr="00FD55E3">
        <w:rPr>
          <w:rFonts w:cs="Times New Roman"/>
        </w:rPr>
        <w:t xml:space="preserve"> at p</w:t>
      </w:r>
      <w:r>
        <w:rPr>
          <w:rFonts w:cs="Times New Roman"/>
        </w:rPr>
        <w:t>.</w:t>
      </w:r>
      <w:r w:rsidRPr="00FD55E3">
        <w:rPr>
          <w:rFonts w:cs="Times New Roman"/>
        </w:rPr>
        <w:t xml:space="preserve"> 797</w:t>
      </w:r>
      <w:r>
        <w:rPr>
          <w:rFonts w:cs="Times New Roman"/>
        </w:rPr>
        <w:t>,</w:t>
      </w:r>
      <w:r w:rsidRPr="00FD55E3">
        <w:rPr>
          <w:rFonts w:cs="Times New Roman"/>
        </w:rPr>
        <w:t xml:space="preserve"> that “[t]he cases in which claims for unjust enrichment have been made out generally deal with benefits conferred directly and </w:t>
      </w:r>
      <w:r w:rsidRPr="00FD55E3">
        <w:rPr>
          <w:rFonts w:cs="Times New Roman"/>
          <w:szCs w:val="24"/>
        </w:rPr>
        <w:t xml:space="preserve">specifically on the defendant”.  A claim in unjust enrichment must be based on “more than an incidental blow-by. A secondary collateral benefit will not suffice. To permit recovery for incidental collateral benefits would be to admit of the possibility that a </w:t>
      </w:r>
      <w:r>
        <w:rPr>
          <w:rFonts w:cs="Times New Roman"/>
          <w:szCs w:val="24"/>
        </w:rPr>
        <w:t>plaintiff could recover twice —</w:t>
      </w:r>
      <w:r w:rsidRPr="00FD55E3">
        <w:rPr>
          <w:rFonts w:cs="Times New Roman"/>
          <w:szCs w:val="24"/>
        </w:rPr>
        <w:t xml:space="preserve"> once from the person who is the immediate beneficiary of the payment or benefit</w:t>
      </w:r>
      <w:r>
        <w:rPr>
          <w:rFonts w:cs="Times New Roman"/>
          <w:szCs w:val="24"/>
        </w:rPr>
        <w:t xml:space="preserve"> </w:t>
      </w:r>
      <w:r w:rsidRPr="00FD55E3">
        <w:rPr>
          <w:rFonts w:cs="Times New Roman"/>
          <w:szCs w:val="24"/>
        </w:rPr>
        <w:t>.</w:t>
      </w:r>
      <w:r>
        <w:rPr>
          <w:rFonts w:cs="Times New Roman"/>
          <w:szCs w:val="24"/>
        </w:rPr>
        <w:t xml:space="preserve"> </w:t>
      </w:r>
      <w:r w:rsidRPr="00FD55E3">
        <w:rPr>
          <w:rFonts w:cs="Times New Roman"/>
          <w:szCs w:val="24"/>
        </w:rPr>
        <w:t>.</w:t>
      </w:r>
      <w:r>
        <w:rPr>
          <w:rFonts w:cs="Times New Roman"/>
          <w:szCs w:val="24"/>
        </w:rPr>
        <w:t xml:space="preserve"> </w:t>
      </w:r>
      <w:r w:rsidRPr="00FD55E3">
        <w:rPr>
          <w:rFonts w:cs="Times New Roman"/>
          <w:szCs w:val="24"/>
        </w:rPr>
        <w:t>.</w:t>
      </w:r>
      <w:r>
        <w:rPr>
          <w:rFonts w:cs="Times New Roman"/>
          <w:szCs w:val="24"/>
        </w:rPr>
        <w:t xml:space="preserve"> , </w:t>
      </w:r>
      <w:r w:rsidRPr="00FD55E3">
        <w:rPr>
          <w:rFonts w:cs="Times New Roman"/>
          <w:szCs w:val="24"/>
        </w:rPr>
        <w:t>and aga</w:t>
      </w:r>
      <w:r>
        <w:rPr>
          <w:rFonts w:cs="Times New Roman"/>
          <w:szCs w:val="24"/>
        </w:rPr>
        <w:t>in from the person who reaped an</w:t>
      </w:r>
      <w:r w:rsidRPr="00FD55E3">
        <w:rPr>
          <w:rFonts w:cs="Times New Roman"/>
          <w:szCs w:val="24"/>
        </w:rPr>
        <w:t xml:space="preserve"> incidental benefit”</w:t>
      </w:r>
      <w:r>
        <w:rPr>
          <w:rFonts w:cs="Times New Roman"/>
          <w:szCs w:val="24"/>
        </w:rPr>
        <w:t xml:space="preserve"> (</w:t>
      </w:r>
      <w:r w:rsidRPr="00FD55E3">
        <w:rPr>
          <w:rFonts w:cs="Times New Roman"/>
          <w:i/>
          <w:szCs w:val="24"/>
        </w:rPr>
        <w:t>Peel</w:t>
      </w:r>
      <w:r>
        <w:rPr>
          <w:rFonts w:cs="Times New Roman"/>
          <w:szCs w:val="24"/>
        </w:rPr>
        <w:t>,</w:t>
      </w:r>
      <w:r w:rsidRPr="00FD55E3">
        <w:rPr>
          <w:rFonts w:cs="Times New Roman"/>
          <w:i/>
          <w:szCs w:val="24"/>
        </w:rPr>
        <w:t xml:space="preserve"> </w:t>
      </w:r>
      <w:r w:rsidRPr="00FD55E3">
        <w:rPr>
          <w:rFonts w:cs="Times New Roman"/>
          <w:szCs w:val="24"/>
        </w:rPr>
        <w:t>at p.</w:t>
      </w:r>
      <w:r>
        <w:rPr>
          <w:rFonts w:cs="Times New Roman"/>
          <w:szCs w:val="24"/>
        </w:rPr>
        <w:t xml:space="preserve"> </w:t>
      </w:r>
      <w:r w:rsidRPr="00FD55E3">
        <w:rPr>
          <w:rFonts w:cs="Times New Roman"/>
          <w:szCs w:val="24"/>
        </w:rPr>
        <w:t>797</w:t>
      </w:r>
      <w:r>
        <w:rPr>
          <w:rFonts w:cs="Times New Roman"/>
          <w:szCs w:val="24"/>
        </w:rPr>
        <w:t>)</w:t>
      </w:r>
      <w:r w:rsidRPr="00FD55E3">
        <w:rPr>
          <w:rFonts w:cs="Times New Roman"/>
          <w:szCs w:val="24"/>
        </w:rPr>
        <w:t>. The words of</w:t>
      </w:r>
      <w:r w:rsidRPr="00FD55E3">
        <w:rPr>
          <w:rFonts w:cs="Times New Roman"/>
          <w:i/>
          <w:szCs w:val="24"/>
        </w:rPr>
        <w:t xml:space="preserve"> Peel</w:t>
      </w:r>
      <w:r w:rsidRPr="00FD55E3">
        <w:rPr>
          <w:rFonts w:cs="Times New Roman"/>
          <w:szCs w:val="24"/>
        </w:rPr>
        <w:t xml:space="preserve"> themselves would appear to foreclose the possibility of an indirect relationship between plaintiff and defendant. However, this does not resolve the issue. First, it is not apparent that the benefit to Microsoft is an “incidental blow-by” or “collateral benefit”. Second, Pro-Sys relies on</w:t>
      </w:r>
      <w:r w:rsidRPr="00FD55E3">
        <w:rPr>
          <w:rFonts w:cs="Times New Roman"/>
          <w:i/>
          <w:szCs w:val="24"/>
        </w:rPr>
        <w:t xml:space="preserve"> Alberta Elders</w:t>
      </w:r>
      <w:r>
        <w:rPr>
          <w:rFonts w:cs="Times New Roman"/>
          <w:szCs w:val="24"/>
        </w:rPr>
        <w:t>,</w:t>
      </w:r>
      <w:r w:rsidRPr="00FD55E3">
        <w:rPr>
          <w:rFonts w:cs="Times New Roman"/>
          <w:szCs w:val="24"/>
        </w:rPr>
        <w:t xml:space="preserve"> which it says stands for the proposition that an unjust enrichment may be possible where the benefit was indirect and was passed on by a third party.  At this stage</w:t>
      </w:r>
      <w:r>
        <w:rPr>
          <w:rFonts w:cs="Times New Roman"/>
          <w:szCs w:val="24"/>
        </w:rPr>
        <w:t>,</w:t>
      </w:r>
      <w:r w:rsidRPr="00FD55E3">
        <w:rPr>
          <w:rFonts w:cs="Times New Roman"/>
          <w:szCs w:val="24"/>
        </w:rPr>
        <w:t xml:space="preserve"> I cannot conclude that it is plain and obvious that a claim in unjust enrichment will be made out only where the relationship between the plaintiff and the defendant is direct.   </w:t>
      </w:r>
    </w:p>
    <w:p w:rsidR="006A370E" w:rsidRPr="00FD55E3" w:rsidRDefault="006A370E" w:rsidP="006A370E">
      <w:pPr>
        <w:pStyle w:val="ParaNoNdepar-AltN"/>
        <w:rPr>
          <w:rFonts w:cs="Times New Roman"/>
          <w:szCs w:val="24"/>
        </w:rPr>
      </w:pPr>
      <w:r w:rsidRPr="00FD55E3">
        <w:rPr>
          <w:rFonts w:cs="Times New Roman"/>
          <w:szCs w:val="24"/>
        </w:rPr>
        <w:t xml:space="preserve"> With regard to Microsoft’s juristic reason justification, Pro-Sys pleads that these contracts are “illegal and void” because they constitute a restraint of trade at common law, they violate U.S. antitrust law, they are prohibited by Microsoft’s own </w:t>
      </w:r>
      <w:r>
        <w:rPr>
          <w:rFonts w:cs="Times New Roman"/>
          <w:szCs w:val="24"/>
        </w:rPr>
        <w:t xml:space="preserve">corporate policies </w:t>
      </w:r>
      <w:r w:rsidRPr="00FD55E3">
        <w:rPr>
          <w:rFonts w:cs="Times New Roman"/>
          <w:szCs w:val="24"/>
        </w:rPr>
        <w:t xml:space="preserve">and they violate Part VI of the </w:t>
      </w:r>
      <w:r w:rsidRPr="00FD55E3">
        <w:rPr>
          <w:rFonts w:cs="Times New Roman"/>
          <w:i/>
          <w:szCs w:val="24"/>
        </w:rPr>
        <w:t>Competition Act</w:t>
      </w:r>
      <w:r w:rsidRPr="00FD55E3">
        <w:rPr>
          <w:rFonts w:cs="Times New Roman"/>
          <w:szCs w:val="24"/>
        </w:rPr>
        <w:t xml:space="preserve">. It submits that </w:t>
      </w:r>
      <w:r w:rsidRPr="00FD55E3">
        <w:rPr>
          <w:rFonts w:cs="Times New Roman"/>
          <w:szCs w:val="24"/>
        </w:rPr>
        <w:lastRenderedPageBreak/>
        <w:t>the contracts cannot therefore constitute a juristic reason for the enrichment. The question of whether the contracts are illegal and void should not be resolved at this stage of the proceedings. These are question</w:t>
      </w:r>
      <w:r w:rsidR="00A600A0">
        <w:rPr>
          <w:rFonts w:cs="Times New Roman"/>
          <w:szCs w:val="24"/>
        </w:rPr>
        <w:t>s</w:t>
      </w:r>
      <w:r w:rsidRPr="00FD55E3">
        <w:rPr>
          <w:rFonts w:cs="Times New Roman"/>
          <w:szCs w:val="24"/>
        </w:rPr>
        <w:t xml:space="preserve"> that must be left to the trial judge.  </w:t>
      </w:r>
    </w:p>
    <w:p w:rsidR="006A370E" w:rsidRPr="00FD55E3" w:rsidRDefault="006A370E" w:rsidP="006A370E">
      <w:pPr>
        <w:pStyle w:val="ParaNoNdepar-AltN"/>
        <w:rPr>
          <w:rFonts w:cs="Times New Roman"/>
          <w:szCs w:val="24"/>
        </w:rPr>
      </w:pPr>
      <w:r w:rsidRPr="00FD55E3">
        <w:rPr>
          <w:rFonts w:cs="Times New Roman"/>
          <w:szCs w:val="24"/>
        </w:rPr>
        <w:t xml:space="preserve">I am thus unable to find that it is plain and obvious that the claim in unjust enrichment cannot succeed.  </w:t>
      </w:r>
    </w:p>
    <w:p w:rsidR="006A370E" w:rsidRPr="00FD55E3" w:rsidRDefault="002E1456" w:rsidP="002E1456">
      <w:pPr>
        <w:pStyle w:val="Title4LevelTitre4Niveau"/>
        <w:numPr>
          <w:ilvl w:val="0"/>
          <w:numId w:val="0"/>
        </w:numPr>
        <w:tabs>
          <w:tab w:val="left" w:pos="1170"/>
        </w:tabs>
        <w:ind w:left="1800" w:hanging="1800"/>
        <w:rPr>
          <w:rFonts w:cs="Times New Roman"/>
        </w:rPr>
      </w:pPr>
      <w:bookmarkStart w:id="151" w:name="_Toc360611922"/>
      <w:bookmarkStart w:id="152" w:name="_Toc367887599"/>
      <w:bookmarkStart w:id="153" w:name="_Toc367948563"/>
      <w:bookmarkStart w:id="154" w:name="_Toc367957392"/>
      <w:bookmarkStart w:id="155" w:name="_Toc369188640"/>
      <w:bookmarkStart w:id="156" w:name="_Toc370903022"/>
      <w:r>
        <w:rPr>
          <w:rFonts w:cs="Times New Roman"/>
        </w:rPr>
        <w:tab/>
      </w:r>
      <w:r w:rsidRPr="002E1456">
        <w:rPr>
          <w:rFonts w:cs="Times New Roman"/>
          <w:i w:val="0"/>
        </w:rPr>
        <w:t>(ii)</w:t>
      </w:r>
      <w:r w:rsidRPr="002E1456">
        <w:rPr>
          <w:rFonts w:cs="Times New Roman"/>
          <w:i w:val="0"/>
        </w:rPr>
        <w:tab/>
      </w:r>
      <w:r w:rsidR="006A370E" w:rsidRPr="00E1659C">
        <w:rPr>
          <w:rFonts w:cs="Times New Roman"/>
          <w:i w:val="0"/>
          <w:u w:val="single"/>
        </w:rPr>
        <w:t>Constructive Trust</w:t>
      </w:r>
      <w:bookmarkEnd w:id="151"/>
      <w:bookmarkEnd w:id="152"/>
      <w:bookmarkEnd w:id="153"/>
      <w:bookmarkEnd w:id="154"/>
      <w:bookmarkEnd w:id="155"/>
      <w:bookmarkEnd w:id="156"/>
    </w:p>
    <w:p w:rsidR="006A370E" w:rsidRPr="00FD55E3" w:rsidRDefault="006A370E" w:rsidP="006A370E">
      <w:pPr>
        <w:pStyle w:val="ParaNoNdepar-AltN"/>
        <w:rPr>
          <w:rFonts w:cs="Times New Roman"/>
          <w:szCs w:val="24"/>
        </w:rPr>
      </w:pPr>
      <w:r w:rsidRPr="00FD55E3">
        <w:rPr>
          <w:rFonts w:cs="Times New Roman"/>
          <w:szCs w:val="24"/>
        </w:rPr>
        <w:t>As a remedy for the alleged unjust enrichment, Pro-Sys submits that an amount equal to the overcharge from the sale</w:t>
      </w:r>
      <w:r>
        <w:rPr>
          <w:rFonts w:cs="Times New Roman"/>
          <w:szCs w:val="24"/>
        </w:rPr>
        <w:t>s</w:t>
      </w:r>
      <w:r w:rsidRPr="00FD55E3">
        <w:rPr>
          <w:rFonts w:cs="Times New Roman"/>
          <w:szCs w:val="24"/>
        </w:rPr>
        <w:t xml:space="preserve"> </w:t>
      </w:r>
      <w:r>
        <w:rPr>
          <w:rFonts w:cs="Times New Roman"/>
          <w:szCs w:val="24"/>
        </w:rPr>
        <w:t>of Microsoft operating systems and Microsoft applications s</w:t>
      </w:r>
      <w:r w:rsidRPr="00FD55E3">
        <w:rPr>
          <w:rFonts w:cs="Times New Roman"/>
          <w:szCs w:val="24"/>
        </w:rPr>
        <w:t>oftware in British Columbia should be held by Microsoft in trust for the</w:t>
      </w:r>
      <w:r>
        <w:rPr>
          <w:rFonts w:cs="Times New Roman"/>
          <w:szCs w:val="24"/>
        </w:rPr>
        <w:t xml:space="preserve"> class members</w:t>
      </w:r>
      <w:r w:rsidRPr="00FD55E3">
        <w:rPr>
          <w:rFonts w:cs="Times New Roman"/>
          <w:szCs w:val="24"/>
        </w:rPr>
        <w:t>. In other words, Pro-Sys is asking that Microsoft be constituted a constructive trustee in favour of Pro-Sys.</w:t>
      </w:r>
    </w:p>
    <w:p w:rsidR="006A370E" w:rsidRPr="00FD55E3" w:rsidRDefault="006A370E" w:rsidP="006A370E">
      <w:pPr>
        <w:pStyle w:val="ParaNoNdepar-AltN"/>
        <w:rPr>
          <w:rFonts w:cs="Times New Roman"/>
        </w:rPr>
      </w:pPr>
      <w:r w:rsidRPr="00FD55E3">
        <w:rPr>
          <w:rFonts w:cs="Times New Roman"/>
          <w:i/>
        </w:rPr>
        <w:t xml:space="preserve">Kerr v. </w:t>
      </w:r>
      <w:proofErr w:type="spellStart"/>
      <w:r w:rsidRPr="00FD55E3">
        <w:rPr>
          <w:rFonts w:cs="Times New Roman"/>
          <w:i/>
        </w:rPr>
        <w:t>Baranow</w:t>
      </w:r>
      <w:proofErr w:type="spellEnd"/>
      <w:r w:rsidRPr="00FD55E3">
        <w:rPr>
          <w:rFonts w:cs="Times New Roman"/>
        </w:rPr>
        <w:t xml:space="preserve">, </w:t>
      </w:r>
      <w:r>
        <w:rPr>
          <w:rFonts w:cs="Times New Roman"/>
        </w:rPr>
        <w:t xml:space="preserve">2011 SCC 10, </w:t>
      </w:r>
      <w:r w:rsidRPr="00FD55E3">
        <w:rPr>
          <w:rFonts w:cs="Times New Roman"/>
        </w:rPr>
        <w:t>[2011] 1 S.C.R. 269, is the relevant controlling authority</w:t>
      </w:r>
      <w:r>
        <w:rPr>
          <w:rFonts w:cs="Times New Roman"/>
        </w:rPr>
        <w:t xml:space="preserve"> on constructive trusts</w:t>
      </w:r>
      <w:r w:rsidRPr="00FD55E3">
        <w:rPr>
          <w:rFonts w:cs="Times New Roman"/>
        </w:rPr>
        <w:t xml:space="preserve">. In </w:t>
      </w:r>
      <w:r w:rsidRPr="00FD55E3">
        <w:rPr>
          <w:rFonts w:cs="Times New Roman"/>
          <w:i/>
        </w:rPr>
        <w:t>Kerr</w:t>
      </w:r>
      <w:r w:rsidRPr="00FD55E3">
        <w:rPr>
          <w:rFonts w:cs="Times New Roman"/>
        </w:rPr>
        <w:t>, Justice Cromwell explains that in order to find that a constructive trust is made out, the plaintiff must be able to point to a link or causal connection between his or her contribution and the acquisition of specific property</w:t>
      </w:r>
      <w:r>
        <w:rPr>
          <w:rFonts w:cs="Times New Roman"/>
        </w:rPr>
        <w:t>:</w:t>
      </w:r>
    </w:p>
    <w:p w:rsidR="006A370E" w:rsidRPr="00FD55E3" w:rsidRDefault="006A370E" w:rsidP="006A370E">
      <w:pPr>
        <w:pStyle w:val="Citation-AltC"/>
      </w:pPr>
      <w:r w:rsidRPr="00FD55E3">
        <w:t>.</w:t>
      </w:r>
      <w:r>
        <w:t xml:space="preserve"> </w:t>
      </w:r>
      <w:r w:rsidRPr="00FD55E3">
        <w:t>.</w:t>
      </w:r>
      <w:r>
        <w:t xml:space="preserve"> </w:t>
      </w:r>
      <w:r w:rsidRPr="00FD55E3">
        <w:t>.</w:t>
      </w:r>
      <w:r>
        <w:t xml:space="preserve"> </w:t>
      </w:r>
      <w:proofErr w:type="gramStart"/>
      <w:r w:rsidRPr="00FD55E3">
        <w:t>the</w:t>
      </w:r>
      <w:proofErr w:type="gramEnd"/>
      <w:r w:rsidRPr="00FD55E3">
        <w:t xml:space="preserve"> constructive trust is a broad and flexible equitable tool used to determine beneficial entitlement to property (</w:t>
      </w:r>
      <w:proofErr w:type="spellStart"/>
      <w:r w:rsidRPr="00CA1E97">
        <w:rPr>
          <w:i/>
        </w:rPr>
        <w:t>Pettkus</w:t>
      </w:r>
      <w:proofErr w:type="spellEnd"/>
      <w:r w:rsidRPr="00FD55E3">
        <w:t xml:space="preserve">, at pp. 843-44 and 847-48). Where the plaintiff can demonstrate a link or causal connection between his or her contributions and the acquisition, preservation, maintenance or improvement of the disputed property, a share of the </w:t>
      </w:r>
      <w:r w:rsidRPr="00FD55E3">
        <w:lastRenderedPageBreak/>
        <w:t>property proportionate to the unjust enrichment can be impressed with a constructive trust in his or her favour (</w:t>
      </w:r>
      <w:proofErr w:type="spellStart"/>
      <w:r w:rsidRPr="00CA1E97">
        <w:rPr>
          <w:i/>
        </w:rPr>
        <w:t>Pettkus</w:t>
      </w:r>
      <w:proofErr w:type="spellEnd"/>
      <w:r w:rsidRPr="00FD55E3">
        <w:t xml:space="preserve">, at pp. 852-53; </w:t>
      </w:r>
      <w:proofErr w:type="spellStart"/>
      <w:r w:rsidRPr="00CA1E97">
        <w:rPr>
          <w:i/>
        </w:rPr>
        <w:t>Sorochan</w:t>
      </w:r>
      <w:proofErr w:type="spellEnd"/>
      <w:r>
        <w:t>, at p. 50). [</w:t>
      </w:r>
      <w:proofErr w:type="spellStart"/>
      <w:r>
        <w:t>para</w:t>
      </w:r>
      <w:proofErr w:type="spellEnd"/>
      <w:r>
        <w:t>. 50]</w:t>
      </w:r>
    </w:p>
    <w:p w:rsidR="006A370E" w:rsidRPr="00FD55E3" w:rsidRDefault="006A370E" w:rsidP="006A370E">
      <w:pPr>
        <w:pStyle w:val="ParaNoNdepar-AltN"/>
        <w:rPr>
          <w:rFonts w:cs="Times New Roman"/>
        </w:rPr>
      </w:pPr>
      <w:r>
        <w:rPr>
          <w:rFonts w:cs="Times New Roman"/>
        </w:rPr>
        <w:t>In the present</w:t>
      </w:r>
      <w:r w:rsidRPr="00FD55E3">
        <w:rPr>
          <w:rFonts w:cs="Times New Roman"/>
        </w:rPr>
        <w:t xml:space="preserve"> case, there is no referential </w:t>
      </w:r>
      <w:r>
        <w:rPr>
          <w:rFonts w:cs="Times New Roman"/>
        </w:rPr>
        <w:t xml:space="preserve">property; Pro-Sys makes a purely </w:t>
      </w:r>
      <w:r w:rsidRPr="00FD55E3">
        <w:rPr>
          <w:rFonts w:cs="Times New Roman"/>
        </w:rPr>
        <w:t>monetary claim. Constructive trusts are designed to “determine beneficial entitlement to property” when “a monetary award is inappropriate or insufficient” (</w:t>
      </w:r>
      <w:r w:rsidRPr="00CA1E97">
        <w:rPr>
          <w:rFonts w:cs="Times New Roman"/>
          <w:i/>
        </w:rPr>
        <w:t>Kerr</w:t>
      </w:r>
      <w:r>
        <w:rPr>
          <w:rFonts w:cs="Times New Roman"/>
        </w:rPr>
        <w:t xml:space="preserve">, </w:t>
      </w:r>
      <w:r w:rsidRPr="00FD55E3">
        <w:rPr>
          <w:rFonts w:cs="Times New Roman"/>
        </w:rPr>
        <w:t xml:space="preserve">at </w:t>
      </w:r>
      <w:proofErr w:type="spellStart"/>
      <w:r w:rsidRPr="00FD55E3">
        <w:rPr>
          <w:rFonts w:cs="Times New Roman"/>
        </w:rPr>
        <w:t>para</w:t>
      </w:r>
      <w:proofErr w:type="spellEnd"/>
      <w:r w:rsidRPr="00FD55E3">
        <w:rPr>
          <w:rFonts w:cs="Times New Roman"/>
        </w:rPr>
        <w:t>. 50). As Pro-</w:t>
      </w:r>
      <w:proofErr w:type="spellStart"/>
      <w:r w:rsidRPr="00FD55E3">
        <w:rPr>
          <w:rFonts w:cs="Times New Roman"/>
        </w:rPr>
        <w:t>Sys</w:t>
      </w:r>
      <w:r>
        <w:rPr>
          <w:rFonts w:cs="Times New Roman"/>
        </w:rPr>
        <w:t>’s</w:t>
      </w:r>
      <w:proofErr w:type="spellEnd"/>
      <w:r w:rsidRPr="00FD55E3">
        <w:rPr>
          <w:rFonts w:cs="Times New Roman"/>
        </w:rPr>
        <w:t xml:space="preserve"> claim neither explains why a monetary award is inappropriate or insufficient nor shows a link to specific property, the claim does not satisfy the conditions necessary to ground a constructive trust. On the pleadings, it is plain and obvious that </w:t>
      </w:r>
      <w:r w:rsidRPr="00FD55E3">
        <w:rPr>
          <w:rFonts w:cs="Times New Roman"/>
          <w:szCs w:val="24"/>
        </w:rPr>
        <w:t>Pro-</w:t>
      </w:r>
      <w:proofErr w:type="spellStart"/>
      <w:r w:rsidRPr="00FD55E3">
        <w:rPr>
          <w:rFonts w:cs="Times New Roman"/>
          <w:szCs w:val="24"/>
        </w:rPr>
        <w:t>Sys’</w:t>
      </w:r>
      <w:r>
        <w:rPr>
          <w:rFonts w:cs="Times New Roman"/>
          <w:szCs w:val="24"/>
        </w:rPr>
        <w:t>s</w:t>
      </w:r>
      <w:proofErr w:type="spellEnd"/>
      <w:r w:rsidRPr="00FD55E3">
        <w:rPr>
          <w:rFonts w:cs="Times New Roman"/>
          <w:szCs w:val="24"/>
        </w:rPr>
        <w:t xml:space="preserve"> claim that an amount equal to the overcha</w:t>
      </w:r>
      <w:r>
        <w:rPr>
          <w:rFonts w:cs="Times New Roman"/>
          <w:szCs w:val="24"/>
        </w:rPr>
        <w:t>rge from the sale of Microsoft operating s</w:t>
      </w:r>
      <w:r w:rsidRPr="00FD55E3">
        <w:rPr>
          <w:rFonts w:cs="Times New Roman"/>
          <w:szCs w:val="24"/>
        </w:rPr>
        <w:t>ystems and Micro</w:t>
      </w:r>
      <w:r>
        <w:rPr>
          <w:rFonts w:cs="Times New Roman"/>
          <w:szCs w:val="24"/>
        </w:rPr>
        <w:t>soft applications s</w:t>
      </w:r>
      <w:r w:rsidRPr="00FD55E3">
        <w:rPr>
          <w:rFonts w:cs="Times New Roman"/>
          <w:szCs w:val="24"/>
        </w:rPr>
        <w:t>oftware in British Columbia should be held by Microsoft in trust for the class members cannot succeed</w:t>
      </w:r>
      <w:r w:rsidRPr="00FD55E3">
        <w:rPr>
          <w:rFonts w:cs="Times New Roman"/>
        </w:rPr>
        <w:t>. The pleadings based on constructive trust must be struck.</w:t>
      </w:r>
    </w:p>
    <w:p w:rsidR="006A370E" w:rsidRPr="00FD55E3" w:rsidRDefault="002E1456" w:rsidP="002E1456">
      <w:pPr>
        <w:pStyle w:val="Title4LevelTitre4Niveau"/>
        <w:numPr>
          <w:ilvl w:val="0"/>
          <w:numId w:val="0"/>
        </w:numPr>
        <w:tabs>
          <w:tab w:val="left" w:pos="1170"/>
        </w:tabs>
        <w:ind w:left="1800" w:hanging="1800"/>
        <w:rPr>
          <w:rFonts w:cs="Times New Roman"/>
        </w:rPr>
      </w:pPr>
      <w:bookmarkStart w:id="157" w:name="_Toc360611923"/>
      <w:bookmarkStart w:id="158" w:name="_Toc367887600"/>
      <w:bookmarkStart w:id="159" w:name="_Toc367948564"/>
      <w:bookmarkStart w:id="160" w:name="_Toc367957393"/>
      <w:bookmarkStart w:id="161" w:name="_Toc369188641"/>
      <w:bookmarkStart w:id="162" w:name="_Toc370903023"/>
      <w:r>
        <w:rPr>
          <w:rFonts w:cs="Times New Roman"/>
        </w:rPr>
        <w:tab/>
      </w:r>
      <w:r w:rsidRPr="002E1456">
        <w:rPr>
          <w:rFonts w:cs="Times New Roman"/>
          <w:i w:val="0"/>
        </w:rPr>
        <w:t>(iii)</w:t>
      </w:r>
      <w:r w:rsidRPr="002E1456">
        <w:rPr>
          <w:rFonts w:cs="Times New Roman"/>
          <w:i w:val="0"/>
        </w:rPr>
        <w:tab/>
      </w:r>
      <w:r w:rsidR="006A370E" w:rsidRPr="00221A51">
        <w:rPr>
          <w:rFonts w:cs="Times New Roman"/>
          <w:i w:val="0"/>
          <w:u w:val="single"/>
        </w:rPr>
        <w:t>Waiver of Tort</w:t>
      </w:r>
      <w:bookmarkEnd w:id="157"/>
      <w:bookmarkEnd w:id="158"/>
      <w:bookmarkEnd w:id="159"/>
      <w:bookmarkEnd w:id="160"/>
      <w:bookmarkEnd w:id="161"/>
      <w:bookmarkEnd w:id="162"/>
    </w:p>
    <w:p w:rsidR="006A370E" w:rsidRPr="00FD55E3" w:rsidRDefault="006A370E" w:rsidP="006A370E">
      <w:pPr>
        <w:pStyle w:val="ParaNoNdepar-AltN"/>
        <w:rPr>
          <w:rFonts w:cs="Times New Roman"/>
        </w:rPr>
      </w:pPr>
      <w:r w:rsidRPr="00FD55E3">
        <w:rPr>
          <w:rFonts w:cs="Times New Roman"/>
          <w:szCs w:val="24"/>
        </w:rPr>
        <w:t xml:space="preserve"> As an alternative to the causes of action in tort, Pro-Sys waives the tort and seeks to recover the unjust e</w:t>
      </w:r>
      <w:r>
        <w:rPr>
          <w:rFonts w:cs="Times New Roman"/>
          <w:szCs w:val="24"/>
        </w:rPr>
        <w:t>nrichment accruing to Microsoft</w:t>
      </w:r>
      <w:r w:rsidRPr="00FD55E3">
        <w:rPr>
          <w:rFonts w:cs="Times New Roman"/>
          <w:szCs w:val="24"/>
        </w:rPr>
        <w:t xml:space="preserve">. </w:t>
      </w:r>
      <w:r w:rsidRPr="00FD55E3">
        <w:rPr>
          <w:rFonts w:cs="Times New Roman"/>
        </w:rPr>
        <w:t xml:space="preserve">Waiver of tort occurs when the plaintiff gives up the right to sue in tort and elects instead to base its claim in restitution, </w:t>
      </w:r>
      <w:r>
        <w:rPr>
          <w:rFonts w:cs="Times New Roman"/>
        </w:rPr>
        <w:t>“</w:t>
      </w:r>
      <w:r w:rsidRPr="00FD55E3">
        <w:rPr>
          <w:rFonts w:cs="Times New Roman"/>
        </w:rPr>
        <w:t xml:space="preserve">thereby seeking to recoup the benefits that the defendant has derived from the </w:t>
      </w:r>
      <w:proofErr w:type="spellStart"/>
      <w:r w:rsidRPr="00FD55E3">
        <w:rPr>
          <w:rFonts w:cs="Times New Roman"/>
        </w:rPr>
        <w:t>tortious</w:t>
      </w:r>
      <w:proofErr w:type="spellEnd"/>
      <w:r w:rsidRPr="00FD55E3">
        <w:rPr>
          <w:rFonts w:cs="Times New Roman"/>
        </w:rPr>
        <w:t xml:space="preserve"> conduct</w:t>
      </w:r>
      <w:r>
        <w:rPr>
          <w:rFonts w:cs="Times New Roman"/>
        </w:rPr>
        <w:t>”</w:t>
      </w:r>
      <w:r w:rsidRPr="00FD55E3">
        <w:rPr>
          <w:rFonts w:cs="Times New Roman"/>
        </w:rPr>
        <w:t xml:space="preserve"> </w:t>
      </w:r>
      <w:r>
        <w:rPr>
          <w:rFonts w:cs="Times New Roman"/>
        </w:rPr>
        <w:t>(</w:t>
      </w:r>
      <w:proofErr w:type="spellStart"/>
      <w:r w:rsidRPr="00CA1E97">
        <w:rPr>
          <w:rFonts w:cs="Times New Roman"/>
        </w:rPr>
        <w:t>Maddaugh</w:t>
      </w:r>
      <w:proofErr w:type="spellEnd"/>
      <w:r w:rsidRPr="00FD55E3">
        <w:rPr>
          <w:rFonts w:cs="Times New Roman"/>
          <w:i/>
        </w:rPr>
        <w:t xml:space="preserve"> </w:t>
      </w:r>
      <w:r>
        <w:rPr>
          <w:rFonts w:cs="Times New Roman"/>
        </w:rPr>
        <w:t xml:space="preserve">and </w:t>
      </w:r>
      <w:proofErr w:type="spellStart"/>
      <w:r>
        <w:rPr>
          <w:rFonts w:cs="Times New Roman"/>
        </w:rPr>
        <w:t>McCamus</w:t>
      </w:r>
      <w:proofErr w:type="spellEnd"/>
      <w:r>
        <w:rPr>
          <w:rFonts w:cs="Times New Roman"/>
        </w:rPr>
        <w:t xml:space="preserve"> (2013), </w:t>
      </w:r>
      <w:r w:rsidRPr="00FD55E3">
        <w:rPr>
          <w:rFonts w:cs="Times New Roman"/>
        </w:rPr>
        <w:t xml:space="preserve">at </w:t>
      </w:r>
      <w:r>
        <w:rPr>
          <w:rFonts w:cs="Times New Roman"/>
        </w:rPr>
        <w:t xml:space="preserve">p. </w:t>
      </w:r>
      <w:r w:rsidRPr="00FD55E3">
        <w:rPr>
          <w:rFonts w:cs="Times New Roman"/>
        </w:rPr>
        <w:t>24-1</w:t>
      </w:r>
      <w:r>
        <w:rPr>
          <w:rFonts w:cs="Times New Roman"/>
        </w:rPr>
        <w:t>)</w:t>
      </w:r>
      <w:r w:rsidRPr="00FD55E3">
        <w:rPr>
          <w:rFonts w:cs="Times New Roman"/>
        </w:rPr>
        <w:t>. Causes of action in tort and restitution are not mutually exclusive, but rather provide alternative remedies t</w:t>
      </w:r>
      <w:r>
        <w:rPr>
          <w:rFonts w:cs="Times New Roman"/>
        </w:rPr>
        <w:t>hat may be pursued concurrently</w:t>
      </w:r>
      <w:r w:rsidRPr="00FD55E3">
        <w:rPr>
          <w:rFonts w:cs="Times New Roman"/>
        </w:rPr>
        <w:t xml:space="preserve"> </w:t>
      </w:r>
      <w:r>
        <w:rPr>
          <w:rFonts w:cs="Times New Roman"/>
        </w:rPr>
        <w:t>(</w:t>
      </w:r>
      <w:r w:rsidRPr="00FD55E3">
        <w:rPr>
          <w:rFonts w:cs="Times New Roman"/>
          <w:i/>
        </w:rPr>
        <w:t>United Australia</w:t>
      </w:r>
      <w:r>
        <w:rPr>
          <w:rFonts w:cs="Times New Roman"/>
          <w:i/>
        </w:rPr>
        <w:t>,</w:t>
      </w:r>
      <w:r w:rsidRPr="00FD55E3">
        <w:rPr>
          <w:rFonts w:cs="Times New Roman"/>
          <w:i/>
        </w:rPr>
        <w:t xml:space="preserve"> Lt</w:t>
      </w:r>
      <w:r w:rsidRPr="00CA1E97">
        <w:rPr>
          <w:rFonts w:cs="Times New Roman"/>
          <w:i/>
        </w:rPr>
        <w:t>d.</w:t>
      </w:r>
      <w:r w:rsidRPr="00FD55E3">
        <w:rPr>
          <w:rFonts w:cs="Times New Roman"/>
          <w:i/>
        </w:rPr>
        <w:t xml:space="preserve"> v. Barclays Bank</w:t>
      </w:r>
      <w:r>
        <w:rPr>
          <w:rFonts w:cs="Times New Roman"/>
          <w:i/>
        </w:rPr>
        <w:t>, Ltd.</w:t>
      </w:r>
      <w:r w:rsidRPr="00FD55E3">
        <w:rPr>
          <w:rFonts w:cs="Times New Roman"/>
        </w:rPr>
        <w:t>, [1941] A.C. 1 (H.L.)</w:t>
      </w:r>
      <w:r>
        <w:rPr>
          <w:rFonts w:cs="Times New Roman"/>
        </w:rPr>
        <w:t>,</w:t>
      </w:r>
      <w:r w:rsidRPr="00FD55E3">
        <w:rPr>
          <w:rFonts w:cs="Times New Roman"/>
        </w:rPr>
        <w:t xml:space="preserve"> at p.</w:t>
      </w:r>
      <w:r>
        <w:rPr>
          <w:rFonts w:cs="Times New Roman"/>
        </w:rPr>
        <w:t xml:space="preserve"> </w:t>
      </w:r>
      <w:r w:rsidRPr="00FD55E3">
        <w:rPr>
          <w:rFonts w:cs="Times New Roman"/>
        </w:rPr>
        <w:t>18</w:t>
      </w:r>
      <w:r>
        <w:rPr>
          <w:rFonts w:cs="Times New Roman"/>
        </w:rPr>
        <w:t>)</w:t>
      </w:r>
      <w:r w:rsidRPr="00FD55E3">
        <w:rPr>
          <w:rFonts w:cs="Times New Roman"/>
        </w:rPr>
        <w:t xml:space="preserve">. Waiver of tort is based on the </w:t>
      </w:r>
      <w:r w:rsidRPr="00FD55E3">
        <w:rPr>
          <w:rFonts w:cs="Times New Roman"/>
        </w:rPr>
        <w:lastRenderedPageBreak/>
        <w:t>theory that “in certain situations, where a tort has been commit</w:t>
      </w:r>
      <w:r>
        <w:rPr>
          <w:rFonts w:cs="Times New Roman"/>
        </w:rPr>
        <w:t>ted, it may be to the plaintiff’</w:t>
      </w:r>
      <w:r w:rsidRPr="00FD55E3">
        <w:rPr>
          <w:rFonts w:cs="Times New Roman"/>
        </w:rPr>
        <w:t xml:space="preserve">s </w:t>
      </w:r>
      <w:r w:rsidRPr="00FD55E3">
        <w:rPr>
          <w:rFonts w:cs="Times New Roman"/>
          <w:sz w:val="23"/>
          <w:szCs w:val="23"/>
        </w:rPr>
        <w:t xml:space="preserve">advantage to seek recovery of an unjust enrichment accruing to the </w:t>
      </w:r>
      <w:r w:rsidRPr="00FD55E3">
        <w:rPr>
          <w:rFonts w:cs="Times New Roman"/>
        </w:rPr>
        <w:t>defendant rather than</w:t>
      </w:r>
      <w:r>
        <w:rPr>
          <w:rFonts w:cs="Times New Roman"/>
        </w:rPr>
        <w:t xml:space="preserve"> normal tort damages</w:t>
      </w:r>
      <w:r w:rsidRPr="00FD55E3">
        <w:rPr>
          <w:rFonts w:cs="Times New Roman"/>
        </w:rPr>
        <w:t xml:space="preserve">” </w:t>
      </w:r>
      <w:r>
        <w:rPr>
          <w:rFonts w:cs="Times New Roman"/>
        </w:rPr>
        <w:t>(</w:t>
      </w:r>
      <w:proofErr w:type="spellStart"/>
      <w:r w:rsidRPr="00CA1E97">
        <w:rPr>
          <w:rFonts w:cs="Times New Roman"/>
        </w:rPr>
        <w:t>Maddaugh</w:t>
      </w:r>
      <w:proofErr w:type="spellEnd"/>
      <w:r w:rsidRPr="00FD55E3">
        <w:rPr>
          <w:rFonts w:cs="Times New Roman"/>
          <w:i/>
        </w:rPr>
        <w:t xml:space="preserve"> </w:t>
      </w:r>
      <w:r>
        <w:rPr>
          <w:rFonts w:cs="Times New Roman"/>
        </w:rPr>
        <w:t xml:space="preserve">and </w:t>
      </w:r>
      <w:proofErr w:type="spellStart"/>
      <w:r>
        <w:rPr>
          <w:rFonts w:cs="Times New Roman"/>
        </w:rPr>
        <w:t>McCamus</w:t>
      </w:r>
      <w:proofErr w:type="spellEnd"/>
      <w:r>
        <w:rPr>
          <w:rFonts w:cs="Times New Roman"/>
        </w:rPr>
        <w:t xml:space="preserve">, </w:t>
      </w:r>
      <w:r w:rsidRPr="00FD55E3">
        <w:rPr>
          <w:rFonts w:cs="Times New Roman"/>
        </w:rPr>
        <w:t xml:space="preserve">at </w:t>
      </w:r>
      <w:r>
        <w:rPr>
          <w:rFonts w:cs="Times New Roman"/>
        </w:rPr>
        <w:t xml:space="preserve">pp. </w:t>
      </w:r>
      <w:r w:rsidRPr="00FD55E3">
        <w:rPr>
          <w:rFonts w:cs="Times New Roman"/>
        </w:rPr>
        <w:t>24-1</w:t>
      </w:r>
      <w:r>
        <w:rPr>
          <w:rFonts w:cs="Times New Roman"/>
        </w:rPr>
        <w:t xml:space="preserve"> and 24-2)</w:t>
      </w:r>
      <w:r w:rsidRPr="00FD55E3">
        <w:rPr>
          <w:rFonts w:cs="Times New Roman"/>
        </w:rPr>
        <w:t xml:space="preserve">. An action in waiver of tort is considered by some to offer the plaintiff an advantage in that it may relieve them of the need to prove loss in tort, or in fact at all </w:t>
      </w:r>
      <w:r>
        <w:rPr>
          <w:rFonts w:cs="Times New Roman"/>
        </w:rPr>
        <w:t>(</w:t>
      </w:r>
      <w:proofErr w:type="spellStart"/>
      <w:r w:rsidRPr="00CA1E97">
        <w:rPr>
          <w:rFonts w:cs="Times New Roman"/>
        </w:rPr>
        <w:t>Maddaugh</w:t>
      </w:r>
      <w:proofErr w:type="spellEnd"/>
      <w:r w:rsidRPr="00FD55E3">
        <w:rPr>
          <w:rFonts w:cs="Times New Roman"/>
          <w:i/>
        </w:rPr>
        <w:t xml:space="preserve"> </w:t>
      </w:r>
      <w:r>
        <w:rPr>
          <w:rFonts w:cs="Times New Roman"/>
        </w:rPr>
        <w:t xml:space="preserve">and </w:t>
      </w:r>
      <w:proofErr w:type="spellStart"/>
      <w:r>
        <w:rPr>
          <w:rFonts w:cs="Times New Roman"/>
        </w:rPr>
        <w:t>McCamus</w:t>
      </w:r>
      <w:proofErr w:type="spellEnd"/>
      <w:r>
        <w:rPr>
          <w:rFonts w:cs="Times New Roman"/>
        </w:rPr>
        <w:t xml:space="preserve">, </w:t>
      </w:r>
      <w:r w:rsidRPr="00FD55E3">
        <w:rPr>
          <w:rFonts w:cs="Times New Roman"/>
        </w:rPr>
        <w:t>at</w:t>
      </w:r>
      <w:r>
        <w:rPr>
          <w:rFonts w:cs="Times New Roman"/>
        </w:rPr>
        <w:t xml:space="preserve"> p.</w:t>
      </w:r>
      <w:r w:rsidRPr="00FD55E3">
        <w:rPr>
          <w:rFonts w:cs="Times New Roman"/>
        </w:rPr>
        <w:t xml:space="preserve"> 24-4</w:t>
      </w:r>
      <w:r>
        <w:rPr>
          <w:rFonts w:cs="Times New Roman"/>
        </w:rPr>
        <w:t>)</w:t>
      </w:r>
      <w:r w:rsidRPr="00FD55E3">
        <w:rPr>
          <w:rFonts w:cs="Times New Roman"/>
        </w:rPr>
        <w:t>.</w:t>
      </w:r>
    </w:p>
    <w:p w:rsidR="006A370E" w:rsidRPr="00FD55E3" w:rsidRDefault="006A370E" w:rsidP="006A370E">
      <w:pPr>
        <w:pStyle w:val="ParaNoNdepar-AltN"/>
        <w:rPr>
          <w:rFonts w:cs="Times New Roman"/>
          <w:szCs w:val="24"/>
        </w:rPr>
      </w:pPr>
      <w:r w:rsidRPr="00FD55E3">
        <w:rPr>
          <w:rFonts w:cs="Times New Roman"/>
        </w:rPr>
        <w:t>Microsoft advances two arguments as to why this claim should be struck. First, it states that Pro-Sys has pleaded waiver of tort as a remedy and not a cause of action, and therefore proof of loss is an</w:t>
      </w:r>
      <w:r w:rsidRPr="00FD55E3">
        <w:rPr>
          <w:rFonts w:cs="Times New Roman"/>
          <w:szCs w:val="24"/>
        </w:rPr>
        <w:t xml:space="preserve"> essential element. Second, if indeed waiver of tort is pleaded as a cause of action, the underlying tort must therefore be established, including the element of loss. In my view, neither argument provides a sufficient basis upon which to find that a claim in waiver of tort would plainly and obviously be unsuccessful. </w:t>
      </w:r>
    </w:p>
    <w:p w:rsidR="006A370E" w:rsidRPr="00FD55E3" w:rsidRDefault="006A370E" w:rsidP="006A370E">
      <w:pPr>
        <w:pStyle w:val="ParaNoNdepar-AltN"/>
        <w:autoSpaceDE w:val="0"/>
        <w:autoSpaceDN w:val="0"/>
        <w:adjustRightInd w:val="0"/>
        <w:rPr>
          <w:rFonts w:cs="Times New Roman"/>
          <w:szCs w:val="24"/>
        </w:rPr>
      </w:pPr>
      <w:r w:rsidRPr="00FD55E3">
        <w:rPr>
          <w:rFonts w:cs="Times New Roman"/>
        </w:rPr>
        <w:t xml:space="preserve">In </w:t>
      </w:r>
      <w:proofErr w:type="spellStart"/>
      <w:r w:rsidRPr="00FD55E3">
        <w:rPr>
          <w:rFonts w:cs="Times New Roman"/>
          <w:i/>
          <w:iCs/>
        </w:rPr>
        <w:t>Serhan</w:t>
      </w:r>
      <w:proofErr w:type="spellEnd"/>
      <w:r w:rsidRPr="00FD55E3">
        <w:rPr>
          <w:rFonts w:cs="Times New Roman"/>
          <w:i/>
          <w:iCs/>
        </w:rPr>
        <w:t xml:space="preserve"> </w:t>
      </w:r>
      <w:r>
        <w:rPr>
          <w:rFonts w:cs="Times New Roman"/>
          <w:i/>
        </w:rPr>
        <w:t xml:space="preserve">(Trustee of) </w:t>
      </w:r>
      <w:r w:rsidRPr="00FD55E3">
        <w:rPr>
          <w:rFonts w:cs="Times New Roman"/>
          <w:i/>
          <w:iCs/>
        </w:rPr>
        <w:t xml:space="preserve">v. Johnson &amp; Johnson </w:t>
      </w:r>
      <w:r w:rsidRPr="00FD55E3">
        <w:rPr>
          <w:rFonts w:cs="Times New Roman"/>
        </w:rPr>
        <w:t>(2006), 85 O.R. (3d) 665</w:t>
      </w:r>
      <w:r>
        <w:rPr>
          <w:rFonts w:cs="Times New Roman"/>
        </w:rPr>
        <w:t xml:space="preserve"> (S.C.J. (Div. Ct.))</w:t>
      </w:r>
      <w:r w:rsidRPr="00FD55E3">
        <w:rPr>
          <w:rFonts w:cs="Times New Roman"/>
        </w:rPr>
        <w:t xml:space="preserve">, Epstein J. (as she then was) performed an extensive review of the doctrine of waiver of tort. Her analysis found numerous authorities accepting the viability of waiver of tort as its own cause of action </w:t>
      </w:r>
      <w:r w:rsidRPr="00FD55E3">
        <w:rPr>
          <w:rFonts w:cs="Times New Roman"/>
          <w:szCs w:val="24"/>
        </w:rPr>
        <w:t>intended to disgorge a defendant’s unjust enrichment gained through wrongdoing, as opposed to merely a remedy for unjust enrichment. These authorities differed, however</w:t>
      </w:r>
      <w:r>
        <w:rPr>
          <w:rFonts w:cs="Times New Roman"/>
          <w:szCs w:val="24"/>
        </w:rPr>
        <w:t>,</w:t>
      </w:r>
      <w:r w:rsidRPr="00FD55E3">
        <w:rPr>
          <w:rFonts w:cs="Times New Roman"/>
          <w:szCs w:val="24"/>
        </w:rPr>
        <w:t xml:space="preserve"> as to the question of whether the underlying tort needed to be established in order to sustain the action in waiver of tort. </w:t>
      </w:r>
    </w:p>
    <w:p w:rsidR="006A370E" w:rsidRPr="00FD55E3" w:rsidRDefault="006A370E" w:rsidP="006A370E">
      <w:pPr>
        <w:pStyle w:val="ParaNoNdepar-AltN"/>
        <w:autoSpaceDE w:val="0"/>
        <w:autoSpaceDN w:val="0"/>
        <w:adjustRightInd w:val="0"/>
        <w:rPr>
          <w:rFonts w:cs="Times New Roman"/>
          <w:szCs w:val="24"/>
        </w:rPr>
      </w:pPr>
      <w:r w:rsidRPr="00FD55E3">
        <w:rPr>
          <w:rFonts w:cs="Times New Roman"/>
        </w:rPr>
        <w:lastRenderedPageBreak/>
        <w:t>The U.S. and U.K. jurisprudence as well as the academic texts on the subject have largely rejected the requirement that the underlying tort must be established in order for a claim in waiver of tort to</w:t>
      </w:r>
      <w:r>
        <w:rPr>
          <w:rFonts w:cs="Times New Roman"/>
        </w:rPr>
        <w:t xml:space="preserve"> succeed (</w:t>
      </w:r>
      <w:r w:rsidRPr="00FD55E3">
        <w:rPr>
          <w:rFonts w:cs="Times New Roman"/>
          <w:szCs w:val="24"/>
        </w:rPr>
        <w:t xml:space="preserve">see </w:t>
      </w:r>
      <w:proofErr w:type="spellStart"/>
      <w:r w:rsidRPr="00FD55E3">
        <w:rPr>
          <w:rFonts w:cs="Times New Roman"/>
          <w:i/>
          <w:szCs w:val="24"/>
        </w:rPr>
        <w:t>Serhan</w:t>
      </w:r>
      <w:proofErr w:type="spellEnd"/>
      <w:r>
        <w:rPr>
          <w:rFonts w:cs="Times New Roman"/>
          <w:szCs w:val="24"/>
        </w:rPr>
        <w:t>,</w:t>
      </w:r>
      <w:r w:rsidRPr="00FD55E3">
        <w:rPr>
          <w:rFonts w:cs="Times New Roman"/>
          <w:szCs w:val="24"/>
        </w:rPr>
        <w:t xml:space="preserve"> at </w:t>
      </w:r>
      <w:proofErr w:type="spellStart"/>
      <w:r w:rsidRPr="00FD55E3">
        <w:rPr>
          <w:rFonts w:cs="Times New Roman"/>
          <w:szCs w:val="24"/>
        </w:rPr>
        <w:t>paras</w:t>
      </w:r>
      <w:proofErr w:type="spellEnd"/>
      <w:r w:rsidRPr="00FD55E3">
        <w:rPr>
          <w:rFonts w:cs="Times New Roman"/>
          <w:szCs w:val="24"/>
        </w:rPr>
        <w:t xml:space="preserve">. </w:t>
      </w:r>
      <w:r>
        <w:rPr>
          <w:rFonts w:cs="Times New Roman"/>
          <w:szCs w:val="24"/>
        </w:rPr>
        <w:t>51</w:t>
      </w:r>
      <w:r w:rsidRPr="00FD55E3">
        <w:rPr>
          <w:rFonts w:cs="Times New Roman"/>
          <w:szCs w:val="24"/>
        </w:rPr>
        <w:t>-68</w:t>
      </w:r>
      <w:r>
        <w:rPr>
          <w:rFonts w:cs="Times New Roman"/>
          <w:szCs w:val="24"/>
        </w:rPr>
        <w:t>,</w:t>
      </w:r>
      <w:r w:rsidRPr="00FD55E3">
        <w:rPr>
          <w:rFonts w:cs="Times New Roman"/>
          <w:szCs w:val="24"/>
        </w:rPr>
        <w:t xml:space="preserve"> citing </w:t>
      </w:r>
      <w:proofErr w:type="spellStart"/>
      <w:r w:rsidRPr="00FD55E3">
        <w:rPr>
          <w:rFonts w:cs="Times New Roman"/>
          <w:szCs w:val="24"/>
        </w:rPr>
        <w:t>Maddaugh</w:t>
      </w:r>
      <w:proofErr w:type="spellEnd"/>
      <w:r w:rsidRPr="00FD55E3">
        <w:rPr>
          <w:rFonts w:cs="Times New Roman"/>
          <w:szCs w:val="24"/>
        </w:rPr>
        <w:t xml:space="preserve"> and </w:t>
      </w:r>
      <w:proofErr w:type="spellStart"/>
      <w:r>
        <w:rPr>
          <w:rFonts w:cs="Times New Roman"/>
          <w:szCs w:val="24"/>
        </w:rPr>
        <w:t>McCamus</w:t>
      </w:r>
      <w:proofErr w:type="spellEnd"/>
      <w:r>
        <w:rPr>
          <w:rFonts w:cs="Times New Roman"/>
          <w:szCs w:val="24"/>
        </w:rPr>
        <w:t xml:space="preserve"> (2005), </w:t>
      </w:r>
      <w:r w:rsidRPr="00FD55E3">
        <w:rPr>
          <w:rFonts w:cs="Times New Roman"/>
          <w:szCs w:val="24"/>
        </w:rPr>
        <w:t>at p. 24-20</w:t>
      </w:r>
      <w:r>
        <w:rPr>
          <w:rFonts w:cs="Times New Roman"/>
          <w:szCs w:val="24"/>
        </w:rPr>
        <w:t>;</w:t>
      </w:r>
      <w:r w:rsidRPr="00FD55E3">
        <w:rPr>
          <w:rFonts w:cs="Times New Roman"/>
          <w:szCs w:val="24"/>
        </w:rPr>
        <w:t xml:space="preserve"> J. </w:t>
      </w:r>
      <w:proofErr w:type="spellStart"/>
      <w:r w:rsidRPr="00FD55E3">
        <w:rPr>
          <w:rFonts w:cs="Times New Roman"/>
          <w:szCs w:val="24"/>
        </w:rPr>
        <w:t>Beatson</w:t>
      </w:r>
      <w:proofErr w:type="spellEnd"/>
      <w:r w:rsidRPr="00FD55E3">
        <w:rPr>
          <w:rFonts w:cs="Times New Roman"/>
          <w:szCs w:val="24"/>
        </w:rPr>
        <w:t xml:space="preserve">, </w:t>
      </w:r>
      <w:r w:rsidRPr="00FD55E3">
        <w:rPr>
          <w:rFonts w:cs="Times New Roman"/>
          <w:i/>
          <w:iCs/>
          <w:szCs w:val="24"/>
        </w:rPr>
        <w:t>The Us</w:t>
      </w:r>
      <w:r>
        <w:rPr>
          <w:rFonts w:cs="Times New Roman"/>
          <w:i/>
          <w:iCs/>
          <w:szCs w:val="24"/>
        </w:rPr>
        <w:t>e and Abuse of Unjust Enrichment: Essays on the Law of Restitution</w:t>
      </w:r>
      <w:r w:rsidRPr="00FD55E3">
        <w:rPr>
          <w:rFonts w:cs="Times New Roman"/>
          <w:i/>
          <w:iCs/>
          <w:szCs w:val="24"/>
        </w:rPr>
        <w:t xml:space="preserve"> </w:t>
      </w:r>
      <w:r>
        <w:rPr>
          <w:rFonts w:cs="Times New Roman"/>
          <w:szCs w:val="24"/>
        </w:rPr>
        <w:t>(</w:t>
      </w:r>
      <w:r w:rsidRPr="00FD55E3">
        <w:rPr>
          <w:rFonts w:cs="Times New Roman"/>
          <w:szCs w:val="24"/>
        </w:rPr>
        <w:t>1991)</w:t>
      </w:r>
      <w:r>
        <w:rPr>
          <w:rFonts w:cs="Times New Roman"/>
          <w:szCs w:val="24"/>
        </w:rPr>
        <w:t>;</w:t>
      </w:r>
      <w:r w:rsidRPr="00FD55E3">
        <w:rPr>
          <w:rFonts w:cs="Times New Roman"/>
          <w:szCs w:val="24"/>
        </w:rPr>
        <w:t xml:space="preserve"> D. </w:t>
      </w:r>
      <w:proofErr w:type="spellStart"/>
      <w:r w:rsidRPr="00FD55E3">
        <w:rPr>
          <w:rFonts w:cs="Times New Roman"/>
          <w:szCs w:val="24"/>
        </w:rPr>
        <w:t>Friedmann</w:t>
      </w:r>
      <w:proofErr w:type="spellEnd"/>
      <w:r w:rsidRPr="00FD55E3">
        <w:rPr>
          <w:rFonts w:cs="Times New Roman"/>
          <w:szCs w:val="24"/>
        </w:rPr>
        <w:t>, “Restitution for Wrongs: The Basis of Liability”</w:t>
      </w:r>
      <w:r>
        <w:rPr>
          <w:rFonts w:cs="Times New Roman"/>
          <w:szCs w:val="24"/>
        </w:rPr>
        <w:t>,</w:t>
      </w:r>
      <w:r w:rsidRPr="00FD55E3">
        <w:rPr>
          <w:rFonts w:cs="Times New Roman"/>
          <w:szCs w:val="24"/>
        </w:rPr>
        <w:t xml:space="preserve"> in W. </w:t>
      </w:r>
      <w:r>
        <w:rPr>
          <w:rFonts w:cs="Times New Roman"/>
          <w:szCs w:val="24"/>
        </w:rPr>
        <w:t xml:space="preserve">R. </w:t>
      </w:r>
      <w:r w:rsidRPr="00FD55E3">
        <w:rPr>
          <w:rFonts w:cs="Times New Roman"/>
          <w:szCs w:val="24"/>
        </w:rPr>
        <w:t>Cornish</w:t>
      </w:r>
      <w:r>
        <w:rPr>
          <w:rFonts w:cs="Times New Roman"/>
          <w:szCs w:val="24"/>
        </w:rPr>
        <w:t xml:space="preserve"> et al., </w:t>
      </w:r>
      <w:r w:rsidRPr="00FD55E3">
        <w:rPr>
          <w:rFonts w:cs="Times New Roman"/>
          <w:szCs w:val="24"/>
        </w:rPr>
        <w:t xml:space="preserve"> ed</w:t>
      </w:r>
      <w:r>
        <w:rPr>
          <w:rFonts w:cs="Times New Roman"/>
          <w:szCs w:val="24"/>
        </w:rPr>
        <w:t>s</w:t>
      </w:r>
      <w:r w:rsidRPr="00FD55E3">
        <w:rPr>
          <w:rFonts w:cs="Times New Roman"/>
          <w:szCs w:val="24"/>
        </w:rPr>
        <w:t xml:space="preserve">., </w:t>
      </w:r>
      <w:r w:rsidRPr="00FD55E3">
        <w:rPr>
          <w:rFonts w:cs="Times New Roman"/>
          <w:i/>
          <w:iCs/>
          <w:szCs w:val="24"/>
        </w:rPr>
        <w:t>Restitution: Past, Present and Future</w:t>
      </w:r>
      <w:r>
        <w:rPr>
          <w:rFonts w:cs="Times New Roman"/>
          <w:i/>
          <w:iCs/>
          <w:szCs w:val="24"/>
        </w:rPr>
        <w:t>: Essays in Honour of Gareth Jones</w:t>
      </w:r>
      <w:r w:rsidRPr="00FD55E3">
        <w:rPr>
          <w:rFonts w:cs="Times New Roman"/>
          <w:i/>
          <w:iCs/>
          <w:szCs w:val="24"/>
        </w:rPr>
        <w:t xml:space="preserve"> </w:t>
      </w:r>
      <w:r w:rsidRPr="00FD55E3">
        <w:rPr>
          <w:rFonts w:cs="Times New Roman"/>
          <w:szCs w:val="24"/>
        </w:rPr>
        <w:t>(1998)</w:t>
      </w:r>
      <w:r>
        <w:rPr>
          <w:rFonts w:cs="Times New Roman"/>
          <w:szCs w:val="24"/>
        </w:rPr>
        <w:t>, 133</w:t>
      </w:r>
      <w:r w:rsidRPr="00FD55E3">
        <w:rPr>
          <w:rFonts w:cs="Times New Roman"/>
          <w:szCs w:val="24"/>
        </w:rPr>
        <w:t xml:space="preserve">; </w:t>
      </w:r>
      <w:r w:rsidRPr="00FD55E3">
        <w:rPr>
          <w:rFonts w:cs="Times New Roman"/>
          <w:i/>
          <w:iCs/>
          <w:szCs w:val="24"/>
        </w:rPr>
        <w:t>National Trust Co. v. Gleason</w:t>
      </w:r>
      <w:r w:rsidRPr="009A4BCE">
        <w:rPr>
          <w:rFonts w:cs="Times New Roman"/>
          <w:iCs/>
          <w:szCs w:val="24"/>
        </w:rPr>
        <w:t>,</w:t>
      </w:r>
      <w:r w:rsidRPr="00FD55E3">
        <w:rPr>
          <w:rFonts w:cs="Times New Roman"/>
          <w:i/>
          <w:iCs/>
          <w:szCs w:val="24"/>
        </w:rPr>
        <w:t xml:space="preserve"> </w:t>
      </w:r>
      <w:r w:rsidRPr="00FD55E3">
        <w:rPr>
          <w:rFonts w:cs="Times New Roman"/>
          <w:szCs w:val="24"/>
        </w:rPr>
        <w:t>77 N</w:t>
      </w:r>
      <w:r>
        <w:rPr>
          <w:rFonts w:cs="Times New Roman"/>
          <w:szCs w:val="24"/>
        </w:rPr>
        <w:t>.</w:t>
      </w:r>
      <w:r w:rsidRPr="00FD55E3">
        <w:rPr>
          <w:rFonts w:cs="Times New Roman"/>
          <w:szCs w:val="24"/>
        </w:rPr>
        <w:t>Y</w:t>
      </w:r>
      <w:r>
        <w:rPr>
          <w:rFonts w:cs="Times New Roman"/>
          <w:szCs w:val="24"/>
        </w:rPr>
        <w:t>.</w:t>
      </w:r>
      <w:r w:rsidRPr="00FD55E3">
        <w:rPr>
          <w:rFonts w:cs="Times New Roman"/>
          <w:szCs w:val="24"/>
        </w:rPr>
        <w:t xml:space="preserve"> 400 (1879); </w:t>
      </w:r>
      <w:r>
        <w:rPr>
          <w:rFonts w:cs="Times New Roman"/>
          <w:i/>
          <w:iCs/>
          <w:szCs w:val="24"/>
        </w:rPr>
        <w:t xml:space="preserve">Federal Sugar Refining Co. v. United </w:t>
      </w:r>
      <w:r w:rsidRPr="00FD55E3">
        <w:rPr>
          <w:rFonts w:cs="Times New Roman"/>
          <w:i/>
          <w:iCs/>
          <w:szCs w:val="24"/>
        </w:rPr>
        <w:t>S</w:t>
      </w:r>
      <w:r>
        <w:rPr>
          <w:rFonts w:cs="Times New Roman"/>
          <w:i/>
          <w:iCs/>
          <w:szCs w:val="24"/>
        </w:rPr>
        <w:t>tates</w:t>
      </w:r>
      <w:r w:rsidRPr="00FD55E3">
        <w:rPr>
          <w:rFonts w:cs="Times New Roman"/>
          <w:i/>
          <w:iCs/>
          <w:szCs w:val="24"/>
        </w:rPr>
        <w:t xml:space="preserve"> Sugar Equali</w:t>
      </w:r>
      <w:r>
        <w:rPr>
          <w:rFonts w:cs="Times New Roman"/>
          <w:i/>
          <w:iCs/>
          <w:szCs w:val="24"/>
        </w:rPr>
        <w:t>z</w:t>
      </w:r>
      <w:r w:rsidRPr="00FD55E3">
        <w:rPr>
          <w:rFonts w:cs="Times New Roman"/>
          <w:i/>
          <w:iCs/>
          <w:szCs w:val="24"/>
        </w:rPr>
        <w:t xml:space="preserve">ation Board, </w:t>
      </w:r>
      <w:r>
        <w:rPr>
          <w:rFonts w:cs="Times New Roman"/>
          <w:i/>
          <w:iCs/>
          <w:szCs w:val="24"/>
        </w:rPr>
        <w:t>Inc.</w:t>
      </w:r>
      <w:r w:rsidRPr="00720502">
        <w:rPr>
          <w:rFonts w:cs="Times New Roman"/>
          <w:iCs/>
          <w:szCs w:val="24"/>
        </w:rPr>
        <w:t>,</w:t>
      </w:r>
      <w:r>
        <w:rPr>
          <w:rFonts w:cs="Times New Roman"/>
          <w:i/>
          <w:iCs/>
          <w:szCs w:val="24"/>
        </w:rPr>
        <w:t xml:space="preserve"> </w:t>
      </w:r>
      <w:r w:rsidRPr="00FD55E3">
        <w:rPr>
          <w:rFonts w:cs="Times New Roman"/>
          <w:szCs w:val="24"/>
        </w:rPr>
        <w:t xml:space="preserve">268 F. 575 (S.D.N.Y. 1920); </w:t>
      </w:r>
      <w:proofErr w:type="spellStart"/>
      <w:r w:rsidRPr="00FD55E3">
        <w:rPr>
          <w:rFonts w:cs="Times New Roman"/>
          <w:i/>
          <w:iCs/>
          <w:szCs w:val="24"/>
        </w:rPr>
        <w:t>Mahesan</w:t>
      </w:r>
      <w:proofErr w:type="spellEnd"/>
      <w:r w:rsidRPr="00FD55E3">
        <w:rPr>
          <w:rFonts w:cs="Times New Roman"/>
          <w:i/>
          <w:iCs/>
          <w:szCs w:val="24"/>
        </w:rPr>
        <w:t xml:space="preserve"> v. Malaysi</w:t>
      </w:r>
      <w:r>
        <w:rPr>
          <w:rFonts w:cs="Times New Roman"/>
          <w:i/>
          <w:iCs/>
          <w:szCs w:val="24"/>
        </w:rPr>
        <w:t>a</w:t>
      </w:r>
      <w:r w:rsidRPr="00FD55E3">
        <w:rPr>
          <w:rFonts w:cs="Times New Roman"/>
          <w:i/>
          <w:iCs/>
          <w:szCs w:val="24"/>
        </w:rPr>
        <w:t xml:space="preserve"> Government Officers’ Co-operative Housing Society Ltd.</w:t>
      </w:r>
      <w:r w:rsidRPr="009A4BCE">
        <w:rPr>
          <w:rFonts w:cs="Times New Roman"/>
          <w:iCs/>
          <w:szCs w:val="24"/>
        </w:rPr>
        <w:t>,</w:t>
      </w:r>
      <w:r w:rsidRPr="00FD55E3">
        <w:rPr>
          <w:rFonts w:cs="Times New Roman"/>
          <w:i/>
          <w:iCs/>
          <w:szCs w:val="24"/>
        </w:rPr>
        <w:t xml:space="preserve"> </w:t>
      </w:r>
      <w:r>
        <w:rPr>
          <w:rFonts w:cs="Times New Roman"/>
          <w:szCs w:val="24"/>
        </w:rPr>
        <w:t>[1979] A.C. 374 (P.C.);</w:t>
      </w:r>
      <w:r w:rsidRPr="00FD55E3">
        <w:rPr>
          <w:rFonts w:cs="Times New Roman"/>
          <w:i/>
          <w:iCs/>
          <w:szCs w:val="24"/>
        </w:rPr>
        <w:t xml:space="preserve"> Universe </w:t>
      </w:r>
      <w:proofErr w:type="spellStart"/>
      <w:r>
        <w:rPr>
          <w:rFonts w:cs="Times New Roman"/>
          <w:i/>
          <w:iCs/>
          <w:szCs w:val="24"/>
        </w:rPr>
        <w:t>Tankships</w:t>
      </w:r>
      <w:proofErr w:type="spellEnd"/>
      <w:r>
        <w:rPr>
          <w:rFonts w:cs="Times New Roman"/>
          <w:i/>
          <w:iCs/>
          <w:szCs w:val="24"/>
        </w:rPr>
        <w:t xml:space="preserve"> Inc. of Monrovia v. International Transport Workers Federation</w:t>
      </w:r>
      <w:r w:rsidRPr="009A4BCE">
        <w:rPr>
          <w:rFonts w:cs="Times New Roman"/>
          <w:iCs/>
          <w:szCs w:val="24"/>
        </w:rPr>
        <w:t>,</w:t>
      </w:r>
      <w:r w:rsidRPr="00FD55E3">
        <w:rPr>
          <w:rFonts w:cs="Times New Roman"/>
          <w:i/>
          <w:iCs/>
          <w:szCs w:val="24"/>
        </w:rPr>
        <w:t xml:space="preserve"> </w:t>
      </w:r>
      <w:r w:rsidRPr="00FD55E3">
        <w:rPr>
          <w:rFonts w:cs="Times New Roman"/>
          <w:szCs w:val="24"/>
        </w:rPr>
        <w:t>[1983] A.C. 366 (H.L.)</w:t>
      </w:r>
      <w:r>
        <w:rPr>
          <w:rFonts w:cs="Times New Roman"/>
          <w:szCs w:val="24"/>
        </w:rPr>
        <w:t>)</w:t>
      </w:r>
      <w:r w:rsidRPr="00FD55E3">
        <w:rPr>
          <w:rFonts w:cs="Times New Roman"/>
          <w:szCs w:val="24"/>
        </w:rPr>
        <w:t>. Another line of cases would find a cause of action in waiver of tort to be unavailable unless it can be established that the defendant has committed the underlying tort giv</w:t>
      </w:r>
      <w:r>
        <w:rPr>
          <w:rFonts w:cs="Times New Roman"/>
          <w:szCs w:val="24"/>
        </w:rPr>
        <w:t>ing rise to the cause of action</w:t>
      </w:r>
      <w:r w:rsidRPr="00FD55E3">
        <w:rPr>
          <w:rFonts w:cs="Times New Roman"/>
          <w:szCs w:val="24"/>
        </w:rPr>
        <w:t xml:space="preserve"> </w:t>
      </w:r>
      <w:r>
        <w:rPr>
          <w:rFonts w:cs="Times New Roman"/>
          <w:szCs w:val="24"/>
        </w:rPr>
        <w:t>(</w:t>
      </w:r>
      <w:r w:rsidRPr="00FD55E3">
        <w:rPr>
          <w:rFonts w:cs="Times New Roman"/>
          <w:szCs w:val="24"/>
        </w:rPr>
        <w:t xml:space="preserve">see </w:t>
      </w:r>
      <w:r w:rsidRPr="00FD55E3">
        <w:rPr>
          <w:rFonts w:cs="Times New Roman"/>
          <w:i/>
          <w:szCs w:val="24"/>
        </w:rPr>
        <w:t>United Australia</w:t>
      </w:r>
      <w:r>
        <w:rPr>
          <w:rFonts w:cs="Times New Roman"/>
          <w:szCs w:val="24"/>
        </w:rPr>
        <w:t>,</w:t>
      </w:r>
      <w:r w:rsidRPr="00FD55E3">
        <w:rPr>
          <w:rFonts w:cs="Times New Roman"/>
          <w:i/>
          <w:szCs w:val="24"/>
        </w:rPr>
        <w:t xml:space="preserve"> </w:t>
      </w:r>
      <w:r w:rsidRPr="00FD55E3">
        <w:rPr>
          <w:rFonts w:cs="Times New Roman"/>
          <w:szCs w:val="24"/>
        </w:rPr>
        <w:t>at p.</w:t>
      </w:r>
      <w:r>
        <w:rPr>
          <w:rFonts w:cs="Times New Roman"/>
          <w:szCs w:val="24"/>
        </w:rPr>
        <w:t xml:space="preserve"> </w:t>
      </w:r>
      <w:r w:rsidRPr="00FD55E3">
        <w:rPr>
          <w:rFonts w:cs="Times New Roman"/>
          <w:szCs w:val="24"/>
        </w:rPr>
        <w:t xml:space="preserve">18; </w:t>
      </w:r>
      <w:proofErr w:type="spellStart"/>
      <w:r w:rsidRPr="00FD55E3">
        <w:rPr>
          <w:rFonts w:cs="Times New Roman"/>
          <w:i/>
          <w:iCs/>
          <w:szCs w:val="24"/>
        </w:rPr>
        <w:t>Zidaric</w:t>
      </w:r>
      <w:proofErr w:type="spellEnd"/>
      <w:r w:rsidRPr="00FD55E3">
        <w:rPr>
          <w:rFonts w:cs="Times New Roman"/>
          <w:i/>
          <w:iCs/>
          <w:szCs w:val="24"/>
        </w:rPr>
        <w:t xml:space="preserve"> v. Toshiba of Canada Ltd.</w:t>
      </w:r>
      <w:r>
        <w:rPr>
          <w:rFonts w:cs="Times New Roman"/>
          <w:i/>
          <w:iCs/>
          <w:szCs w:val="24"/>
        </w:rPr>
        <w:t xml:space="preserve"> </w:t>
      </w:r>
      <w:r>
        <w:rPr>
          <w:rFonts w:cs="Times New Roman"/>
          <w:iCs/>
          <w:szCs w:val="24"/>
        </w:rPr>
        <w:t>(2000), 5 C.C.L.T. (3d) 61 (Ont. S.C.J.),</w:t>
      </w:r>
      <w:r w:rsidRPr="00FD55E3">
        <w:rPr>
          <w:rFonts w:cs="Times New Roman"/>
          <w:i/>
          <w:iCs/>
          <w:szCs w:val="24"/>
        </w:rPr>
        <w:t xml:space="preserve"> </w:t>
      </w:r>
      <w:r w:rsidRPr="00FD55E3">
        <w:rPr>
          <w:rFonts w:cs="Times New Roman"/>
          <w:szCs w:val="24"/>
        </w:rPr>
        <w:t xml:space="preserve">at </w:t>
      </w:r>
      <w:proofErr w:type="spellStart"/>
      <w:r w:rsidRPr="00FD55E3">
        <w:rPr>
          <w:rFonts w:cs="Times New Roman"/>
          <w:szCs w:val="24"/>
        </w:rPr>
        <w:t>para</w:t>
      </w:r>
      <w:proofErr w:type="spellEnd"/>
      <w:r>
        <w:rPr>
          <w:rFonts w:cs="Times New Roman"/>
          <w:szCs w:val="24"/>
        </w:rPr>
        <w:t>.</w:t>
      </w:r>
      <w:r w:rsidRPr="00FD55E3">
        <w:rPr>
          <w:rFonts w:cs="Times New Roman"/>
          <w:szCs w:val="24"/>
        </w:rPr>
        <w:t xml:space="preserve"> 14; </w:t>
      </w:r>
      <w:r w:rsidRPr="00FD55E3">
        <w:rPr>
          <w:rFonts w:cs="Times New Roman"/>
          <w:i/>
          <w:iCs/>
          <w:szCs w:val="24"/>
        </w:rPr>
        <w:t>Reid v. Ford Motor Co.</w:t>
      </w:r>
      <w:r w:rsidRPr="00FD55E3">
        <w:rPr>
          <w:rFonts w:cs="Times New Roman"/>
          <w:szCs w:val="24"/>
        </w:rPr>
        <w:t xml:space="preserve">, </w:t>
      </w:r>
      <w:r>
        <w:rPr>
          <w:rFonts w:cs="Times New Roman"/>
          <w:szCs w:val="24"/>
        </w:rPr>
        <w:t>2006 BCSC 712 (</w:t>
      </w:r>
      <w:proofErr w:type="spellStart"/>
      <w:r>
        <w:rPr>
          <w:rFonts w:cs="Times New Roman"/>
          <w:szCs w:val="24"/>
        </w:rPr>
        <w:t>CanLII</w:t>
      </w:r>
      <w:proofErr w:type="spellEnd"/>
      <w:r>
        <w:rPr>
          <w:rFonts w:cs="Times New Roman"/>
          <w:szCs w:val="24"/>
        </w:rPr>
        <w:t>))</w:t>
      </w:r>
      <w:r w:rsidRPr="00FD55E3">
        <w:rPr>
          <w:rFonts w:cs="Times New Roman"/>
          <w:szCs w:val="24"/>
        </w:rPr>
        <w:t>. At least one of these cases (</w:t>
      </w:r>
      <w:r w:rsidRPr="00FD55E3">
        <w:rPr>
          <w:rFonts w:cs="Times New Roman"/>
          <w:i/>
          <w:szCs w:val="24"/>
        </w:rPr>
        <w:t>Reid</w:t>
      </w:r>
      <w:r w:rsidRPr="00FD55E3">
        <w:rPr>
          <w:rFonts w:cs="Times New Roman"/>
          <w:szCs w:val="24"/>
        </w:rPr>
        <w:t xml:space="preserve">) suggests that a reluctance to eliminate the requirement of proving loss as an element of the cause of action is part of the reason for requiring the establishment of the underlying tort </w:t>
      </w:r>
      <w:r>
        <w:rPr>
          <w:rFonts w:cs="Times New Roman"/>
          <w:szCs w:val="24"/>
        </w:rPr>
        <w:t>(</w:t>
      </w:r>
      <w:proofErr w:type="spellStart"/>
      <w:r>
        <w:rPr>
          <w:rFonts w:cs="Times New Roman"/>
          <w:szCs w:val="24"/>
        </w:rPr>
        <w:t>para</w:t>
      </w:r>
      <w:proofErr w:type="spellEnd"/>
      <w:r>
        <w:rPr>
          <w:rFonts w:cs="Times New Roman"/>
          <w:szCs w:val="24"/>
        </w:rPr>
        <w:t>. 17)</w:t>
      </w:r>
      <w:r w:rsidRPr="00FD55E3">
        <w:rPr>
          <w:rFonts w:cs="Times New Roman"/>
          <w:szCs w:val="24"/>
        </w:rPr>
        <w:t xml:space="preserve">. </w:t>
      </w:r>
    </w:p>
    <w:p w:rsidR="006A370E" w:rsidRPr="00FD55E3" w:rsidRDefault="006A370E" w:rsidP="006A370E">
      <w:pPr>
        <w:pStyle w:val="ParaNoNdepar-AltN"/>
        <w:autoSpaceDE w:val="0"/>
        <w:autoSpaceDN w:val="0"/>
        <w:adjustRightInd w:val="0"/>
        <w:rPr>
          <w:rFonts w:cs="Times New Roman"/>
          <w:szCs w:val="24"/>
        </w:rPr>
      </w:pPr>
      <w:r w:rsidRPr="00FD55E3">
        <w:rPr>
          <w:rFonts w:cs="Times New Roman"/>
          <w:szCs w:val="24"/>
        </w:rPr>
        <w:t>Epstein J. ultimately concluded that, given this contradictory law, “[c]</w:t>
      </w:r>
      <w:proofErr w:type="spellStart"/>
      <w:r w:rsidRPr="00FD55E3">
        <w:rPr>
          <w:rFonts w:cs="Times New Roman"/>
          <w:szCs w:val="24"/>
        </w:rPr>
        <w:t>learly</w:t>
      </w:r>
      <w:proofErr w:type="spellEnd"/>
      <w:r w:rsidRPr="00FD55E3">
        <w:rPr>
          <w:rFonts w:cs="Times New Roman"/>
          <w:szCs w:val="24"/>
        </w:rPr>
        <w:t xml:space="preserve">, it cannot be said that an action based on waiver of tort is sure to fail” and that the questions “about the consequences of identifying waiver of tort as an </w:t>
      </w:r>
      <w:r w:rsidRPr="00FD55E3">
        <w:rPr>
          <w:rFonts w:cs="Times New Roman"/>
          <w:szCs w:val="24"/>
        </w:rPr>
        <w:lastRenderedPageBreak/>
        <w:t xml:space="preserve">independent cause of action in circumstances such as exist here, </w:t>
      </w:r>
      <w:proofErr w:type="spellStart"/>
      <w:r>
        <w:rPr>
          <w:rFonts w:cs="Times New Roman"/>
          <w:szCs w:val="24"/>
        </w:rPr>
        <w:t>involv</w:t>
      </w:r>
      <w:proofErr w:type="spellEnd"/>
      <w:r>
        <w:rPr>
          <w:rFonts w:cs="Times New Roman"/>
          <w:szCs w:val="24"/>
        </w:rPr>
        <w:t>[</w:t>
      </w:r>
      <w:r w:rsidRPr="00FD55E3">
        <w:rPr>
          <w:rFonts w:cs="Times New Roman"/>
          <w:szCs w:val="24"/>
        </w:rPr>
        <w:t>e</w:t>
      </w:r>
      <w:r>
        <w:rPr>
          <w:rFonts w:cs="Times New Roman"/>
          <w:szCs w:val="24"/>
        </w:rPr>
        <w:t>]</w:t>
      </w:r>
      <w:r w:rsidRPr="00FD55E3">
        <w:rPr>
          <w:rFonts w:cs="Times New Roman"/>
          <w:szCs w:val="24"/>
        </w:rPr>
        <w:t xml:space="preserve"> matters of policy that should not be determined at</w:t>
      </w:r>
      <w:r>
        <w:rPr>
          <w:rFonts w:cs="Times New Roman"/>
          <w:szCs w:val="24"/>
        </w:rPr>
        <w:t xml:space="preserve"> the pleadings stage” (</w:t>
      </w:r>
      <w:proofErr w:type="spellStart"/>
      <w:r>
        <w:rPr>
          <w:rFonts w:cs="Times New Roman"/>
          <w:i/>
          <w:szCs w:val="24"/>
        </w:rPr>
        <w:t>Serhan</w:t>
      </w:r>
      <w:proofErr w:type="spellEnd"/>
      <w:r>
        <w:rPr>
          <w:rFonts w:cs="Times New Roman"/>
          <w:szCs w:val="24"/>
        </w:rPr>
        <w:t>,</w:t>
      </w:r>
      <w:r w:rsidRPr="00FD55E3">
        <w:rPr>
          <w:rFonts w:cs="Times New Roman"/>
          <w:szCs w:val="24"/>
        </w:rPr>
        <w:t xml:space="preserve"> at </w:t>
      </w:r>
      <w:proofErr w:type="spellStart"/>
      <w:r w:rsidRPr="00FD55E3">
        <w:rPr>
          <w:rFonts w:cs="Times New Roman"/>
          <w:szCs w:val="24"/>
        </w:rPr>
        <w:t>para</w:t>
      </w:r>
      <w:proofErr w:type="spellEnd"/>
      <w:r w:rsidRPr="00FD55E3">
        <w:rPr>
          <w:rFonts w:cs="Times New Roman"/>
          <w:szCs w:val="24"/>
        </w:rPr>
        <w:t>. 68</w:t>
      </w:r>
      <w:r>
        <w:rPr>
          <w:rFonts w:cs="Times New Roman"/>
          <w:szCs w:val="24"/>
        </w:rPr>
        <w:t>)</w:t>
      </w:r>
      <w:r w:rsidRPr="00FD55E3">
        <w:rPr>
          <w:rFonts w:cs="Times New Roman"/>
          <w:szCs w:val="24"/>
        </w:rPr>
        <w:t xml:space="preserve">. </w:t>
      </w:r>
      <w:r w:rsidRPr="00FD55E3">
        <w:rPr>
          <w:rFonts w:cs="Times New Roman"/>
        </w:rPr>
        <w:t xml:space="preserve">I agree. In my view, this appeal is not the proper place to resolve the details of the law </w:t>
      </w:r>
      <w:r>
        <w:rPr>
          <w:rFonts w:cs="Times New Roman"/>
        </w:rPr>
        <w:t xml:space="preserve">of </w:t>
      </w:r>
      <w:r w:rsidRPr="00FD55E3">
        <w:rPr>
          <w:rFonts w:cs="Times New Roman"/>
        </w:rPr>
        <w:t>waiver of tort, nor the particular circumstances in which it can be plead</w:t>
      </w:r>
      <w:r>
        <w:rPr>
          <w:rFonts w:cs="Times New Roman"/>
        </w:rPr>
        <w:t>ed</w:t>
      </w:r>
      <w:r w:rsidRPr="00FD55E3">
        <w:rPr>
          <w:rFonts w:cs="Times New Roman"/>
        </w:rPr>
        <w:t xml:space="preserve">.  I cannot say that it is plain and obvious that a cause of action in waiver of tort would not succeed. </w:t>
      </w:r>
      <w:r w:rsidRPr="00FD55E3">
        <w:rPr>
          <w:rFonts w:cs="Times New Roman"/>
          <w:szCs w:val="24"/>
        </w:rPr>
        <w:t xml:space="preserve"> </w:t>
      </w:r>
    </w:p>
    <w:p w:rsidR="006A370E" w:rsidRPr="00FD55E3" w:rsidRDefault="002E1456" w:rsidP="002E1456">
      <w:pPr>
        <w:pStyle w:val="Title3LevelTitre3Niveau"/>
        <w:numPr>
          <w:ilvl w:val="0"/>
          <w:numId w:val="0"/>
        </w:numPr>
        <w:tabs>
          <w:tab w:val="left" w:pos="1260"/>
        </w:tabs>
        <w:ind w:left="1890" w:hanging="1890"/>
        <w:rPr>
          <w:rFonts w:cs="Times New Roman"/>
        </w:rPr>
      </w:pPr>
      <w:bookmarkStart w:id="163" w:name="_Toc354731726"/>
      <w:bookmarkStart w:id="164" w:name="_Toc354840992"/>
      <w:bookmarkStart w:id="165" w:name="_Toc360611924"/>
      <w:bookmarkStart w:id="166" w:name="_Toc367887601"/>
      <w:bookmarkStart w:id="167" w:name="_Toc367948565"/>
      <w:bookmarkStart w:id="168" w:name="_Toc367957394"/>
      <w:bookmarkStart w:id="169" w:name="_Toc369188642"/>
      <w:bookmarkStart w:id="170" w:name="_Toc370903024"/>
      <w:r w:rsidRPr="002E1456">
        <w:rPr>
          <w:rFonts w:cs="Times New Roman"/>
          <w:u w:val="none"/>
        </w:rPr>
        <w:tab/>
        <w:t>(3)</w:t>
      </w:r>
      <w:r w:rsidRPr="002E1456">
        <w:rPr>
          <w:rFonts w:cs="Times New Roman"/>
          <w:u w:val="none"/>
        </w:rPr>
        <w:tab/>
      </w:r>
      <w:r w:rsidR="006A370E" w:rsidRPr="00FD55E3">
        <w:rPr>
          <w:rFonts w:cs="Times New Roman"/>
        </w:rPr>
        <w:t>The Remaining Certification Requirements</w:t>
      </w:r>
      <w:bookmarkEnd w:id="163"/>
      <w:bookmarkEnd w:id="164"/>
      <w:bookmarkEnd w:id="165"/>
      <w:bookmarkEnd w:id="166"/>
      <w:bookmarkEnd w:id="167"/>
      <w:bookmarkEnd w:id="168"/>
      <w:bookmarkEnd w:id="169"/>
      <w:bookmarkEnd w:id="170"/>
    </w:p>
    <w:p w:rsidR="006A370E" w:rsidRPr="00FD55E3" w:rsidRDefault="006A370E" w:rsidP="006A370E">
      <w:pPr>
        <w:pStyle w:val="ParaNoNdepar-AltN"/>
        <w:rPr>
          <w:rFonts w:cs="Times New Roman"/>
        </w:rPr>
      </w:pPr>
      <w:r w:rsidRPr="00FD55E3">
        <w:rPr>
          <w:rFonts w:cs="Times New Roman"/>
        </w:rPr>
        <w:t>The causes of action under s. 36</w:t>
      </w:r>
      <w:r>
        <w:rPr>
          <w:rFonts w:cs="Times New Roman"/>
        </w:rPr>
        <w:t xml:space="preserve"> of the </w:t>
      </w:r>
      <w:r>
        <w:rPr>
          <w:rFonts w:cs="Times New Roman"/>
          <w:i/>
        </w:rPr>
        <w:t>Competition Act</w:t>
      </w:r>
      <w:r>
        <w:rPr>
          <w:rFonts w:cs="Times New Roman"/>
        </w:rPr>
        <w:t>, in tort</w:t>
      </w:r>
      <w:r w:rsidRPr="00FD55E3">
        <w:rPr>
          <w:rFonts w:cs="Times New Roman"/>
        </w:rPr>
        <w:t xml:space="preserve"> and in restitution</w:t>
      </w:r>
      <w:r>
        <w:rPr>
          <w:rFonts w:cs="Times New Roman"/>
        </w:rPr>
        <w:t xml:space="preserve"> (except for constructive trust)</w:t>
      </w:r>
      <w:r w:rsidRPr="00FD55E3">
        <w:rPr>
          <w:rFonts w:cs="Times New Roman"/>
        </w:rPr>
        <w:t xml:space="preserve"> have met the first certification requirement that the pleadings disclose a cause of action. I now turn to Microsoft’s argument that the claims should nevertheless be rejected because they do not meet two of the remaining certification requirements: that the claims of the class members raise common issues and that a class action is the preferable procedure in this case. </w:t>
      </w:r>
    </w:p>
    <w:p w:rsidR="006A370E" w:rsidRPr="002E1456" w:rsidRDefault="002E1456" w:rsidP="002E1456">
      <w:pPr>
        <w:pStyle w:val="Title3LevelTitre3Niveau"/>
        <w:numPr>
          <w:ilvl w:val="0"/>
          <w:numId w:val="0"/>
        </w:numPr>
        <w:tabs>
          <w:tab w:val="left" w:pos="1260"/>
        </w:tabs>
        <w:ind w:left="1890" w:hanging="1890"/>
        <w:rPr>
          <w:rFonts w:cs="Times New Roman"/>
          <w:u w:val="none"/>
        </w:rPr>
      </w:pPr>
      <w:bookmarkStart w:id="171" w:name="_Toc354840993"/>
      <w:bookmarkStart w:id="172" w:name="_Toc360611925"/>
      <w:bookmarkStart w:id="173" w:name="_Toc367887602"/>
      <w:bookmarkStart w:id="174" w:name="_Toc367948566"/>
      <w:bookmarkStart w:id="175" w:name="_Toc367957395"/>
      <w:bookmarkStart w:id="176" w:name="_Toc369188643"/>
      <w:r>
        <w:rPr>
          <w:rFonts w:cs="Times New Roman"/>
          <w:u w:val="none"/>
        </w:rPr>
        <w:tab/>
        <w:t>(a)</w:t>
      </w:r>
      <w:r>
        <w:rPr>
          <w:rFonts w:cs="Times New Roman"/>
          <w:u w:val="none"/>
        </w:rPr>
        <w:tab/>
      </w:r>
      <w:bookmarkStart w:id="177" w:name="_Toc370903025"/>
      <w:r w:rsidR="006A370E" w:rsidRPr="002E1456">
        <w:rPr>
          <w:rFonts w:cs="Times New Roman"/>
          <w:i/>
          <w:u w:val="none"/>
        </w:rPr>
        <w:t>Standard of Proof</w:t>
      </w:r>
      <w:bookmarkEnd w:id="171"/>
      <w:bookmarkEnd w:id="172"/>
      <w:bookmarkEnd w:id="173"/>
      <w:bookmarkEnd w:id="174"/>
      <w:bookmarkEnd w:id="175"/>
      <w:bookmarkEnd w:id="176"/>
      <w:bookmarkEnd w:id="177"/>
      <w:r w:rsidR="006A370E" w:rsidRPr="002E1456">
        <w:rPr>
          <w:rFonts w:cs="Times New Roman"/>
          <w:u w:val="none"/>
        </w:rPr>
        <w:t xml:space="preserve"> </w:t>
      </w:r>
    </w:p>
    <w:p w:rsidR="006A370E" w:rsidRPr="00FD55E3" w:rsidRDefault="006A370E" w:rsidP="006A370E">
      <w:pPr>
        <w:pStyle w:val="ParaNoNdepar-AltN"/>
        <w:rPr>
          <w:rFonts w:cs="Times New Roman"/>
        </w:rPr>
      </w:pPr>
      <w:r w:rsidRPr="00FD55E3">
        <w:rPr>
          <w:rFonts w:cs="Times New Roman"/>
        </w:rPr>
        <w:t xml:space="preserve">The starting point in determining the standard of proof to be applied to the remaining certification requirements is the standard articulated in this Court’s seminal decision in </w:t>
      </w:r>
      <w:proofErr w:type="spellStart"/>
      <w:r w:rsidRPr="00FD55E3">
        <w:rPr>
          <w:rFonts w:cs="Times New Roman"/>
          <w:i/>
        </w:rPr>
        <w:t>Hollick</w:t>
      </w:r>
      <w:proofErr w:type="spellEnd"/>
      <w:r w:rsidRPr="00FD55E3">
        <w:rPr>
          <w:rFonts w:cs="Times New Roman"/>
        </w:rPr>
        <w:t xml:space="preserve">. In that case, </w:t>
      </w:r>
      <w:proofErr w:type="spellStart"/>
      <w:r w:rsidRPr="00FD55E3">
        <w:rPr>
          <w:rFonts w:cs="Times New Roman"/>
        </w:rPr>
        <w:t>McLachlin</w:t>
      </w:r>
      <w:proofErr w:type="spellEnd"/>
      <w:r w:rsidRPr="00FD55E3">
        <w:rPr>
          <w:rFonts w:cs="Times New Roman"/>
        </w:rPr>
        <w:t xml:space="preserve"> C.J. succinctly set out the standard:  “</w:t>
      </w:r>
      <w:r>
        <w:rPr>
          <w:rFonts w:cs="Times New Roman"/>
        </w:rPr>
        <w:t xml:space="preserve">. . . </w:t>
      </w:r>
      <w:r w:rsidRPr="00FD55E3">
        <w:rPr>
          <w:rFonts w:cs="Times New Roman"/>
        </w:rPr>
        <w:t xml:space="preserve">the class representative must show </w:t>
      </w:r>
      <w:r w:rsidRPr="00FD55E3">
        <w:rPr>
          <w:rFonts w:cs="Times New Roman"/>
          <w:u w:val="single"/>
        </w:rPr>
        <w:t>some basis in fact</w:t>
      </w:r>
      <w:r w:rsidRPr="00FD55E3">
        <w:rPr>
          <w:rFonts w:cs="Times New Roman"/>
        </w:rPr>
        <w:t xml:space="preserve"> for each of the certifi</w:t>
      </w:r>
      <w:r>
        <w:rPr>
          <w:rFonts w:cs="Times New Roman"/>
        </w:rPr>
        <w:t>cation requirements set out in . . .</w:t>
      </w:r>
      <w:r w:rsidRPr="00FD55E3">
        <w:rPr>
          <w:rFonts w:cs="Times New Roman"/>
        </w:rPr>
        <w:t xml:space="preserve"> the Act, other than the requirement that the pleadings disclose a cause of action”</w:t>
      </w:r>
      <w:r>
        <w:rPr>
          <w:rFonts w:cs="Times New Roman"/>
        </w:rPr>
        <w:t xml:space="preserve"> (</w:t>
      </w:r>
      <w:proofErr w:type="spellStart"/>
      <w:r w:rsidRPr="00FD55E3">
        <w:rPr>
          <w:rFonts w:cs="Times New Roman"/>
        </w:rPr>
        <w:t>para</w:t>
      </w:r>
      <w:proofErr w:type="spellEnd"/>
      <w:r w:rsidRPr="00FD55E3">
        <w:rPr>
          <w:rFonts w:cs="Times New Roman"/>
        </w:rPr>
        <w:t>. 25</w:t>
      </w:r>
      <w:r>
        <w:rPr>
          <w:rFonts w:cs="Times New Roman"/>
        </w:rPr>
        <w:t xml:space="preserve"> (emphasis added))</w:t>
      </w:r>
      <w:r w:rsidRPr="00FD55E3">
        <w:rPr>
          <w:rFonts w:cs="Times New Roman"/>
        </w:rPr>
        <w:t xml:space="preserve">. She noted, </w:t>
      </w:r>
      <w:r w:rsidRPr="00FD55E3">
        <w:rPr>
          <w:rFonts w:cs="Times New Roman"/>
        </w:rPr>
        <w:lastRenderedPageBreak/>
        <w:t xml:space="preserve">however, that “the </w:t>
      </w:r>
      <w:r w:rsidRPr="00FD55E3">
        <w:rPr>
          <w:rFonts w:cs="Times New Roman"/>
          <w:szCs w:val="24"/>
        </w:rPr>
        <w:t>certification stage is decidedly not meant to be a test o</w:t>
      </w:r>
      <w:r>
        <w:rPr>
          <w:rFonts w:cs="Times New Roman"/>
          <w:szCs w:val="24"/>
        </w:rPr>
        <w:t>f the merits of the action” (</w:t>
      </w:r>
      <w:proofErr w:type="spellStart"/>
      <w:r w:rsidRPr="00FD55E3">
        <w:rPr>
          <w:rFonts w:cs="Times New Roman"/>
          <w:szCs w:val="24"/>
        </w:rPr>
        <w:t>para</w:t>
      </w:r>
      <w:proofErr w:type="spellEnd"/>
      <w:r w:rsidRPr="00FD55E3">
        <w:rPr>
          <w:rFonts w:cs="Times New Roman"/>
          <w:szCs w:val="24"/>
        </w:rPr>
        <w:t>. 16</w:t>
      </w:r>
      <w:r>
        <w:rPr>
          <w:rFonts w:cs="Times New Roman"/>
          <w:szCs w:val="24"/>
        </w:rPr>
        <w:t>)</w:t>
      </w:r>
      <w:r w:rsidRPr="00FD55E3">
        <w:rPr>
          <w:rFonts w:cs="Times New Roman"/>
          <w:szCs w:val="24"/>
        </w:rPr>
        <w:t>. Rather, this stage is concerned with form and with whether the action can pro</w:t>
      </w:r>
      <w:r>
        <w:rPr>
          <w:rFonts w:cs="Times New Roman"/>
          <w:szCs w:val="24"/>
        </w:rPr>
        <w:t>perly proceed as a class action</w:t>
      </w:r>
      <w:r w:rsidRPr="00FD55E3">
        <w:rPr>
          <w:rFonts w:cs="Times New Roman"/>
          <w:szCs w:val="24"/>
        </w:rPr>
        <w:t xml:space="preserve"> </w:t>
      </w:r>
      <w:r>
        <w:rPr>
          <w:rFonts w:cs="Times New Roman"/>
          <w:szCs w:val="24"/>
        </w:rPr>
        <w:t>(</w:t>
      </w:r>
      <w:r w:rsidRPr="00FD55E3">
        <w:rPr>
          <w:rFonts w:cs="Times New Roman"/>
          <w:szCs w:val="24"/>
        </w:rPr>
        <w:t xml:space="preserve">see </w:t>
      </w:r>
      <w:proofErr w:type="spellStart"/>
      <w:r w:rsidRPr="00FD55E3">
        <w:rPr>
          <w:rFonts w:cs="Times New Roman"/>
          <w:i/>
          <w:szCs w:val="24"/>
        </w:rPr>
        <w:t>Hollick</w:t>
      </w:r>
      <w:proofErr w:type="spellEnd"/>
      <w:r>
        <w:rPr>
          <w:rFonts w:cs="Times New Roman"/>
          <w:szCs w:val="24"/>
        </w:rPr>
        <w:t>,</w:t>
      </w:r>
      <w:r w:rsidRPr="00FD55E3">
        <w:rPr>
          <w:rFonts w:cs="Times New Roman"/>
          <w:i/>
          <w:szCs w:val="24"/>
        </w:rPr>
        <w:t xml:space="preserve"> </w:t>
      </w:r>
      <w:r w:rsidRPr="00FD55E3">
        <w:rPr>
          <w:rFonts w:cs="Times New Roman"/>
          <w:szCs w:val="24"/>
        </w:rPr>
        <w:t xml:space="preserve">at </w:t>
      </w:r>
      <w:proofErr w:type="spellStart"/>
      <w:r w:rsidRPr="00FD55E3">
        <w:rPr>
          <w:rFonts w:cs="Times New Roman"/>
          <w:szCs w:val="24"/>
        </w:rPr>
        <w:t>para</w:t>
      </w:r>
      <w:proofErr w:type="spellEnd"/>
      <w:r w:rsidRPr="00FD55E3">
        <w:rPr>
          <w:rFonts w:cs="Times New Roman"/>
          <w:szCs w:val="24"/>
        </w:rPr>
        <w:t xml:space="preserve">. 16; </w:t>
      </w:r>
      <w:r>
        <w:rPr>
          <w:rFonts w:cs="Times New Roman"/>
          <w:i/>
          <w:szCs w:val="24"/>
        </w:rPr>
        <w:t xml:space="preserve">Pro-Sys Consultants Ltd. v. </w:t>
      </w:r>
      <w:r w:rsidRPr="00FD55E3">
        <w:rPr>
          <w:rFonts w:cs="Times New Roman"/>
          <w:i/>
          <w:szCs w:val="24"/>
        </w:rPr>
        <w:t>Infineon</w:t>
      </w:r>
      <w:r>
        <w:rPr>
          <w:rFonts w:cs="Times New Roman"/>
          <w:i/>
          <w:szCs w:val="24"/>
        </w:rPr>
        <w:t xml:space="preserve"> Technologies AG</w:t>
      </w:r>
      <w:r>
        <w:rPr>
          <w:rFonts w:cs="Times New Roman"/>
          <w:szCs w:val="24"/>
        </w:rPr>
        <w:t>, 2009 BCCA 503, 98 B.C.L.R. (4th)</w:t>
      </w:r>
      <w:r w:rsidRPr="00FD55E3">
        <w:rPr>
          <w:rFonts w:cs="Times New Roman"/>
          <w:szCs w:val="24"/>
        </w:rPr>
        <w:t xml:space="preserve"> </w:t>
      </w:r>
      <w:r>
        <w:rPr>
          <w:rFonts w:cs="Times New Roman"/>
          <w:szCs w:val="24"/>
        </w:rPr>
        <w:t>272 (“</w:t>
      </w:r>
      <w:r w:rsidRPr="00F1751E">
        <w:rPr>
          <w:rFonts w:cs="Times New Roman"/>
          <w:i/>
          <w:szCs w:val="24"/>
        </w:rPr>
        <w:t>Infineon</w:t>
      </w:r>
      <w:r>
        <w:rPr>
          <w:rFonts w:cs="Times New Roman"/>
          <w:szCs w:val="24"/>
        </w:rPr>
        <w:t xml:space="preserve">”), </w:t>
      </w:r>
      <w:r w:rsidRPr="00F1751E">
        <w:rPr>
          <w:rFonts w:cs="Times New Roman"/>
          <w:szCs w:val="24"/>
        </w:rPr>
        <w:t>at</w:t>
      </w:r>
      <w:r w:rsidRPr="00FD55E3">
        <w:rPr>
          <w:rFonts w:cs="Times New Roman"/>
          <w:szCs w:val="24"/>
        </w:rPr>
        <w:t xml:space="preserve"> </w:t>
      </w:r>
      <w:proofErr w:type="spellStart"/>
      <w:r w:rsidRPr="00FD55E3">
        <w:rPr>
          <w:rFonts w:cs="Times New Roman"/>
          <w:szCs w:val="24"/>
        </w:rPr>
        <w:t>para</w:t>
      </w:r>
      <w:proofErr w:type="spellEnd"/>
      <w:r w:rsidRPr="00FD55E3">
        <w:rPr>
          <w:rFonts w:cs="Times New Roman"/>
          <w:szCs w:val="24"/>
        </w:rPr>
        <w:t xml:space="preserve">. 65; </w:t>
      </w:r>
      <w:r>
        <w:rPr>
          <w:rFonts w:cs="Times New Roman"/>
          <w:i/>
          <w:szCs w:val="24"/>
        </w:rPr>
        <w:t xml:space="preserve">Cloud v. Canada (Attorney </w:t>
      </w:r>
      <w:r w:rsidRPr="00FD55E3">
        <w:rPr>
          <w:rFonts w:cs="Times New Roman"/>
          <w:i/>
          <w:szCs w:val="24"/>
        </w:rPr>
        <w:t>G</w:t>
      </w:r>
      <w:r>
        <w:rPr>
          <w:rFonts w:cs="Times New Roman"/>
          <w:i/>
          <w:szCs w:val="24"/>
        </w:rPr>
        <w:t>eneral</w:t>
      </w:r>
      <w:r w:rsidRPr="00FD55E3">
        <w:rPr>
          <w:rFonts w:cs="Times New Roman"/>
          <w:i/>
          <w:szCs w:val="24"/>
        </w:rPr>
        <w:t>)</w:t>
      </w:r>
      <w:r w:rsidRPr="00FD55E3">
        <w:rPr>
          <w:rFonts w:cs="Times New Roman"/>
          <w:szCs w:val="24"/>
        </w:rPr>
        <w:t xml:space="preserve"> </w:t>
      </w:r>
      <w:r>
        <w:rPr>
          <w:rFonts w:cs="Times New Roman"/>
          <w:szCs w:val="24"/>
        </w:rPr>
        <w:t>(</w:t>
      </w:r>
      <w:r w:rsidRPr="00FD55E3">
        <w:rPr>
          <w:rFonts w:cs="Times New Roman"/>
          <w:szCs w:val="24"/>
        </w:rPr>
        <w:t>2004</w:t>
      </w:r>
      <w:r>
        <w:rPr>
          <w:rFonts w:cs="Times New Roman"/>
          <w:szCs w:val="24"/>
        </w:rPr>
        <w:t>), 73 O.R. (3d) 401 (</w:t>
      </w:r>
      <w:r w:rsidRPr="00FD55E3">
        <w:rPr>
          <w:rFonts w:cs="Times New Roman"/>
          <w:szCs w:val="24"/>
        </w:rPr>
        <w:t>C</w:t>
      </w:r>
      <w:r>
        <w:rPr>
          <w:rFonts w:cs="Times New Roman"/>
          <w:szCs w:val="24"/>
        </w:rPr>
        <w:t>.</w:t>
      </w:r>
      <w:r w:rsidRPr="00FD55E3">
        <w:rPr>
          <w:rFonts w:cs="Times New Roman"/>
          <w:szCs w:val="24"/>
        </w:rPr>
        <w:t>A</w:t>
      </w:r>
      <w:r>
        <w:rPr>
          <w:rFonts w:cs="Times New Roman"/>
          <w:szCs w:val="24"/>
        </w:rPr>
        <w:t>.</w:t>
      </w:r>
      <w:r w:rsidRPr="00FD55E3">
        <w:rPr>
          <w:rFonts w:cs="Times New Roman"/>
          <w:szCs w:val="24"/>
        </w:rPr>
        <w:t>)</w:t>
      </w:r>
      <w:r>
        <w:rPr>
          <w:rFonts w:cs="Times New Roman"/>
          <w:szCs w:val="24"/>
        </w:rPr>
        <w:t>,</w:t>
      </w:r>
      <w:r w:rsidRPr="00FD55E3">
        <w:rPr>
          <w:rFonts w:cs="Times New Roman"/>
          <w:szCs w:val="24"/>
        </w:rPr>
        <w:t xml:space="preserve"> at </w:t>
      </w:r>
      <w:proofErr w:type="spellStart"/>
      <w:r w:rsidRPr="00FD55E3">
        <w:rPr>
          <w:rFonts w:cs="Times New Roman"/>
          <w:szCs w:val="24"/>
        </w:rPr>
        <w:t>para</w:t>
      </w:r>
      <w:proofErr w:type="spellEnd"/>
      <w:r w:rsidRPr="00FD55E3">
        <w:rPr>
          <w:rFonts w:cs="Times New Roman"/>
          <w:szCs w:val="24"/>
        </w:rPr>
        <w:t>. 50</w:t>
      </w:r>
      <w:r>
        <w:rPr>
          <w:rFonts w:cs="Times New Roman"/>
          <w:szCs w:val="24"/>
        </w:rPr>
        <w:t>)</w:t>
      </w:r>
      <w:r w:rsidRPr="00FD55E3">
        <w:rPr>
          <w:rFonts w:cs="Times New Roman"/>
          <w:szCs w:val="24"/>
        </w:rPr>
        <w:t xml:space="preserve">. </w:t>
      </w:r>
    </w:p>
    <w:p w:rsidR="006A370E" w:rsidRPr="00FD55E3" w:rsidRDefault="006A370E" w:rsidP="006A370E">
      <w:pPr>
        <w:pStyle w:val="ParaNoNdepar-AltN"/>
        <w:rPr>
          <w:rFonts w:cs="Times New Roman"/>
        </w:rPr>
      </w:pPr>
      <w:r w:rsidRPr="00FD55E3">
        <w:rPr>
          <w:rFonts w:cs="Times New Roman"/>
          <w:szCs w:val="24"/>
        </w:rPr>
        <w:t xml:space="preserve">The </w:t>
      </w:r>
      <w:proofErr w:type="spellStart"/>
      <w:r w:rsidRPr="00FD55E3">
        <w:rPr>
          <w:rFonts w:cs="Times New Roman"/>
          <w:i/>
          <w:szCs w:val="24"/>
        </w:rPr>
        <w:t>Hollick</w:t>
      </w:r>
      <w:proofErr w:type="spellEnd"/>
      <w:r w:rsidRPr="00FD55E3">
        <w:rPr>
          <w:rFonts w:cs="Times New Roman"/>
          <w:i/>
          <w:szCs w:val="24"/>
        </w:rPr>
        <w:t xml:space="preserve"> </w:t>
      </w:r>
      <w:r w:rsidRPr="00FD55E3">
        <w:rPr>
          <w:rFonts w:cs="Times New Roman"/>
          <w:szCs w:val="24"/>
        </w:rPr>
        <w:t>standard of proof asks not whether there</w:t>
      </w:r>
      <w:r w:rsidRPr="00FD55E3">
        <w:rPr>
          <w:rFonts w:cs="Times New Roman"/>
        </w:rPr>
        <w:t xml:space="preserve"> is some basis in fact for the claim itself, but rather whether there is some basis in fact which establishes each of the individual certification requirements. </w:t>
      </w:r>
      <w:proofErr w:type="spellStart"/>
      <w:r w:rsidRPr="00FD55E3">
        <w:rPr>
          <w:rFonts w:cs="Times New Roman"/>
        </w:rPr>
        <w:t>McLachlin</w:t>
      </w:r>
      <w:proofErr w:type="spellEnd"/>
      <w:r w:rsidRPr="00FD55E3">
        <w:rPr>
          <w:rFonts w:cs="Times New Roman"/>
        </w:rPr>
        <w:t xml:space="preserve"> C.J. did, however, note in </w:t>
      </w:r>
      <w:proofErr w:type="spellStart"/>
      <w:r w:rsidRPr="00FD55E3">
        <w:rPr>
          <w:rFonts w:cs="Times New Roman"/>
          <w:i/>
        </w:rPr>
        <w:t>Hollick</w:t>
      </w:r>
      <w:proofErr w:type="spellEnd"/>
      <w:r w:rsidRPr="00FD55E3">
        <w:rPr>
          <w:rFonts w:cs="Times New Roman"/>
          <w:i/>
        </w:rPr>
        <w:t xml:space="preserve"> </w:t>
      </w:r>
      <w:r w:rsidRPr="00FD55E3">
        <w:rPr>
          <w:rFonts w:cs="Times New Roman"/>
        </w:rPr>
        <w:t xml:space="preserve">that evidence has a role to play in the certification process. She observed that “the </w:t>
      </w:r>
      <w:r w:rsidRPr="00446E67">
        <w:rPr>
          <w:rFonts w:cs="Times New Roman"/>
          <w:i/>
        </w:rPr>
        <w:t>Report of the Attorney General’s Advisory Committee on Class Action Reform</w:t>
      </w:r>
      <w:r w:rsidRPr="00FD55E3">
        <w:rPr>
          <w:rFonts w:cs="Times New Roman"/>
        </w:rPr>
        <w:t xml:space="preserve"> clearly contemplates that the class representative will have to establish an evidentiary basis for </w:t>
      </w:r>
      <w:r>
        <w:rPr>
          <w:rFonts w:cs="Times New Roman"/>
        </w:rPr>
        <w:t>certification” (</w:t>
      </w:r>
      <w:proofErr w:type="spellStart"/>
      <w:r w:rsidRPr="00FD55E3">
        <w:rPr>
          <w:rFonts w:cs="Times New Roman"/>
        </w:rPr>
        <w:t>para</w:t>
      </w:r>
      <w:proofErr w:type="spellEnd"/>
      <w:r w:rsidRPr="00FD55E3">
        <w:rPr>
          <w:rFonts w:cs="Times New Roman"/>
        </w:rPr>
        <w:t>. 25</w:t>
      </w:r>
      <w:r>
        <w:rPr>
          <w:rFonts w:cs="Times New Roman"/>
        </w:rPr>
        <w:t>)</w:t>
      </w:r>
      <w:r w:rsidRPr="00FD55E3">
        <w:rPr>
          <w:rFonts w:cs="Times New Roman"/>
        </w:rPr>
        <w:t>.</w:t>
      </w:r>
    </w:p>
    <w:p w:rsidR="006A370E" w:rsidRPr="00FD55E3" w:rsidRDefault="006A370E" w:rsidP="006A370E">
      <w:pPr>
        <w:pStyle w:val="ParaNoNdepar-AltN"/>
        <w:rPr>
          <w:rFonts w:cs="Times New Roman"/>
        </w:rPr>
      </w:pPr>
      <w:r w:rsidRPr="00FD55E3">
        <w:rPr>
          <w:rFonts w:cs="Times New Roman"/>
        </w:rPr>
        <w:t xml:space="preserve">Microsoft, while accepting the “some basis in fact” standard, argues that “in order for the Plaintiffs to meet the standard of proof, the evidence must establish that the proposed class action raises common issues and is the preferable procedure </w:t>
      </w:r>
      <w:r w:rsidRPr="00FD55E3">
        <w:rPr>
          <w:rFonts w:cs="Times New Roman"/>
          <w:i/>
        </w:rPr>
        <w:t>on a balance of probabilities</w:t>
      </w:r>
      <w:r>
        <w:rPr>
          <w:rFonts w:cs="Times New Roman"/>
        </w:rPr>
        <w:t>”</w:t>
      </w:r>
      <w:r w:rsidRPr="00FD55E3">
        <w:rPr>
          <w:rFonts w:cs="Times New Roman"/>
        </w:rPr>
        <w:t xml:space="preserve"> </w:t>
      </w:r>
      <w:r>
        <w:rPr>
          <w:rFonts w:cs="Times New Roman"/>
        </w:rPr>
        <w:t>(</w:t>
      </w:r>
      <w:r w:rsidRPr="00FD55E3">
        <w:rPr>
          <w:rFonts w:cs="Times New Roman"/>
        </w:rPr>
        <w:t>R</w:t>
      </w:r>
      <w:r>
        <w:rPr>
          <w:rFonts w:cs="Times New Roman"/>
        </w:rPr>
        <w:t>.</w:t>
      </w:r>
      <w:r w:rsidRPr="00FD55E3">
        <w:rPr>
          <w:rFonts w:cs="Times New Roman"/>
        </w:rPr>
        <w:t>F</w:t>
      </w:r>
      <w:r>
        <w:rPr>
          <w:rFonts w:cs="Times New Roman"/>
        </w:rPr>
        <w:t>.,</w:t>
      </w:r>
      <w:r w:rsidRPr="00FD55E3">
        <w:rPr>
          <w:rFonts w:cs="Times New Roman"/>
        </w:rPr>
        <w:t xml:space="preserve"> at </w:t>
      </w:r>
      <w:proofErr w:type="spellStart"/>
      <w:r w:rsidRPr="00FD55E3">
        <w:rPr>
          <w:rFonts w:cs="Times New Roman"/>
        </w:rPr>
        <w:t>para</w:t>
      </w:r>
      <w:proofErr w:type="spellEnd"/>
      <w:r w:rsidRPr="00FD55E3">
        <w:rPr>
          <w:rFonts w:cs="Times New Roman"/>
        </w:rPr>
        <w:t>. 41</w:t>
      </w:r>
      <w:r>
        <w:rPr>
          <w:rFonts w:cs="Times New Roman"/>
        </w:rPr>
        <w:t xml:space="preserve"> (emphasis in original))</w:t>
      </w:r>
      <w:r w:rsidRPr="00FD55E3">
        <w:rPr>
          <w:rFonts w:cs="Times New Roman"/>
        </w:rPr>
        <w:t xml:space="preserve">. Microsoft relies on the academic writings of Justice </w:t>
      </w:r>
      <w:proofErr w:type="spellStart"/>
      <w:r w:rsidRPr="00FD55E3">
        <w:rPr>
          <w:rFonts w:cs="Times New Roman"/>
        </w:rPr>
        <w:t>Cullity</w:t>
      </w:r>
      <w:proofErr w:type="spellEnd"/>
      <w:r w:rsidRPr="00FD55E3">
        <w:rPr>
          <w:rFonts w:cs="Times New Roman"/>
        </w:rPr>
        <w:t xml:space="preserve"> of the Ontario Superior Court</w:t>
      </w:r>
      <w:r>
        <w:rPr>
          <w:rFonts w:cs="Times New Roman"/>
        </w:rPr>
        <w:t xml:space="preserve"> of Justice</w:t>
      </w:r>
      <w:r w:rsidRPr="00FD55E3">
        <w:rPr>
          <w:rFonts w:cs="Times New Roman"/>
        </w:rPr>
        <w:t xml:space="preserve">. </w:t>
      </w:r>
      <w:proofErr w:type="spellStart"/>
      <w:r w:rsidRPr="00FD55E3">
        <w:rPr>
          <w:rFonts w:cs="Times New Roman"/>
        </w:rPr>
        <w:t>Cullity</w:t>
      </w:r>
      <w:proofErr w:type="spellEnd"/>
      <w:r w:rsidRPr="00FD55E3">
        <w:rPr>
          <w:rFonts w:cs="Times New Roman"/>
        </w:rPr>
        <w:t xml:space="preserve"> J. expressed t</w:t>
      </w:r>
      <w:r>
        <w:rPr>
          <w:rFonts w:cs="Times New Roman"/>
        </w:rPr>
        <w:t>he view that</w:t>
      </w:r>
      <w:r w:rsidRPr="00FD55E3">
        <w:rPr>
          <w:rFonts w:cs="Times New Roman"/>
        </w:rPr>
        <w:t xml:space="preserve"> “[t]o the extent that some basis in fact reflects a concern that certification motions are procedural and should not be concerned with the merits of the claims asserted, there seems no justification for </w:t>
      </w:r>
      <w:r w:rsidRPr="00FD55E3">
        <w:rPr>
          <w:rFonts w:cs="Times New Roman"/>
        </w:rPr>
        <w:lastRenderedPageBreak/>
        <w:t>applying the lesser standard to essential preconditions for certification that will not be within the juris</w:t>
      </w:r>
      <w:r>
        <w:rPr>
          <w:rFonts w:cs="Times New Roman"/>
        </w:rPr>
        <w:t>diction of the court at trial”</w:t>
      </w:r>
      <w:r w:rsidRPr="00FD55E3">
        <w:rPr>
          <w:rFonts w:cs="Times New Roman"/>
        </w:rPr>
        <w:t xml:space="preserve"> </w:t>
      </w:r>
      <w:r>
        <w:rPr>
          <w:rFonts w:cs="Times New Roman"/>
        </w:rPr>
        <w:t>(</w:t>
      </w:r>
      <w:r w:rsidRPr="00FD55E3">
        <w:rPr>
          <w:rFonts w:cs="Times New Roman"/>
        </w:rPr>
        <w:t>“Certification i</w:t>
      </w:r>
      <w:r>
        <w:rPr>
          <w:rFonts w:cs="Times New Roman"/>
        </w:rPr>
        <w:t xml:space="preserve">n Class Proceedings </w:t>
      </w:r>
      <w:r>
        <w:rPr>
          <w:rFonts w:cs="Times New Roman"/>
          <w:szCs w:val="24"/>
        </w:rPr>
        <w:t>—</w:t>
      </w:r>
      <w:r w:rsidRPr="00FD55E3">
        <w:rPr>
          <w:rFonts w:cs="Times New Roman"/>
        </w:rPr>
        <w:t xml:space="preserve"> The Curious Requirement of ‘Some Basis in Fact’” (2011)</w:t>
      </w:r>
      <w:r>
        <w:rPr>
          <w:rFonts w:cs="Times New Roman"/>
        </w:rPr>
        <w:t>,</w:t>
      </w:r>
      <w:r w:rsidRPr="00FD55E3">
        <w:rPr>
          <w:rFonts w:cs="Times New Roman"/>
        </w:rPr>
        <w:t xml:space="preserve"> 51 </w:t>
      </w:r>
      <w:r w:rsidRPr="00446E67">
        <w:rPr>
          <w:rFonts w:cs="Times New Roman"/>
          <w:i/>
        </w:rPr>
        <w:t>Can. Bus. L.J.</w:t>
      </w:r>
      <w:r w:rsidRPr="00FD55E3">
        <w:rPr>
          <w:rFonts w:cs="Times New Roman"/>
        </w:rPr>
        <w:t xml:space="preserve"> 407</w:t>
      </w:r>
      <w:r>
        <w:rPr>
          <w:rFonts w:cs="Times New Roman"/>
        </w:rPr>
        <w:t>,</w:t>
      </w:r>
      <w:r w:rsidRPr="00FD55E3">
        <w:rPr>
          <w:rFonts w:cs="Times New Roman"/>
        </w:rPr>
        <w:t xml:space="preserve"> at </w:t>
      </w:r>
      <w:r>
        <w:rPr>
          <w:rFonts w:cs="Times New Roman"/>
        </w:rPr>
        <w:t xml:space="preserve">p. </w:t>
      </w:r>
      <w:r w:rsidRPr="00FD55E3">
        <w:rPr>
          <w:rFonts w:cs="Times New Roman"/>
        </w:rPr>
        <w:t>422</w:t>
      </w:r>
      <w:r>
        <w:rPr>
          <w:rFonts w:cs="Times New Roman"/>
        </w:rPr>
        <w:t>)</w:t>
      </w:r>
      <w:r w:rsidRPr="00FD55E3">
        <w:rPr>
          <w:rFonts w:cs="Times New Roman"/>
        </w:rPr>
        <w:t xml:space="preserve">. In other words, </w:t>
      </w:r>
      <w:proofErr w:type="spellStart"/>
      <w:r w:rsidRPr="00FD55E3">
        <w:rPr>
          <w:rFonts w:cs="Times New Roman"/>
        </w:rPr>
        <w:t>Cullity</w:t>
      </w:r>
      <w:proofErr w:type="spellEnd"/>
      <w:r w:rsidRPr="00FD55E3">
        <w:rPr>
          <w:rFonts w:cs="Times New Roman"/>
        </w:rPr>
        <w:t xml:space="preserve"> J. suggests that because certification requirements are procedural, they will not be revisited at a trial of the common issues. As such, there is no reason to assess them on a standard lower than the traditional civil standard of “balance of probabilities”. Microsoft further submits that this Court should endorse the American approach of making factual determinations at the certification stage on a preponderance of the evidence and should require certification judges to weigh the evidence so as to resolve all factual or legal disputes at certification, even if those d</w:t>
      </w:r>
      <w:r>
        <w:rPr>
          <w:rFonts w:cs="Times New Roman"/>
        </w:rPr>
        <w:t>isputes overlap with the merits</w:t>
      </w:r>
      <w:r w:rsidRPr="00FD55E3">
        <w:rPr>
          <w:rFonts w:cs="Times New Roman"/>
        </w:rPr>
        <w:t xml:space="preserve"> </w:t>
      </w:r>
      <w:r>
        <w:rPr>
          <w:rFonts w:cs="Times New Roman"/>
        </w:rPr>
        <w:t>(</w:t>
      </w:r>
      <w:r w:rsidRPr="00FD55E3">
        <w:rPr>
          <w:rFonts w:cs="Times New Roman"/>
        </w:rPr>
        <w:t>see R</w:t>
      </w:r>
      <w:r>
        <w:rPr>
          <w:rFonts w:cs="Times New Roman"/>
        </w:rPr>
        <w:t>.</w:t>
      </w:r>
      <w:r w:rsidRPr="00FD55E3">
        <w:rPr>
          <w:rFonts w:cs="Times New Roman"/>
        </w:rPr>
        <w:t>F</w:t>
      </w:r>
      <w:r>
        <w:rPr>
          <w:rFonts w:cs="Times New Roman"/>
        </w:rPr>
        <w:t>.,</w:t>
      </w:r>
      <w:r w:rsidRPr="00FD55E3">
        <w:rPr>
          <w:rFonts w:cs="Times New Roman"/>
        </w:rPr>
        <w:t xml:space="preserve"> at </w:t>
      </w:r>
      <w:proofErr w:type="spellStart"/>
      <w:r w:rsidRPr="00FD55E3">
        <w:rPr>
          <w:rFonts w:cs="Times New Roman"/>
        </w:rPr>
        <w:t>para</w:t>
      </w:r>
      <w:proofErr w:type="spellEnd"/>
      <w:r w:rsidRPr="00FD55E3">
        <w:rPr>
          <w:rFonts w:cs="Times New Roman"/>
        </w:rPr>
        <w:t>. 42</w:t>
      </w:r>
      <w:r>
        <w:rPr>
          <w:rFonts w:cs="Times New Roman"/>
        </w:rPr>
        <w:t>,</w:t>
      </w:r>
      <w:r w:rsidRPr="00FD55E3">
        <w:rPr>
          <w:rFonts w:cs="Times New Roman"/>
        </w:rPr>
        <w:t xml:space="preserve"> citing </w:t>
      </w:r>
      <w:r w:rsidRPr="00FD55E3">
        <w:rPr>
          <w:rFonts w:cs="Times New Roman"/>
          <w:i/>
        </w:rPr>
        <w:t>In re</w:t>
      </w:r>
      <w:r>
        <w:rPr>
          <w:rFonts w:cs="Times New Roman"/>
          <w:i/>
        </w:rPr>
        <w:t>:</w:t>
      </w:r>
      <w:r w:rsidRPr="00FD55E3">
        <w:rPr>
          <w:rFonts w:cs="Times New Roman"/>
          <w:i/>
        </w:rPr>
        <w:t xml:space="preserve"> Hy</w:t>
      </w:r>
      <w:r>
        <w:rPr>
          <w:rFonts w:cs="Times New Roman"/>
          <w:i/>
        </w:rPr>
        <w:t>drogen Peroxide Antitrust Litigation</w:t>
      </w:r>
      <w:r>
        <w:rPr>
          <w:rFonts w:cs="Times New Roman"/>
        </w:rPr>
        <w:t>,</w:t>
      </w:r>
      <w:r w:rsidRPr="00FD55E3">
        <w:rPr>
          <w:rFonts w:cs="Times New Roman"/>
          <w:i/>
        </w:rPr>
        <w:t xml:space="preserve"> </w:t>
      </w:r>
      <w:r>
        <w:rPr>
          <w:rFonts w:cs="Times New Roman"/>
        </w:rPr>
        <w:t>552 F.</w:t>
      </w:r>
      <w:r w:rsidRPr="00FD55E3">
        <w:rPr>
          <w:rFonts w:cs="Times New Roman"/>
        </w:rPr>
        <w:t>3d 305</w:t>
      </w:r>
      <w:r>
        <w:rPr>
          <w:rFonts w:cs="Times New Roman"/>
        </w:rPr>
        <w:t xml:space="preserve"> (3rd</w:t>
      </w:r>
      <w:r w:rsidRPr="00FD55E3">
        <w:rPr>
          <w:rFonts w:cs="Times New Roman"/>
        </w:rPr>
        <w:t xml:space="preserve"> Cir. 2008)</w:t>
      </w:r>
      <w:r>
        <w:rPr>
          <w:rFonts w:cs="Times New Roman"/>
        </w:rPr>
        <w:t xml:space="preserve">, at p. 307, and R.F., at </w:t>
      </w:r>
      <w:proofErr w:type="spellStart"/>
      <w:r w:rsidRPr="00FD55E3">
        <w:rPr>
          <w:rFonts w:cs="Times New Roman"/>
        </w:rPr>
        <w:t>para</w:t>
      </w:r>
      <w:proofErr w:type="spellEnd"/>
      <w:r w:rsidRPr="00FD55E3">
        <w:rPr>
          <w:rFonts w:cs="Times New Roman"/>
        </w:rPr>
        <w:t>. 43</w:t>
      </w:r>
      <w:r>
        <w:rPr>
          <w:rFonts w:cs="Times New Roman"/>
        </w:rPr>
        <w:t>)</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I cannot agree with Microsoft’s submissions on this issue. Had </w:t>
      </w:r>
      <w:proofErr w:type="spellStart"/>
      <w:r w:rsidRPr="00FD55E3">
        <w:rPr>
          <w:rFonts w:cs="Times New Roman"/>
        </w:rPr>
        <w:t>McLachlin</w:t>
      </w:r>
      <w:proofErr w:type="spellEnd"/>
      <w:r w:rsidRPr="00FD55E3">
        <w:rPr>
          <w:rFonts w:cs="Times New Roman"/>
        </w:rPr>
        <w:t xml:space="preserve"> C.J. intended that the standard of proof to meet the certification requirements was a “balance of probabilities”, that is what she would have stated. There is nothing obscure here.  The </w:t>
      </w:r>
      <w:proofErr w:type="spellStart"/>
      <w:r w:rsidRPr="00FD55E3">
        <w:rPr>
          <w:rFonts w:cs="Times New Roman"/>
          <w:i/>
        </w:rPr>
        <w:t>Hollick</w:t>
      </w:r>
      <w:proofErr w:type="spellEnd"/>
      <w:r w:rsidRPr="00FD55E3">
        <w:rPr>
          <w:rFonts w:cs="Times New Roman"/>
          <w:i/>
        </w:rPr>
        <w:t xml:space="preserve"> </w:t>
      </w:r>
      <w:r w:rsidRPr="00FD55E3">
        <w:rPr>
          <w:rFonts w:cs="Times New Roman"/>
        </w:rPr>
        <w:t xml:space="preserve">standard has never been judicially interpreted to require evidence on a balance of probabilities.  Further, Microsoft’s reliance on U.S. law is novel and departs from the </w:t>
      </w:r>
      <w:proofErr w:type="spellStart"/>
      <w:r w:rsidRPr="00FD55E3">
        <w:rPr>
          <w:rFonts w:cs="Times New Roman"/>
          <w:i/>
        </w:rPr>
        <w:t>Hollick</w:t>
      </w:r>
      <w:proofErr w:type="spellEnd"/>
      <w:r w:rsidRPr="00FD55E3">
        <w:rPr>
          <w:rFonts w:cs="Times New Roman"/>
          <w:i/>
        </w:rPr>
        <w:t xml:space="preserve"> </w:t>
      </w:r>
      <w:r w:rsidRPr="00FD55E3">
        <w:rPr>
          <w:rFonts w:cs="Times New Roman"/>
        </w:rPr>
        <w:t>standard.</w:t>
      </w:r>
      <w:r w:rsidRPr="00FD55E3">
        <w:rPr>
          <w:rFonts w:cs="Times New Roman"/>
          <w:i/>
        </w:rPr>
        <w:t xml:space="preserve"> </w:t>
      </w:r>
      <w:r w:rsidRPr="00FD55E3">
        <w:rPr>
          <w:rFonts w:cs="Times New Roman"/>
        </w:rPr>
        <w:t>The “some basis in fact” standard does not require that the court resolve conflicting facts and evidence at the certification stage. Rather</w:t>
      </w:r>
      <w:r>
        <w:rPr>
          <w:rFonts w:cs="Times New Roman"/>
        </w:rPr>
        <w:t>,</w:t>
      </w:r>
      <w:r w:rsidRPr="00FD55E3">
        <w:rPr>
          <w:rFonts w:cs="Times New Roman"/>
        </w:rPr>
        <w:t xml:space="preserve"> it reflects the fact that at the certification stage “the court is ill-equipped to resolve conflicts in the evidence or to engage in the finely </w:t>
      </w:r>
      <w:r w:rsidRPr="00FD55E3">
        <w:rPr>
          <w:rFonts w:cs="Times New Roman"/>
        </w:rPr>
        <w:lastRenderedPageBreak/>
        <w:t>calibrated ass</w:t>
      </w:r>
      <w:r>
        <w:rPr>
          <w:rFonts w:cs="Times New Roman"/>
        </w:rPr>
        <w:t>essments of evidentiary weight”</w:t>
      </w:r>
      <w:r w:rsidRPr="00FD55E3">
        <w:rPr>
          <w:rFonts w:cs="Times New Roman"/>
        </w:rPr>
        <w:t xml:space="preserve"> </w:t>
      </w:r>
      <w:r>
        <w:rPr>
          <w:rFonts w:cs="Times New Roman"/>
        </w:rPr>
        <w:t>(</w:t>
      </w:r>
      <w:r w:rsidRPr="00FD55E3">
        <w:rPr>
          <w:rFonts w:cs="Times New Roman"/>
          <w:i/>
        </w:rPr>
        <w:t>Cloud</w:t>
      </w:r>
      <w:r>
        <w:rPr>
          <w:rFonts w:cs="Times New Roman"/>
        </w:rPr>
        <w:t>,</w:t>
      </w:r>
      <w:r w:rsidRPr="00FD55E3">
        <w:rPr>
          <w:rFonts w:cs="Times New Roman"/>
          <w:i/>
        </w:rPr>
        <w:t xml:space="preserve"> </w:t>
      </w:r>
      <w:r w:rsidRPr="00FD55E3">
        <w:rPr>
          <w:rFonts w:cs="Times New Roman"/>
        </w:rPr>
        <w:t xml:space="preserve">at </w:t>
      </w:r>
      <w:proofErr w:type="spellStart"/>
      <w:r w:rsidRPr="00FD55E3">
        <w:rPr>
          <w:rFonts w:cs="Times New Roman"/>
        </w:rPr>
        <w:t>para</w:t>
      </w:r>
      <w:proofErr w:type="spellEnd"/>
      <w:r w:rsidRPr="00FD55E3">
        <w:rPr>
          <w:rFonts w:cs="Times New Roman"/>
        </w:rPr>
        <w:t xml:space="preserve">. 50; </w:t>
      </w:r>
      <w:r w:rsidRPr="00FD55E3">
        <w:rPr>
          <w:rFonts w:cs="Times New Roman"/>
          <w:i/>
        </w:rPr>
        <w:t xml:space="preserve">Irving Paper Ltd. v. </w:t>
      </w:r>
      <w:proofErr w:type="spellStart"/>
      <w:r w:rsidRPr="00FD55E3">
        <w:rPr>
          <w:rFonts w:cs="Times New Roman"/>
          <w:i/>
        </w:rPr>
        <w:t>Atofina</w:t>
      </w:r>
      <w:proofErr w:type="spellEnd"/>
      <w:r w:rsidRPr="00FD55E3">
        <w:rPr>
          <w:rFonts w:cs="Times New Roman"/>
          <w:i/>
        </w:rPr>
        <w:t xml:space="preserve"> Chemicals Inc.</w:t>
      </w:r>
      <w:r>
        <w:rPr>
          <w:rFonts w:cs="Times New Roman"/>
        </w:rPr>
        <w:t xml:space="preserve"> (2009), 99 O.R. (3d) 358</w:t>
      </w:r>
      <w:r w:rsidRPr="00FD55E3">
        <w:rPr>
          <w:rFonts w:cs="Times New Roman"/>
        </w:rPr>
        <w:t xml:space="preserve"> (S.C.J.)</w:t>
      </w:r>
      <w:r>
        <w:rPr>
          <w:rFonts w:cs="Times New Roman"/>
        </w:rPr>
        <w:t>,</w:t>
      </w:r>
      <w:r w:rsidRPr="00FD55E3">
        <w:rPr>
          <w:rFonts w:cs="Times New Roman"/>
        </w:rPr>
        <w:t xml:space="preserve"> at </w:t>
      </w:r>
      <w:proofErr w:type="spellStart"/>
      <w:r w:rsidRPr="00FD55E3">
        <w:rPr>
          <w:rFonts w:cs="Times New Roman"/>
        </w:rPr>
        <w:t>para</w:t>
      </w:r>
      <w:proofErr w:type="spellEnd"/>
      <w:r w:rsidRPr="00FD55E3">
        <w:rPr>
          <w:rFonts w:cs="Times New Roman"/>
        </w:rPr>
        <w:t>. 119</w:t>
      </w:r>
      <w:r>
        <w:rPr>
          <w:rFonts w:cs="Times New Roman"/>
        </w:rPr>
        <w:t>,</w:t>
      </w:r>
      <w:r w:rsidRPr="00FD55E3">
        <w:rPr>
          <w:rFonts w:cs="Times New Roman"/>
        </w:rPr>
        <w:t xml:space="preserve"> citing </w:t>
      </w:r>
      <w:r w:rsidRPr="00FD55E3">
        <w:rPr>
          <w:rFonts w:cs="Times New Roman"/>
          <w:i/>
        </w:rPr>
        <w:t>Hague v. Liberty Mutual Insurance Co.</w:t>
      </w:r>
      <w:r>
        <w:rPr>
          <w:rFonts w:cs="Times New Roman"/>
          <w:i/>
        </w:rPr>
        <w:t xml:space="preserve"> </w:t>
      </w:r>
      <w:r>
        <w:rPr>
          <w:rFonts w:cs="Times New Roman"/>
        </w:rPr>
        <w:t xml:space="preserve">(2004), 13 C.P.C. (6th) 1 </w:t>
      </w:r>
      <w:r w:rsidRPr="00FD55E3">
        <w:rPr>
          <w:rFonts w:cs="Times New Roman"/>
        </w:rPr>
        <w:t>(</w:t>
      </w:r>
      <w:r>
        <w:rPr>
          <w:rFonts w:cs="Times New Roman"/>
        </w:rPr>
        <w:t xml:space="preserve">Ont. </w:t>
      </w:r>
      <w:r w:rsidRPr="00FD55E3">
        <w:rPr>
          <w:rFonts w:cs="Times New Roman"/>
        </w:rPr>
        <w:t>S.C.J.</w:t>
      </w:r>
      <w:r>
        <w:rPr>
          <w:rFonts w:cs="Times New Roman"/>
        </w:rPr>
        <w:t>)</w:t>
      </w:r>
      <w:r w:rsidRPr="00FD55E3">
        <w:rPr>
          <w:rFonts w:cs="Times New Roman"/>
        </w:rPr>
        <w:t>). The certification stage does not involve an assessment of the merits of the claim and is not intended to be a pronouncement on the viability or strength of the action; “rather, it focuses on the form of the action in order to determine whether the action can appropriately go</w:t>
      </w:r>
      <w:r>
        <w:rPr>
          <w:rFonts w:cs="Times New Roman"/>
        </w:rPr>
        <w:t xml:space="preserve"> forward as a class proceeding”</w:t>
      </w:r>
      <w:r w:rsidRPr="00FD55E3">
        <w:rPr>
          <w:rFonts w:cs="Times New Roman"/>
        </w:rPr>
        <w:t xml:space="preserve"> </w:t>
      </w:r>
      <w:r>
        <w:rPr>
          <w:rFonts w:cs="Times New Roman"/>
          <w:i/>
          <w:iCs/>
        </w:rPr>
        <w:t xml:space="preserve"> </w:t>
      </w:r>
      <w:r>
        <w:rPr>
          <w:rFonts w:cs="Times New Roman"/>
          <w:iCs/>
        </w:rPr>
        <w:t>(</w:t>
      </w:r>
      <w:r>
        <w:rPr>
          <w:rFonts w:cs="Times New Roman"/>
          <w:i/>
          <w:iCs/>
        </w:rPr>
        <w:t>Infineon</w:t>
      </w:r>
      <w:r>
        <w:rPr>
          <w:rFonts w:cs="Times New Roman"/>
          <w:iCs/>
        </w:rPr>
        <w:t>,</w:t>
      </w:r>
      <w:r>
        <w:rPr>
          <w:rFonts w:cs="Times New Roman"/>
          <w:i/>
          <w:iCs/>
        </w:rPr>
        <w:t xml:space="preserve"> </w:t>
      </w:r>
      <w:r>
        <w:rPr>
          <w:rFonts w:cs="Times New Roman"/>
        </w:rPr>
        <w:t xml:space="preserve">at </w:t>
      </w:r>
      <w:proofErr w:type="spellStart"/>
      <w:r>
        <w:rPr>
          <w:rFonts w:cs="Times New Roman"/>
        </w:rPr>
        <w:t>para</w:t>
      </w:r>
      <w:proofErr w:type="spellEnd"/>
      <w:r>
        <w:rPr>
          <w:rFonts w:cs="Times New Roman"/>
        </w:rPr>
        <w:t xml:space="preserve">. </w:t>
      </w:r>
      <w:r w:rsidRPr="00FD55E3">
        <w:rPr>
          <w:rFonts w:cs="Times New Roman"/>
        </w:rPr>
        <w:t>6</w:t>
      </w:r>
      <w:r>
        <w:rPr>
          <w:rFonts w:cs="Times New Roman"/>
        </w:rPr>
        <w:t>5).</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Nevertheless,</w:t>
      </w:r>
      <w:r>
        <w:rPr>
          <w:rFonts w:cs="Times New Roman"/>
        </w:rPr>
        <w:t xml:space="preserve"> it has been</w:t>
      </w:r>
      <w:r w:rsidRPr="00FD55E3">
        <w:rPr>
          <w:rFonts w:cs="Times New Roman"/>
        </w:rPr>
        <w:t xml:space="preserve"> well over a decade since </w:t>
      </w:r>
      <w:proofErr w:type="spellStart"/>
      <w:r w:rsidRPr="00FD55E3">
        <w:rPr>
          <w:rFonts w:cs="Times New Roman"/>
          <w:i/>
        </w:rPr>
        <w:t>Hollick</w:t>
      </w:r>
      <w:proofErr w:type="spellEnd"/>
      <w:r w:rsidRPr="00FD55E3">
        <w:rPr>
          <w:rFonts w:cs="Times New Roman"/>
        </w:rPr>
        <w:t xml:space="preserve"> was decided, </w:t>
      </w:r>
      <w:r>
        <w:rPr>
          <w:rFonts w:cs="Times New Roman"/>
        </w:rPr>
        <w:t xml:space="preserve">and it is </w:t>
      </w:r>
      <w:r w:rsidRPr="00FD55E3">
        <w:rPr>
          <w:rFonts w:cs="Times New Roman"/>
        </w:rPr>
        <w:t>worth reaffirming the importance of certification as a meaningful screening device. The standard for assessing evidence at certification does not give rise to “a determination of the merits of the proceeding” (</w:t>
      </w:r>
      <w:r w:rsidRPr="00FD55E3">
        <w:rPr>
          <w:rFonts w:cs="Times New Roman"/>
          <w:i/>
        </w:rPr>
        <w:t>CPA</w:t>
      </w:r>
      <w:r w:rsidRPr="00FD55E3">
        <w:rPr>
          <w:rFonts w:cs="Times New Roman"/>
        </w:rPr>
        <w:t>, s. 5(7)); nor does it involve such a superficial level of analysis into the sufficiency of the evidence that it would amount to nothing more than symbolic scrutiny.</w:t>
      </w:r>
    </w:p>
    <w:p w:rsidR="006A370E" w:rsidRPr="00FD55E3" w:rsidRDefault="006A370E" w:rsidP="006A370E">
      <w:pPr>
        <w:pStyle w:val="ParaNoNdepar-AltN"/>
        <w:rPr>
          <w:rFonts w:cs="Times New Roman"/>
        </w:rPr>
      </w:pPr>
      <w:r w:rsidRPr="00FD55E3">
        <w:rPr>
          <w:rFonts w:cs="Times New Roman"/>
        </w:rPr>
        <w:t xml:space="preserve">In any event, in my respectful opinion, there is limited utility in attempting to define “some basis in fact” in the abstract. Each case must be decided on its own facts. There must be sufficient facts to satisfy the </w:t>
      </w:r>
      <w:r>
        <w:rPr>
          <w:rFonts w:cs="Times New Roman"/>
        </w:rPr>
        <w:t xml:space="preserve">applications </w:t>
      </w:r>
      <w:r w:rsidRPr="00FD55E3">
        <w:rPr>
          <w:rFonts w:cs="Times New Roman"/>
        </w:rPr>
        <w:t xml:space="preserve">judge that the conditions for certification have been met to a degree that should allow the matter to proceed on a class basis without foundering at the merits stage by reason of the requirements of s. 4(1) </w:t>
      </w:r>
      <w:r>
        <w:rPr>
          <w:rFonts w:cs="Times New Roman"/>
        </w:rPr>
        <w:t xml:space="preserve">of the </w:t>
      </w:r>
      <w:r>
        <w:rPr>
          <w:rFonts w:cs="Times New Roman"/>
          <w:i/>
        </w:rPr>
        <w:t xml:space="preserve">CPA </w:t>
      </w:r>
      <w:r w:rsidRPr="00FD55E3">
        <w:rPr>
          <w:rFonts w:cs="Times New Roman"/>
        </w:rPr>
        <w:t xml:space="preserve">not having been met.   </w:t>
      </w:r>
    </w:p>
    <w:p w:rsidR="006A370E" w:rsidRPr="00FD55E3" w:rsidRDefault="006A370E" w:rsidP="006A370E">
      <w:pPr>
        <w:pStyle w:val="ParaNoNdepar-AltN"/>
        <w:rPr>
          <w:rFonts w:cs="Times New Roman"/>
        </w:rPr>
      </w:pPr>
      <w:r w:rsidRPr="00FD55E3">
        <w:rPr>
          <w:rFonts w:cs="Times New Roman"/>
          <w:szCs w:val="24"/>
        </w:rPr>
        <w:t>Finally</w:t>
      </w:r>
      <w:r>
        <w:rPr>
          <w:rFonts w:cs="Times New Roman"/>
          <w:szCs w:val="24"/>
        </w:rPr>
        <w:t>,</w:t>
      </w:r>
      <w:r w:rsidRPr="00FD55E3">
        <w:rPr>
          <w:rFonts w:cs="Times New Roman"/>
          <w:szCs w:val="24"/>
        </w:rPr>
        <w:t xml:space="preserve"> I would note that</w:t>
      </w:r>
      <w:r w:rsidRPr="00FD55E3">
        <w:rPr>
          <w:rFonts w:cs="Times New Roman"/>
          <w:b/>
          <w:szCs w:val="24"/>
        </w:rPr>
        <w:t xml:space="preserve"> </w:t>
      </w:r>
      <w:r w:rsidRPr="00FD55E3">
        <w:rPr>
          <w:rFonts w:cs="Times New Roman"/>
          <w:szCs w:val="24"/>
        </w:rPr>
        <w:t xml:space="preserve">Canadian courts have resisted the U.S. approach of engaging in a robust </w:t>
      </w:r>
      <w:r w:rsidRPr="00FD55E3">
        <w:rPr>
          <w:rFonts w:cs="Times New Roman"/>
        </w:rPr>
        <w:t xml:space="preserve">analysis of the merits at the certification stage. </w:t>
      </w:r>
      <w:r w:rsidRPr="00FD55E3">
        <w:rPr>
          <w:rFonts w:cs="Times New Roman"/>
        </w:rPr>
        <w:lastRenderedPageBreak/>
        <w:t>Consequently</w:t>
      </w:r>
      <w:r>
        <w:rPr>
          <w:rFonts w:cs="Times New Roman"/>
        </w:rPr>
        <w:t>,</w:t>
      </w:r>
      <w:r w:rsidRPr="00FD55E3">
        <w:rPr>
          <w:rFonts w:cs="Times New Roman"/>
        </w:rPr>
        <w:t xml:space="preserve"> the outcome of a certification </w:t>
      </w:r>
      <w:r>
        <w:rPr>
          <w:rFonts w:cs="Times New Roman"/>
        </w:rPr>
        <w:t>application</w:t>
      </w:r>
      <w:r w:rsidRPr="00FD55E3">
        <w:rPr>
          <w:rFonts w:cs="Times New Roman"/>
        </w:rPr>
        <w:t xml:space="preserve"> will not be predictive of the success of the action at the trial of the common issues.  I think it important to emphasize that the Canadian approach at the certification stage does not allow for an extensive assessment of the complexities and challenges that a plaintiff may face in establishing its case at trial. After an action has been certified, additional information may come to light calling into question whether the requirements of s. 4(1) continue to be met. It is for this reason that enshrined in the </w:t>
      </w:r>
      <w:r w:rsidRPr="00FD55E3">
        <w:rPr>
          <w:rFonts w:cs="Times New Roman"/>
          <w:i/>
        </w:rPr>
        <w:t xml:space="preserve">CPA </w:t>
      </w:r>
      <w:r w:rsidRPr="00FD55E3">
        <w:rPr>
          <w:rFonts w:cs="Times New Roman"/>
        </w:rPr>
        <w:t>is the power of the court to decertify the action if</w:t>
      </w:r>
      <w:r>
        <w:rPr>
          <w:rFonts w:cs="Times New Roman"/>
        </w:rPr>
        <w:t xml:space="preserve"> </w:t>
      </w:r>
      <w:r w:rsidRPr="00FD55E3">
        <w:rPr>
          <w:rFonts w:cs="Times New Roman"/>
        </w:rPr>
        <w:t>at any time it is found that the conditions for certification are</w:t>
      </w:r>
      <w:r>
        <w:rPr>
          <w:rFonts w:cs="Times New Roman"/>
        </w:rPr>
        <w:t xml:space="preserve"> no longer met</w:t>
      </w:r>
      <w:r w:rsidRPr="00FD55E3">
        <w:rPr>
          <w:rFonts w:cs="Times New Roman"/>
        </w:rPr>
        <w:t xml:space="preserve"> </w:t>
      </w:r>
      <w:r>
        <w:rPr>
          <w:rFonts w:cs="Times New Roman"/>
        </w:rPr>
        <w:t>(</w:t>
      </w:r>
      <w:r w:rsidRPr="00FD55E3">
        <w:rPr>
          <w:rFonts w:cs="Times New Roman"/>
        </w:rPr>
        <w:t>s. 10(1)</w:t>
      </w:r>
      <w:r>
        <w:rPr>
          <w:rFonts w:cs="Times New Roman"/>
        </w:rPr>
        <w:t>)</w:t>
      </w:r>
      <w:r w:rsidRPr="00FD55E3">
        <w:rPr>
          <w:rFonts w:cs="Times New Roman"/>
        </w:rPr>
        <w:t xml:space="preserve">. </w:t>
      </w:r>
    </w:p>
    <w:p w:rsidR="006A370E" w:rsidRPr="00FD55E3" w:rsidRDefault="002E1456" w:rsidP="002E1456">
      <w:pPr>
        <w:pStyle w:val="Title4LevelTitre4Niveau"/>
        <w:numPr>
          <w:ilvl w:val="0"/>
          <w:numId w:val="0"/>
        </w:numPr>
        <w:tabs>
          <w:tab w:val="num" w:pos="1260"/>
        </w:tabs>
        <w:ind w:left="1800" w:hanging="1800"/>
        <w:rPr>
          <w:rFonts w:cs="Times New Roman"/>
        </w:rPr>
      </w:pPr>
      <w:bookmarkStart w:id="178" w:name="_Toc354731727"/>
      <w:bookmarkStart w:id="179" w:name="_Toc354840994"/>
      <w:bookmarkStart w:id="180" w:name="_Toc360611926"/>
      <w:bookmarkStart w:id="181" w:name="_Toc367887603"/>
      <w:bookmarkStart w:id="182" w:name="_Toc367948567"/>
      <w:bookmarkStart w:id="183" w:name="_Toc367957396"/>
      <w:bookmarkStart w:id="184" w:name="_Toc369188644"/>
      <w:bookmarkStart w:id="185" w:name="_Toc370903026"/>
      <w:r>
        <w:rPr>
          <w:rFonts w:cs="Times New Roman"/>
        </w:rPr>
        <w:tab/>
      </w:r>
      <w:r w:rsidRPr="002E1456">
        <w:rPr>
          <w:rFonts w:cs="Times New Roman"/>
          <w:i w:val="0"/>
        </w:rPr>
        <w:t>(b)</w:t>
      </w:r>
      <w:r w:rsidRPr="002E1456">
        <w:rPr>
          <w:rFonts w:cs="Times New Roman"/>
          <w:i w:val="0"/>
        </w:rPr>
        <w:tab/>
      </w:r>
      <w:r w:rsidR="006A370E" w:rsidRPr="00FD55E3">
        <w:rPr>
          <w:rFonts w:cs="Times New Roman"/>
        </w:rPr>
        <w:t xml:space="preserve">Do the </w:t>
      </w:r>
      <w:r w:rsidR="006A370E">
        <w:rPr>
          <w:rFonts w:cs="Times New Roman"/>
        </w:rPr>
        <w:t>C</w:t>
      </w:r>
      <w:r w:rsidR="006A370E" w:rsidRPr="00FD55E3">
        <w:rPr>
          <w:rFonts w:cs="Times New Roman"/>
        </w:rPr>
        <w:t xml:space="preserve">laims of the </w:t>
      </w:r>
      <w:r w:rsidR="006A370E">
        <w:rPr>
          <w:rFonts w:cs="Times New Roman"/>
        </w:rPr>
        <w:t>Class Members Raise Common I</w:t>
      </w:r>
      <w:r w:rsidR="006A370E" w:rsidRPr="00FD55E3">
        <w:rPr>
          <w:rFonts w:cs="Times New Roman"/>
        </w:rPr>
        <w:t>ssues?</w:t>
      </w:r>
      <w:bookmarkEnd w:id="178"/>
      <w:bookmarkEnd w:id="179"/>
      <w:bookmarkEnd w:id="180"/>
      <w:bookmarkEnd w:id="181"/>
      <w:bookmarkEnd w:id="182"/>
      <w:bookmarkEnd w:id="183"/>
      <w:bookmarkEnd w:id="184"/>
      <w:bookmarkEnd w:id="185"/>
      <w:r w:rsidR="006A370E"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The commonality requirement has been described as “</w:t>
      </w:r>
      <w:r>
        <w:rPr>
          <w:rFonts w:cs="Times New Roman"/>
        </w:rPr>
        <w:t>[</w:t>
      </w:r>
      <w:r w:rsidRPr="00FD55E3">
        <w:rPr>
          <w:rFonts w:cs="Times New Roman"/>
        </w:rPr>
        <w:t>t</w:t>
      </w:r>
      <w:r>
        <w:rPr>
          <w:rFonts w:cs="Times New Roman"/>
        </w:rPr>
        <w:t>]</w:t>
      </w:r>
      <w:r w:rsidRPr="00FD55E3">
        <w:rPr>
          <w:rFonts w:cs="Times New Roman"/>
        </w:rPr>
        <w:t xml:space="preserve">he central notion of a class proceeding” </w:t>
      </w:r>
      <w:r w:rsidR="009074C8">
        <w:rPr>
          <w:rFonts w:cs="Times New Roman"/>
        </w:rPr>
        <w:t xml:space="preserve">(M. A. </w:t>
      </w:r>
      <w:proofErr w:type="spellStart"/>
      <w:r w:rsidR="009074C8">
        <w:rPr>
          <w:rFonts w:cs="Times New Roman"/>
        </w:rPr>
        <w:t>Eizenga</w:t>
      </w:r>
      <w:proofErr w:type="spellEnd"/>
      <w:r>
        <w:rPr>
          <w:rFonts w:cs="Times New Roman"/>
        </w:rPr>
        <w:t xml:space="preserve"> </w:t>
      </w:r>
      <w:r w:rsidRPr="00FD55E3">
        <w:rPr>
          <w:rFonts w:cs="Times New Roman"/>
        </w:rPr>
        <w:t xml:space="preserve">et al., </w:t>
      </w:r>
      <w:r w:rsidRPr="00FD55E3">
        <w:rPr>
          <w:rFonts w:cs="Times New Roman"/>
          <w:i/>
        </w:rPr>
        <w:t>Class Action</w:t>
      </w:r>
      <w:r>
        <w:rPr>
          <w:rFonts w:cs="Times New Roman"/>
          <w:i/>
        </w:rPr>
        <w:t>s</w:t>
      </w:r>
      <w:r w:rsidRPr="00FD55E3">
        <w:rPr>
          <w:rFonts w:cs="Times New Roman"/>
          <w:i/>
        </w:rPr>
        <w:t xml:space="preserve"> Law and Practice</w:t>
      </w:r>
      <w:r>
        <w:rPr>
          <w:rFonts w:cs="Times New Roman"/>
        </w:rPr>
        <w:t xml:space="preserve"> (loose-leaf</w:t>
      </w:r>
      <w:r w:rsidRPr="00FD55E3">
        <w:rPr>
          <w:rFonts w:cs="Times New Roman"/>
        </w:rPr>
        <w:t>)</w:t>
      </w:r>
      <w:r>
        <w:rPr>
          <w:rFonts w:cs="Times New Roman"/>
        </w:rPr>
        <w:t>,</w:t>
      </w:r>
      <w:r w:rsidRPr="00FD55E3">
        <w:rPr>
          <w:rFonts w:cs="Times New Roman"/>
        </w:rPr>
        <w:t xml:space="preserve"> at </w:t>
      </w:r>
      <w:r>
        <w:rPr>
          <w:rFonts w:cs="Times New Roman"/>
        </w:rPr>
        <w:t xml:space="preserve">p. </w:t>
      </w:r>
      <w:r w:rsidRPr="00FD55E3">
        <w:rPr>
          <w:rFonts w:cs="Times New Roman"/>
        </w:rPr>
        <w:t>3-34.6</w:t>
      </w:r>
      <w:r>
        <w:rPr>
          <w:rFonts w:cs="Times New Roman"/>
        </w:rPr>
        <w:t>)</w:t>
      </w:r>
      <w:r w:rsidRPr="00FD55E3">
        <w:rPr>
          <w:rFonts w:cs="Times New Roman"/>
        </w:rPr>
        <w:t>. It is based on the notion that “individuals who have litigation concerns ‘in common’ ought to be able to resolve those common concerns in one central proceeding rather than through an inefficient mult</w:t>
      </w:r>
      <w:r>
        <w:rPr>
          <w:rFonts w:cs="Times New Roman"/>
        </w:rPr>
        <w:t>itude of repetitive proceedings</w:t>
      </w:r>
      <w:r w:rsidRPr="00FD55E3">
        <w:rPr>
          <w:rFonts w:cs="Times New Roman"/>
        </w:rPr>
        <w:t xml:space="preserve">” </w:t>
      </w:r>
      <w:r>
        <w:rPr>
          <w:rFonts w:cs="Times New Roman"/>
        </w:rPr>
        <w:t>(</w:t>
      </w:r>
      <w:r>
        <w:rPr>
          <w:rFonts w:cs="Times New Roman"/>
          <w:i/>
        </w:rPr>
        <w:t>i</w:t>
      </w:r>
      <w:r w:rsidRPr="00FD55E3">
        <w:rPr>
          <w:rFonts w:cs="Times New Roman"/>
          <w:i/>
        </w:rPr>
        <w:t>bid.</w:t>
      </w:r>
      <w:r>
        <w:rPr>
          <w:rFonts w:cs="Times New Roman"/>
        </w:rPr>
        <w:t>).</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Section 4(1)(c) of the </w:t>
      </w:r>
      <w:r w:rsidRPr="00FD55E3">
        <w:rPr>
          <w:rFonts w:cs="Times New Roman"/>
          <w:i/>
        </w:rPr>
        <w:t xml:space="preserve">CPA </w:t>
      </w:r>
      <w:r w:rsidRPr="00FD55E3">
        <w:rPr>
          <w:rFonts w:cs="Times New Roman"/>
        </w:rPr>
        <w:t xml:space="preserve">states that the court must certify an action as a class proceeding if, among other requirements, “the claims of the class members raise common issues, whether or not those common issues predominate over issues affecting only individual members”. Section 1 of the </w:t>
      </w:r>
      <w:r w:rsidRPr="00FD55E3">
        <w:rPr>
          <w:rFonts w:cs="Times New Roman"/>
          <w:i/>
        </w:rPr>
        <w:t xml:space="preserve">CPA </w:t>
      </w:r>
      <w:r>
        <w:rPr>
          <w:rFonts w:cs="Times New Roman"/>
        </w:rPr>
        <w:t>defines “common issues” as</w:t>
      </w:r>
      <w:r w:rsidRPr="00FD55E3">
        <w:rPr>
          <w:rFonts w:cs="Times New Roman"/>
        </w:rPr>
        <w:t xml:space="preserve"> </w:t>
      </w:r>
      <w:r>
        <w:rPr>
          <w:rFonts w:cs="Times New Roman"/>
        </w:rPr>
        <w:t>“</w:t>
      </w:r>
      <w:r w:rsidRPr="00FD55E3">
        <w:rPr>
          <w:rFonts w:cs="Times New Roman"/>
        </w:rPr>
        <w:t xml:space="preserve">(a) common but not necessarily identical issues of fact, or (b) common but not </w:t>
      </w:r>
      <w:r w:rsidRPr="00FD55E3">
        <w:rPr>
          <w:rFonts w:cs="Times New Roman"/>
        </w:rPr>
        <w:lastRenderedPageBreak/>
        <w:t>necessarily identical issues of law that arise from common but not necessarily identical facts</w:t>
      </w:r>
      <w:r>
        <w:rPr>
          <w:rFonts w:cs="Times New Roman"/>
        </w:rPr>
        <w:t>”</w:t>
      </w:r>
      <w:r w:rsidRPr="00FD55E3">
        <w:rPr>
          <w:rFonts w:cs="Times New Roman"/>
        </w:rPr>
        <w:t>.</w:t>
      </w:r>
    </w:p>
    <w:p w:rsidR="006A370E" w:rsidRPr="00FD55E3" w:rsidRDefault="006A370E" w:rsidP="006A370E">
      <w:pPr>
        <w:pStyle w:val="ParaNoNdepar-AltN"/>
        <w:rPr>
          <w:rFonts w:cs="Times New Roman"/>
        </w:rPr>
      </w:pPr>
      <w:r w:rsidRPr="00FD55E3">
        <w:rPr>
          <w:rFonts w:cs="Times New Roman"/>
        </w:rPr>
        <w:t xml:space="preserve">In </w:t>
      </w:r>
      <w:r>
        <w:rPr>
          <w:rFonts w:cs="Times New Roman"/>
          <w:i/>
        </w:rPr>
        <w:t xml:space="preserve">Western Canadian Shopping Centres Inc. v. </w:t>
      </w:r>
      <w:r w:rsidRPr="00FD55E3">
        <w:rPr>
          <w:rFonts w:cs="Times New Roman"/>
          <w:i/>
        </w:rPr>
        <w:t>Dutton</w:t>
      </w:r>
      <w:r w:rsidRPr="0086764B">
        <w:rPr>
          <w:rFonts w:cs="Times New Roman"/>
        </w:rPr>
        <w:t>,</w:t>
      </w:r>
      <w:r>
        <w:rPr>
          <w:rFonts w:cs="Times New Roman"/>
        </w:rPr>
        <w:t xml:space="preserve"> 2001 SCC 46, [2001] 2 S.C.R. 534, </w:t>
      </w:r>
      <w:r w:rsidRPr="00FD55E3">
        <w:rPr>
          <w:rFonts w:cs="Times New Roman"/>
          <w:i/>
        </w:rPr>
        <w:t xml:space="preserve"> </w:t>
      </w:r>
      <w:r w:rsidRPr="00FD55E3">
        <w:rPr>
          <w:rFonts w:cs="Times New Roman"/>
        </w:rPr>
        <w:t>this Court addressed</w:t>
      </w:r>
      <w:r>
        <w:rPr>
          <w:rFonts w:cs="Times New Roman"/>
        </w:rPr>
        <w:t xml:space="preserve"> the commonality question, stating that</w:t>
      </w:r>
      <w:r w:rsidRPr="00FD55E3">
        <w:rPr>
          <w:rFonts w:cs="Times New Roman"/>
        </w:rPr>
        <w:t xml:space="preserve"> </w:t>
      </w:r>
      <w:r>
        <w:rPr>
          <w:rFonts w:cs="Times New Roman"/>
        </w:rPr>
        <w:t>“[t]</w:t>
      </w:r>
      <w:r w:rsidRPr="00FD55E3">
        <w:rPr>
          <w:rFonts w:cs="Times New Roman"/>
        </w:rPr>
        <w:t xml:space="preserve">he underlying question is whether allowing the suit to proceed as a </w:t>
      </w:r>
      <w:r>
        <w:rPr>
          <w:rFonts w:cs="Times New Roman"/>
        </w:rPr>
        <w:t>[</w:t>
      </w:r>
      <w:r w:rsidRPr="00FD55E3">
        <w:rPr>
          <w:rFonts w:cs="Times New Roman"/>
        </w:rPr>
        <w:t>class action</w:t>
      </w:r>
      <w:r>
        <w:rPr>
          <w:rFonts w:cs="Times New Roman"/>
        </w:rPr>
        <w:t>]</w:t>
      </w:r>
      <w:r w:rsidRPr="00FD55E3">
        <w:rPr>
          <w:rFonts w:cs="Times New Roman"/>
        </w:rPr>
        <w:t xml:space="preserve"> will avoid duplication of fact-finding or legal analysis</w:t>
      </w:r>
      <w:r>
        <w:rPr>
          <w:rFonts w:cs="Times New Roman"/>
        </w:rPr>
        <w:t>”</w:t>
      </w:r>
      <w:r w:rsidRPr="00FD55E3">
        <w:rPr>
          <w:rFonts w:cs="Times New Roman"/>
        </w:rPr>
        <w:t xml:space="preserve"> </w:t>
      </w:r>
      <w:r>
        <w:rPr>
          <w:rFonts w:cs="Times New Roman"/>
        </w:rPr>
        <w:t>(</w:t>
      </w:r>
      <w:proofErr w:type="spellStart"/>
      <w:r w:rsidRPr="00FD55E3">
        <w:rPr>
          <w:rFonts w:cs="Times New Roman"/>
        </w:rPr>
        <w:t>para</w:t>
      </w:r>
      <w:proofErr w:type="spellEnd"/>
      <w:r w:rsidRPr="00FD55E3">
        <w:rPr>
          <w:rFonts w:cs="Times New Roman"/>
        </w:rPr>
        <w:t>. 39</w:t>
      </w:r>
      <w:r>
        <w:rPr>
          <w:rFonts w:cs="Times New Roman"/>
        </w:rPr>
        <w:t>)</w:t>
      </w:r>
      <w:r w:rsidRPr="00FD55E3">
        <w:rPr>
          <w:rFonts w:cs="Times New Roman"/>
        </w:rPr>
        <w:t xml:space="preserve">. I </w:t>
      </w:r>
      <w:r>
        <w:rPr>
          <w:rFonts w:cs="Times New Roman"/>
        </w:rPr>
        <w:t xml:space="preserve">list </w:t>
      </w:r>
      <w:r w:rsidRPr="00FD55E3">
        <w:rPr>
          <w:rFonts w:cs="Times New Roman"/>
        </w:rPr>
        <w:t xml:space="preserve">the balance of </w:t>
      </w:r>
      <w:proofErr w:type="spellStart"/>
      <w:r w:rsidRPr="00FD55E3">
        <w:rPr>
          <w:rFonts w:cs="Times New Roman"/>
        </w:rPr>
        <w:t>McLachlin</w:t>
      </w:r>
      <w:proofErr w:type="spellEnd"/>
      <w:r w:rsidRPr="00FD55E3">
        <w:rPr>
          <w:rFonts w:cs="Times New Roman"/>
        </w:rPr>
        <w:t xml:space="preserve"> C.J.’s instructions</w:t>
      </w:r>
      <w:r>
        <w:rPr>
          <w:rFonts w:cs="Times New Roman"/>
        </w:rPr>
        <w:t>, found</w:t>
      </w:r>
      <w:r w:rsidRPr="00FD55E3">
        <w:rPr>
          <w:rFonts w:cs="Times New Roman"/>
        </w:rPr>
        <w:t xml:space="preserve"> at </w:t>
      </w:r>
      <w:proofErr w:type="spellStart"/>
      <w:r>
        <w:rPr>
          <w:rFonts w:cs="Times New Roman"/>
        </w:rPr>
        <w:t>paras</w:t>
      </w:r>
      <w:proofErr w:type="spellEnd"/>
      <w:r>
        <w:rPr>
          <w:rFonts w:cs="Times New Roman"/>
        </w:rPr>
        <w:t xml:space="preserve">. </w:t>
      </w:r>
      <w:r w:rsidRPr="00FD55E3">
        <w:rPr>
          <w:rFonts w:cs="Times New Roman"/>
        </w:rPr>
        <w:t>39</w:t>
      </w:r>
      <w:r>
        <w:rPr>
          <w:rFonts w:cs="Times New Roman"/>
        </w:rPr>
        <w:t>-40</w:t>
      </w:r>
      <w:r w:rsidRPr="00FD55E3">
        <w:rPr>
          <w:rFonts w:cs="Times New Roman"/>
        </w:rPr>
        <w:t xml:space="preserve"> of that decision:   </w:t>
      </w:r>
    </w:p>
    <w:p w:rsidR="006A370E" w:rsidRPr="00FD55E3" w:rsidRDefault="006A370E" w:rsidP="002E1456">
      <w:pPr>
        <w:pStyle w:val="Citation-AltC"/>
        <w:numPr>
          <w:ilvl w:val="0"/>
          <w:numId w:val="2"/>
        </w:numPr>
        <w:spacing w:line="480" w:lineRule="auto"/>
        <w:ind w:hanging="720"/>
      </w:pPr>
      <w:r w:rsidRPr="00FD55E3">
        <w:t xml:space="preserve">The commonality question should be approached purposively. </w:t>
      </w:r>
    </w:p>
    <w:p w:rsidR="006A370E" w:rsidRPr="00FD55E3" w:rsidRDefault="006A370E" w:rsidP="006A370E">
      <w:pPr>
        <w:pStyle w:val="Citation-AltC"/>
        <w:spacing w:line="480" w:lineRule="auto"/>
        <w:ind w:left="720"/>
      </w:pPr>
    </w:p>
    <w:p w:rsidR="006A370E" w:rsidRPr="00FD55E3" w:rsidRDefault="006A370E" w:rsidP="002E1456">
      <w:pPr>
        <w:pStyle w:val="Citation-AltC"/>
        <w:numPr>
          <w:ilvl w:val="0"/>
          <w:numId w:val="2"/>
        </w:numPr>
        <w:spacing w:line="480" w:lineRule="auto"/>
        <w:ind w:hanging="720"/>
      </w:pPr>
      <w:r w:rsidRPr="00FD55E3">
        <w:t>An issue will be “common” only where its resolution is necessary to the resolution of each class member’s claim.</w:t>
      </w:r>
    </w:p>
    <w:p w:rsidR="006A370E" w:rsidRPr="00FD55E3" w:rsidRDefault="006A370E" w:rsidP="006A370E">
      <w:pPr>
        <w:pStyle w:val="Citation-AltC"/>
        <w:spacing w:line="480" w:lineRule="auto"/>
        <w:ind w:left="720"/>
      </w:pPr>
    </w:p>
    <w:p w:rsidR="006A370E" w:rsidRPr="00FD55E3" w:rsidRDefault="006A370E" w:rsidP="002E1456">
      <w:pPr>
        <w:pStyle w:val="Citation-AltC"/>
        <w:numPr>
          <w:ilvl w:val="0"/>
          <w:numId w:val="2"/>
        </w:numPr>
        <w:spacing w:line="480" w:lineRule="auto"/>
        <w:ind w:hanging="720"/>
      </w:pPr>
      <w:r w:rsidRPr="00FD55E3">
        <w:t xml:space="preserve">It is not essential that the class members </w:t>
      </w:r>
      <w:proofErr w:type="gramStart"/>
      <w:r w:rsidRPr="00FD55E3">
        <w:t>be</w:t>
      </w:r>
      <w:proofErr w:type="gramEnd"/>
      <w:r w:rsidRPr="00FD55E3">
        <w:t xml:space="preserve"> identically situated </w:t>
      </w:r>
      <w:r w:rsidRPr="00FD55E3">
        <w:rPr>
          <w:i/>
          <w:iCs/>
        </w:rPr>
        <w:t xml:space="preserve">vis-à-vis </w:t>
      </w:r>
      <w:r w:rsidRPr="00FD55E3">
        <w:t>the opposing party.</w:t>
      </w:r>
    </w:p>
    <w:p w:rsidR="006A370E" w:rsidRPr="00FD55E3" w:rsidRDefault="006A370E" w:rsidP="006A370E">
      <w:pPr>
        <w:pStyle w:val="Citation-AltC"/>
        <w:spacing w:line="480" w:lineRule="auto"/>
        <w:ind w:left="720"/>
      </w:pPr>
    </w:p>
    <w:p w:rsidR="006A370E" w:rsidRPr="00FD55E3" w:rsidRDefault="006A370E" w:rsidP="002E1456">
      <w:pPr>
        <w:pStyle w:val="Citation-AltC"/>
        <w:numPr>
          <w:ilvl w:val="0"/>
          <w:numId w:val="2"/>
        </w:numPr>
        <w:spacing w:line="480" w:lineRule="auto"/>
        <w:ind w:hanging="720"/>
      </w:pPr>
      <w:r w:rsidRPr="00FD55E3">
        <w:t xml:space="preserve">It not necessary that common issues predominate over non-common issues. However, the class members’ claims must share a substantial common ingredient to justify a class action. The court will examine the significance of the common issues in relation to individual issues. </w:t>
      </w:r>
    </w:p>
    <w:p w:rsidR="006A370E" w:rsidRPr="00FD55E3" w:rsidRDefault="006A370E" w:rsidP="006A370E">
      <w:pPr>
        <w:pStyle w:val="Citation-AltC"/>
        <w:spacing w:line="480" w:lineRule="auto"/>
        <w:ind w:left="720"/>
      </w:pPr>
    </w:p>
    <w:p w:rsidR="006A370E" w:rsidRPr="00FD55E3" w:rsidRDefault="006A370E" w:rsidP="00995743">
      <w:pPr>
        <w:pStyle w:val="Citation-AltC"/>
        <w:numPr>
          <w:ilvl w:val="0"/>
          <w:numId w:val="2"/>
        </w:numPr>
        <w:spacing w:line="480" w:lineRule="auto"/>
        <w:ind w:hanging="720"/>
      </w:pPr>
      <w:r w:rsidRPr="00FD55E3">
        <w:lastRenderedPageBreak/>
        <w:t xml:space="preserve">Success for one class member must mean success for all. All members of the class must benefit from the successful prosecution of the action, although not necessarily to the same extent.  </w:t>
      </w:r>
    </w:p>
    <w:p w:rsidR="006A370E" w:rsidRPr="00FD55E3" w:rsidRDefault="006A370E" w:rsidP="006A370E">
      <w:pPr>
        <w:pStyle w:val="ParaNoNdepar-AltN"/>
        <w:rPr>
          <w:rFonts w:cs="Times New Roman"/>
        </w:rPr>
      </w:pPr>
      <w:r w:rsidRPr="00FD55E3">
        <w:rPr>
          <w:rFonts w:cs="Times New Roman"/>
        </w:rPr>
        <w:t xml:space="preserve">Microsoft argues that the differences among the proposed class members are too great to satisfy the common issues requirement. It argues that the plaintiffs allege they were injured by multiple separate instances of wrongdoing, that these acts occurred over a period of 24 years and had to do with 19 different products, and that various co-conspirators and countless licences are implicated. Microsoft also argues that the fact that the overcharge has been passed on to the class members through the chain of distribution makes it unfeasible to prove loss to each of the class members for the purposes of establishing common issues. </w:t>
      </w:r>
    </w:p>
    <w:p w:rsidR="006A370E" w:rsidRPr="00FD55E3" w:rsidRDefault="006A370E" w:rsidP="006A370E">
      <w:pPr>
        <w:pStyle w:val="ParaNoNdepar-AltN"/>
        <w:rPr>
          <w:rFonts w:cs="Times New Roman"/>
        </w:rPr>
      </w:pPr>
      <w:r w:rsidRPr="00FD55E3">
        <w:rPr>
          <w:rFonts w:cs="Times New Roman"/>
        </w:rPr>
        <w:t xml:space="preserve">The multitude of variables involved in indirect purchaser actions may well present a significant challenge at the merits stage. However, there would appear to be a number of common issues that are identifiable. In order to establish commonality, evidence that the acts alleged actually occurred is not required. Rather, the factual evidence required at this stage goes only to establishing whether these questions are common to all the class members. </w:t>
      </w:r>
    </w:p>
    <w:p w:rsidR="006A370E" w:rsidRPr="00FD55E3" w:rsidRDefault="006A370E" w:rsidP="006A370E">
      <w:pPr>
        <w:pStyle w:val="ParaNoNdepar-AltN"/>
        <w:rPr>
          <w:rFonts w:cs="Times New Roman"/>
        </w:rPr>
      </w:pPr>
      <w:r w:rsidRPr="00FD55E3">
        <w:rPr>
          <w:rFonts w:cs="Times New Roman"/>
        </w:rPr>
        <w:t xml:space="preserve"> Myers J. </w:t>
      </w:r>
      <w:r>
        <w:rPr>
          <w:rFonts w:cs="Times New Roman"/>
        </w:rPr>
        <w:t>concluded that the claims raised common issues.</w:t>
      </w:r>
      <w:r w:rsidRPr="00FD55E3">
        <w:rPr>
          <w:rFonts w:cs="Times New Roman"/>
        </w:rPr>
        <w:t xml:space="preserve">  </w:t>
      </w:r>
      <w:r>
        <w:rPr>
          <w:rFonts w:cs="Times New Roman"/>
        </w:rPr>
        <w:t>I agree that their</w:t>
      </w:r>
      <w:r w:rsidRPr="00FD55E3">
        <w:rPr>
          <w:rFonts w:cs="Times New Roman"/>
        </w:rPr>
        <w:t xml:space="preserve"> resolution is indeed necessary to the resolution of the claims of each class member. Their resolution would appear to advance the claims of the entire class and </w:t>
      </w:r>
      <w:r w:rsidRPr="00FD55E3">
        <w:rPr>
          <w:rFonts w:cs="Times New Roman"/>
        </w:rPr>
        <w:lastRenderedPageBreak/>
        <w:t>to answer them commonly will avoid duplication in legal and factual analysis. Those finding</w:t>
      </w:r>
      <w:r>
        <w:rPr>
          <w:rFonts w:cs="Times New Roman"/>
        </w:rPr>
        <w:t>s</w:t>
      </w:r>
      <w:r w:rsidRPr="00FD55E3">
        <w:rPr>
          <w:rFonts w:cs="Times New Roman"/>
        </w:rPr>
        <w:t xml:space="preserve"> are entitled to deference from an appellate court.</w:t>
      </w:r>
    </w:p>
    <w:p w:rsidR="006A370E" w:rsidRPr="00FD55E3" w:rsidRDefault="006A370E" w:rsidP="006A370E">
      <w:pPr>
        <w:pStyle w:val="ParaNoNdepar-AltN"/>
        <w:rPr>
          <w:rFonts w:cs="Times New Roman"/>
        </w:rPr>
      </w:pPr>
      <w:r w:rsidRPr="00FD55E3">
        <w:rPr>
          <w:rFonts w:cs="Times New Roman"/>
        </w:rPr>
        <w:t xml:space="preserve">The differences cited by Microsoft are, in my view, insufficient to defeat a finding of commonality.  </w:t>
      </w:r>
      <w:r w:rsidRPr="00FD55E3">
        <w:rPr>
          <w:rFonts w:cs="Times New Roman"/>
          <w:i/>
        </w:rPr>
        <w:t xml:space="preserve">Dutton </w:t>
      </w:r>
      <w:r w:rsidRPr="00FD55E3">
        <w:rPr>
          <w:rFonts w:cs="Times New Roman"/>
        </w:rPr>
        <w:t xml:space="preserve">confirms that even a significant level of difference among the class members does not preclude a finding of commonality. In any event, as </w:t>
      </w:r>
      <w:proofErr w:type="spellStart"/>
      <w:r w:rsidRPr="00FD55E3">
        <w:rPr>
          <w:rFonts w:cs="Times New Roman"/>
        </w:rPr>
        <w:t>McLachlin</w:t>
      </w:r>
      <w:proofErr w:type="spellEnd"/>
      <w:r w:rsidRPr="00FD55E3">
        <w:rPr>
          <w:rFonts w:cs="Times New Roman"/>
        </w:rPr>
        <w:t xml:space="preserve"> C.J. stated, “[</w:t>
      </w:r>
      <w:proofErr w:type="spellStart"/>
      <w:r w:rsidRPr="00FD55E3">
        <w:rPr>
          <w:rFonts w:cs="Times New Roman"/>
        </w:rPr>
        <w:t>i</w:t>
      </w:r>
      <w:proofErr w:type="spellEnd"/>
      <w:r w:rsidRPr="00FD55E3">
        <w:rPr>
          <w:rFonts w:cs="Times New Roman"/>
        </w:rPr>
        <w:t xml:space="preserve">]f material differences emerge, the court can deal with them when the time comes” </w:t>
      </w:r>
      <w:r>
        <w:rPr>
          <w:rFonts w:cs="Times New Roman"/>
        </w:rPr>
        <w:t>(</w:t>
      </w:r>
      <w:r w:rsidRPr="00FD55E3">
        <w:rPr>
          <w:rFonts w:cs="Times New Roman"/>
          <w:i/>
        </w:rPr>
        <w:t>Dutton</w:t>
      </w:r>
      <w:r>
        <w:rPr>
          <w:rFonts w:cs="Times New Roman"/>
        </w:rPr>
        <w:t>,</w:t>
      </w:r>
      <w:r w:rsidRPr="00FD55E3">
        <w:rPr>
          <w:rFonts w:cs="Times New Roman"/>
          <w:i/>
        </w:rPr>
        <w:t xml:space="preserve"> </w:t>
      </w:r>
      <w:r w:rsidRPr="00FD55E3">
        <w:rPr>
          <w:rFonts w:cs="Times New Roman"/>
        </w:rPr>
        <w:t xml:space="preserve">at </w:t>
      </w:r>
      <w:proofErr w:type="spellStart"/>
      <w:r w:rsidRPr="00FD55E3">
        <w:rPr>
          <w:rFonts w:cs="Times New Roman"/>
        </w:rPr>
        <w:t>para</w:t>
      </w:r>
      <w:proofErr w:type="spellEnd"/>
      <w:r w:rsidRPr="00FD55E3">
        <w:rPr>
          <w:rFonts w:cs="Times New Roman"/>
        </w:rPr>
        <w:t>. 54</w:t>
      </w:r>
      <w:r>
        <w:rPr>
          <w:rFonts w:cs="Times New Roman"/>
        </w:rPr>
        <w:t>)</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In addition to the common issues relating to scope and existence of the causes of action plead</w:t>
      </w:r>
      <w:r>
        <w:rPr>
          <w:rFonts w:cs="Times New Roman"/>
        </w:rPr>
        <w:t>ed</w:t>
      </w:r>
      <w:r w:rsidRPr="00FD55E3">
        <w:rPr>
          <w:rFonts w:cs="Times New Roman"/>
        </w:rPr>
        <w:t xml:space="preserve">, the remaining common issues certified by Myers J. relate to the alleged loss suffered by the class members and as to whether damages can be calculated on an aggregate basis. The loss-related common issues, that is to say the proposed common issues that ask whether loss to the class members can be established on a class-wide basis, require the use of expert evidence in order for commonality to be established. The standard upon which that evidence should be assessed is contested and I turn to it first below. A question was also raised regarding whether the aggregate damages provision can be used to establish liability. I also address this below.   </w:t>
      </w:r>
    </w:p>
    <w:p w:rsidR="006A370E" w:rsidRPr="00FD55E3" w:rsidRDefault="006D65F4" w:rsidP="006D65F4">
      <w:pPr>
        <w:pStyle w:val="Title5LevelTitre5Niveau"/>
        <w:numPr>
          <w:ilvl w:val="0"/>
          <w:numId w:val="0"/>
        </w:numPr>
        <w:tabs>
          <w:tab w:val="left" w:pos="1170"/>
          <w:tab w:val="left" w:pos="1800"/>
        </w:tabs>
        <w:ind w:left="1800" w:hanging="1800"/>
        <w:rPr>
          <w:rFonts w:cs="Times New Roman"/>
        </w:rPr>
      </w:pPr>
      <w:bookmarkStart w:id="186" w:name="_Toc354840812"/>
      <w:bookmarkStart w:id="187" w:name="_Toc354840995"/>
      <w:bookmarkStart w:id="188" w:name="_Toc360611927"/>
      <w:bookmarkStart w:id="189" w:name="_Toc367887604"/>
      <w:bookmarkStart w:id="190" w:name="_Toc367948568"/>
      <w:bookmarkStart w:id="191" w:name="_Toc367957397"/>
      <w:bookmarkStart w:id="192" w:name="_Toc369188645"/>
      <w:bookmarkStart w:id="193" w:name="_Toc370903027"/>
      <w:r w:rsidRPr="006D65F4">
        <w:rPr>
          <w:rFonts w:cs="Times New Roman"/>
          <w:u w:val="none"/>
        </w:rPr>
        <w:tab/>
        <w:t>(</w:t>
      </w:r>
      <w:proofErr w:type="spellStart"/>
      <w:r w:rsidRPr="006D65F4">
        <w:rPr>
          <w:rFonts w:cs="Times New Roman"/>
          <w:u w:val="none"/>
        </w:rPr>
        <w:t>i</w:t>
      </w:r>
      <w:proofErr w:type="spellEnd"/>
      <w:r w:rsidRPr="006D65F4">
        <w:rPr>
          <w:rFonts w:cs="Times New Roman"/>
          <w:u w:val="none"/>
        </w:rPr>
        <w:t>)</w:t>
      </w:r>
      <w:r w:rsidRPr="006D65F4">
        <w:rPr>
          <w:rFonts w:cs="Times New Roman"/>
          <w:u w:val="none"/>
        </w:rPr>
        <w:tab/>
      </w:r>
      <w:r w:rsidR="006A370E" w:rsidRPr="00FD55E3">
        <w:rPr>
          <w:rFonts w:cs="Times New Roman"/>
        </w:rPr>
        <w:t>Expert Evidence in Indirect Purchaser Class Actions</w:t>
      </w:r>
      <w:bookmarkEnd w:id="186"/>
      <w:bookmarkEnd w:id="187"/>
      <w:bookmarkEnd w:id="188"/>
      <w:bookmarkEnd w:id="189"/>
      <w:bookmarkEnd w:id="190"/>
      <w:bookmarkEnd w:id="191"/>
      <w:bookmarkEnd w:id="192"/>
      <w:bookmarkEnd w:id="193"/>
    </w:p>
    <w:p w:rsidR="006A370E" w:rsidRPr="00FD55E3" w:rsidRDefault="006A370E" w:rsidP="006A370E">
      <w:pPr>
        <w:pStyle w:val="ParaNoNdepar-AltN"/>
        <w:rPr>
          <w:rFonts w:cs="Times New Roman"/>
        </w:rPr>
      </w:pPr>
      <w:r w:rsidRPr="00FD55E3">
        <w:rPr>
          <w:rFonts w:cs="Times New Roman"/>
        </w:rPr>
        <w:t xml:space="preserve">One area in which difficulty is encountered in indirect purchaser actions is in assessing the commonality of the harm or loss-related issues. In order to </w:t>
      </w:r>
      <w:r w:rsidRPr="00FD55E3">
        <w:rPr>
          <w:rFonts w:cs="Times New Roman"/>
        </w:rPr>
        <w:lastRenderedPageBreak/>
        <w:t xml:space="preserve">determine if the loss-related issues meet the “some basis in fact” standard, some assurance is required that the questions are capable of resolution on a common basis. In indirect purchaser actions, plaintiffs generally seek to satisfy this requirement through the use of expert evidence in the form of economic models and methodologies.  </w:t>
      </w:r>
    </w:p>
    <w:p w:rsidR="006A370E" w:rsidRPr="00FD55E3" w:rsidRDefault="006A370E" w:rsidP="006A370E">
      <w:pPr>
        <w:pStyle w:val="ParaNoNdepar-AltN"/>
        <w:rPr>
          <w:rFonts w:cs="Times New Roman"/>
          <w:iCs/>
          <w:sz w:val="26"/>
          <w:szCs w:val="26"/>
        </w:rPr>
      </w:pPr>
      <w:r w:rsidRPr="00FD55E3">
        <w:rPr>
          <w:rFonts w:cs="Times New Roman"/>
        </w:rPr>
        <w:t xml:space="preserve">The role of the expert methodology is to establish that the overcharge was passed on to the indirect purchasers, making the issue common to the class as a whole </w:t>
      </w:r>
      <w:r>
        <w:rPr>
          <w:rFonts w:cs="Times New Roman"/>
        </w:rPr>
        <w:t>(</w:t>
      </w:r>
      <w:r w:rsidRPr="00FD55E3">
        <w:rPr>
          <w:rFonts w:cs="Times New Roman"/>
        </w:rPr>
        <w:t xml:space="preserve">see </w:t>
      </w:r>
      <w:proofErr w:type="spellStart"/>
      <w:r w:rsidRPr="00FD55E3">
        <w:rPr>
          <w:rFonts w:cs="Times New Roman"/>
          <w:i/>
        </w:rPr>
        <w:t>Chadha</w:t>
      </w:r>
      <w:proofErr w:type="spellEnd"/>
      <w:r>
        <w:rPr>
          <w:rFonts w:cs="Times New Roman"/>
        </w:rPr>
        <w:t>,</w:t>
      </w:r>
      <w:r w:rsidRPr="00FD55E3">
        <w:rPr>
          <w:rFonts w:cs="Times New Roman"/>
          <w:i/>
        </w:rPr>
        <w:t xml:space="preserve"> </w:t>
      </w:r>
      <w:r w:rsidRPr="00FD55E3">
        <w:rPr>
          <w:rFonts w:cs="Times New Roman"/>
        </w:rPr>
        <w:t xml:space="preserve">at </w:t>
      </w:r>
      <w:proofErr w:type="spellStart"/>
      <w:r w:rsidRPr="00FD55E3">
        <w:rPr>
          <w:rFonts w:cs="Times New Roman"/>
        </w:rPr>
        <w:t>para</w:t>
      </w:r>
      <w:proofErr w:type="spellEnd"/>
      <w:r w:rsidRPr="00FD55E3">
        <w:rPr>
          <w:rFonts w:cs="Times New Roman"/>
        </w:rPr>
        <w:t>. 31</w:t>
      </w:r>
      <w:r>
        <w:rPr>
          <w:rFonts w:cs="Times New Roman"/>
        </w:rPr>
        <w:t>)</w:t>
      </w:r>
      <w:r w:rsidRPr="00FD55E3">
        <w:rPr>
          <w:rFonts w:cs="Times New Roman"/>
        </w:rPr>
        <w:t>.  The requirement at the certification stage is not that the methodology quantify the damages in question</w:t>
      </w:r>
      <w:r>
        <w:rPr>
          <w:rFonts w:cs="Times New Roman"/>
        </w:rPr>
        <w:t>;</w:t>
      </w:r>
      <w:r w:rsidRPr="00FD55E3">
        <w:rPr>
          <w:rFonts w:cs="Times New Roman"/>
        </w:rPr>
        <w:t xml:space="preserve"> </w:t>
      </w:r>
      <w:r>
        <w:rPr>
          <w:rFonts w:cs="Times New Roman"/>
        </w:rPr>
        <w:t>r</w:t>
      </w:r>
      <w:r w:rsidRPr="00FD55E3">
        <w:rPr>
          <w:rFonts w:cs="Times New Roman"/>
        </w:rPr>
        <w:t xml:space="preserve">ather, the critical element that the methodology must </w:t>
      </w:r>
      <w:r w:rsidRPr="00FD55E3">
        <w:rPr>
          <w:rFonts w:cs="Times New Roman"/>
          <w:szCs w:val="24"/>
        </w:rPr>
        <w:t xml:space="preserve">establish is the ability to prove “common impact”, as described in the U.S. antitrust case of </w:t>
      </w:r>
      <w:r w:rsidRPr="00FD55E3">
        <w:rPr>
          <w:rFonts w:cs="Times New Roman"/>
          <w:i/>
          <w:iCs/>
          <w:szCs w:val="24"/>
        </w:rPr>
        <w:t>In Re: Linerboard Antitrust Litigation</w:t>
      </w:r>
      <w:r w:rsidRPr="00FD55E3">
        <w:rPr>
          <w:rFonts w:cs="Times New Roman"/>
          <w:szCs w:val="24"/>
        </w:rPr>
        <w:t>, 305 F.3d 145 (</w:t>
      </w:r>
      <w:r>
        <w:rPr>
          <w:rFonts w:cs="Times New Roman"/>
          <w:szCs w:val="24"/>
        </w:rPr>
        <w:t xml:space="preserve">3rd Cir. </w:t>
      </w:r>
      <w:r w:rsidRPr="00FD55E3">
        <w:rPr>
          <w:rFonts w:cs="Times New Roman"/>
          <w:szCs w:val="24"/>
        </w:rPr>
        <w:t>2002). That is, plaintiffs must demonstrate that “sufficient proof [is] available, for use at trial, to prove antitrust impact common t</w:t>
      </w:r>
      <w:r>
        <w:rPr>
          <w:rFonts w:cs="Times New Roman"/>
          <w:szCs w:val="24"/>
        </w:rPr>
        <w:t>o all the members of the class”</w:t>
      </w:r>
      <w:r w:rsidRPr="00FD55E3">
        <w:rPr>
          <w:rFonts w:cs="Times New Roman"/>
          <w:szCs w:val="24"/>
        </w:rPr>
        <w:t xml:space="preserve"> </w:t>
      </w:r>
      <w:r>
        <w:rPr>
          <w:rFonts w:cs="Times New Roman"/>
          <w:szCs w:val="24"/>
        </w:rPr>
        <w:t>(</w:t>
      </w:r>
      <w:r>
        <w:rPr>
          <w:rFonts w:cs="Times New Roman"/>
          <w:i/>
          <w:szCs w:val="24"/>
        </w:rPr>
        <w:t>i</w:t>
      </w:r>
      <w:r w:rsidRPr="00FD55E3">
        <w:rPr>
          <w:rFonts w:cs="Times New Roman"/>
          <w:i/>
          <w:szCs w:val="24"/>
        </w:rPr>
        <w:t>bid</w:t>
      </w:r>
      <w:r w:rsidRPr="0086764B">
        <w:rPr>
          <w:rFonts w:cs="Times New Roman"/>
          <w:i/>
          <w:szCs w:val="24"/>
        </w:rPr>
        <w:t>.</w:t>
      </w:r>
      <w:r>
        <w:rPr>
          <w:rFonts w:cs="Times New Roman"/>
          <w:szCs w:val="24"/>
        </w:rPr>
        <w:t>,</w:t>
      </w:r>
      <w:r w:rsidRPr="00FD55E3">
        <w:rPr>
          <w:rFonts w:cs="Times New Roman"/>
          <w:i/>
          <w:szCs w:val="24"/>
        </w:rPr>
        <w:t xml:space="preserve"> </w:t>
      </w:r>
      <w:r w:rsidRPr="00FD55E3">
        <w:rPr>
          <w:rFonts w:cs="Times New Roman"/>
          <w:szCs w:val="24"/>
        </w:rPr>
        <w:t>at p. 155</w:t>
      </w:r>
      <w:r>
        <w:rPr>
          <w:rFonts w:cs="Times New Roman"/>
          <w:szCs w:val="24"/>
        </w:rPr>
        <w:t>)</w:t>
      </w:r>
      <w:r w:rsidRPr="00FD55E3">
        <w:rPr>
          <w:rFonts w:cs="Times New Roman"/>
          <w:szCs w:val="24"/>
        </w:rPr>
        <w:t xml:space="preserve">. It is not necessary at the certification stage that the </w:t>
      </w:r>
      <w:proofErr w:type="gramStart"/>
      <w:r w:rsidRPr="00FD55E3">
        <w:rPr>
          <w:rFonts w:cs="Times New Roman"/>
          <w:szCs w:val="24"/>
        </w:rPr>
        <w:t>methodology establish</w:t>
      </w:r>
      <w:proofErr w:type="gramEnd"/>
      <w:r w:rsidRPr="00FD55E3">
        <w:rPr>
          <w:rFonts w:cs="Times New Roman"/>
          <w:szCs w:val="24"/>
        </w:rPr>
        <w:t xml:space="preserve"> the actual loss to the class, as long as the plaintiff has demonstrated</w:t>
      </w:r>
      <w:r w:rsidRPr="00FD55E3">
        <w:rPr>
          <w:rFonts w:cs="Times New Roman"/>
        </w:rPr>
        <w:t xml:space="preserve"> that there is a methodology capable of doing so. In indirect purchaser actions, this means that the methodology must be able to establish that the overcharges have been passed on to the indirect</w:t>
      </w:r>
      <w:r>
        <w:rPr>
          <w:rFonts w:cs="Times New Roman"/>
        </w:rPr>
        <w:t>-</w:t>
      </w:r>
      <w:r w:rsidRPr="00FD55E3">
        <w:rPr>
          <w:rFonts w:cs="Times New Roman"/>
        </w:rPr>
        <w:t>purchaser level in the distribution chain.</w:t>
      </w:r>
      <w:r w:rsidRPr="00FD55E3">
        <w:rPr>
          <w:rFonts w:cs="Times New Roman"/>
          <w:i/>
        </w:rPr>
        <w:t xml:space="preserve"> </w:t>
      </w:r>
    </w:p>
    <w:p w:rsidR="006A370E" w:rsidRPr="00FD55E3" w:rsidRDefault="006A370E" w:rsidP="006A370E">
      <w:pPr>
        <w:pStyle w:val="ParaNoNdepar-AltN"/>
        <w:rPr>
          <w:rFonts w:cs="Times New Roman"/>
        </w:rPr>
      </w:pPr>
      <w:r w:rsidRPr="00FD55E3">
        <w:rPr>
          <w:rFonts w:cs="Times New Roman"/>
        </w:rPr>
        <w:t xml:space="preserve">The most </w:t>
      </w:r>
      <w:r w:rsidRPr="00FD55E3">
        <w:rPr>
          <w:rFonts w:cs="Times New Roman"/>
          <w:szCs w:val="26"/>
        </w:rPr>
        <w:t>contentious</w:t>
      </w:r>
      <w:r w:rsidRPr="00FD55E3">
        <w:rPr>
          <w:rFonts w:cs="Times New Roman"/>
        </w:rPr>
        <w:t xml:space="preserve"> question involving the use of expert evidence is how strong the evidence must be at the certification stage to satisfy the court that there is a method by which impact can be proved on a class-wide basis. The B</w:t>
      </w:r>
      <w:r>
        <w:rPr>
          <w:rFonts w:cs="Times New Roman"/>
        </w:rPr>
        <w:t>.</w:t>
      </w:r>
      <w:r w:rsidRPr="00FD55E3">
        <w:rPr>
          <w:rFonts w:cs="Times New Roman"/>
        </w:rPr>
        <w:t>C</w:t>
      </w:r>
      <w:r>
        <w:rPr>
          <w:rFonts w:cs="Times New Roman"/>
        </w:rPr>
        <w:t>.</w:t>
      </w:r>
      <w:r w:rsidRPr="00FD55E3">
        <w:rPr>
          <w:rFonts w:cs="Times New Roman"/>
        </w:rPr>
        <w:t>C</w:t>
      </w:r>
      <w:r>
        <w:rPr>
          <w:rFonts w:cs="Times New Roman"/>
        </w:rPr>
        <w:t>.</w:t>
      </w:r>
      <w:r w:rsidRPr="00FD55E3">
        <w:rPr>
          <w:rFonts w:cs="Times New Roman"/>
        </w:rPr>
        <w:t>A</w:t>
      </w:r>
      <w:r>
        <w:rPr>
          <w:rFonts w:cs="Times New Roman"/>
        </w:rPr>
        <w:t>.</w:t>
      </w:r>
      <w:r w:rsidRPr="00FD55E3">
        <w:rPr>
          <w:rFonts w:cs="Times New Roman"/>
        </w:rPr>
        <w:t xml:space="preserve"> </w:t>
      </w:r>
      <w:r w:rsidRPr="00FD55E3">
        <w:rPr>
          <w:rFonts w:cs="Times New Roman"/>
        </w:rPr>
        <w:lastRenderedPageBreak/>
        <w:t xml:space="preserve">in </w:t>
      </w:r>
      <w:r w:rsidRPr="00FD55E3">
        <w:rPr>
          <w:rFonts w:cs="Times New Roman"/>
          <w:i/>
        </w:rPr>
        <w:t>Infineon</w:t>
      </w:r>
      <w:r w:rsidRPr="00FD55E3">
        <w:rPr>
          <w:rFonts w:cs="Times New Roman"/>
        </w:rPr>
        <w:t xml:space="preserve"> called for the plaintiff to show “only a credible or plausible methodology” and held that “[</w:t>
      </w:r>
      <w:proofErr w:type="spellStart"/>
      <w:r w:rsidRPr="00FD55E3">
        <w:rPr>
          <w:rFonts w:cs="Times New Roman"/>
        </w:rPr>
        <w:t>i</w:t>
      </w:r>
      <w:proofErr w:type="spellEnd"/>
      <w:r w:rsidRPr="00FD55E3">
        <w:rPr>
          <w:rFonts w:cs="Times New Roman"/>
        </w:rPr>
        <w:t>]</w:t>
      </w:r>
      <w:r w:rsidRPr="00FD55E3">
        <w:rPr>
          <w:rFonts w:cs="Times New Roman"/>
          <w:szCs w:val="24"/>
        </w:rPr>
        <w:t>t was common ground that statistical regression analysis is in theory capable of providing reasonable estimates of gain or aggregate harm and the extent of pas</w:t>
      </w:r>
      <w:r>
        <w:rPr>
          <w:rFonts w:cs="Times New Roman"/>
          <w:szCs w:val="24"/>
        </w:rPr>
        <w:t>s-through in price-fixing cases” (</w:t>
      </w:r>
      <w:proofErr w:type="spellStart"/>
      <w:r w:rsidRPr="00FD55E3">
        <w:rPr>
          <w:rFonts w:cs="Times New Roman"/>
          <w:szCs w:val="24"/>
        </w:rPr>
        <w:t>para</w:t>
      </w:r>
      <w:proofErr w:type="spellEnd"/>
      <w:r w:rsidRPr="00FD55E3">
        <w:rPr>
          <w:rFonts w:cs="Times New Roman"/>
          <w:szCs w:val="24"/>
        </w:rPr>
        <w:t>. 68</w:t>
      </w:r>
      <w:r>
        <w:rPr>
          <w:rFonts w:cs="Times New Roman"/>
          <w:szCs w:val="24"/>
        </w:rPr>
        <w:t>)</w:t>
      </w:r>
      <w:r w:rsidRPr="00FD55E3">
        <w:rPr>
          <w:rFonts w:cs="Times New Roman"/>
          <w:szCs w:val="24"/>
        </w:rPr>
        <w:t xml:space="preserve">. This was the standard adopted by Myers J. in the present case. </w:t>
      </w:r>
      <w:r w:rsidRPr="00FD55E3">
        <w:rPr>
          <w:rFonts w:cs="Times New Roman"/>
        </w:rPr>
        <w:t xml:space="preserve">Under this standard, he found the plaintiffs’ methodologies to be adequate to satisfy the commonality requirement. </w:t>
      </w:r>
    </w:p>
    <w:p w:rsidR="006A370E" w:rsidRPr="00FD55E3" w:rsidRDefault="006A370E" w:rsidP="006A370E">
      <w:pPr>
        <w:pStyle w:val="ParaNoNdepar-AltN"/>
        <w:rPr>
          <w:rFonts w:cs="Times New Roman"/>
        </w:rPr>
      </w:pPr>
      <w:r w:rsidRPr="00FD55E3">
        <w:rPr>
          <w:rFonts w:cs="Times New Roman"/>
        </w:rPr>
        <w:t xml:space="preserve">Microsoft submits that the “credible </w:t>
      </w:r>
      <w:r>
        <w:rPr>
          <w:rFonts w:cs="Times New Roman"/>
        </w:rPr>
        <w:t xml:space="preserve">or </w:t>
      </w:r>
      <w:r w:rsidRPr="00FD55E3">
        <w:rPr>
          <w:rFonts w:cs="Times New Roman"/>
        </w:rPr>
        <w:t>plausible methodology” standard adopted by Myer</w:t>
      </w:r>
      <w:r>
        <w:rPr>
          <w:rFonts w:cs="Times New Roman"/>
        </w:rPr>
        <w:t>s</w:t>
      </w:r>
      <w:r w:rsidRPr="00FD55E3">
        <w:rPr>
          <w:rFonts w:cs="Times New Roman"/>
        </w:rPr>
        <w:t xml:space="preserve"> J. was too permissive and allowed for a claim to be founded on </w:t>
      </w:r>
      <w:r>
        <w:rPr>
          <w:rFonts w:cs="Times New Roman"/>
        </w:rPr>
        <w:t>insufficient evidence</w:t>
      </w:r>
      <w:r w:rsidRPr="00FD55E3">
        <w:rPr>
          <w:rFonts w:cs="Times New Roman"/>
        </w:rPr>
        <w:t xml:space="preserve">. It argues that under s. 5(4) of the </w:t>
      </w:r>
      <w:r w:rsidRPr="00FD55E3">
        <w:rPr>
          <w:rFonts w:cs="Times New Roman"/>
          <w:i/>
        </w:rPr>
        <w:t>CPA</w:t>
      </w:r>
      <w:r w:rsidRPr="00FD55E3">
        <w:rPr>
          <w:rFonts w:cs="Times New Roman"/>
        </w:rPr>
        <w:t>, the parties are required to file affidavits containing all material facts upon which they intend to rely, and as such Myers J. was under an obligation to weigh the evidence of both parties where a conflict arises. Microsoft alleges that despite this requirement, Myers J. failed to weigh Pro-</w:t>
      </w:r>
      <w:proofErr w:type="spellStart"/>
      <w:r w:rsidRPr="00FD55E3">
        <w:rPr>
          <w:rFonts w:cs="Times New Roman"/>
        </w:rPr>
        <w:t>Sys’s</w:t>
      </w:r>
      <w:proofErr w:type="spellEnd"/>
      <w:r w:rsidRPr="00FD55E3">
        <w:rPr>
          <w:rFonts w:cs="Times New Roman"/>
        </w:rPr>
        <w:t xml:space="preserve"> expert evidence against Microsoft’s expert evidence, merely concluding that Pro-</w:t>
      </w:r>
      <w:proofErr w:type="spellStart"/>
      <w:r w:rsidRPr="00FD55E3">
        <w:rPr>
          <w:rFonts w:cs="Times New Roman"/>
        </w:rPr>
        <w:t>Sys’s</w:t>
      </w:r>
      <w:proofErr w:type="spellEnd"/>
      <w:r w:rsidRPr="00FD55E3">
        <w:rPr>
          <w:rFonts w:cs="Times New Roman"/>
        </w:rPr>
        <w:t xml:space="preserve"> expert evidence was “not implausible” and that assessing competing evidence was “not something that can and should be done in a certification application”</w:t>
      </w:r>
      <w:r>
        <w:rPr>
          <w:rFonts w:cs="Times New Roman"/>
        </w:rPr>
        <w:t xml:space="preserve"> (R.F., at </w:t>
      </w:r>
      <w:proofErr w:type="spellStart"/>
      <w:r>
        <w:rPr>
          <w:rFonts w:cs="Times New Roman"/>
        </w:rPr>
        <w:t>para</w:t>
      </w:r>
      <w:proofErr w:type="spellEnd"/>
      <w:r>
        <w:rPr>
          <w:rFonts w:cs="Times New Roman"/>
        </w:rPr>
        <w:t xml:space="preserve">. 43, citing reasons of Myers J., at </w:t>
      </w:r>
      <w:proofErr w:type="spellStart"/>
      <w:r>
        <w:rPr>
          <w:rFonts w:cs="Times New Roman"/>
        </w:rPr>
        <w:t>para</w:t>
      </w:r>
      <w:proofErr w:type="spellEnd"/>
      <w:r>
        <w:rPr>
          <w:rFonts w:cs="Times New Roman"/>
        </w:rPr>
        <w:t>. 144)</w:t>
      </w:r>
      <w:r w:rsidRPr="00FD55E3">
        <w:rPr>
          <w:rFonts w:cs="Times New Roman"/>
        </w:rPr>
        <w:t>. Microsoft argues that this approach was in error and is inconsistent with the standard required at certification. Once again relying on U.S. case law, Microsoft urges this Court to weigh conflicting expert testimony at certification and to perform this review in a</w:t>
      </w:r>
      <w:r>
        <w:rPr>
          <w:rFonts w:cs="Times New Roman"/>
        </w:rPr>
        <w:t xml:space="preserve"> “robust” and “rigorous” manner</w:t>
      </w:r>
      <w:r w:rsidRPr="00FD55E3">
        <w:rPr>
          <w:rFonts w:cs="Times New Roman"/>
        </w:rPr>
        <w:t xml:space="preserve"> </w:t>
      </w:r>
      <w:r>
        <w:rPr>
          <w:rFonts w:cs="Times New Roman"/>
        </w:rPr>
        <w:t>(</w:t>
      </w:r>
      <w:r w:rsidRPr="00FD55E3">
        <w:rPr>
          <w:rFonts w:cs="Times New Roman"/>
        </w:rPr>
        <w:t>R</w:t>
      </w:r>
      <w:r>
        <w:rPr>
          <w:rFonts w:cs="Times New Roman"/>
        </w:rPr>
        <w:t>.</w:t>
      </w:r>
      <w:r w:rsidRPr="00FD55E3">
        <w:rPr>
          <w:rFonts w:cs="Times New Roman"/>
        </w:rPr>
        <w:t>F</w:t>
      </w:r>
      <w:r>
        <w:rPr>
          <w:rFonts w:cs="Times New Roman"/>
        </w:rPr>
        <w:t>.,</w:t>
      </w:r>
      <w:r w:rsidRPr="00FD55E3">
        <w:rPr>
          <w:rFonts w:cs="Times New Roman"/>
        </w:rPr>
        <w:t xml:space="preserve"> at </w:t>
      </w:r>
      <w:proofErr w:type="spellStart"/>
      <w:r w:rsidRPr="00FD55E3">
        <w:rPr>
          <w:rFonts w:cs="Times New Roman"/>
        </w:rPr>
        <w:t>para</w:t>
      </w:r>
      <w:r>
        <w:rPr>
          <w:rFonts w:cs="Times New Roman"/>
        </w:rPr>
        <w:t>s</w:t>
      </w:r>
      <w:proofErr w:type="spellEnd"/>
      <w:r>
        <w:rPr>
          <w:rFonts w:cs="Times New Roman"/>
        </w:rPr>
        <w:t>. 45</w:t>
      </w:r>
      <w:r w:rsidRPr="00FD55E3">
        <w:rPr>
          <w:rFonts w:cs="Times New Roman"/>
        </w:rPr>
        <w:t>-48</w:t>
      </w:r>
      <w:r>
        <w:rPr>
          <w:rFonts w:cs="Times New Roman"/>
        </w:rPr>
        <w:t>, citing</w:t>
      </w:r>
      <w:r w:rsidRPr="00FD55E3">
        <w:rPr>
          <w:rFonts w:cs="Times New Roman"/>
        </w:rPr>
        <w:t xml:space="preserve"> </w:t>
      </w:r>
      <w:r w:rsidRPr="00FD55E3">
        <w:rPr>
          <w:rFonts w:cs="Times New Roman"/>
          <w:i/>
        </w:rPr>
        <w:t>Hydrogen Peroxide</w:t>
      </w:r>
      <w:r>
        <w:rPr>
          <w:rFonts w:cs="Times New Roman"/>
        </w:rPr>
        <w:t>,</w:t>
      </w:r>
      <w:r w:rsidRPr="00FD55E3">
        <w:rPr>
          <w:rFonts w:cs="Times New Roman"/>
          <w:i/>
        </w:rPr>
        <w:t xml:space="preserve"> </w:t>
      </w:r>
      <w:r w:rsidRPr="00FD55E3">
        <w:rPr>
          <w:rFonts w:cs="Times New Roman"/>
        </w:rPr>
        <w:t>at</w:t>
      </w:r>
      <w:r>
        <w:rPr>
          <w:rFonts w:cs="Times New Roman"/>
        </w:rPr>
        <w:t xml:space="preserve"> p.</w:t>
      </w:r>
      <w:r w:rsidRPr="00FD55E3">
        <w:rPr>
          <w:rFonts w:cs="Times New Roman"/>
        </w:rPr>
        <w:t xml:space="preserve"> 323</w:t>
      </w:r>
      <w:r>
        <w:rPr>
          <w:rFonts w:cs="Times New Roman"/>
        </w:rPr>
        <w:t>,</w:t>
      </w:r>
      <w:r w:rsidRPr="00FD55E3">
        <w:rPr>
          <w:rFonts w:cs="Times New Roman"/>
        </w:rPr>
        <w:t xml:space="preserve"> and </w:t>
      </w:r>
      <w:r w:rsidRPr="00FD55E3">
        <w:rPr>
          <w:rFonts w:cs="Times New Roman"/>
          <w:i/>
        </w:rPr>
        <w:t>Wal-Mart Stores, Inc</w:t>
      </w:r>
      <w:r>
        <w:rPr>
          <w:rFonts w:cs="Times New Roman"/>
          <w:i/>
        </w:rPr>
        <w:t>.</w:t>
      </w:r>
      <w:r w:rsidRPr="00FD55E3">
        <w:rPr>
          <w:rFonts w:cs="Times New Roman"/>
        </w:rPr>
        <w:t xml:space="preserve"> </w:t>
      </w:r>
      <w:r w:rsidRPr="00FD55E3">
        <w:rPr>
          <w:rFonts w:cs="Times New Roman"/>
          <w:i/>
        </w:rPr>
        <w:t>v. Dukes</w:t>
      </w:r>
      <w:r>
        <w:rPr>
          <w:rFonts w:cs="Times New Roman"/>
        </w:rPr>
        <w:t xml:space="preserve">, 131 </w:t>
      </w:r>
      <w:proofErr w:type="spellStart"/>
      <w:r>
        <w:rPr>
          <w:rFonts w:cs="Times New Roman"/>
        </w:rPr>
        <w:t>S.Ct</w:t>
      </w:r>
      <w:proofErr w:type="spellEnd"/>
      <w:r>
        <w:rPr>
          <w:rFonts w:cs="Times New Roman"/>
        </w:rPr>
        <w:t xml:space="preserve">. 2541 </w:t>
      </w:r>
      <w:r w:rsidRPr="00FD55E3">
        <w:rPr>
          <w:rFonts w:cs="Times New Roman"/>
        </w:rPr>
        <w:t>(2011)</w:t>
      </w:r>
      <w:r>
        <w:rPr>
          <w:rFonts w:cs="Times New Roman"/>
        </w:rPr>
        <w:t>, at p. 2551)</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lastRenderedPageBreak/>
        <w:t xml:space="preserve">In my view, the expert methodology must be sufficiently credible </w:t>
      </w:r>
      <w:r>
        <w:rPr>
          <w:rFonts w:cs="Times New Roman"/>
        </w:rPr>
        <w:t xml:space="preserve">or </w:t>
      </w:r>
      <w:r w:rsidRPr="00FD55E3">
        <w:rPr>
          <w:rFonts w:cs="Times New Roman"/>
        </w:rPr>
        <w:t>plausible to establish some basis in fact for the commonality requirement. This means that the methodology must offer a realistic prospect of establishing loss on a class-wide basis so that</w:t>
      </w:r>
      <w:r>
        <w:rPr>
          <w:rFonts w:cs="Times New Roman"/>
        </w:rPr>
        <w:t>,</w:t>
      </w:r>
      <w:r w:rsidRPr="00FD55E3">
        <w:rPr>
          <w:rFonts w:cs="Times New Roman"/>
        </w:rPr>
        <w:t xml:space="preserve"> if the overcharge is eventually established at the trial of the common issues, there is a means by which to demonstrate that it is common to the class (i.e. that passing on has occurred). The methodology cannot be purely theoretical or hypothetical, but must be grounded in the facts of the particular case in question. There must be some evidence of the availability of the data to which the methodology is to be applied. </w:t>
      </w:r>
    </w:p>
    <w:p w:rsidR="006A370E" w:rsidRPr="00FD55E3" w:rsidRDefault="006A370E" w:rsidP="006A370E">
      <w:pPr>
        <w:pStyle w:val="ParaNoNdepar-AltN"/>
        <w:rPr>
          <w:rFonts w:cs="Times New Roman"/>
        </w:rPr>
      </w:pPr>
      <w:r w:rsidRPr="00FD55E3">
        <w:rPr>
          <w:rFonts w:cs="Times New Roman"/>
        </w:rPr>
        <w:t>To hold the methodology to the robust or rigorous standard suggested by Microsoft, for instance to require the plaintiff to demonstrate actual harm, would be inappropriate at the certification stage</w:t>
      </w:r>
      <w:r w:rsidRPr="00FD55E3">
        <w:rPr>
          <w:rFonts w:cs="Times New Roman"/>
          <w:szCs w:val="24"/>
        </w:rPr>
        <w:t xml:space="preserve">. In Canada, unlike the U.S., pre-certification discovery does not occur as a matter of right. Although document production may be ordered at the discretion of the </w:t>
      </w:r>
      <w:r>
        <w:rPr>
          <w:rFonts w:cs="Times New Roman"/>
          <w:szCs w:val="24"/>
        </w:rPr>
        <w:t xml:space="preserve">applications </w:t>
      </w:r>
      <w:r w:rsidRPr="00FD55E3">
        <w:rPr>
          <w:rFonts w:cs="Times New Roman"/>
          <w:szCs w:val="24"/>
        </w:rPr>
        <w:t>judge, Microsoft objected and Myers J. acceded to Microsoft’s position and refused to order it in this case</w:t>
      </w:r>
      <w:r w:rsidRPr="00FD55E3">
        <w:rPr>
          <w:rFonts w:cs="Times New Roman"/>
          <w:bCs/>
          <w:szCs w:val="24"/>
        </w:rPr>
        <w:t xml:space="preserve"> </w:t>
      </w:r>
      <w:r>
        <w:rPr>
          <w:rFonts w:cs="Times New Roman"/>
          <w:bCs/>
          <w:szCs w:val="24"/>
        </w:rPr>
        <w:t>(</w:t>
      </w:r>
      <w:r w:rsidRPr="00FD55E3">
        <w:rPr>
          <w:rFonts w:cs="Times New Roman"/>
          <w:szCs w:val="24"/>
        </w:rPr>
        <w:t>2007 BCSC 1663</w:t>
      </w:r>
      <w:r>
        <w:rPr>
          <w:rFonts w:cs="Times New Roman"/>
          <w:szCs w:val="24"/>
        </w:rPr>
        <w:t>, 76 B.C.L.R. (4th) 171)</w:t>
      </w:r>
      <w:r w:rsidRPr="00FD55E3">
        <w:rPr>
          <w:rFonts w:cs="Times New Roman"/>
          <w:szCs w:val="24"/>
        </w:rPr>
        <w:t xml:space="preserve">. Microsoft can hardly argue for rigorous and robust scrutiny when it objected to pre-certification discovery and was successful before the </w:t>
      </w:r>
      <w:r>
        <w:rPr>
          <w:rFonts w:cs="Times New Roman"/>
          <w:szCs w:val="24"/>
        </w:rPr>
        <w:t xml:space="preserve">applications </w:t>
      </w:r>
      <w:r w:rsidRPr="00FD55E3">
        <w:rPr>
          <w:rFonts w:cs="Times New Roman"/>
          <w:szCs w:val="24"/>
        </w:rPr>
        <w:t>judge</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Here, the Pro-Sys expert evidence consists of methodologies proposed by two economists, Professor James Brander and Dr. Janet </w:t>
      </w:r>
      <w:proofErr w:type="spellStart"/>
      <w:r w:rsidRPr="00FD55E3">
        <w:rPr>
          <w:rFonts w:cs="Times New Roman"/>
        </w:rPr>
        <w:t>Netz</w:t>
      </w:r>
      <w:proofErr w:type="spellEnd"/>
      <w:r w:rsidRPr="00FD55E3">
        <w:rPr>
          <w:rFonts w:cs="Times New Roman"/>
        </w:rPr>
        <w:t xml:space="preserve">. Professor Brander’s affidavit identified him as the Asia-Pacific Professor of International Business in the </w:t>
      </w:r>
      <w:r w:rsidRPr="00FD55E3">
        <w:rPr>
          <w:rFonts w:cs="Times New Roman"/>
        </w:rPr>
        <w:lastRenderedPageBreak/>
        <w:t xml:space="preserve">Sauder School of Business at the University of British Columbia and senior consultant in the Delta Economics Group. Dr. </w:t>
      </w:r>
      <w:proofErr w:type="spellStart"/>
      <w:r w:rsidRPr="00FD55E3">
        <w:rPr>
          <w:rFonts w:cs="Times New Roman"/>
        </w:rPr>
        <w:t>Netz’s</w:t>
      </w:r>
      <w:proofErr w:type="spellEnd"/>
      <w:r w:rsidRPr="00FD55E3">
        <w:rPr>
          <w:rFonts w:cs="Times New Roman"/>
        </w:rPr>
        <w:t xml:space="preserve"> affidavit described her as an </w:t>
      </w:r>
      <w:proofErr w:type="gramStart"/>
      <w:r w:rsidRPr="00FD55E3">
        <w:rPr>
          <w:rFonts w:cs="Times New Roman"/>
        </w:rPr>
        <w:t>economist,</w:t>
      </w:r>
      <w:proofErr w:type="gramEnd"/>
      <w:r w:rsidRPr="00FD55E3">
        <w:rPr>
          <w:rFonts w:cs="Times New Roman"/>
        </w:rPr>
        <w:t xml:space="preserve"> a founding partner of </w:t>
      </w:r>
      <w:proofErr w:type="spellStart"/>
      <w:r w:rsidRPr="00FD55E3">
        <w:rPr>
          <w:rFonts w:cs="Times New Roman"/>
        </w:rPr>
        <w:t>ApplEcon</w:t>
      </w:r>
      <w:proofErr w:type="spellEnd"/>
      <w:r w:rsidRPr="00FD55E3">
        <w:rPr>
          <w:rFonts w:cs="Times New Roman"/>
        </w:rPr>
        <w:t xml:space="preserve"> LLC, an economic</w:t>
      </w:r>
      <w:r>
        <w:rPr>
          <w:rFonts w:cs="Times New Roman"/>
        </w:rPr>
        <w:t>s</w:t>
      </w:r>
      <w:r w:rsidRPr="00FD55E3">
        <w:rPr>
          <w:rFonts w:cs="Times New Roman"/>
        </w:rPr>
        <w:t xml:space="preserve"> consulting firm</w:t>
      </w:r>
      <w:r>
        <w:rPr>
          <w:rFonts w:cs="Times New Roman"/>
        </w:rPr>
        <w:t xml:space="preserve"> based in Ann Arbo</w:t>
      </w:r>
      <w:r w:rsidRPr="00FD55E3">
        <w:rPr>
          <w:rFonts w:cs="Times New Roman"/>
        </w:rPr>
        <w:t xml:space="preserve">r, Michigan, a tenured Associate Professor of Economics at Purdue University and a Visiting Associate Professor at the University of Michigan. Dr. </w:t>
      </w:r>
      <w:proofErr w:type="spellStart"/>
      <w:r w:rsidRPr="00FD55E3">
        <w:rPr>
          <w:rFonts w:cs="Times New Roman"/>
        </w:rPr>
        <w:t>Netz</w:t>
      </w:r>
      <w:proofErr w:type="spellEnd"/>
      <w:r w:rsidRPr="00FD55E3">
        <w:rPr>
          <w:rFonts w:cs="Times New Roman"/>
        </w:rPr>
        <w:t xml:space="preserve"> acted as expert witness in several similar cases brought against Microsoft in the United States. Dr. </w:t>
      </w:r>
      <w:proofErr w:type="spellStart"/>
      <w:r w:rsidRPr="00FD55E3">
        <w:rPr>
          <w:rFonts w:cs="Times New Roman"/>
        </w:rPr>
        <w:t>Netz’s</w:t>
      </w:r>
      <w:proofErr w:type="spellEnd"/>
      <w:r w:rsidRPr="00FD55E3">
        <w:rPr>
          <w:rFonts w:cs="Times New Roman"/>
        </w:rPr>
        <w:t xml:space="preserve"> testimony drew heavily from the evidence she had prepared in her role as expert in those U.S. cases.  </w:t>
      </w:r>
    </w:p>
    <w:p w:rsidR="006A370E" w:rsidRPr="00FD55E3" w:rsidRDefault="006A370E" w:rsidP="006A370E">
      <w:pPr>
        <w:pStyle w:val="ParaNoNdepar-AltN"/>
        <w:rPr>
          <w:rFonts w:cs="Times New Roman"/>
        </w:rPr>
      </w:pPr>
      <w:r w:rsidRPr="00FD55E3">
        <w:rPr>
          <w:rFonts w:cs="Times New Roman"/>
        </w:rPr>
        <w:t xml:space="preserve">It is Dr. </w:t>
      </w:r>
      <w:proofErr w:type="spellStart"/>
      <w:r w:rsidRPr="00FD55E3">
        <w:rPr>
          <w:rFonts w:cs="Times New Roman"/>
        </w:rPr>
        <w:t>Netz’s</w:t>
      </w:r>
      <w:proofErr w:type="spellEnd"/>
      <w:r w:rsidRPr="00FD55E3">
        <w:rPr>
          <w:rFonts w:cs="Times New Roman"/>
        </w:rPr>
        <w:t xml:space="preserve"> evidence that the same methodology that applied in the U.S. would apply equally to the case at bar. She testified that the methodologies can demonstrate the initial overcharges by Microsoft to its direct purchasers as well as the pass-through to the indirect purchasers. Dr. </w:t>
      </w:r>
      <w:proofErr w:type="spellStart"/>
      <w:r w:rsidRPr="00FD55E3">
        <w:rPr>
          <w:rFonts w:cs="Times New Roman"/>
        </w:rPr>
        <w:t>Netz</w:t>
      </w:r>
      <w:proofErr w:type="spellEnd"/>
      <w:r w:rsidRPr="00FD55E3">
        <w:rPr>
          <w:rFonts w:cs="Times New Roman"/>
        </w:rPr>
        <w:t xml:space="preserve"> outlines three alternative methods by which harm and damages can be calculated. The first two methods</w:t>
      </w:r>
      <w:r>
        <w:rPr>
          <w:rFonts w:cs="Times New Roman"/>
        </w:rPr>
        <w:t>,</w:t>
      </w:r>
      <w:r w:rsidRPr="00FD55E3">
        <w:rPr>
          <w:rFonts w:cs="Times New Roman"/>
        </w:rPr>
        <w:t xml:space="preserve"> called the “</w:t>
      </w:r>
      <w:r>
        <w:rPr>
          <w:rFonts w:cs="Times New Roman"/>
        </w:rPr>
        <w:t>rate of return method” and the “profit margin m</w:t>
      </w:r>
      <w:r w:rsidRPr="00FD55E3">
        <w:rPr>
          <w:rFonts w:cs="Times New Roman"/>
        </w:rPr>
        <w:t>ethod”</w:t>
      </w:r>
      <w:r>
        <w:rPr>
          <w:rFonts w:cs="Times New Roman"/>
        </w:rPr>
        <w:t>,</w:t>
      </w:r>
      <w:r w:rsidRPr="00FD55E3">
        <w:rPr>
          <w:rFonts w:cs="Times New Roman"/>
        </w:rPr>
        <w:t xml:space="preserve"> identify the overcharge at the first l</w:t>
      </w:r>
      <w:r>
        <w:rPr>
          <w:rFonts w:cs="Times New Roman"/>
        </w:rPr>
        <w:t xml:space="preserve">evel of the distribution chain </w:t>
      </w:r>
      <w:r>
        <w:rPr>
          <w:rFonts w:cs="Times New Roman"/>
          <w:szCs w:val="24"/>
        </w:rPr>
        <w:t>—</w:t>
      </w:r>
      <w:r w:rsidRPr="00FD55E3">
        <w:rPr>
          <w:rFonts w:cs="Times New Roman"/>
        </w:rPr>
        <w:t xml:space="preserve"> that is, the overcharge in the sales made directly by Microsoft to its own customers. The first two models do </w:t>
      </w:r>
      <w:proofErr w:type="gramStart"/>
      <w:r w:rsidRPr="00FD55E3">
        <w:rPr>
          <w:rFonts w:cs="Times New Roman"/>
        </w:rPr>
        <w:t>not on their ow</w:t>
      </w:r>
      <w:r>
        <w:rPr>
          <w:rFonts w:cs="Times New Roman"/>
        </w:rPr>
        <w:t>n</w:t>
      </w:r>
      <w:proofErr w:type="gramEnd"/>
      <w:r>
        <w:rPr>
          <w:rFonts w:cs="Times New Roman"/>
        </w:rPr>
        <w:t xml:space="preserve"> establish that the overcharge</w:t>
      </w:r>
      <w:r w:rsidRPr="00FD55E3">
        <w:rPr>
          <w:rFonts w:cs="Times New Roman"/>
        </w:rPr>
        <w:t xml:space="preserve"> was passed on but are intended to prove the total amount received by Microsoft as a result of the overcharge</w:t>
      </w:r>
      <w:r>
        <w:rPr>
          <w:rFonts w:cs="Times New Roman"/>
        </w:rPr>
        <w:t>. The third methodology, the “price premium m</w:t>
      </w:r>
      <w:r w:rsidRPr="00FD55E3">
        <w:rPr>
          <w:rFonts w:cs="Times New Roman"/>
        </w:rPr>
        <w:t>ethod”</w:t>
      </w:r>
      <w:r>
        <w:rPr>
          <w:rFonts w:cs="Times New Roman"/>
        </w:rPr>
        <w:t>,</w:t>
      </w:r>
      <w:r w:rsidRPr="00FD55E3">
        <w:rPr>
          <w:rFonts w:cs="Times New Roman"/>
        </w:rPr>
        <w:t xml:space="preserve"> begins the analysis at the other end of the dist</w:t>
      </w:r>
      <w:r>
        <w:rPr>
          <w:rFonts w:cs="Times New Roman"/>
        </w:rPr>
        <w:t>ribution chain, at the ultimate-</w:t>
      </w:r>
      <w:r w:rsidRPr="00FD55E3">
        <w:rPr>
          <w:rFonts w:cs="Times New Roman"/>
        </w:rPr>
        <w:t xml:space="preserve">purchaser level. </w:t>
      </w:r>
    </w:p>
    <w:p w:rsidR="006A370E" w:rsidRPr="00FD55E3" w:rsidRDefault="006A370E" w:rsidP="006A370E">
      <w:pPr>
        <w:pStyle w:val="ParaNoNdepar-AltN"/>
        <w:rPr>
          <w:rFonts w:cs="Times New Roman"/>
        </w:rPr>
      </w:pPr>
      <w:r>
        <w:rPr>
          <w:rFonts w:cs="Times New Roman"/>
        </w:rPr>
        <w:t xml:space="preserve">Dr. </w:t>
      </w:r>
      <w:proofErr w:type="spellStart"/>
      <w:r>
        <w:rPr>
          <w:rFonts w:cs="Times New Roman"/>
        </w:rPr>
        <w:t>Netz</w:t>
      </w:r>
      <w:proofErr w:type="spellEnd"/>
      <w:r>
        <w:rPr>
          <w:rFonts w:cs="Times New Roman"/>
        </w:rPr>
        <w:t xml:space="preserve"> describes the p</w:t>
      </w:r>
      <w:r w:rsidRPr="00FD55E3">
        <w:rPr>
          <w:rFonts w:cs="Times New Roman"/>
        </w:rPr>
        <w:t xml:space="preserve">rice </w:t>
      </w:r>
      <w:r>
        <w:rPr>
          <w:rFonts w:cs="Times New Roman"/>
        </w:rPr>
        <w:t>premium m</w:t>
      </w:r>
      <w:r w:rsidRPr="00FD55E3">
        <w:rPr>
          <w:rFonts w:cs="Times New Roman"/>
        </w:rPr>
        <w:t xml:space="preserve">ethod as follows: </w:t>
      </w:r>
    </w:p>
    <w:p w:rsidR="006A370E" w:rsidRPr="00FD55E3" w:rsidRDefault="006A370E" w:rsidP="006A370E">
      <w:pPr>
        <w:pStyle w:val="Citation-AltC"/>
      </w:pPr>
      <w:r w:rsidRPr="00FD55E3">
        <w:lastRenderedPageBreak/>
        <w:t xml:space="preserve">Under this method, one calculates the </w:t>
      </w:r>
      <w:r w:rsidRPr="00FD55E3">
        <w:rPr>
          <w:i/>
        </w:rPr>
        <w:t xml:space="preserve">retail </w:t>
      </w:r>
      <w:r w:rsidRPr="00FD55E3">
        <w:t xml:space="preserve">price premium that Microsoft products have relative to competing products for the products at issue and for a set of benchmark products where there have not been allegations of anticompetitive conduct. The overcharge equals the percentage decrease in the </w:t>
      </w:r>
      <w:r w:rsidRPr="0086764B">
        <w:rPr>
          <w:i/>
        </w:rPr>
        <w:t>retail</w:t>
      </w:r>
      <w:r w:rsidRPr="00FD55E3">
        <w:t xml:space="preserve"> price of the products at issue such that Microsoft would still realize the same </w:t>
      </w:r>
      <w:r w:rsidRPr="0086764B">
        <w:rPr>
          <w:i/>
        </w:rPr>
        <w:t>retail</w:t>
      </w:r>
      <w:r w:rsidRPr="00FD55E3">
        <w:t xml:space="preserve"> price premium as it does on the benchmark product</w:t>
      </w:r>
      <w:r>
        <w:t>s</w:t>
      </w:r>
      <w:r w:rsidRPr="00FD55E3">
        <w:t xml:space="preserve"> (i.e., products in markets not affected by Microsoft’s unlawful conduct).</w:t>
      </w:r>
      <w:r>
        <w:t xml:space="preserve"> </w:t>
      </w:r>
      <w:proofErr w:type="gramStart"/>
      <w:r>
        <w:t xml:space="preserve">[Emphasis in original; 2010 BCSC 285, at </w:t>
      </w:r>
      <w:proofErr w:type="spellStart"/>
      <w:r>
        <w:t>para</w:t>
      </w:r>
      <w:proofErr w:type="spellEnd"/>
      <w:r>
        <w:t>.</w:t>
      </w:r>
      <w:proofErr w:type="gramEnd"/>
      <w:r>
        <w:t xml:space="preserve"> 26</w:t>
      </w:r>
      <w:r w:rsidR="003C17F9">
        <w:t>.</w:t>
      </w:r>
      <w:r>
        <w:t>]</w:t>
      </w:r>
    </w:p>
    <w:p w:rsidR="006A370E" w:rsidRPr="00FD55E3" w:rsidRDefault="006A370E" w:rsidP="006A370E">
      <w:pPr>
        <w:pStyle w:val="Citation-AltC"/>
        <w:ind w:left="0"/>
      </w:pPr>
    </w:p>
    <w:p w:rsidR="006A370E" w:rsidRDefault="006A370E" w:rsidP="006A370E">
      <w:pPr>
        <w:pStyle w:val="ParaNoNdepar-AltN"/>
        <w:rPr>
          <w:rFonts w:cs="Times New Roman"/>
        </w:rPr>
      </w:pPr>
      <w:r>
        <w:rPr>
          <w:rFonts w:cs="Times New Roman"/>
        </w:rPr>
        <w:t>Once the retail price overcharge is calculated, the total class member expenditure on the products should then be multiplied by the overcharge percentage in order to arrive at the quantum of damages.</w:t>
      </w:r>
    </w:p>
    <w:p w:rsidR="006A370E" w:rsidRPr="00FD55E3" w:rsidRDefault="006A370E" w:rsidP="006A370E">
      <w:pPr>
        <w:pStyle w:val="ParaNoNdepar-AltN"/>
        <w:rPr>
          <w:rFonts w:cs="Times New Roman"/>
        </w:rPr>
      </w:pPr>
      <w:r w:rsidRPr="00FD55E3">
        <w:rPr>
          <w:rFonts w:cs="Times New Roman"/>
        </w:rPr>
        <w:t xml:space="preserve">Dr. </w:t>
      </w:r>
      <w:proofErr w:type="spellStart"/>
      <w:r w:rsidRPr="00FD55E3">
        <w:rPr>
          <w:rFonts w:cs="Times New Roman"/>
        </w:rPr>
        <w:t>Netz</w:t>
      </w:r>
      <w:proofErr w:type="spellEnd"/>
      <w:r w:rsidRPr="00FD55E3">
        <w:rPr>
          <w:rFonts w:cs="Times New Roman"/>
        </w:rPr>
        <w:t xml:space="preserve"> testified that regression analysis could be employed to ascertain the extent of passing on in order to establish loss at the i</w:t>
      </w:r>
      <w:r>
        <w:rPr>
          <w:rFonts w:cs="Times New Roman"/>
        </w:rPr>
        <w:t>ndirect-</w:t>
      </w:r>
      <w:r w:rsidRPr="00FD55E3">
        <w:rPr>
          <w:rFonts w:cs="Times New Roman"/>
        </w:rPr>
        <w:t xml:space="preserve">purchaser level. Relying on the successful application of the methods in the U.S., Dr. </w:t>
      </w:r>
      <w:proofErr w:type="spellStart"/>
      <w:r w:rsidRPr="00FD55E3">
        <w:rPr>
          <w:rFonts w:cs="Times New Roman"/>
        </w:rPr>
        <w:t>Netz</w:t>
      </w:r>
      <w:proofErr w:type="spellEnd"/>
      <w:r w:rsidRPr="00FD55E3">
        <w:rPr>
          <w:rFonts w:cs="Times New Roman"/>
        </w:rPr>
        <w:t xml:space="preserve"> testified that “[t]here is no theoretical reason, in my opinion, why the methods described above cannot be applied to the sales of Microsoft software in Canada” </w:t>
      </w:r>
      <w:r>
        <w:rPr>
          <w:rFonts w:cs="Times New Roman"/>
        </w:rPr>
        <w:t>(</w:t>
      </w:r>
      <w:proofErr w:type="spellStart"/>
      <w:r>
        <w:rPr>
          <w:rFonts w:cs="Times New Roman"/>
        </w:rPr>
        <w:t>Netz</w:t>
      </w:r>
      <w:proofErr w:type="spellEnd"/>
      <w:r>
        <w:rPr>
          <w:rFonts w:cs="Times New Roman"/>
        </w:rPr>
        <w:t xml:space="preserve"> a</w:t>
      </w:r>
      <w:r w:rsidRPr="00FD55E3">
        <w:rPr>
          <w:rFonts w:cs="Times New Roman"/>
        </w:rPr>
        <w:t>ffidavit</w:t>
      </w:r>
      <w:r>
        <w:rPr>
          <w:rFonts w:cs="Times New Roman"/>
        </w:rPr>
        <w:t xml:space="preserve">, </w:t>
      </w:r>
      <w:r w:rsidRPr="00FD55E3">
        <w:rPr>
          <w:rFonts w:cs="Times New Roman"/>
        </w:rPr>
        <w:t xml:space="preserve">at </w:t>
      </w:r>
      <w:proofErr w:type="spellStart"/>
      <w:r w:rsidRPr="00FD55E3">
        <w:rPr>
          <w:rFonts w:cs="Times New Roman"/>
        </w:rPr>
        <w:t>para</w:t>
      </w:r>
      <w:proofErr w:type="spellEnd"/>
      <w:r w:rsidRPr="00FD55E3">
        <w:rPr>
          <w:rFonts w:cs="Times New Roman"/>
        </w:rPr>
        <w:t>. 49</w:t>
      </w:r>
      <w:r>
        <w:rPr>
          <w:rFonts w:cs="Times New Roman"/>
        </w:rPr>
        <w:t xml:space="preserve"> (A.R., vol. II, at p. 177))</w:t>
      </w:r>
      <w:r w:rsidRPr="00FD55E3">
        <w:rPr>
          <w:rFonts w:cs="Times New Roman"/>
        </w:rPr>
        <w:t xml:space="preserve">. Implicit in this evidence is that the data necessary to apply the methodologies in Canada is available. </w:t>
      </w:r>
    </w:p>
    <w:p w:rsidR="006A370E" w:rsidRPr="00FD55E3" w:rsidRDefault="006A370E" w:rsidP="006A370E">
      <w:pPr>
        <w:pStyle w:val="ParaNoNdepar-AltN"/>
        <w:rPr>
          <w:rFonts w:cs="Times New Roman"/>
        </w:rPr>
      </w:pPr>
      <w:r w:rsidRPr="00FD55E3">
        <w:rPr>
          <w:rFonts w:cs="Times New Roman"/>
        </w:rPr>
        <w:t>Myers J. dealt with Microsoft’s criticisms of Dr.</w:t>
      </w:r>
      <w:r>
        <w:rPr>
          <w:rFonts w:cs="Times New Roman"/>
        </w:rPr>
        <w:t xml:space="preserve"> </w:t>
      </w:r>
      <w:proofErr w:type="spellStart"/>
      <w:r>
        <w:rPr>
          <w:rFonts w:cs="Times New Roman"/>
        </w:rPr>
        <w:t>Netz’s</w:t>
      </w:r>
      <w:proofErr w:type="spellEnd"/>
      <w:r>
        <w:rPr>
          <w:rFonts w:cs="Times New Roman"/>
        </w:rPr>
        <w:t xml:space="preserve"> testimony at </w:t>
      </w:r>
      <w:proofErr w:type="spellStart"/>
      <w:r>
        <w:rPr>
          <w:rFonts w:cs="Times New Roman"/>
        </w:rPr>
        <w:t>paras</w:t>
      </w:r>
      <w:proofErr w:type="spellEnd"/>
      <w:r>
        <w:rPr>
          <w:rFonts w:cs="Times New Roman"/>
        </w:rPr>
        <w:t>. 131-</w:t>
      </w:r>
      <w:r w:rsidRPr="00FD55E3">
        <w:rPr>
          <w:rFonts w:cs="Times New Roman"/>
        </w:rPr>
        <w:t>64 of his reasons. Microsoft’s criticisms pertained to her alleged failure to take Canadian context into account, the lack of an evidentiary basis for her findings, alleged flaw</w:t>
      </w:r>
      <w:r>
        <w:rPr>
          <w:rFonts w:cs="Times New Roman"/>
        </w:rPr>
        <w:t>s</w:t>
      </w:r>
      <w:r w:rsidRPr="00FD55E3">
        <w:rPr>
          <w:rFonts w:cs="Times New Roman"/>
        </w:rPr>
        <w:t xml:space="preserve"> in the benchmark products she selected, and a lack of workability in her proposed methodology. Myers J. found that despite these criticisms, Dr. </w:t>
      </w:r>
      <w:proofErr w:type="spellStart"/>
      <w:r w:rsidRPr="00FD55E3">
        <w:rPr>
          <w:rFonts w:cs="Times New Roman"/>
        </w:rPr>
        <w:t>Netz</w:t>
      </w:r>
      <w:proofErr w:type="spellEnd"/>
      <w:r w:rsidRPr="00FD55E3">
        <w:rPr>
          <w:rFonts w:cs="Times New Roman"/>
        </w:rPr>
        <w:t xml:space="preserve"> had </w:t>
      </w:r>
      <w:r w:rsidRPr="00FD55E3">
        <w:rPr>
          <w:rFonts w:cs="Times New Roman"/>
        </w:rPr>
        <w:lastRenderedPageBreak/>
        <w:t xml:space="preserve">demonstrated a plausible methodology for proving class-wide loss. He therefore did not proceed to </w:t>
      </w:r>
      <w:r>
        <w:rPr>
          <w:rFonts w:cs="Times New Roman"/>
        </w:rPr>
        <w:t xml:space="preserve">address </w:t>
      </w:r>
      <w:r w:rsidRPr="00FD55E3">
        <w:rPr>
          <w:rFonts w:cs="Times New Roman"/>
        </w:rPr>
        <w:t>Profe</w:t>
      </w:r>
      <w:r>
        <w:rPr>
          <w:rFonts w:cs="Times New Roman"/>
        </w:rPr>
        <w:t>ssor Brander’s proposed methods</w:t>
      </w:r>
      <w:r w:rsidRPr="00FD55E3">
        <w:rPr>
          <w:rFonts w:cs="Times New Roman"/>
        </w:rPr>
        <w:t xml:space="preserve"> </w:t>
      </w:r>
      <w:r>
        <w:rPr>
          <w:rFonts w:cs="Times New Roman"/>
        </w:rPr>
        <w:t>(</w:t>
      </w:r>
      <w:proofErr w:type="spellStart"/>
      <w:r w:rsidRPr="00FD55E3">
        <w:rPr>
          <w:rFonts w:cs="Times New Roman"/>
        </w:rPr>
        <w:t>para</w:t>
      </w:r>
      <w:proofErr w:type="spellEnd"/>
      <w:r>
        <w:rPr>
          <w:rFonts w:cs="Times New Roman"/>
        </w:rPr>
        <w:t>.</w:t>
      </w:r>
      <w:r w:rsidRPr="00FD55E3">
        <w:rPr>
          <w:rFonts w:cs="Times New Roman"/>
        </w:rPr>
        <w:t xml:space="preserve"> 164</w:t>
      </w:r>
      <w:r>
        <w:rPr>
          <w:rFonts w:cs="Times New Roman"/>
        </w:rPr>
        <w:t>)</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It is indeed possible that at trial the expert evidence presented by Microsoft will prove to be stronger and more credible than the evidence of Dr. </w:t>
      </w:r>
      <w:proofErr w:type="spellStart"/>
      <w:r w:rsidRPr="00FD55E3">
        <w:rPr>
          <w:rFonts w:cs="Times New Roman"/>
        </w:rPr>
        <w:t>Netz</w:t>
      </w:r>
      <w:proofErr w:type="spellEnd"/>
      <w:r w:rsidRPr="00FD55E3">
        <w:rPr>
          <w:rFonts w:cs="Times New Roman"/>
        </w:rPr>
        <w:t xml:space="preserve"> and Professor Brander. However, resolving conflicts between the experts is an issue for the trial judge and not one that should be engaged in</w:t>
      </w:r>
      <w:r>
        <w:rPr>
          <w:rFonts w:cs="Times New Roman"/>
        </w:rPr>
        <w:t xml:space="preserve"> at certification</w:t>
      </w:r>
      <w:r w:rsidRPr="00FD55E3">
        <w:rPr>
          <w:rFonts w:cs="Times New Roman"/>
        </w:rPr>
        <w:t xml:space="preserve"> </w:t>
      </w:r>
      <w:r>
        <w:rPr>
          <w:rFonts w:cs="Times New Roman"/>
        </w:rPr>
        <w:t>(</w:t>
      </w:r>
      <w:r w:rsidRPr="00FD55E3">
        <w:rPr>
          <w:rFonts w:cs="Times New Roman"/>
        </w:rPr>
        <w:t xml:space="preserve">see </w:t>
      </w:r>
      <w:r w:rsidRPr="00FD55E3">
        <w:rPr>
          <w:rFonts w:cs="Times New Roman"/>
          <w:i/>
        </w:rPr>
        <w:t>Infineon</w:t>
      </w:r>
      <w:r>
        <w:rPr>
          <w:rFonts w:cs="Times New Roman"/>
        </w:rPr>
        <w:t>,</w:t>
      </w:r>
      <w:r w:rsidRPr="00FD55E3">
        <w:rPr>
          <w:rFonts w:cs="Times New Roman"/>
          <w:i/>
        </w:rPr>
        <w:t xml:space="preserve"> </w:t>
      </w:r>
      <w:r w:rsidRPr="00FD55E3">
        <w:rPr>
          <w:rFonts w:cs="Times New Roman"/>
        </w:rPr>
        <w:t xml:space="preserve">at </w:t>
      </w:r>
      <w:proofErr w:type="spellStart"/>
      <w:r w:rsidRPr="00FD55E3">
        <w:rPr>
          <w:rFonts w:cs="Times New Roman"/>
        </w:rPr>
        <w:t>para</w:t>
      </w:r>
      <w:proofErr w:type="spellEnd"/>
      <w:r w:rsidRPr="00FD55E3">
        <w:rPr>
          <w:rFonts w:cs="Times New Roman"/>
        </w:rPr>
        <w:t xml:space="preserve">. 68; </w:t>
      </w:r>
      <w:r w:rsidRPr="00FD55E3">
        <w:rPr>
          <w:rFonts w:cs="Times New Roman"/>
          <w:i/>
        </w:rPr>
        <w:t>Irving</w:t>
      </w:r>
      <w:r>
        <w:rPr>
          <w:rFonts w:cs="Times New Roman"/>
        </w:rPr>
        <w:t>,</w:t>
      </w:r>
      <w:r w:rsidRPr="00FD55E3">
        <w:rPr>
          <w:rFonts w:cs="Times New Roman"/>
          <w:i/>
        </w:rPr>
        <w:t xml:space="preserve"> </w:t>
      </w:r>
      <w:r>
        <w:rPr>
          <w:rFonts w:cs="Times New Roman"/>
        </w:rPr>
        <w:t xml:space="preserve">at </w:t>
      </w:r>
      <w:proofErr w:type="spellStart"/>
      <w:r>
        <w:rPr>
          <w:rFonts w:cs="Times New Roman"/>
        </w:rPr>
        <w:t>para</w:t>
      </w:r>
      <w:proofErr w:type="spellEnd"/>
      <w:r>
        <w:rPr>
          <w:rFonts w:cs="Times New Roman"/>
        </w:rPr>
        <w:t>. 143)</w:t>
      </w:r>
      <w:r w:rsidRPr="00FD55E3">
        <w:rPr>
          <w:rFonts w:cs="Times New Roman"/>
        </w:rPr>
        <w:t xml:space="preserve">. The trial judge </w:t>
      </w:r>
      <w:r w:rsidRPr="00FD55E3">
        <w:rPr>
          <w:rFonts w:cs="Times New Roman"/>
          <w:szCs w:val="24"/>
        </w:rPr>
        <w:t xml:space="preserve">will have the benefit of a full record upon which to assess the appropriateness of any damages award that may be made pursuant to the proposed methodology. For </w:t>
      </w:r>
      <w:r w:rsidRPr="00FD55E3">
        <w:rPr>
          <w:rFonts w:cs="Times New Roman"/>
        </w:rPr>
        <w:t xml:space="preserve">the purposes of certification and having regard to the deference due the </w:t>
      </w:r>
      <w:r>
        <w:rPr>
          <w:rFonts w:cs="Times New Roman"/>
        </w:rPr>
        <w:t xml:space="preserve">applications </w:t>
      </w:r>
      <w:r w:rsidRPr="00FD55E3">
        <w:rPr>
          <w:rFonts w:cs="Times New Roman"/>
        </w:rPr>
        <w:t xml:space="preserve">judge on this issue, I would not interfere with the findings of Myers J. as to the commonality of the loss-related issues. </w:t>
      </w:r>
    </w:p>
    <w:p w:rsidR="006A370E" w:rsidRPr="00FD55E3" w:rsidRDefault="006D65F4" w:rsidP="006D65F4">
      <w:pPr>
        <w:pStyle w:val="Title5LevelTitre5Niveau"/>
        <w:numPr>
          <w:ilvl w:val="0"/>
          <w:numId w:val="0"/>
        </w:numPr>
        <w:tabs>
          <w:tab w:val="left" w:pos="1260"/>
          <w:tab w:val="left" w:pos="1800"/>
        </w:tabs>
        <w:ind w:left="1296" w:hanging="1296"/>
        <w:rPr>
          <w:rFonts w:cs="Times New Roman"/>
        </w:rPr>
      </w:pPr>
      <w:bookmarkStart w:id="194" w:name="_Toc354840813"/>
      <w:bookmarkStart w:id="195" w:name="_Toc354840996"/>
      <w:bookmarkStart w:id="196" w:name="_Toc360611928"/>
      <w:bookmarkStart w:id="197" w:name="_Toc367887605"/>
      <w:bookmarkStart w:id="198" w:name="_Toc367948569"/>
      <w:bookmarkStart w:id="199" w:name="_Toc367957398"/>
      <w:bookmarkStart w:id="200" w:name="_Toc369188646"/>
      <w:bookmarkStart w:id="201" w:name="_Toc370903028"/>
      <w:r w:rsidRPr="006D65F4">
        <w:rPr>
          <w:rFonts w:cs="Times New Roman"/>
          <w:u w:val="none"/>
        </w:rPr>
        <w:tab/>
        <w:t>(ii)</w:t>
      </w:r>
      <w:r w:rsidRPr="006D65F4">
        <w:rPr>
          <w:rFonts w:cs="Times New Roman"/>
          <w:u w:val="none"/>
        </w:rPr>
        <w:tab/>
      </w:r>
      <w:r w:rsidR="006A370E" w:rsidRPr="00FD55E3">
        <w:rPr>
          <w:rFonts w:cs="Times New Roman"/>
        </w:rPr>
        <w:t>Aggregate Assessment of Damages</w:t>
      </w:r>
      <w:bookmarkEnd w:id="194"/>
      <w:bookmarkEnd w:id="195"/>
      <w:bookmarkEnd w:id="196"/>
      <w:bookmarkEnd w:id="197"/>
      <w:bookmarkEnd w:id="198"/>
      <w:bookmarkEnd w:id="199"/>
      <w:bookmarkEnd w:id="200"/>
      <w:bookmarkEnd w:id="201"/>
      <w:r w:rsidR="006A370E" w:rsidRPr="00FD55E3">
        <w:rPr>
          <w:rFonts w:cs="Times New Roman"/>
        </w:rPr>
        <w:t xml:space="preserve"> </w:t>
      </w:r>
    </w:p>
    <w:p w:rsidR="006A370E" w:rsidRPr="00FD55E3" w:rsidRDefault="006A370E" w:rsidP="006A370E">
      <w:pPr>
        <w:pStyle w:val="ParaNoNdepar-AltN"/>
        <w:rPr>
          <w:rFonts w:cs="Times New Roman"/>
          <w:szCs w:val="20"/>
        </w:rPr>
      </w:pPr>
      <w:r w:rsidRPr="00FD55E3">
        <w:rPr>
          <w:rFonts w:cs="Times New Roman"/>
        </w:rPr>
        <w:t>The issue raised here is whether the question of aggregate assessment of damages is properly certified as a common issue.</w:t>
      </w:r>
      <w:r w:rsidRPr="00FD55E3">
        <w:rPr>
          <w:rFonts w:cs="Times New Roman"/>
          <w:i/>
        </w:rPr>
        <w:t xml:space="preserve"> </w:t>
      </w:r>
      <w:r w:rsidRPr="00FD55E3">
        <w:rPr>
          <w:rFonts w:cs="Times New Roman"/>
        </w:rPr>
        <w:t xml:space="preserve">The aggregate damages provisions in the </w:t>
      </w:r>
      <w:r w:rsidRPr="00FD55E3">
        <w:rPr>
          <w:rFonts w:cs="Times New Roman"/>
          <w:i/>
        </w:rPr>
        <w:t xml:space="preserve">CPA </w:t>
      </w:r>
      <w:r w:rsidRPr="00FD55E3">
        <w:rPr>
          <w:rFonts w:cs="Times New Roman"/>
        </w:rPr>
        <w:t xml:space="preserve">provide for the quantification of the monetary award on a class-wide basis.   Sections 29(1) and </w:t>
      </w:r>
      <w:r>
        <w:rPr>
          <w:rFonts w:cs="Times New Roman"/>
        </w:rPr>
        <w:t>29</w:t>
      </w:r>
      <w:r w:rsidRPr="00FD55E3">
        <w:rPr>
          <w:rFonts w:cs="Times New Roman"/>
        </w:rPr>
        <w:t xml:space="preserve">(2) of the </w:t>
      </w:r>
      <w:r w:rsidRPr="00FD55E3">
        <w:rPr>
          <w:rFonts w:cs="Times New Roman"/>
          <w:i/>
        </w:rPr>
        <w:t xml:space="preserve">CPA </w:t>
      </w:r>
      <w:r w:rsidRPr="00FD55E3">
        <w:rPr>
          <w:rFonts w:cs="Times New Roman"/>
        </w:rPr>
        <w:t>are relevant:</w:t>
      </w:r>
    </w:p>
    <w:p w:rsidR="006A370E" w:rsidRPr="00FD55E3" w:rsidRDefault="007C527D" w:rsidP="007C527D">
      <w:pPr>
        <w:pStyle w:val="Citation-AltC"/>
        <w:tabs>
          <w:tab w:val="left" w:pos="1260"/>
        </w:tabs>
        <w:ind w:left="1890" w:hanging="1980"/>
      </w:pPr>
      <w:r>
        <w:rPr>
          <w:b/>
        </w:rPr>
        <w:tab/>
      </w:r>
      <w:r w:rsidR="006A370E" w:rsidRPr="001D7617">
        <w:rPr>
          <w:b/>
        </w:rPr>
        <w:t>29</w:t>
      </w:r>
      <w:r w:rsidR="006A370E">
        <w:rPr>
          <w:b/>
        </w:rPr>
        <w:t xml:space="preserve"> </w:t>
      </w:r>
      <w:r w:rsidR="006A370E" w:rsidRPr="00FD55E3">
        <w:t>(1) The court may make an order for an aggregate monetary award in respect of all or any part of a defendant</w:t>
      </w:r>
      <w:r w:rsidR="006A370E">
        <w:t>’</w:t>
      </w:r>
      <w:r w:rsidR="006A370E" w:rsidRPr="00FD55E3">
        <w:t>s liability to class members and may give judgment accordingly if</w:t>
      </w:r>
    </w:p>
    <w:p w:rsidR="006A370E" w:rsidRPr="00FD55E3" w:rsidRDefault="006A370E" w:rsidP="006A370E">
      <w:pPr>
        <w:pStyle w:val="Citation-AltC"/>
        <w:ind w:left="0"/>
      </w:pPr>
    </w:p>
    <w:p w:rsidR="006A370E" w:rsidRPr="00FD55E3" w:rsidRDefault="007C527D" w:rsidP="007C527D">
      <w:pPr>
        <w:pStyle w:val="Citation-AltC"/>
        <w:tabs>
          <w:tab w:val="left" w:pos="1890"/>
        </w:tabs>
        <w:ind w:left="2430" w:hanging="2430"/>
      </w:pPr>
      <w:r>
        <w:tab/>
        <w:t>(a)</w:t>
      </w:r>
      <w:r>
        <w:tab/>
      </w:r>
      <w:proofErr w:type="gramStart"/>
      <w:r w:rsidR="006A370E" w:rsidRPr="00FD55E3">
        <w:t>monetary</w:t>
      </w:r>
      <w:proofErr w:type="gramEnd"/>
      <w:r w:rsidR="006A370E" w:rsidRPr="00FD55E3">
        <w:t xml:space="preserve"> relief is claimed on behalf of some or all class members,</w:t>
      </w:r>
    </w:p>
    <w:p w:rsidR="006A370E" w:rsidRPr="00FD55E3" w:rsidRDefault="006A370E" w:rsidP="006A370E">
      <w:pPr>
        <w:pStyle w:val="Citation-AltC"/>
      </w:pPr>
    </w:p>
    <w:p w:rsidR="006A370E" w:rsidRPr="00FD55E3" w:rsidRDefault="007C527D" w:rsidP="007C527D">
      <w:pPr>
        <w:pStyle w:val="Citation-AltC"/>
        <w:tabs>
          <w:tab w:val="left" w:pos="1890"/>
        </w:tabs>
        <w:ind w:left="2430" w:hanging="2430"/>
      </w:pPr>
      <w:r>
        <w:lastRenderedPageBreak/>
        <w:tab/>
        <w:t>(b)</w:t>
      </w:r>
      <w:r>
        <w:tab/>
      </w:r>
      <w:r w:rsidR="006A370E" w:rsidRPr="00FD55E3">
        <w:t>no questions of fact or law other than those relating to the assessment of monetary relief remain to be determined in order to establ</w:t>
      </w:r>
      <w:r w:rsidR="006A370E">
        <w:t>ish the amount of the defendant’</w:t>
      </w:r>
      <w:r w:rsidR="006A370E" w:rsidRPr="00FD55E3">
        <w:t>s monetary liability, and</w:t>
      </w:r>
    </w:p>
    <w:p w:rsidR="006A370E" w:rsidRPr="00FD55E3" w:rsidRDefault="006A370E" w:rsidP="006A370E">
      <w:pPr>
        <w:pStyle w:val="Citation-AltC"/>
      </w:pPr>
    </w:p>
    <w:p w:rsidR="006A370E" w:rsidRPr="00FD55E3" w:rsidRDefault="007C527D" w:rsidP="007C527D">
      <w:pPr>
        <w:pStyle w:val="Citation-AltC"/>
        <w:tabs>
          <w:tab w:val="left" w:pos="1890"/>
        </w:tabs>
        <w:ind w:left="2430" w:hanging="2430"/>
      </w:pPr>
      <w:r>
        <w:tab/>
        <w:t>(c)</w:t>
      </w:r>
      <w:r>
        <w:tab/>
      </w:r>
      <w:proofErr w:type="gramStart"/>
      <w:r w:rsidR="006A370E" w:rsidRPr="00FD55E3">
        <w:t>the</w:t>
      </w:r>
      <w:proofErr w:type="gramEnd"/>
      <w:r w:rsidR="006A370E" w:rsidRPr="00FD55E3">
        <w:t xml:space="preserve"> aggregate or a part of the defendant</w:t>
      </w:r>
      <w:r w:rsidR="006A370E">
        <w:t>’</w:t>
      </w:r>
      <w:r w:rsidR="006A370E" w:rsidRPr="00FD55E3">
        <w:t>s liability to some or all class members can reasonably be determined without proof by individual class members.</w:t>
      </w:r>
    </w:p>
    <w:p w:rsidR="006A370E" w:rsidRPr="00FD55E3" w:rsidRDefault="006A370E" w:rsidP="006A370E">
      <w:pPr>
        <w:pStyle w:val="Citation-AltC"/>
      </w:pPr>
    </w:p>
    <w:p w:rsidR="006A370E" w:rsidRPr="00FD55E3" w:rsidRDefault="006A370E" w:rsidP="006A370E">
      <w:pPr>
        <w:pStyle w:val="Citation-AltC"/>
        <w:ind w:left="1890" w:hanging="450"/>
      </w:pPr>
      <w:r w:rsidRPr="00FD55E3">
        <w:t>(2) Before making an order under subsection (1), the court must provide the defendant with an opportunity to make submissions to the court in respect of any matter touching on the proposed order including, without limitation,</w:t>
      </w:r>
    </w:p>
    <w:p w:rsidR="006A370E" w:rsidRPr="00FD55E3" w:rsidRDefault="006A370E" w:rsidP="006A370E">
      <w:pPr>
        <w:pStyle w:val="Citation-AltC"/>
      </w:pPr>
    </w:p>
    <w:p w:rsidR="006A370E" w:rsidRPr="00FD55E3" w:rsidRDefault="007C527D" w:rsidP="007C527D">
      <w:pPr>
        <w:pStyle w:val="Citation-AltC"/>
        <w:tabs>
          <w:tab w:val="left" w:pos="1890"/>
        </w:tabs>
        <w:ind w:left="2430" w:hanging="2430"/>
      </w:pPr>
      <w:r>
        <w:tab/>
        <w:t>(a)</w:t>
      </w:r>
      <w:r>
        <w:tab/>
      </w:r>
      <w:proofErr w:type="gramStart"/>
      <w:r w:rsidR="006A370E" w:rsidRPr="00FD55E3">
        <w:t>submissions</w:t>
      </w:r>
      <w:proofErr w:type="gramEnd"/>
      <w:r w:rsidR="006A370E" w:rsidRPr="00FD55E3">
        <w:t xml:space="preserve"> that contest the merits or amount of an award under that subsection, and</w:t>
      </w:r>
    </w:p>
    <w:p w:rsidR="006A370E" w:rsidRPr="00FD55E3" w:rsidRDefault="006A370E" w:rsidP="006A370E">
      <w:pPr>
        <w:pStyle w:val="Citation-AltC"/>
      </w:pPr>
    </w:p>
    <w:p w:rsidR="006A370E" w:rsidRPr="00FD55E3" w:rsidRDefault="007C527D" w:rsidP="007C527D">
      <w:pPr>
        <w:pStyle w:val="Citation-AltC"/>
        <w:tabs>
          <w:tab w:val="left" w:pos="1890"/>
        </w:tabs>
        <w:ind w:left="2430" w:hanging="2430"/>
      </w:pPr>
      <w:r>
        <w:tab/>
        <w:t>(b)</w:t>
      </w:r>
      <w:r>
        <w:tab/>
      </w:r>
      <w:proofErr w:type="gramStart"/>
      <w:r w:rsidR="006A370E" w:rsidRPr="00FD55E3">
        <w:t>submissions</w:t>
      </w:r>
      <w:proofErr w:type="gramEnd"/>
      <w:r w:rsidR="006A370E" w:rsidRPr="00FD55E3">
        <w:t xml:space="preserve"> that individual proof of monetary relief is required due to the individual nature of the relief.</w:t>
      </w:r>
    </w:p>
    <w:p w:rsidR="006A370E" w:rsidRPr="00FD55E3" w:rsidRDefault="006A370E" w:rsidP="006A370E">
      <w:pPr>
        <w:pStyle w:val="ParaNoNdepar-AltN"/>
        <w:rPr>
          <w:rFonts w:cs="Times New Roman"/>
        </w:rPr>
      </w:pPr>
      <w:r w:rsidRPr="00FD55E3">
        <w:rPr>
          <w:rFonts w:cs="Times New Roman"/>
        </w:rPr>
        <w:t xml:space="preserve">In this case, the common issues </w:t>
      </w:r>
      <w:r>
        <w:rPr>
          <w:rFonts w:cs="Times New Roman"/>
        </w:rPr>
        <w:t xml:space="preserve">that were </w:t>
      </w:r>
      <w:r w:rsidRPr="00FD55E3">
        <w:rPr>
          <w:rFonts w:cs="Times New Roman"/>
        </w:rPr>
        <w:t>certified are whether damages can be determined on an aggregate basis and if so</w:t>
      </w:r>
      <w:r>
        <w:rPr>
          <w:rFonts w:cs="Times New Roman"/>
        </w:rPr>
        <w:t>,</w:t>
      </w:r>
      <w:r w:rsidRPr="00FD55E3">
        <w:rPr>
          <w:rFonts w:cs="Times New Roman"/>
        </w:rPr>
        <w:t xml:space="preserve"> in what amount. For the reasons below, I would not disturb the </w:t>
      </w:r>
      <w:r>
        <w:rPr>
          <w:rFonts w:cs="Times New Roman"/>
        </w:rPr>
        <w:t xml:space="preserve">applications </w:t>
      </w:r>
      <w:r w:rsidRPr="00FD55E3">
        <w:rPr>
          <w:rFonts w:cs="Times New Roman"/>
        </w:rPr>
        <w:t xml:space="preserve">judge’s decision to certify these common issues. However, while the aggregate damages common issues certified by Myers J. deal only with the assessment of damages and not proof of loss, there is some confusion in his reasons about whether the aggregate damages provisions of the </w:t>
      </w:r>
      <w:r w:rsidRPr="00FD55E3">
        <w:rPr>
          <w:rFonts w:cs="Times New Roman"/>
          <w:i/>
        </w:rPr>
        <w:t xml:space="preserve">CPA </w:t>
      </w:r>
      <w:r w:rsidRPr="00FD55E3">
        <w:rPr>
          <w:rFonts w:cs="Times New Roman"/>
        </w:rPr>
        <w:t xml:space="preserve">may be relied on to establish proof of loss where proof of loss is an essential element of proving liability. That question has been resolved differently by various courts in Ontario and British Columbia, where the aggregate damages provisions are sufficiently similar to allow comparison. </w:t>
      </w:r>
    </w:p>
    <w:p w:rsidR="006A370E" w:rsidRPr="001373FE" w:rsidRDefault="006A370E" w:rsidP="006A370E">
      <w:pPr>
        <w:pStyle w:val="ParaNoNdepar-AltN"/>
        <w:rPr>
          <w:rFonts w:cs="Times New Roman"/>
        </w:rPr>
      </w:pPr>
      <w:r>
        <w:rPr>
          <w:rFonts w:cs="Times New Roman"/>
        </w:rPr>
        <w:lastRenderedPageBreak/>
        <w:t xml:space="preserve">In this case, </w:t>
      </w:r>
      <w:r w:rsidRPr="00FD55E3">
        <w:rPr>
          <w:rFonts w:cs="Times New Roman"/>
        </w:rPr>
        <w:t>Myers</w:t>
      </w:r>
      <w:r>
        <w:rPr>
          <w:rFonts w:cs="Times New Roman"/>
        </w:rPr>
        <w:t xml:space="preserve"> J.</w:t>
      </w:r>
      <w:r w:rsidRPr="00FD55E3">
        <w:rPr>
          <w:rFonts w:cs="Times New Roman"/>
        </w:rPr>
        <w:t xml:space="preserve"> concluded that the aggregate damages provisions can be used to establish what I interpret to be the proof of loss element of proving liability</w:t>
      </w:r>
      <w:r>
        <w:rPr>
          <w:rFonts w:cs="Times New Roman"/>
        </w:rPr>
        <w:t xml:space="preserve">. He stated that: </w:t>
      </w:r>
      <w:r>
        <w:t>“</w:t>
      </w:r>
      <w:r w:rsidRPr="00FD55E3">
        <w:t>.</w:t>
      </w:r>
      <w:r>
        <w:t xml:space="preserve"> </w:t>
      </w:r>
      <w:r w:rsidRPr="00FD55E3">
        <w:t>.</w:t>
      </w:r>
      <w:r>
        <w:t xml:space="preserve"> </w:t>
      </w:r>
      <w:r w:rsidRPr="00FD55E3">
        <w:t>.</w:t>
      </w:r>
      <w:r>
        <w:t xml:space="preserve"> </w:t>
      </w:r>
      <w:r w:rsidRPr="00FD55E3">
        <w:t xml:space="preserve">the aggregate damages section of the </w:t>
      </w:r>
      <w:r w:rsidRPr="001373FE">
        <w:rPr>
          <w:i/>
        </w:rPr>
        <w:t xml:space="preserve">Class Proceedings Act </w:t>
      </w:r>
      <w:r w:rsidRPr="00FD55E3">
        <w:t>allow the harm to be shown in the aggregate to the class as a whole</w:t>
      </w:r>
      <w:r>
        <w:t>”</w:t>
      </w:r>
      <w:r w:rsidRPr="00FD55E3">
        <w:t xml:space="preserve"> (</w:t>
      </w:r>
      <w:proofErr w:type="spellStart"/>
      <w:r w:rsidRPr="00FD55E3">
        <w:t>para</w:t>
      </w:r>
      <w:proofErr w:type="spellEnd"/>
      <w:r w:rsidRPr="00FD55E3">
        <w:t>. 126)</w:t>
      </w:r>
      <w:r w:rsidRPr="001373FE">
        <w:rPr>
          <w:rFonts w:cs="Times New Roman"/>
        </w:rPr>
        <w:t>, and also that “the Court of Appeal must be taken to have accepted that for certification of the damage claims, a method of showing harm to all class members need not be demonstrated and, further, that the aggregate damages sections can be used to establish liability” (B</w:t>
      </w:r>
      <w:r>
        <w:rPr>
          <w:rFonts w:cs="Times New Roman"/>
        </w:rPr>
        <w:t>.</w:t>
      </w:r>
      <w:r w:rsidRPr="001373FE">
        <w:rPr>
          <w:rFonts w:cs="Times New Roman"/>
        </w:rPr>
        <w:t>C</w:t>
      </w:r>
      <w:r>
        <w:rPr>
          <w:rFonts w:cs="Times New Roman"/>
        </w:rPr>
        <w:t>.</w:t>
      </w:r>
      <w:r w:rsidRPr="001373FE">
        <w:rPr>
          <w:rFonts w:cs="Times New Roman"/>
        </w:rPr>
        <w:t>S</w:t>
      </w:r>
      <w:r>
        <w:rPr>
          <w:rFonts w:cs="Times New Roman"/>
        </w:rPr>
        <w:t>.</w:t>
      </w:r>
      <w:r w:rsidRPr="001373FE">
        <w:rPr>
          <w:rFonts w:cs="Times New Roman"/>
        </w:rPr>
        <w:t>C</w:t>
      </w:r>
      <w:r>
        <w:rPr>
          <w:rFonts w:cs="Times New Roman"/>
        </w:rPr>
        <w:t>.</w:t>
      </w:r>
      <w:r w:rsidRPr="001373FE">
        <w:rPr>
          <w:rFonts w:cs="Times New Roman"/>
        </w:rPr>
        <w:t xml:space="preserve">, at </w:t>
      </w:r>
      <w:proofErr w:type="spellStart"/>
      <w:r w:rsidRPr="001373FE">
        <w:rPr>
          <w:rFonts w:cs="Times New Roman"/>
        </w:rPr>
        <w:t>para</w:t>
      </w:r>
      <w:proofErr w:type="spellEnd"/>
      <w:r w:rsidRPr="001373FE">
        <w:rPr>
          <w:rFonts w:cs="Times New Roman"/>
        </w:rPr>
        <w:t xml:space="preserve">. 125). </w:t>
      </w:r>
    </w:p>
    <w:p w:rsidR="006A370E" w:rsidRPr="00FD55E3" w:rsidRDefault="006A370E" w:rsidP="006A370E">
      <w:pPr>
        <w:pStyle w:val="ParaNoNdepar-AltN"/>
      </w:pPr>
      <w:r w:rsidRPr="00FD55E3">
        <w:t xml:space="preserve">In finding that the aggregate damages </w:t>
      </w:r>
      <w:r>
        <w:t xml:space="preserve">provisions </w:t>
      </w:r>
      <w:r w:rsidRPr="00FD55E3">
        <w:t xml:space="preserve">of the </w:t>
      </w:r>
      <w:r w:rsidRPr="00FD55E3">
        <w:rPr>
          <w:i/>
        </w:rPr>
        <w:t xml:space="preserve">CPA </w:t>
      </w:r>
      <w:r w:rsidRPr="00FD55E3">
        <w:t>can be used to establish proof of loss to the class as a whole, Myers J. followed a line of jurisprudence of the British Columbia Court of Appeal.</w:t>
      </w:r>
      <w:r>
        <w:t xml:space="preserve"> This reasoning appears in </w:t>
      </w:r>
      <w:r>
        <w:rPr>
          <w:i/>
        </w:rPr>
        <w:t>Infineon</w:t>
      </w:r>
      <w:r w:rsidRPr="002C08FF">
        <w:t>:</w:t>
      </w:r>
    </w:p>
    <w:p w:rsidR="006A370E" w:rsidRPr="00FD55E3" w:rsidRDefault="006A370E" w:rsidP="006A370E">
      <w:pPr>
        <w:pStyle w:val="Citation-AltC"/>
      </w:pPr>
      <w:r w:rsidRPr="00FD55E3">
        <w:t xml:space="preserve">In </w:t>
      </w:r>
      <w:r w:rsidRPr="00FD55E3">
        <w:rPr>
          <w:i/>
        </w:rPr>
        <w:t>Knight</w:t>
      </w:r>
      <w:r w:rsidRPr="00FD55E3">
        <w:t xml:space="preserve">, this Court affirmed the certification of an aggregate monetary award under the </w:t>
      </w:r>
      <w:r w:rsidRPr="00FD55E3">
        <w:rPr>
          <w:i/>
        </w:rPr>
        <w:t>CPA</w:t>
      </w:r>
      <w:r w:rsidRPr="00FD55E3">
        <w:t xml:space="preserve"> as a common issue in a claim for disgorgement of the benefits of the defendants’ wrongful conduct without an antecedent liability finding — rather, the aggregate assessment would establish concurrently both that the defendant benefited from its wrongful conduct </w:t>
      </w:r>
      <w:r>
        <w:t>and the extent of the benefit. [</w:t>
      </w:r>
      <w:proofErr w:type="spellStart"/>
      <w:r w:rsidRPr="00FD55E3">
        <w:t>para</w:t>
      </w:r>
      <w:proofErr w:type="spellEnd"/>
      <w:r>
        <w:t>. 39]</w:t>
      </w:r>
    </w:p>
    <w:p w:rsidR="006A370E" w:rsidRPr="00FD55E3" w:rsidRDefault="006A370E" w:rsidP="006A370E">
      <w:pPr>
        <w:pStyle w:val="ContinueParaSuitedupar-AltP"/>
        <w:rPr>
          <w:rFonts w:cs="Times New Roman"/>
        </w:rPr>
      </w:pPr>
      <w:r>
        <w:rPr>
          <w:rFonts w:cs="Times New Roman"/>
        </w:rPr>
        <w:t>(S</w:t>
      </w:r>
      <w:r w:rsidRPr="00FD55E3">
        <w:rPr>
          <w:rFonts w:cs="Times New Roman"/>
        </w:rPr>
        <w:t xml:space="preserve">ee also </w:t>
      </w:r>
      <w:r w:rsidRPr="008F1C5D">
        <w:rPr>
          <w:rFonts w:cs="Times New Roman"/>
          <w:i/>
        </w:rPr>
        <w:t>Steele v. Toyota Canada Inc.</w:t>
      </w:r>
      <w:r w:rsidRPr="00FD55E3">
        <w:rPr>
          <w:rFonts w:cs="Times New Roman"/>
        </w:rPr>
        <w:t>, 2011 BCCA 98, 329 D.L.R. (4th) 389</w:t>
      </w:r>
      <w:r>
        <w:rPr>
          <w:rFonts w:cs="Times New Roman"/>
        </w:rPr>
        <w:t xml:space="preserve">, at </w:t>
      </w:r>
      <w:proofErr w:type="spellStart"/>
      <w:r>
        <w:rPr>
          <w:rFonts w:cs="Times New Roman"/>
        </w:rPr>
        <w:t>paras</w:t>
      </w:r>
      <w:proofErr w:type="spellEnd"/>
      <w:r>
        <w:rPr>
          <w:rFonts w:cs="Times New Roman"/>
        </w:rPr>
        <w:t>. 50-52.)</w:t>
      </w:r>
    </w:p>
    <w:p w:rsidR="006A370E" w:rsidRPr="00FD55E3" w:rsidRDefault="006A370E" w:rsidP="006A370E">
      <w:pPr>
        <w:pStyle w:val="ParaNoNdepar-AltN"/>
        <w:autoSpaceDE w:val="0"/>
        <w:autoSpaceDN w:val="0"/>
        <w:adjustRightInd w:val="0"/>
        <w:rPr>
          <w:rFonts w:cs="Times New Roman"/>
        </w:rPr>
      </w:pPr>
      <w:r w:rsidRPr="00FD55E3">
        <w:rPr>
          <w:rFonts w:cs="Times New Roman"/>
        </w:rPr>
        <w:t xml:space="preserve"> With respect, I do not agree with this reasoning. </w:t>
      </w:r>
      <w:r>
        <w:rPr>
          <w:rFonts w:cs="Times New Roman"/>
        </w:rPr>
        <w:t>The a</w:t>
      </w:r>
      <w:r w:rsidRPr="00FD55E3">
        <w:rPr>
          <w:rFonts w:cs="Times New Roman"/>
        </w:rPr>
        <w:t xml:space="preserve">ggregate damages provisions of the </w:t>
      </w:r>
      <w:r w:rsidRPr="008F1C5D">
        <w:rPr>
          <w:rFonts w:cs="Times New Roman"/>
          <w:i/>
        </w:rPr>
        <w:t>CPA</w:t>
      </w:r>
      <w:r w:rsidRPr="00FD55E3">
        <w:rPr>
          <w:rFonts w:cs="Times New Roman"/>
        </w:rPr>
        <w:t xml:space="preserve"> relate to remedy and are procedural</w:t>
      </w:r>
      <w:r>
        <w:rPr>
          <w:rFonts w:cs="Times New Roman"/>
        </w:rPr>
        <w:t xml:space="preserve">. They </w:t>
      </w:r>
      <w:r w:rsidRPr="00FD55E3">
        <w:rPr>
          <w:rFonts w:cs="Times New Roman"/>
        </w:rPr>
        <w:t xml:space="preserve">cannot be used to </w:t>
      </w:r>
      <w:r w:rsidRPr="00FD55E3">
        <w:rPr>
          <w:rFonts w:cs="Times New Roman"/>
        </w:rPr>
        <w:lastRenderedPageBreak/>
        <w:t>establish liability (</w:t>
      </w:r>
      <w:r>
        <w:rPr>
          <w:rFonts w:cs="Times New Roman"/>
          <w:i/>
        </w:rPr>
        <w:t>2</w:t>
      </w:r>
      <w:r w:rsidR="00323DC6">
        <w:rPr>
          <w:rFonts w:cs="Times New Roman"/>
          <w:i/>
        </w:rPr>
        <w:t xml:space="preserve">038724 Ontario Ltd. v. </w:t>
      </w:r>
      <w:proofErr w:type="spellStart"/>
      <w:r w:rsidR="00323DC6">
        <w:rPr>
          <w:rFonts w:cs="Times New Roman"/>
          <w:i/>
        </w:rPr>
        <w:t>Quizno’s</w:t>
      </w:r>
      <w:proofErr w:type="spellEnd"/>
      <w:r w:rsidR="00323DC6">
        <w:rPr>
          <w:rFonts w:cs="Times New Roman"/>
          <w:i/>
        </w:rPr>
        <w:t xml:space="preserve"> </w:t>
      </w:r>
      <w:r>
        <w:rPr>
          <w:rFonts w:cs="Times New Roman"/>
          <w:i/>
        </w:rPr>
        <w:t>Canada Restaurant Corp.</w:t>
      </w:r>
      <w:r>
        <w:rPr>
          <w:rFonts w:cs="Times New Roman"/>
        </w:rPr>
        <w:t xml:space="preserve">, 2010 ONCA 466, 100 O.R. (3d) 721, </w:t>
      </w:r>
      <w:r w:rsidRPr="00FD55E3">
        <w:rPr>
          <w:rFonts w:cs="Times New Roman"/>
        </w:rPr>
        <w:t xml:space="preserve">at </w:t>
      </w:r>
      <w:proofErr w:type="spellStart"/>
      <w:r w:rsidRPr="00FD55E3">
        <w:rPr>
          <w:rFonts w:cs="Times New Roman"/>
        </w:rPr>
        <w:t>para</w:t>
      </w:r>
      <w:proofErr w:type="spellEnd"/>
      <w:r w:rsidRPr="00FD55E3">
        <w:rPr>
          <w:rFonts w:cs="Times New Roman"/>
        </w:rPr>
        <w:t>. 55). The language of s. 29(1</w:t>
      </w:r>
      <w:proofErr w:type="gramStart"/>
      <w:r w:rsidRPr="00FD55E3">
        <w:rPr>
          <w:rFonts w:cs="Times New Roman"/>
        </w:rPr>
        <w:t>)(</w:t>
      </w:r>
      <w:proofErr w:type="gramEnd"/>
      <w:r w:rsidRPr="00FD55E3">
        <w:rPr>
          <w:rFonts w:cs="Times New Roman"/>
        </w:rPr>
        <w:t xml:space="preserve">b) </w:t>
      </w:r>
      <w:r>
        <w:rPr>
          <w:rFonts w:cs="Times New Roman"/>
        </w:rPr>
        <w:t>specifies that</w:t>
      </w:r>
      <w:r w:rsidRPr="00FD55E3">
        <w:rPr>
          <w:rFonts w:cs="Times New Roman"/>
        </w:rPr>
        <w:t xml:space="preserve"> no question of fact</w:t>
      </w:r>
      <w:r>
        <w:rPr>
          <w:rFonts w:cs="Times New Roman"/>
        </w:rPr>
        <w:t xml:space="preserve"> or law</w:t>
      </w:r>
      <w:r w:rsidRPr="00FD55E3">
        <w:rPr>
          <w:rFonts w:cs="Times New Roman"/>
        </w:rPr>
        <w:t>, other than the assessment of damages</w:t>
      </w:r>
      <w:r>
        <w:rPr>
          <w:rFonts w:cs="Times New Roman"/>
        </w:rPr>
        <w:t xml:space="preserve">, should </w:t>
      </w:r>
      <w:r w:rsidRPr="00FD55E3">
        <w:rPr>
          <w:rFonts w:cs="Times New Roman"/>
        </w:rPr>
        <w:t xml:space="preserve">remain </w:t>
      </w:r>
      <w:r>
        <w:rPr>
          <w:rFonts w:cs="Times New Roman"/>
        </w:rPr>
        <w:t xml:space="preserve">to be determined </w:t>
      </w:r>
      <w:r w:rsidRPr="00FD55E3">
        <w:rPr>
          <w:rFonts w:cs="Times New Roman"/>
        </w:rPr>
        <w:t xml:space="preserve">in order for an aggregate monetary award to be made. As I read it, this means </w:t>
      </w:r>
      <w:r>
        <w:rPr>
          <w:rFonts w:cs="Times New Roman"/>
        </w:rPr>
        <w:t xml:space="preserve">that </w:t>
      </w:r>
      <w:r w:rsidRPr="00FD55E3">
        <w:rPr>
          <w:rFonts w:cs="Times New Roman"/>
        </w:rPr>
        <w:t xml:space="preserve">an antecedent finding of liability is required before resorting to the aggregate damages provision of the </w:t>
      </w:r>
      <w:r w:rsidRPr="00FD55E3">
        <w:rPr>
          <w:rFonts w:cs="Times New Roman"/>
          <w:i/>
        </w:rPr>
        <w:t>CPA</w:t>
      </w:r>
      <w:r w:rsidRPr="00FD55E3">
        <w:rPr>
          <w:rFonts w:cs="Times New Roman"/>
        </w:rPr>
        <w:t xml:space="preserve">.  This includes, where required by the cause of action such as in a claim under s. 36 of the </w:t>
      </w:r>
      <w:r w:rsidRPr="00FD55E3">
        <w:rPr>
          <w:rFonts w:cs="Times New Roman"/>
          <w:i/>
        </w:rPr>
        <w:t>Competition Act</w:t>
      </w:r>
      <w:r w:rsidRPr="00FD55E3">
        <w:rPr>
          <w:rFonts w:cs="Times New Roman"/>
        </w:rPr>
        <w:t xml:space="preserve">, </w:t>
      </w:r>
      <w:r>
        <w:rPr>
          <w:rFonts w:cs="Times New Roman"/>
        </w:rPr>
        <w:t xml:space="preserve">a finding of </w:t>
      </w:r>
      <w:r w:rsidRPr="00FD55E3">
        <w:rPr>
          <w:rFonts w:cs="Times New Roman"/>
        </w:rPr>
        <w:t xml:space="preserve">proof of loss. I do not see how a statutory provision designed to award damages on an aggregate basis can be said to be used to establish any aspect of liability.  </w:t>
      </w:r>
    </w:p>
    <w:p w:rsidR="006A370E" w:rsidRPr="00FD55E3" w:rsidRDefault="006A370E" w:rsidP="006A370E">
      <w:pPr>
        <w:pStyle w:val="ParaNoNdepar-AltN"/>
        <w:autoSpaceDE w:val="0"/>
        <w:autoSpaceDN w:val="0"/>
        <w:adjustRightInd w:val="0"/>
        <w:rPr>
          <w:rFonts w:cs="Times New Roman"/>
        </w:rPr>
      </w:pPr>
      <w:r w:rsidRPr="00FD55E3">
        <w:rPr>
          <w:rFonts w:cs="Times New Roman"/>
          <w:szCs w:val="24"/>
        </w:rPr>
        <w:t xml:space="preserve">I agree with </w:t>
      </w:r>
      <w:r w:rsidRPr="00FD55E3">
        <w:rPr>
          <w:rFonts w:cs="Times New Roman"/>
          <w:iCs/>
          <w:szCs w:val="24"/>
        </w:rPr>
        <w:t xml:space="preserve">Feldman J.A.’s holding in </w:t>
      </w:r>
      <w:proofErr w:type="spellStart"/>
      <w:r w:rsidRPr="00FD55E3">
        <w:rPr>
          <w:rFonts w:cs="Times New Roman"/>
          <w:i/>
          <w:iCs/>
          <w:szCs w:val="24"/>
        </w:rPr>
        <w:t>Chadha</w:t>
      </w:r>
      <w:proofErr w:type="spellEnd"/>
      <w:r w:rsidRPr="00FD55E3">
        <w:rPr>
          <w:rFonts w:cs="Times New Roman"/>
          <w:i/>
          <w:iCs/>
          <w:szCs w:val="24"/>
        </w:rPr>
        <w:t xml:space="preserve"> </w:t>
      </w:r>
      <w:r w:rsidRPr="00FD55E3">
        <w:rPr>
          <w:rFonts w:cs="Times New Roman"/>
          <w:iCs/>
          <w:szCs w:val="24"/>
        </w:rPr>
        <w:t>that aggregate damages provisions are “</w:t>
      </w:r>
      <w:r w:rsidRPr="00FD55E3">
        <w:rPr>
          <w:rFonts w:cs="Times New Roman"/>
          <w:szCs w:val="24"/>
        </w:rPr>
        <w:t xml:space="preserve">applicable only once liability has been established, and </w:t>
      </w:r>
      <w:proofErr w:type="spellStart"/>
      <w:r w:rsidRPr="00FD55E3">
        <w:rPr>
          <w:rFonts w:cs="Times New Roman"/>
          <w:szCs w:val="24"/>
        </w:rPr>
        <w:t>provid</w:t>
      </w:r>
      <w:proofErr w:type="spellEnd"/>
      <w:r>
        <w:rPr>
          <w:rFonts w:cs="Times New Roman"/>
          <w:szCs w:val="24"/>
        </w:rPr>
        <w:t>[</w:t>
      </w:r>
      <w:r w:rsidRPr="00FD55E3">
        <w:rPr>
          <w:rFonts w:cs="Times New Roman"/>
          <w:szCs w:val="24"/>
        </w:rPr>
        <w:t>e</w:t>
      </w:r>
      <w:r>
        <w:rPr>
          <w:rFonts w:cs="Times New Roman"/>
          <w:szCs w:val="24"/>
        </w:rPr>
        <w:t>]</w:t>
      </w:r>
      <w:r w:rsidRPr="00FD55E3">
        <w:rPr>
          <w:rFonts w:cs="Times New Roman"/>
          <w:szCs w:val="24"/>
        </w:rPr>
        <w:t xml:space="preserve"> a method to assess the quantum of damages on a global basis, but not the fact of damage” (</w:t>
      </w:r>
      <w:proofErr w:type="spellStart"/>
      <w:r w:rsidRPr="00FD55E3">
        <w:rPr>
          <w:rFonts w:cs="Times New Roman"/>
          <w:szCs w:val="24"/>
        </w:rPr>
        <w:t>para</w:t>
      </w:r>
      <w:proofErr w:type="spellEnd"/>
      <w:r w:rsidRPr="00FD55E3">
        <w:rPr>
          <w:rFonts w:cs="Times New Roman"/>
          <w:szCs w:val="24"/>
        </w:rPr>
        <w:t xml:space="preserve">. 49). I also agree with </w:t>
      </w:r>
      <w:proofErr w:type="spellStart"/>
      <w:r w:rsidRPr="00FD55E3">
        <w:rPr>
          <w:rFonts w:cs="Times New Roman"/>
          <w:szCs w:val="24"/>
        </w:rPr>
        <w:t>Masuhara</w:t>
      </w:r>
      <w:proofErr w:type="spellEnd"/>
      <w:r w:rsidRPr="00FD55E3">
        <w:rPr>
          <w:rFonts w:cs="Times New Roman"/>
          <w:szCs w:val="24"/>
        </w:rPr>
        <w:t xml:space="preserve"> J. of the B</w:t>
      </w:r>
      <w:r>
        <w:rPr>
          <w:rFonts w:cs="Times New Roman"/>
          <w:szCs w:val="24"/>
        </w:rPr>
        <w:t>.</w:t>
      </w:r>
      <w:r w:rsidRPr="00FD55E3">
        <w:rPr>
          <w:rFonts w:cs="Times New Roman"/>
          <w:szCs w:val="24"/>
        </w:rPr>
        <w:t>C</w:t>
      </w:r>
      <w:r>
        <w:rPr>
          <w:rFonts w:cs="Times New Roman"/>
          <w:szCs w:val="24"/>
        </w:rPr>
        <w:t>.</w:t>
      </w:r>
      <w:r w:rsidRPr="00FD55E3">
        <w:rPr>
          <w:rFonts w:cs="Times New Roman"/>
          <w:szCs w:val="24"/>
        </w:rPr>
        <w:t>S</w:t>
      </w:r>
      <w:r>
        <w:rPr>
          <w:rFonts w:cs="Times New Roman"/>
          <w:szCs w:val="24"/>
        </w:rPr>
        <w:t>.</w:t>
      </w:r>
      <w:r w:rsidRPr="00FD55E3">
        <w:rPr>
          <w:rFonts w:cs="Times New Roman"/>
          <w:szCs w:val="24"/>
        </w:rPr>
        <w:t>C</w:t>
      </w:r>
      <w:r>
        <w:rPr>
          <w:rFonts w:cs="Times New Roman"/>
          <w:szCs w:val="24"/>
        </w:rPr>
        <w:t>.</w:t>
      </w:r>
      <w:r w:rsidRPr="00FD55E3">
        <w:rPr>
          <w:rFonts w:cs="Times New Roman"/>
          <w:szCs w:val="24"/>
        </w:rPr>
        <w:t xml:space="preserve"> in </w:t>
      </w:r>
      <w:r w:rsidRPr="00FD55E3">
        <w:rPr>
          <w:rFonts w:cs="Times New Roman"/>
          <w:i/>
          <w:szCs w:val="24"/>
        </w:rPr>
        <w:t>Infineon</w:t>
      </w:r>
      <w:r w:rsidRPr="00FD55E3">
        <w:rPr>
          <w:rFonts w:cs="Times New Roman"/>
          <w:szCs w:val="24"/>
        </w:rPr>
        <w:t xml:space="preserve"> that “liability requires that a pass-through reached the Class Members</w:t>
      </w:r>
      <w:r>
        <w:rPr>
          <w:rFonts w:cs="Times New Roman"/>
          <w:szCs w:val="24"/>
        </w:rPr>
        <w:t>”, and that “[t]</w:t>
      </w:r>
      <w:r w:rsidRPr="00FD55E3">
        <w:rPr>
          <w:rFonts w:cs="Times New Roman"/>
          <w:szCs w:val="24"/>
        </w:rPr>
        <w:t>hat question requires an answer before the aggregation provisions, which are only a tool to assist in the distribu</w:t>
      </w:r>
      <w:r>
        <w:rPr>
          <w:rFonts w:cs="Times New Roman"/>
          <w:szCs w:val="24"/>
        </w:rPr>
        <w:t>tion of damages, can be invoked</w:t>
      </w:r>
      <w:r w:rsidRPr="00FD55E3">
        <w:rPr>
          <w:rFonts w:cs="Times New Roman"/>
          <w:szCs w:val="24"/>
        </w:rPr>
        <w:t xml:space="preserve">” </w:t>
      </w:r>
      <w:r>
        <w:rPr>
          <w:rFonts w:cs="Times New Roman"/>
          <w:szCs w:val="24"/>
        </w:rPr>
        <w:t>(2008 BCSC 575 (</w:t>
      </w:r>
      <w:proofErr w:type="spellStart"/>
      <w:r>
        <w:rPr>
          <w:rFonts w:cs="Times New Roman"/>
          <w:szCs w:val="24"/>
        </w:rPr>
        <w:t>CanLII</w:t>
      </w:r>
      <w:proofErr w:type="spellEnd"/>
      <w:r>
        <w:rPr>
          <w:rFonts w:cs="Times New Roman"/>
          <w:szCs w:val="24"/>
        </w:rPr>
        <w:t xml:space="preserve">), at </w:t>
      </w:r>
      <w:proofErr w:type="spellStart"/>
      <w:r w:rsidRPr="00FD55E3">
        <w:rPr>
          <w:rFonts w:cs="Times New Roman"/>
          <w:szCs w:val="24"/>
        </w:rPr>
        <w:t>para</w:t>
      </w:r>
      <w:proofErr w:type="spellEnd"/>
      <w:r w:rsidRPr="00FD55E3">
        <w:rPr>
          <w:rFonts w:cs="Times New Roman"/>
          <w:szCs w:val="24"/>
        </w:rPr>
        <w:t>. 176</w:t>
      </w:r>
      <w:r>
        <w:rPr>
          <w:rFonts w:cs="Times New Roman"/>
          <w:szCs w:val="24"/>
        </w:rPr>
        <w:t>)</w:t>
      </w:r>
      <w:r w:rsidRPr="00FD55E3">
        <w:rPr>
          <w:rFonts w:cs="Times New Roman"/>
          <w:szCs w:val="24"/>
        </w:rPr>
        <w:t xml:space="preserve">. </w:t>
      </w:r>
      <w:r>
        <w:rPr>
          <w:rFonts w:cs="Times New Roman"/>
          <w:szCs w:val="24"/>
        </w:rPr>
        <w:t>Furthermore, I</w:t>
      </w:r>
      <w:r w:rsidRPr="00FD55E3">
        <w:rPr>
          <w:rFonts w:cs="Times New Roman"/>
          <w:szCs w:val="24"/>
        </w:rPr>
        <w:t xml:space="preserve"> agree with the Ontario Court of Appeal in</w:t>
      </w:r>
      <w:r>
        <w:rPr>
          <w:rFonts w:cs="Times New Roman"/>
          <w:szCs w:val="24"/>
        </w:rPr>
        <w:t xml:space="preserve"> </w:t>
      </w:r>
      <w:proofErr w:type="spellStart"/>
      <w:r w:rsidRPr="005336E1">
        <w:rPr>
          <w:rFonts w:cs="Times New Roman"/>
          <w:i/>
          <w:szCs w:val="24"/>
        </w:rPr>
        <w:t>Quizno’s</w:t>
      </w:r>
      <w:proofErr w:type="spellEnd"/>
      <w:r w:rsidRPr="00FD55E3">
        <w:rPr>
          <w:rFonts w:cs="Times New Roman"/>
          <w:szCs w:val="24"/>
        </w:rPr>
        <w:t>, that “</w:t>
      </w:r>
      <w:r w:rsidRPr="00FD55E3">
        <w:rPr>
          <w:rFonts w:cs="Times New Roman"/>
        </w:rPr>
        <w:t>[t]he majority clearly recognized that s. 24</w:t>
      </w:r>
      <w:r>
        <w:rPr>
          <w:rFonts w:cs="Times New Roman"/>
        </w:rPr>
        <w:t xml:space="preserve"> [of the Ontario </w:t>
      </w:r>
      <w:r>
        <w:rPr>
          <w:rFonts w:cs="Times New Roman"/>
          <w:i/>
        </w:rPr>
        <w:t>Class Proceedings Act</w:t>
      </w:r>
      <w:r w:rsidRPr="00A04C95">
        <w:rPr>
          <w:rFonts w:cs="Times New Roman"/>
          <w:i/>
        </w:rPr>
        <w:t>,</w:t>
      </w:r>
      <w:r>
        <w:rPr>
          <w:rFonts w:cs="Times New Roman"/>
          <w:i/>
        </w:rPr>
        <w:t xml:space="preserve"> 1992</w:t>
      </w:r>
      <w:r w:rsidRPr="00A762B8">
        <w:rPr>
          <w:rFonts w:cs="Times New Roman"/>
          <w:i/>
        </w:rPr>
        <w:t xml:space="preserve">, </w:t>
      </w:r>
      <w:r>
        <w:rPr>
          <w:rFonts w:cs="Times New Roman"/>
        </w:rPr>
        <w:t>S.O. 1992, c. 6</w:t>
      </w:r>
      <w:proofErr w:type="gramStart"/>
      <w:r>
        <w:rPr>
          <w:rFonts w:cs="Times New Roman"/>
        </w:rPr>
        <w:t xml:space="preserve">] </w:t>
      </w:r>
      <w:r w:rsidRPr="00FD55E3">
        <w:rPr>
          <w:rFonts w:cs="Times New Roman"/>
        </w:rPr>
        <w:t xml:space="preserve"> is</w:t>
      </w:r>
      <w:proofErr w:type="gramEnd"/>
      <w:r w:rsidRPr="00FD55E3">
        <w:rPr>
          <w:rFonts w:cs="Times New Roman"/>
        </w:rPr>
        <w:t xml:space="preserve"> procedural and cannot be used in proving liability” (</w:t>
      </w:r>
      <w:proofErr w:type="spellStart"/>
      <w:r w:rsidRPr="00FD55E3">
        <w:rPr>
          <w:rFonts w:cs="Times New Roman"/>
          <w:szCs w:val="24"/>
        </w:rPr>
        <w:t>para</w:t>
      </w:r>
      <w:proofErr w:type="spellEnd"/>
      <w:r w:rsidRPr="00FD55E3">
        <w:rPr>
          <w:rFonts w:cs="Times New Roman"/>
          <w:szCs w:val="24"/>
        </w:rPr>
        <w:t>. 55</w:t>
      </w:r>
      <w:r w:rsidRPr="00FD55E3">
        <w:rPr>
          <w:rFonts w:cs="Times New Roman"/>
        </w:rPr>
        <w:t>).</w:t>
      </w:r>
    </w:p>
    <w:p w:rsidR="006A370E" w:rsidRPr="00F12FE1" w:rsidRDefault="006A370E" w:rsidP="006A370E">
      <w:pPr>
        <w:pStyle w:val="ParaNoNdepar-AltN"/>
        <w:rPr>
          <w:rFonts w:cs="Times New Roman"/>
        </w:rPr>
      </w:pPr>
      <w:r>
        <w:rPr>
          <w:rFonts w:cs="Times New Roman"/>
        </w:rPr>
        <w:lastRenderedPageBreak/>
        <w:t xml:space="preserve">This reasoning reflects the intention of the </w:t>
      </w:r>
      <w:r w:rsidRPr="00FD55E3">
        <w:rPr>
          <w:rFonts w:cs="Times New Roman"/>
        </w:rPr>
        <w:t>Attorney General of British Columbia</w:t>
      </w:r>
      <w:r>
        <w:rPr>
          <w:rFonts w:cs="Times New Roman"/>
        </w:rPr>
        <w:t>. W</w:t>
      </w:r>
      <w:r w:rsidRPr="00FD55E3">
        <w:rPr>
          <w:rFonts w:cs="Times New Roman"/>
        </w:rPr>
        <w:t xml:space="preserve">hen he introduced the </w:t>
      </w:r>
      <w:r w:rsidRPr="00FD55E3">
        <w:rPr>
          <w:rFonts w:cs="Times New Roman"/>
          <w:i/>
        </w:rPr>
        <w:t xml:space="preserve">CPA </w:t>
      </w:r>
      <w:r w:rsidRPr="00FD55E3">
        <w:rPr>
          <w:rFonts w:cs="Times New Roman"/>
        </w:rPr>
        <w:t>in th</w:t>
      </w:r>
      <w:r>
        <w:rPr>
          <w:rFonts w:cs="Times New Roman"/>
        </w:rPr>
        <w:t>e British Columbia legislature, he</w:t>
      </w:r>
      <w:r w:rsidRPr="00FD55E3">
        <w:rPr>
          <w:rFonts w:cs="Times New Roman"/>
        </w:rPr>
        <w:t xml:space="preserve"> stated that the goal of the legislation was to allow individuals who have similar claims to come together and pursue those individual claims collectively:</w:t>
      </w:r>
      <w:r>
        <w:rPr>
          <w:rFonts w:cs="Times New Roman"/>
        </w:rPr>
        <w:t xml:space="preserve"> “</w:t>
      </w:r>
      <w:r w:rsidRPr="00FD55E3">
        <w:t>In simple terms, all we are doing here is finding a way to enable the access that individuals have to the court to be an access that individuals combinin</w:t>
      </w:r>
      <w:r>
        <w:t>g together can have to the court”</w:t>
      </w:r>
      <w:r w:rsidRPr="00FD55E3">
        <w:t xml:space="preserve"> (Hon. C. </w:t>
      </w:r>
      <w:proofErr w:type="spellStart"/>
      <w:r w:rsidRPr="00FD55E3">
        <w:t>Gabelmann</w:t>
      </w:r>
      <w:proofErr w:type="spellEnd"/>
      <w:r w:rsidRPr="00FD55E3">
        <w:t xml:space="preserve">, </w:t>
      </w:r>
      <w:r>
        <w:rPr>
          <w:i/>
        </w:rPr>
        <w:t>Official Report of Debates of the Legislative Assembly (</w:t>
      </w:r>
      <w:proofErr w:type="spellStart"/>
      <w:r>
        <w:rPr>
          <w:i/>
        </w:rPr>
        <w:t>Hansard</w:t>
      </w:r>
      <w:proofErr w:type="spellEnd"/>
      <w:r>
        <w:rPr>
          <w:i/>
        </w:rPr>
        <w:t>)</w:t>
      </w:r>
      <w:r>
        <w:t xml:space="preserve">, vol. 20, No. 20, </w:t>
      </w:r>
      <w:r w:rsidRPr="00FD55E3">
        <w:t>4th Sess</w:t>
      </w:r>
      <w:r>
        <w:t>.,</w:t>
      </w:r>
      <w:r w:rsidRPr="00FD55E3">
        <w:t xml:space="preserve"> 35th Parl</w:t>
      </w:r>
      <w:r>
        <w:t>.,</w:t>
      </w:r>
      <w:r w:rsidRPr="00FD55E3">
        <w:t xml:space="preserve"> June 6, 1995,</w:t>
      </w:r>
      <w:r>
        <w:t xml:space="preserve"> </w:t>
      </w:r>
      <w:r w:rsidR="00A762B8">
        <w:t xml:space="preserve">at </w:t>
      </w:r>
      <w:r>
        <w:t xml:space="preserve">p. </w:t>
      </w:r>
      <w:r w:rsidRPr="00FD55E3">
        <w:t>15078</w:t>
      </w:r>
      <w:r>
        <w:t>).</w:t>
      </w:r>
      <w:r w:rsidRPr="00FD55E3">
        <w:t xml:space="preserve"> </w:t>
      </w:r>
      <w:r>
        <w:t xml:space="preserve"> </w:t>
      </w:r>
      <w:r w:rsidRPr="00F12FE1">
        <w:rPr>
          <w:rFonts w:cs="Times New Roman"/>
        </w:rPr>
        <w:t xml:space="preserve">The </w:t>
      </w:r>
      <w:r w:rsidRPr="00F12FE1">
        <w:rPr>
          <w:rFonts w:cs="Times New Roman"/>
          <w:i/>
        </w:rPr>
        <w:t xml:space="preserve">CPA </w:t>
      </w:r>
      <w:r w:rsidRPr="00F12FE1">
        <w:rPr>
          <w:rFonts w:cs="Times New Roman"/>
        </w:rPr>
        <w:t xml:space="preserve">was not intended to allow a group to prove a claim that no individual could. Rather, an important objective of the </w:t>
      </w:r>
      <w:r w:rsidRPr="00F12FE1">
        <w:rPr>
          <w:rFonts w:cs="Times New Roman"/>
          <w:i/>
        </w:rPr>
        <w:t xml:space="preserve">CPA </w:t>
      </w:r>
      <w:r w:rsidRPr="00F12FE1">
        <w:rPr>
          <w:rFonts w:cs="Times New Roman"/>
        </w:rPr>
        <w:t>is to allow individuals who have provable individual claims to band together to make it more feasible to pursue their claims.</w:t>
      </w:r>
    </w:p>
    <w:p w:rsidR="006A370E" w:rsidRPr="00FD55E3" w:rsidRDefault="006A370E" w:rsidP="006A370E">
      <w:pPr>
        <w:pStyle w:val="ParaNoNdepar-AltN"/>
        <w:autoSpaceDE w:val="0"/>
        <w:autoSpaceDN w:val="0"/>
        <w:adjustRightInd w:val="0"/>
        <w:rPr>
          <w:rFonts w:cs="Times New Roman"/>
        </w:rPr>
      </w:pPr>
      <w:r w:rsidRPr="00FD55E3">
        <w:rPr>
          <w:rFonts w:cs="Times New Roman"/>
        </w:rPr>
        <w:t>The question of whether damages assessed in the aggregate are an appropriate remedy can be certified as a common issue. However, this common issue is only determined at the common issues trial after a finding of liability has been made. The ultimate decision as to whether the aggregate damages provision</w:t>
      </w:r>
      <w:r>
        <w:rPr>
          <w:rFonts w:cs="Times New Roman"/>
        </w:rPr>
        <w:t>s</w:t>
      </w:r>
      <w:r w:rsidRPr="00FD55E3">
        <w:rPr>
          <w:rFonts w:cs="Times New Roman"/>
        </w:rPr>
        <w:t xml:space="preserve"> of the </w:t>
      </w:r>
      <w:r w:rsidRPr="00FD55E3">
        <w:rPr>
          <w:rFonts w:cs="Times New Roman"/>
          <w:i/>
        </w:rPr>
        <w:t xml:space="preserve">CPA </w:t>
      </w:r>
      <w:r w:rsidRPr="00FD55E3">
        <w:rPr>
          <w:rFonts w:cs="Times New Roman"/>
        </w:rPr>
        <w:t>should be available is one that should be left to the common issues trial judge. Further, the failure to propose or certify aggregate damages, or another remedy, as a common issue does not preclude a trial judge from invoking the provisions if considered appropriate once liability is found.</w:t>
      </w:r>
    </w:p>
    <w:p w:rsidR="006A370E" w:rsidRPr="00FD55E3" w:rsidRDefault="006A370E" w:rsidP="006A370E">
      <w:pPr>
        <w:pStyle w:val="ParaNoNdepar-AltN"/>
        <w:rPr>
          <w:rFonts w:cs="Times New Roman"/>
          <w:szCs w:val="24"/>
        </w:rPr>
      </w:pPr>
      <w:r w:rsidRPr="00FD55E3">
        <w:rPr>
          <w:rFonts w:cs="Times New Roman"/>
        </w:rPr>
        <w:t>However, as stated above, the determination that the aggregate damages provision</w:t>
      </w:r>
      <w:r>
        <w:rPr>
          <w:rFonts w:cs="Times New Roman"/>
        </w:rPr>
        <w:t>s</w:t>
      </w:r>
      <w:r w:rsidRPr="00FD55E3">
        <w:rPr>
          <w:rFonts w:cs="Times New Roman"/>
        </w:rPr>
        <w:t xml:space="preserve"> cannot be used to establish proof of loss does not affect Myers</w:t>
      </w:r>
      <w:r>
        <w:rPr>
          <w:rFonts w:cs="Times New Roman"/>
        </w:rPr>
        <w:t xml:space="preserve"> J.’s</w:t>
      </w:r>
      <w:r w:rsidRPr="00FD55E3">
        <w:rPr>
          <w:rFonts w:cs="Times New Roman"/>
        </w:rPr>
        <w:t xml:space="preserve"> </w:t>
      </w:r>
      <w:r w:rsidRPr="00FD55E3">
        <w:rPr>
          <w:rFonts w:cs="Times New Roman"/>
        </w:rPr>
        <w:lastRenderedPageBreak/>
        <w:t xml:space="preserve">decision to certify aggregate damages as a common issue. Despite his erroneous finding that aggregate damages provisions may be invoked to establish liability, he </w:t>
      </w:r>
      <w:r>
        <w:rPr>
          <w:rFonts w:cs="Times New Roman"/>
        </w:rPr>
        <w:t xml:space="preserve">stated that </w:t>
      </w:r>
      <w:r w:rsidRPr="00FD55E3">
        <w:rPr>
          <w:rFonts w:cs="Times New Roman"/>
        </w:rPr>
        <w:t>invoking these provisions for that purpose was not necess</w:t>
      </w:r>
      <w:r>
        <w:rPr>
          <w:rFonts w:cs="Times New Roman"/>
        </w:rPr>
        <w:t xml:space="preserve">ary in this case (see </w:t>
      </w:r>
      <w:proofErr w:type="spellStart"/>
      <w:r>
        <w:rPr>
          <w:rFonts w:cs="Times New Roman"/>
        </w:rPr>
        <w:t>paras</w:t>
      </w:r>
      <w:proofErr w:type="spellEnd"/>
      <w:r>
        <w:rPr>
          <w:rFonts w:cs="Times New Roman"/>
        </w:rPr>
        <w:t>. 119-</w:t>
      </w:r>
      <w:r w:rsidRPr="00FD55E3">
        <w:rPr>
          <w:rFonts w:cs="Times New Roman"/>
        </w:rPr>
        <w:t>20</w:t>
      </w:r>
      <w:r>
        <w:rPr>
          <w:rFonts w:cs="Times New Roman"/>
        </w:rPr>
        <w:t xml:space="preserve"> and</w:t>
      </w:r>
      <w:r w:rsidRPr="00FD55E3">
        <w:rPr>
          <w:rFonts w:cs="Times New Roman"/>
        </w:rPr>
        <w:t xml:space="preserve"> 127). The aggregate damages questions he certified relate solely to whether damages can be determined on an aggregate basis and if so in what amount. Having not actually relied on the proposition that aggregate damages provisions can be used to determine liability, Myers</w:t>
      </w:r>
      <w:r>
        <w:rPr>
          <w:rFonts w:cs="Times New Roman"/>
        </w:rPr>
        <w:t xml:space="preserve"> J.’s</w:t>
      </w:r>
      <w:r w:rsidRPr="00FD55E3">
        <w:rPr>
          <w:rFonts w:cs="Times New Roman"/>
        </w:rPr>
        <w:t xml:space="preserve"> decision to certify questions related to aggregate damages should not be disturbed.</w:t>
      </w:r>
    </w:p>
    <w:p w:rsidR="006A370E" w:rsidRPr="00FD55E3" w:rsidRDefault="00382C97" w:rsidP="00382C97">
      <w:pPr>
        <w:pStyle w:val="Title4LevelTitre4Niveau"/>
        <w:numPr>
          <w:ilvl w:val="0"/>
          <w:numId w:val="0"/>
        </w:numPr>
        <w:tabs>
          <w:tab w:val="left" w:pos="1170"/>
          <w:tab w:val="left" w:pos="1620"/>
        </w:tabs>
        <w:ind w:left="2070" w:hanging="2070"/>
        <w:rPr>
          <w:rFonts w:cs="Times New Roman"/>
        </w:rPr>
      </w:pPr>
      <w:bookmarkStart w:id="202" w:name="_Toc354840814"/>
      <w:bookmarkStart w:id="203" w:name="_Toc354840997"/>
      <w:bookmarkStart w:id="204" w:name="_Toc360611929"/>
      <w:bookmarkStart w:id="205" w:name="_Toc367887606"/>
      <w:bookmarkStart w:id="206" w:name="_Toc367948570"/>
      <w:bookmarkStart w:id="207" w:name="_Toc367957399"/>
      <w:bookmarkStart w:id="208" w:name="_Toc369188647"/>
      <w:bookmarkStart w:id="209" w:name="_Toc370903029"/>
      <w:r>
        <w:rPr>
          <w:rFonts w:cs="Times New Roman"/>
        </w:rPr>
        <w:tab/>
      </w:r>
      <w:r w:rsidRPr="00382C97">
        <w:rPr>
          <w:rFonts w:cs="Times New Roman"/>
          <w:i w:val="0"/>
        </w:rPr>
        <w:t>(c)</w:t>
      </w:r>
      <w:r w:rsidRPr="00382C97">
        <w:rPr>
          <w:rFonts w:cs="Times New Roman"/>
          <w:i w:val="0"/>
        </w:rPr>
        <w:tab/>
      </w:r>
      <w:r w:rsidR="006A370E" w:rsidRPr="00FD55E3">
        <w:rPr>
          <w:rFonts w:cs="Times New Roman"/>
        </w:rPr>
        <w:t>Is a Class Action the Preferable Procedure?</w:t>
      </w:r>
      <w:bookmarkEnd w:id="202"/>
      <w:bookmarkEnd w:id="203"/>
      <w:bookmarkEnd w:id="204"/>
      <w:bookmarkEnd w:id="205"/>
      <w:bookmarkEnd w:id="206"/>
      <w:bookmarkEnd w:id="207"/>
      <w:bookmarkEnd w:id="208"/>
      <w:bookmarkEnd w:id="209"/>
    </w:p>
    <w:p w:rsidR="006A370E" w:rsidRPr="00FD55E3" w:rsidRDefault="006A370E" w:rsidP="006A370E">
      <w:pPr>
        <w:pStyle w:val="ParaNoNdepar-AltN"/>
        <w:rPr>
          <w:rFonts w:cs="Times New Roman"/>
        </w:rPr>
      </w:pPr>
      <w:r w:rsidRPr="00FD55E3">
        <w:rPr>
          <w:rFonts w:cs="Times New Roman"/>
        </w:rPr>
        <w:t xml:space="preserve">The provision of the </w:t>
      </w:r>
      <w:r w:rsidRPr="00FD55E3">
        <w:rPr>
          <w:rFonts w:cs="Times New Roman"/>
          <w:i/>
        </w:rPr>
        <w:t>CPA</w:t>
      </w:r>
      <w:r w:rsidRPr="00FD55E3">
        <w:rPr>
          <w:rFonts w:cs="Times New Roman"/>
        </w:rPr>
        <w:t xml:space="preserve"> relevant to the preferable procedure requirement is s. 4(2). It reads: </w:t>
      </w:r>
    </w:p>
    <w:p w:rsidR="006A370E" w:rsidRPr="00FD55E3" w:rsidRDefault="006A370E" w:rsidP="006A370E">
      <w:pPr>
        <w:pStyle w:val="Citation-AltC"/>
        <w:ind w:left="1530" w:hanging="364"/>
      </w:pPr>
      <w:r w:rsidRPr="00FD55E3">
        <w:t>(2) In determining whether a class proceeding would be the preferable procedure for the fair and efficient resolution of the common issues, the court must consider all relevant matters including the following:</w:t>
      </w:r>
    </w:p>
    <w:p w:rsidR="006A370E" w:rsidRPr="00FD55E3" w:rsidRDefault="006A370E" w:rsidP="006A370E">
      <w:pPr>
        <w:pStyle w:val="Citation-AltC"/>
      </w:pPr>
    </w:p>
    <w:p w:rsidR="006A370E" w:rsidRPr="00FD55E3" w:rsidRDefault="00382C97" w:rsidP="00382C97">
      <w:pPr>
        <w:pStyle w:val="Citation-AltC"/>
        <w:tabs>
          <w:tab w:val="left" w:pos="1530"/>
        </w:tabs>
        <w:autoSpaceDE w:val="0"/>
        <w:autoSpaceDN w:val="0"/>
        <w:adjustRightInd w:val="0"/>
        <w:ind w:left="2070" w:hanging="2070"/>
      </w:pPr>
      <w:r>
        <w:tab/>
        <w:t>(a)</w:t>
      </w:r>
      <w:r>
        <w:tab/>
      </w:r>
      <w:proofErr w:type="gramStart"/>
      <w:r w:rsidR="006A370E" w:rsidRPr="00FD55E3">
        <w:t>whether</w:t>
      </w:r>
      <w:proofErr w:type="gramEnd"/>
      <w:r w:rsidR="006A370E" w:rsidRPr="00FD55E3">
        <w:t xml:space="preserve"> questions of fact or law common to the members of the class predominate over any questions affecting only individual members;</w:t>
      </w:r>
    </w:p>
    <w:p w:rsidR="006A370E" w:rsidRPr="00FD55E3" w:rsidRDefault="006A370E" w:rsidP="006A370E">
      <w:pPr>
        <w:pStyle w:val="Citation-AltC"/>
      </w:pPr>
    </w:p>
    <w:p w:rsidR="006A370E" w:rsidRPr="00FD55E3" w:rsidRDefault="00382C97" w:rsidP="00382C97">
      <w:pPr>
        <w:pStyle w:val="Citation-AltC"/>
        <w:tabs>
          <w:tab w:val="left" w:pos="1530"/>
        </w:tabs>
        <w:autoSpaceDE w:val="0"/>
        <w:autoSpaceDN w:val="0"/>
        <w:adjustRightInd w:val="0"/>
        <w:ind w:left="2070" w:hanging="2070"/>
      </w:pPr>
      <w:r>
        <w:tab/>
        <w:t>(b)</w:t>
      </w:r>
      <w:r>
        <w:tab/>
      </w:r>
      <w:proofErr w:type="gramStart"/>
      <w:r w:rsidR="006A370E" w:rsidRPr="00FD55E3">
        <w:t>whether</w:t>
      </w:r>
      <w:proofErr w:type="gramEnd"/>
      <w:r w:rsidR="006A370E" w:rsidRPr="00FD55E3">
        <w:t xml:space="preserve"> a significant number of the members of the class have a valid interest in individually controlling the prosecution of separate actions;</w:t>
      </w:r>
    </w:p>
    <w:p w:rsidR="006A370E" w:rsidRPr="00FD55E3" w:rsidRDefault="006A370E" w:rsidP="006A370E">
      <w:pPr>
        <w:pStyle w:val="Citation-AltC"/>
      </w:pPr>
    </w:p>
    <w:p w:rsidR="006A370E" w:rsidRPr="00FD55E3" w:rsidRDefault="00382C97" w:rsidP="00382C97">
      <w:pPr>
        <w:pStyle w:val="Citation-AltC"/>
        <w:tabs>
          <w:tab w:val="left" w:pos="1530"/>
        </w:tabs>
        <w:autoSpaceDE w:val="0"/>
        <w:autoSpaceDN w:val="0"/>
        <w:adjustRightInd w:val="0"/>
        <w:ind w:left="2070" w:hanging="2070"/>
      </w:pPr>
      <w:r>
        <w:tab/>
        <w:t>(c)</w:t>
      </w:r>
      <w:r>
        <w:tab/>
      </w:r>
      <w:proofErr w:type="gramStart"/>
      <w:r w:rsidR="006A370E" w:rsidRPr="00FD55E3">
        <w:t>whether</w:t>
      </w:r>
      <w:proofErr w:type="gramEnd"/>
      <w:r w:rsidR="006A370E" w:rsidRPr="00FD55E3">
        <w:t xml:space="preserve"> the class proceeding would involve claims that are or have been the subject of any other proceedings;</w:t>
      </w:r>
    </w:p>
    <w:p w:rsidR="006A370E" w:rsidRPr="00FD55E3" w:rsidRDefault="006A370E" w:rsidP="006A370E">
      <w:pPr>
        <w:pStyle w:val="Citation-AltC"/>
      </w:pPr>
    </w:p>
    <w:p w:rsidR="006A370E" w:rsidRPr="00FD55E3" w:rsidRDefault="00382C97" w:rsidP="00382C97">
      <w:pPr>
        <w:pStyle w:val="Citation-AltC"/>
        <w:tabs>
          <w:tab w:val="left" w:pos="1530"/>
        </w:tabs>
        <w:autoSpaceDE w:val="0"/>
        <w:autoSpaceDN w:val="0"/>
        <w:adjustRightInd w:val="0"/>
        <w:ind w:left="2070" w:hanging="2070"/>
      </w:pPr>
      <w:r>
        <w:tab/>
        <w:t>(d)</w:t>
      </w:r>
      <w:r>
        <w:tab/>
      </w:r>
      <w:proofErr w:type="gramStart"/>
      <w:r w:rsidR="006A370E" w:rsidRPr="00FD55E3">
        <w:t>whether</w:t>
      </w:r>
      <w:proofErr w:type="gramEnd"/>
      <w:r w:rsidR="006A370E" w:rsidRPr="00FD55E3">
        <w:t xml:space="preserve"> other means of resolving the claims are less practical or less efficient;</w:t>
      </w:r>
    </w:p>
    <w:p w:rsidR="006A370E" w:rsidRPr="00FD55E3" w:rsidRDefault="006A370E" w:rsidP="006A370E">
      <w:pPr>
        <w:pStyle w:val="Citation-AltC"/>
      </w:pPr>
    </w:p>
    <w:p w:rsidR="006A370E" w:rsidRPr="00FD55E3" w:rsidRDefault="00382C97" w:rsidP="00382C97">
      <w:pPr>
        <w:pStyle w:val="Citation-AltC"/>
        <w:tabs>
          <w:tab w:val="left" w:pos="1530"/>
        </w:tabs>
        <w:autoSpaceDE w:val="0"/>
        <w:autoSpaceDN w:val="0"/>
        <w:adjustRightInd w:val="0"/>
        <w:ind w:left="2070" w:hanging="2070"/>
      </w:pPr>
      <w:r>
        <w:lastRenderedPageBreak/>
        <w:tab/>
        <w:t>(e)</w:t>
      </w:r>
      <w:r>
        <w:tab/>
      </w:r>
      <w:proofErr w:type="gramStart"/>
      <w:r w:rsidR="006A370E" w:rsidRPr="00FD55E3">
        <w:t>whether</w:t>
      </w:r>
      <w:proofErr w:type="gramEnd"/>
      <w:r w:rsidR="006A370E" w:rsidRPr="00FD55E3">
        <w:t xml:space="preserve"> the administration of the class proceeding would create greater difficulties than those likely to be experienced if relief were sought by other means.</w:t>
      </w:r>
    </w:p>
    <w:p w:rsidR="006A370E" w:rsidRPr="00FD55E3" w:rsidRDefault="006A370E" w:rsidP="006A370E">
      <w:pPr>
        <w:pStyle w:val="ParaNoNdepar-AltN"/>
        <w:rPr>
          <w:rFonts w:cs="Times New Roman"/>
        </w:rPr>
      </w:pPr>
      <w:r>
        <w:rPr>
          <w:rFonts w:cs="Times New Roman"/>
        </w:rPr>
        <w:t xml:space="preserve">In </w:t>
      </w:r>
      <w:proofErr w:type="spellStart"/>
      <w:r w:rsidRPr="00FD55E3">
        <w:rPr>
          <w:rFonts w:cs="Times New Roman"/>
          <w:i/>
        </w:rPr>
        <w:t>Hollick</w:t>
      </w:r>
      <w:proofErr w:type="spellEnd"/>
      <w:r>
        <w:rPr>
          <w:rFonts w:cs="Times New Roman"/>
        </w:rPr>
        <w:t xml:space="preserve">, this Court said that </w:t>
      </w:r>
      <w:proofErr w:type="spellStart"/>
      <w:r>
        <w:rPr>
          <w:rFonts w:cs="Times New Roman"/>
        </w:rPr>
        <w:t>preferability</w:t>
      </w:r>
      <w:proofErr w:type="spellEnd"/>
      <w:r>
        <w:rPr>
          <w:rFonts w:cs="Times New Roman"/>
        </w:rPr>
        <w:t xml:space="preserve"> </w:t>
      </w:r>
      <w:r w:rsidRPr="00FD55E3">
        <w:rPr>
          <w:rFonts w:cs="Times New Roman"/>
        </w:rPr>
        <w:t xml:space="preserve">must be examined in reference to the three principal aims of the class action regime: </w:t>
      </w:r>
      <w:r>
        <w:rPr>
          <w:rFonts w:cs="Times New Roman"/>
        </w:rPr>
        <w:t xml:space="preserve">“. . . </w:t>
      </w:r>
      <w:r w:rsidRPr="00FD55E3">
        <w:rPr>
          <w:rFonts w:cs="Times New Roman"/>
        </w:rPr>
        <w:t>judicial economy, access to justice, and behaviour modification</w:t>
      </w:r>
      <w:r>
        <w:rPr>
          <w:rFonts w:cs="Times New Roman"/>
        </w:rPr>
        <w:t>” (</w:t>
      </w:r>
      <w:proofErr w:type="spellStart"/>
      <w:r w:rsidRPr="00FD55E3">
        <w:rPr>
          <w:rFonts w:cs="Times New Roman"/>
        </w:rPr>
        <w:t>para</w:t>
      </w:r>
      <w:proofErr w:type="spellEnd"/>
      <w:r w:rsidRPr="00FD55E3">
        <w:rPr>
          <w:rFonts w:cs="Times New Roman"/>
        </w:rPr>
        <w:t>. 27</w:t>
      </w:r>
      <w:r>
        <w:rPr>
          <w:rFonts w:cs="Times New Roman"/>
        </w:rPr>
        <w:t>)</w:t>
      </w:r>
      <w:r w:rsidRPr="00FD55E3">
        <w:rPr>
          <w:rFonts w:cs="Times New Roman"/>
        </w:rPr>
        <w:t xml:space="preserve">.   </w:t>
      </w:r>
    </w:p>
    <w:p w:rsidR="006A370E" w:rsidRPr="00FD55E3" w:rsidRDefault="006A370E" w:rsidP="006A370E">
      <w:pPr>
        <w:pStyle w:val="ParaNoNdepar-AltN"/>
        <w:rPr>
          <w:rFonts w:cs="Times New Roman"/>
        </w:rPr>
      </w:pPr>
      <w:r w:rsidRPr="00FD55E3">
        <w:rPr>
          <w:rFonts w:cs="Times New Roman"/>
        </w:rPr>
        <w:t xml:space="preserve">Microsoft argues that the lack of commonality between the class members and the abundance of individual issues signifies that a class proceeding will not be a “fair, efficient and manageable method of advancing the claim” as required by </w:t>
      </w:r>
      <w:proofErr w:type="spellStart"/>
      <w:r w:rsidRPr="00FD55E3">
        <w:rPr>
          <w:rFonts w:cs="Times New Roman"/>
          <w:i/>
        </w:rPr>
        <w:t>Hollick</w:t>
      </w:r>
      <w:proofErr w:type="spellEnd"/>
      <w:r>
        <w:rPr>
          <w:rFonts w:cs="Times New Roman"/>
        </w:rPr>
        <w:t xml:space="preserve"> (</w:t>
      </w:r>
      <w:r w:rsidRPr="00FD55E3">
        <w:rPr>
          <w:rFonts w:cs="Times New Roman"/>
        </w:rPr>
        <w:t>R</w:t>
      </w:r>
      <w:r>
        <w:rPr>
          <w:rFonts w:cs="Times New Roman"/>
        </w:rPr>
        <w:t>.</w:t>
      </w:r>
      <w:r w:rsidRPr="00FD55E3">
        <w:rPr>
          <w:rFonts w:cs="Times New Roman"/>
        </w:rPr>
        <w:t>F</w:t>
      </w:r>
      <w:r>
        <w:rPr>
          <w:rFonts w:cs="Times New Roman"/>
        </w:rPr>
        <w:t xml:space="preserve">., at </w:t>
      </w:r>
      <w:proofErr w:type="spellStart"/>
      <w:r>
        <w:rPr>
          <w:rFonts w:cs="Times New Roman"/>
        </w:rPr>
        <w:t>para</w:t>
      </w:r>
      <w:proofErr w:type="spellEnd"/>
      <w:r>
        <w:rPr>
          <w:rFonts w:cs="Times New Roman"/>
        </w:rPr>
        <w:t>. 84,</w:t>
      </w:r>
      <w:r w:rsidRPr="00FD55E3">
        <w:rPr>
          <w:rFonts w:cs="Times New Roman"/>
        </w:rPr>
        <w:t xml:space="preserve"> citing </w:t>
      </w:r>
      <w:proofErr w:type="spellStart"/>
      <w:r w:rsidRPr="00FD55E3">
        <w:rPr>
          <w:rFonts w:cs="Times New Roman"/>
          <w:i/>
        </w:rPr>
        <w:t>Hollick</w:t>
      </w:r>
      <w:proofErr w:type="spellEnd"/>
      <w:r>
        <w:rPr>
          <w:rFonts w:cs="Times New Roman"/>
        </w:rPr>
        <w:t>,</w:t>
      </w:r>
      <w:r w:rsidRPr="00FD55E3">
        <w:rPr>
          <w:rFonts w:cs="Times New Roman"/>
          <w:i/>
        </w:rPr>
        <w:t xml:space="preserve"> </w:t>
      </w:r>
      <w:r w:rsidRPr="00FD55E3">
        <w:rPr>
          <w:rFonts w:cs="Times New Roman"/>
        </w:rPr>
        <w:t xml:space="preserve">at </w:t>
      </w:r>
      <w:proofErr w:type="spellStart"/>
      <w:r w:rsidRPr="00FD55E3">
        <w:rPr>
          <w:rFonts w:cs="Times New Roman"/>
        </w:rPr>
        <w:t>para</w:t>
      </w:r>
      <w:proofErr w:type="spellEnd"/>
      <w:r w:rsidRPr="00FD55E3">
        <w:rPr>
          <w:rFonts w:cs="Times New Roman"/>
        </w:rPr>
        <w:t>. 28</w:t>
      </w:r>
      <w:r>
        <w:rPr>
          <w:rFonts w:cs="Times New Roman"/>
        </w:rPr>
        <w:t>)</w:t>
      </w:r>
      <w:r w:rsidRPr="00FD55E3">
        <w:rPr>
          <w:rFonts w:cs="Times New Roman"/>
        </w:rPr>
        <w:t>. It argues that the access to justice function of class actions will not be served by certifying the action because it will inevitably break down into numerous individual</w:t>
      </w:r>
      <w:r>
        <w:rPr>
          <w:rFonts w:cs="Times New Roman"/>
        </w:rPr>
        <w:t xml:space="preserve"> trials</w:t>
      </w:r>
      <w:r w:rsidRPr="00FD55E3">
        <w:rPr>
          <w:rFonts w:cs="Times New Roman"/>
        </w:rPr>
        <w:t xml:space="preserve">, subjecting the class members to delays. It also argues that the tendency of indirect purchaser action to result in </w:t>
      </w:r>
      <w:r w:rsidRPr="00FD55E3">
        <w:rPr>
          <w:rFonts w:cs="Times New Roman"/>
          <w:i/>
        </w:rPr>
        <w:t>cy</w:t>
      </w:r>
      <w:r>
        <w:rPr>
          <w:rFonts w:cs="Times New Roman"/>
          <w:i/>
        </w:rPr>
        <w:t>-</w:t>
      </w:r>
      <w:proofErr w:type="spellStart"/>
      <w:r w:rsidRPr="00FD55E3">
        <w:rPr>
          <w:rFonts w:cs="Times New Roman"/>
          <w:i/>
        </w:rPr>
        <w:t>près</w:t>
      </w:r>
      <w:proofErr w:type="spellEnd"/>
      <w:r w:rsidRPr="00FD55E3">
        <w:rPr>
          <w:rFonts w:cs="Times New Roman"/>
          <w:i/>
        </w:rPr>
        <w:t xml:space="preserve"> </w:t>
      </w:r>
      <w:r w:rsidRPr="00FD55E3">
        <w:rPr>
          <w:rFonts w:cs="Times New Roman"/>
        </w:rPr>
        <w:t xml:space="preserve">awards </w:t>
      </w:r>
      <w:r>
        <w:rPr>
          <w:rFonts w:cs="Times New Roman"/>
          <w:szCs w:val="24"/>
        </w:rPr>
        <w:t>—</w:t>
      </w:r>
      <w:r w:rsidRPr="00FD55E3">
        <w:rPr>
          <w:rFonts w:cs="Times New Roman"/>
        </w:rPr>
        <w:t xml:space="preserve"> made where it would be impractical to distribute the awar</w:t>
      </w:r>
      <w:r>
        <w:rPr>
          <w:rFonts w:cs="Times New Roman"/>
        </w:rPr>
        <w:t xml:space="preserve">d to the individual plaintiffs </w:t>
      </w:r>
      <w:r>
        <w:rPr>
          <w:rFonts w:cs="Times New Roman"/>
          <w:szCs w:val="24"/>
        </w:rPr>
        <w:t>—</w:t>
      </w:r>
      <w:r w:rsidRPr="00FD55E3">
        <w:rPr>
          <w:rFonts w:cs="Times New Roman"/>
        </w:rPr>
        <w:t xml:space="preserve"> further frust</w:t>
      </w:r>
      <w:r>
        <w:rPr>
          <w:rFonts w:cs="Times New Roman"/>
        </w:rPr>
        <w:t>rates the access to justice aim</w:t>
      </w:r>
      <w:r w:rsidRPr="00FD55E3">
        <w:rPr>
          <w:rFonts w:cs="Times New Roman"/>
        </w:rPr>
        <w:t xml:space="preserve">. As to the objective of behaviour modification, Microsoft contends that it is more properly a concern for the Competition </w:t>
      </w:r>
      <w:r>
        <w:rPr>
          <w:rFonts w:cs="Times New Roman"/>
        </w:rPr>
        <w:t xml:space="preserve">Commissioner </w:t>
      </w:r>
      <w:r w:rsidRPr="00FD55E3">
        <w:rPr>
          <w:rFonts w:cs="Times New Roman"/>
        </w:rPr>
        <w:t xml:space="preserve">and that the procedures that can be initiated by that body are the preferable forum in which to deal with the wrongs alleged in this case. </w:t>
      </w:r>
    </w:p>
    <w:p w:rsidR="006A370E" w:rsidRPr="00FD55E3" w:rsidRDefault="006A370E" w:rsidP="006A370E">
      <w:pPr>
        <w:pStyle w:val="ParaNoNdepar-AltN"/>
        <w:rPr>
          <w:rFonts w:cs="Times New Roman"/>
        </w:rPr>
      </w:pPr>
      <w:r w:rsidRPr="00FD55E3">
        <w:rPr>
          <w:rFonts w:cs="Times New Roman"/>
        </w:rPr>
        <w:t xml:space="preserve">I am unable to accept these arguments. In </w:t>
      </w:r>
      <w:proofErr w:type="spellStart"/>
      <w:r w:rsidRPr="00FD55E3">
        <w:rPr>
          <w:rFonts w:cs="Times New Roman"/>
          <w:i/>
        </w:rPr>
        <w:t>Hollick</w:t>
      </w:r>
      <w:proofErr w:type="spellEnd"/>
      <w:r w:rsidRPr="00FD55E3">
        <w:rPr>
          <w:rFonts w:cs="Times New Roman"/>
        </w:rPr>
        <w:t xml:space="preserve">, </w:t>
      </w:r>
      <w:proofErr w:type="spellStart"/>
      <w:r w:rsidRPr="00FD55E3">
        <w:rPr>
          <w:rFonts w:cs="Times New Roman"/>
        </w:rPr>
        <w:t>McLachlin</w:t>
      </w:r>
      <w:proofErr w:type="spellEnd"/>
      <w:r w:rsidRPr="00FD55E3">
        <w:rPr>
          <w:rFonts w:cs="Times New Roman"/>
        </w:rPr>
        <w:t xml:space="preserve"> C.J. </w:t>
      </w:r>
      <w:r>
        <w:rPr>
          <w:rFonts w:cs="Times New Roman"/>
        </w:rPr>
        <w:t xml:space="preserve">was of the view that the plaintiff had not satisfied the certification requirements </w:t>
      </w:r>
      <w:r w:rsidRPr="00FD55E3">
        <w:rPr>
          <w:rFonts w:cs="Times New Roman"/>
        </w:rPr>
        <w:t xml:space="preserve">on the grounds that </w:t>
      </w:r>
      <w:r>
        <w:rPr>
          <w:rFonts w:cs="Times New Roman"/>
        </w:rPr>
        <w:t xml:space="preserve">a class proceeding </w:t>
      </w:r>
      <w:r w:rsidRPr="00FD55E3">
        <w:rPr>
          <w:rFonts w:cs="Times New Roman"/>
        </w:rPr>
        <w:t xml:space="preserve">was not the preferable procedure. In that case, she </w:t>
      </w:r>
      <w:r w:rsidRPr="00FD55E3">
        <w:rPr>
          <w:rFonts w:cs="Times New Roman"/>
        </w:rPr>
        <w:lastRenderedPageBreak/>
        <w:t>found that the question of whether or not the defendant had unlawfully emitted methane gas and other pollutants was common to all class members. However, as to whether loss could be established on a class</w:t>
      </w:r>
      <w:r>
        <w:rPr>
          <w:rFonts w:cs="Times New Roman"/>
        </w:rPr>
        <w:t>-</w:t>
      </w:r>
      <w:r w:rsidRPr="00FD55E3">
        <w:rPr>
          <w:rFonts w:cs="Times New Roman"/>
        </w:rPr>
        <w:t xml:space="preserve">wide basis, she found too many differences among the class members to consider loss a common issue. In other words, while she found that there was a common issue related to the existence of the cause of action, she did not consider the loss-related issues to be common to all the class members. She dismissed the class action on the basis </w:t>
      </w:r>
      <w:proofErr w:type="gramStart"/>
      <w:r w:rsidRPr="00FD55E3">
        <w:rPr>
          <w:rFonts w:cs="Times New Roman"/>
        </w:rPr>
        <w:t>that  “</w:t>
      </w:r>
      <w:proofErr w:type="gramEnd"/>
      <w:r w:rsidRPr="00FD55E3">
        <w:rPr>
          <w:rFonts w:cs="Times New Roman"/>
          <w:szCs w:val="24"/>
        </w:rPr>
        <w:t>[o]</w:t>
      </w:r>
      <w:proofErr w:type="spellStart"/>
      <w:r w:rsidRPr="00FD55E3">
        <w:rPr>
          <w:rFonts w:cs="Times New Roman"/>
          <w:szCs w:val="24"/>
        </w:rPr>
        <w:t>nce</w:t>
      </w:r>
      <w:proofErr w:type="spellEnd"/>
      <w:r w:rsidRPr="00FD55E3">
        <w:rPr>
          <w:rFonts w:cs="Times New Roman"/>
          <w:szCs w:val="24"/>
        </w:rPr>
        <w:t xml:space="preserve"> the common issue is seen in the context of the entire claim, it becomes difficult to say that the resolution of the common issue will significantly advance the action”</w:t>
      </w:r>
      <w:r>
        <w:rPr>
          <w:rFonts w:cs="Times New Roman"/>
          <w:szCs w:val="24"/>
        </w:rPr>
        <w:t xml:space="preserve"> (</w:t>
      </w:r>
      <w:proofErr w:type="spellStart"/>
      <w:r w:rsidRPr="00FD55E3">
        <w:rPr>
          <w:rFonts w:cs="Times New Roman"/>
          <w:szCs w:val="24"/>
        </w:rPr>
        <w:t>para</w:t>
      </w:r>
      <w:proofErr w:type="spellEnd"/>
      <w:r w:rsidRPr="00FD55E3">
        <w:rPr>
          <w:rFonts w:cs="Times New Roman"/>
          <w:szCs w:val="24"/>
        </w:rPr>
        <w:t>. 32</w:t>
      </w:r>
      <w:r>
        <w:rPr>
          <w:rFonts w:cs="Times New Roman"/>
          <w:szCs w:val="24"/>
        </w:rPr>
        <w:t>)</w:t>
      </w:r>
      <w:r w:rsidRPr="00FD55E3">
        <w:rPr>
          <w:rFonts w:cs="Times New Roman"/>
          <w:szCs w:val="24"/>
        </w:rPr>
        <w:t xml:space="preserve">.  </w:t>
      </w:r>
    </w:p>
    <w:p w:rsidR="006A370E" w:rsidRPr="00FD55E3" w:rsidRDefault="006A370E" w:rsidP="006A370E">
      <w:pPr>
        <w:pStyle w:val="ParaNoNdepar-AltN"/>
        <w:rPr>
          <w:rFonts w:cs="Times New Roman"/>
        </w:rPr>
      </w:pPr>
      <w:r w:rsidRPr="00FD55E3">
        <w:rPr>
          <w:rFonts w:cs="Times New Roman"/>
          <w:szCs w:val="24"/>
        </w:rPr>
        <w:t xml:space="preserve">In the present case, there are common issues related to the existence of the causes of action, but there are also common issues related to loss to the class members. Unlike </w:t>
      </w:r>
      <w:proofErr w:type="spellStart"/>
      <w:r w:rsidRPr="00FD55E3">
        <w:rPr>
          <w:rFonts w:cs="Times New Roman"/>
          <w:i/>
          <w:szCs w:val="24"/>
        </w:rPr>
        <w:t>Hollick</w:t>
      </w:r>
      <w:proofErr w:type="spellEnd"/>
      <w:r>
        <w:rPr>
          <w:rFonts w:cs="Times New Roman"/>
          <w:szCs w:val="24"/>
        </w:rPr>
        <w:t>, here</w:t>
      </w:r>
      <w:r w:rsidRPr="00FD55E3">
        <w:rPr>
          <w:rFonts w:cs="Times New Roman"/>
          <w:szCs w:val="24"/>
        </w:rPr>
        <w:t xml:space="preserve"> the loss-related issues can be said to be common because there is an expert methodology that has been found to have a realistic prospect of establishing loss on a class-wide basis. </w:t>
      </w:r>
      <w:r w:rsidRPr="00FD55E3">
        <w:rPr>
          <w:rFonts w:cs="Times New Roman"/>
        </w:rPr>
        <w:t>If the common issues were to be resolved, they would be determinative of Microsoft’s liability and of whether passing on of the overcharge to the indirect purchasers has occurred. Because such determinations will be essential in order for the class members to recover, it can be said, in this case, that a resolution of the common issues would significantly advance the action. While it is possible that individual issues may arise at the trial of the common issues, it is implicit in the reasons of Myers J. that</w:t>
      </w:r>
      <w:r>
        <w:rPr>
          <w:rFonts w:cs="Times New Roman"/>
        </w:rPr>
        <w:t>,</w:t>
      </w:r>
      <w:r w:rsidRPr="00FD55E3">
        <w:rPr>
          <w:rFonts w:cs="Times New Roman"/>
        </w:rPr>
        <w:t xml:space="preserve"> at the certification stage, he found the common issues to predominate over issues affecting only individual </w:t>
      </w:r>
      <w:r w:rsidRPr="00FD55E3">
        <w:rPr>
          <w:rFonts w:cs="Times New Roman"/>
        </w:rPr>
        <w:lastRenderedPageBreak/>
        <w:t>class members. I would agree. In the circumstances, I would not interfere with his finding that the class action is the preferable procedure.</w:t>
      </w:r>
    </w:p>
    <w:p w:rsidR="006A370E" w:rsidRPr="00FD55E3" w:rsidRDefault="006A370E" w:rsidP="006A370E">
      <w:pPr>
        <w:pStyle w:val="ParaNoNdepar-AltN"/>
        <w:rPr>
          <w:rFonts w:cs="Times New Roman"/>
        </w:rPr>
      </w:pPr>
      <w:r w:rsidRPr="00FD55E3">
        <w:rPr>
          <w:rFonts w:cs="Times New Roman"/>
        </w:rPr>
        <w:t xml:space="preserve">It is also premature to assume that the award in this case will result in </w:t>
      </w:r>
      <w:r w:rsidRPr="00FD55E3">
        <w:rPr>
          <w:rFonts w:cs="Times New Roman"/>
          <w:i/>
        </w:rPr>
        <w:t>cy</w:t>
      </w:r>
      <w:r>
        <w:rPr>
          <w:rFonts w:cs="Times New Roman"/>
          <w:i/>
        </w:rPr>
        <w:t>-</w:t>
      </w:r>
      <w:proofErr w:type="spellStart"/>
      <w:r w:rsidRPr="00FD55E3">
        <w:rPr>
          <w:rFonts w:cs="Times New Roman"/>
          <w:i/>
        </w:rPr>
        <w:t>près</w:t>
      </w:r>
      <w:proofErr w:type="spellEnd"/>
      <w:r w:rsidRPr="00FD55E3">
        <w:rPr>
          <w:rFonts w:cs="Times New Roman"/>
          <w:i/>
        </w:rPr>
        <w:t xml:space="preserve"> </w:t>
      </w:r>
      <w:r w:rsidRPr="00FD55E3">
        <w:rPr>
          <w:rFonts w:cs="Times New Roman"/>
        </w:rPr>
        <w:t xml:space="preserve">distribution or that the objective of access to justice will be frustrated on this account. Further, </w:t>
      </w:r>
      <w:r>
        <w:rPr>
          <w:rFonts w:cs="Times New Roman"/>
        </w:rPr>
        <w:t>while</w:t>
      </w:r>
      <w:r w:rsidRPr="00FD55E3">
        <w:rPr>
          <w:rFonts w:cs="Times New Roman"/>
        </w:rPr>
        <w:t xml:space="preserve"> under the </w:t>
      </w:r>
      <w:r w:rsidRPr="00FD55E3">
        <w:rPr>
          <w:rFonts w:cs="Times New Roman"/>
          <w:i/>
        </w:rPr>
        <w:t>Competition Act</w:t>
      </w:r>
      <w:r w:rsidRPr="00FD55E3">
        <w:rPr>
          <w:rFonts w:cs="Times New Roman"/>
        </w:rPr>
        <w:t xml:space="preserve"> the Competition </w:t>
      </w:r>
      <w:r>
        <w:rPr>
          <w:rFonts w:cs="Times New Roman"/>
        </w:rPr>
        <w:t xml:space="preserve">Commissioner </w:t>
      </w:r>
      <w:r w:rsidRPr="00FD55E3">
        <w:rPr>
          <w:rFonts w:cs="Times New Roman"/>
        </w:rPr>
        <w:t xml:space="preserve">is the primary organ responsible for deterrence and behaviour modification, the </w:t>
      </w:r>
      <w:r>
        <w:rPr>
          <w:rFonts w:cs="Times New Roman"/>
        </w:rPr>
        <w:t xml:space="preserve">Competition </w:t>
      </w:r>
      <w:r w:rsidRPr="00FD55E3">
        <w:rPr>
          <w:rFonts w:cs="Times New Roman"/>
        </w:rPr>
        <w:t>Bureau in this case has said that</w:t>
      </w:r>
      <w:r>
        <w:rPr>
          <w:rFonts w:cs="Times New Roman"/>
        </w:rPr>
        <w:t xml:space="preserve"> </w:t>
      </w:r>
      <w:r w:rsidRPr="00FD55E3">
        <w:rPr>
          <w:rFonts w:cs="Times New Roman"/>
        </w:rPr>
        <w:t>it will not be</w:t>
      </w:r>
      <w:r>
        <w:rPr>
          <w:rFonts w:cs="Times New Roman"/>
        </w:rPr>
        <w:t xml:space="preserve"> </w:t>
      </w:r>
      <w:r w:rsidRPr="00FD55E3">
        <w:rPr>
          <w:rFonts w:cs="Times New Roman"/>
        </w:rPr>
        <w:t xml:space="preserve">pursuing any action against Microsoft. Accordingly, if the class action does not proceed, the objectives of deterrence and behaviour modification will not be addressed at all. On this issue, the class action is not only the preferable procedure but the only procedure available to serve these objectives.  </w:t>
      </w:r>
    </w:p>
    <w:p w:rsidR="006A370E" w:rsidRPr="00FD55E3" w:rsidRDefault="00382C97" w:rsidP="00382C97">
      <w:pPr>
        <w:pStyle w:val="Title3LevelTitre3Niveau"/>
        <w:numPr>
          <w:ilvl w:val="0"/>
          <w:numId w:val="0"/>
        </w:numPr>
        <w:tabs>
          <w:tab w:val="left" w:pos="1170"/>
        </w:tabs>
        <w:ind w:left="1800" w:hanging="1800"/>
        <w:rPr>
          <w:rFonts w:cs="Times New Roman"/>
        </w:rPr>
      </w:pPr>
      <w:bookmarkStart w:id="210" w:name="_Toc360611930"/>
      <w:bookmarkStart w:id="211" w:name="_Toc367887607"/>
      <w:bookmarkStart w:id="212" w:name="_Toc367948571"/>
      <w:bookmarkStart w:id="213" w:name="_Toc367957400"/>
      <w:bookmarkStart w:id="214" w:name="_Toc369188648"/>
      <w:bookmarkStart w:id="215" w:name="_Toc370903030"/>
      <w:r w:rsidRPr="00382C97">
        <w:rPr>
          <w:rFonts w:cs="Times New Roman"/>
          <w:u w:val="none"/>
        </w:rPr>
        <w:tab/>
        <w:t>(4)</w:t>
      </w:r>
      <w:r w:rsidRPr="00382C97">
        <w:rPr>
          <w:rFonts w:cs="Times New Roman"/>
          <w:u w:val="none"/>
        </w:rPr>
        <w:tab/>
      </w:r>
      <w:r w:rsidR="006A370E" w:rsidRPr="00FD55E3">
        <w:rPr>
          <w:rFonts w:cs="Times New Roman"/>
        </w:rPr>
        <w:t>Conclusion on the Certification of the Action</w:t>
      </w:r>
      <w:bookmarkEnd w:id="210"/>
      <w:bookmarkEnd w:id="211"/>
      <w:bookmarkEnd w:id="212"/>
      <w:bookmarkEnd w:id="213"/>
      <w:bookmarkEnd w:id="214"/>
      <w:bookmarkEnd w:id="215"/>
    </w:p>
    <w:p w:rsidR="006A370E" w:rsidRPr="00FD55E3" w:rsidRDefault="006A370E" w:rsidP="006A370E">
      <w:pPr>
        <w:pStyle w:val="ParaNoNdepar-AltN"/>
        <w:rPr>
          <w:rFonts w:cs="Times New Roman"/>
        </w:rPr>
      </w:pPr>
      <w:r w:rsidRPr="00FD55E3">
        <w:rPr>
          <w:rFonts w:cs="Times New Roman"/>
        </w:rPr>
        <w:t xml:space="preserve">I would restore the orders of the </w:t>
      </w:r>
      <w:r>
        <w:rPr>
          <w:rFonts w:cs="Times New Roman"/>
        </w:rPr>
        <w:t>applications</w:t>
      </w:r>
      <w:r w:rsidRPr="00FD55E3">
        <w:rPr>
          <w:rFonts w:cs="Times New Roman"/>
        </w:rPr>
        <w:t xml:space="preserve"> judges allowing for certification of this action as a class proceeding with the exception that the pleadings based on constructive trust be struck. </w:t>
      </w:r>
    </w:p>
    <w:p w:rsidR="006A370E" w:rsidRPr="00FD55E3" w:rsidRDefault="00382C97" w:rsidP="00382C97">
      <w:pPr>
        <w:pStyle w:val="Title1LevelTitre1Niveau-AltL"/>
        <w:numPr>
          <w:ilvl w:val="0"/>
          <w:numId w:val="0"/>
        </w:numPr>
        <w:tabs>
          <w:tab w:val="left" w:pos="540"/>
        </w:tabs>
        <w:ind w:left="540" w:hanging="540"/>
        <w:rPr>
          <w:rFonts w:cs="Times New Roman"/>
        </w:rPr>
      </w:pPr>
      <w:bookmarkStart w:id="216" w:name="_Toc354840815"/>
      <w:bookmarkStart w:id="217" w:name="_Toc354840998"/>
      <w:bookmarkStart w:id="218" w:name="_Toc360611932"/>
      <w:bookmarkStart w:id="219" w:name="_Toc367887609"/>
      <w:bookmarkStart w:id="220" w:name="_Toc367948573"/>
      <w:bookmarkStart w:id="221" w:name="_Toc367957402"/>
      <w:bookmarkStart w:id="222" w:name="_Toc369188650"/>
      <w:bookmarkStart w:id="223" w:name="_Toc370903031"/>
      <w:r w:rsidRPr="00382C97">
        <w:rPr>
          <w:rFonts w:cs="Times New Roman"/>
          <w:u w:val="none"/>
        </w:rPr>
        <w:t>V.</w:t>
      </w:r>
      <w:r w:rsidRPr="00382C97">
        <w:rPr>
          <w:rFonts w:cs="Times New Roman"/>
          <w:u w:val="none"/>
        </w:rPr>
        <w:tab/>
      </w:r>
      <w:r w:rsidR="006A370E" w:rsidRPr="00FD55E3">
        <w:rPr>
          <w:rFonts w:cs="Times New Roman"/>
        </w:rPr>
        <w:t>C</w:t>
      </w:r>
      <w:r w:rsidR="006A370E">
        <w:rPr>
          <w:rFonts w:cs="Times New Roman"/>
        </w:rPr>
        <w:t>onclusion</w:t>
      </w:r>
      <w:bookmarkEnd w:id="216"/>
      <w:bookmarkEnd w:id="217"/>
      <w:bookmarkEnd w:id="218"/>
      <w:bookmarkEnd w:id="219"/>
      <w:bookmarkEnd w:id="220"/>
      <w:bookmarkEnd w:id="221"/>
      <w:bookmarkEnd w:id="222"/>
      <w:bookmarkEnd w:id="223"/>
    </w:p>
    <w:p w:rsidR="006A370E" w:rsidRPr="00FD55E3" w:rsidRDefault="006A370E" w:rsidP="006A370E">
      <w:pPr>
        <w:pStyle w:val="ParaNoNdepar-AltN"/>
        <w:rPr>
          <w:rFonts w:cs="Times New Roman"/>
        </w:rPr>
      </w:pPr>
      <w:r w:rsidRPr="00FD55E3">
        <w:rPr>
          <w:rFonts w:cs="Times New Roman"/>
        </w:rPr>
        <w:lastRenderedPageBreak/>
        <w:t>For the above reasons, I would allow the appeal with costs</w:t>
      </w:r>
      <w:r w:rsidR="00027721">
        <w:rPr>
          <w:rFonts w:cs="Times New Roman"/>
        </w:rPr>
        <w:t xml:space="preserve"> in this Court only</w:t>
      </w:r>
      <w:r w:rsidRPr="00FD55E3">
        <w:rPr>
          <w:rFonts w:cs="Times New Roman"/>
        </w:rPr>
        <w:t>.</w:t>
      </w:r>
      <w:r w:rsidR="00027721">
        <w:rPr>
          <w:rStyle w:val="FootnoteReference"/>
          <w:rFonts w:cs="Times New Roman"/>
        </w:rPr>
        <w:footnoteReference w:customMarkFollows="1" w:id="1"/>
        <w:t>*</w:t>
      </w:r>
      <w:r w:rsidRPr="00FD55E3">
        <w:rPr>
          <w:rFonts w:cs="Times New Roman"/>
        </w:rPr>
        <w:t xml:space="preserve"> </w:t>
      </w:r>
    </w:p>
    <w:p w:rsidR="006A370E" w:rsidRPr="00FD55E3" w:rsidRDefault="006A370E" w:rsidP="006A370E">
      <w:pPr>
        <w:rPr>
          <w:rFonts w:eastAsiaTheme="majorEastAsia"/>
          <w:bCs/>
          <w:sz w:val="28"/>
          <w:szCs w:val="28"/>
          <w:u w:val="single"/>
        </w:rPr>
      </w:pPr>
      <w:bookmarkStart w:id="224" w:name="_Toc360611933"/>
    </w:p>
    <w:p w:rsidR="006A370E" w:rsidRPr="00FD55E3" w:rsidRDefault="006A370E" w:rsidP="00382C97">
      <w:pPr>
        <w:pStyle w:val="Heading1"/>
        <w:jc w:val="center"/>
        <w:rPr>
          <w:rFonts w:ascii="Times New Roman" w:hAnsi="Times New Roman" w:cs="Times New Roman"/>
          <w:b w:val="0"/>
          <w:color w:val="auto"/>
          <w:u w:val="single"/>
        </w:rPr>
      </w:pPr>
      <w:bookmarkStart w:id="225" w:name="_Toc369188651"/>
      <w:r w:rsidRPr="00355176">
        <w:rPr>
          <w:rFonts w:ascii="Times New Roman" w:hAnsi="Times New Roman" w:cs="Times New Roman"/>
          <w:b w:val="0"/>
          <w:color w:val="auto"/>
          <w:sz w:val="24"/>
          <w:szCs w:val="24"/>
          <w:u w:val="single"/>
        </w:rPr>
        <w:t>APPENDIX</w:t>
      </w:r>
      <w:r w:rsidRPr="00FD55E3">
        <w:rPr>
          <w:rFonts w:ascii="Times New Roman" w:hAnsi="Times New Roman" w:cs="Times New Roman"/>
          <w:b w:val="0"/>
          <w:color w:val="auto"/>
          <w:u w:val="single"/>
        </w:rPr>
        <w:t>: Common Issues Certified by Myers J.</w:t>
      </w:r>
      <w:bookmarkEnd w:id="224"/>
      <w:bookmarkEnd w:id="225"/>
    </w:p>
    <w:p w:rsidR="006A370E" w:rsidRPr="00FD55E3" w:rsidRDefault="006A370E" w:rsidP="006A370E">
      <w:pPr>
        <w:jc w:val="both"/>
      </w:pPr>
    </w:p>
    <w:p w:rsidR="006A370E" w:rsidRPr="00FD55E3" w:rsidRDefault="006A370E" w:rsidP="006A370E">
      <w:pPr>
        <w:jc w:val="both"/>
      </w:pPr>
    </w:p>
    <w:p w:rsidR="006A370E" w:rsidRPr="00FD55E3" w:rsidRDefault="006A370E" w:rsidP="006A370E">
      <w:pPr>
        <w:ind w:left="720"/>
        <w:jc w:val="both"/>
      </w:pPr>
      <w:r w:rsidRPr="00FD55E3">
        <w:t xml:space="preserve">Breach of </w:t>
      </w:r>
      <w:r w:rsidRPr="00FD55E3">
        <w:rPr>
          <w:i/>
        </w:rPr>
        <w:t>Competition Act</w:t>
      </w:r>
      <w:r w:rsidRPr="00FD55E3">
        <w:t>, R.S.C. 1985, c. C-34</w:t>
      </w:r>
    </w:p>
    <w:p w:rsidR="006A370E" w:rsidRPr="00FD55E3" w:rsidRDefault="006A370E" w:rsidP="006A370E">
      <w:pPr>
        <w:ind w:left="720"/>
        <w:jc w:val="both"/>
      </w:pPr>
    </w:p>
    <w:p w:rsidR="006A370E" w:rsidRPr="00FD55E3" w:rsidRDefault="006A370E" w:rsidP="006A370E">
      <w:pPr>
        <w:ind w:left="2160" w:hanging="720"/>
        <w:jc w:val="both"/>
      </w:pPr>
      <w:r w:rsidRPr="00FD55E3">
        <w:t>(a)</w:t>
      </w:r>
      <w:r w:rsidRPr="00FD55E3">
        <w:tab/>
        <w:t xml:space="preserve">Did the Defendants, or either of them, engage in conduct which is contrary to s. 45 and or s. 52 of the </w:t>
      </w:r>
      <w:r w:rsidRPr="00A05376">
        <w:rPr>
          <w:i/>
        </w:rPr>
        <w:t>Competition Act</w:t>
      </w:r>
      <w:r w:rsidRPr="00FD55E3">
        <w:t>?</w:t>
      </w:r>
    </w:p>
    <w:p w:rsidR="006A370E" w:rsidRPr="00FD55E3" w:rsidRDefault="006A370E" w:rsidP="006A370E">
      <w:pPr>
        <w:ind w:left="2160" w:hanging="720"/>
        <w:jc w:val="both"/>
      </w:pPr>
    </w:p>
    <w:p w:rsidR="006A370E" w:rsidRPr="00FD55E3" w:rsidRDefault="006A370E" w:rsidP="006A370E">
      <w:pPr>
        <w:ind w:left="2160" w:hanging="720"/>
        <w:jc w:val="both"/>
      </w:pPr>
      <w:r w:rsidRPr="00FD55E3">
        <w:t>(b)</w:t>
      </w:r>
      <w:r w:rsidRPr="00FD55E3">
        <w:tab/>
        <w:t xml:space="preserve">Are the Class Members entitled to losses or damages pursuant to section 36 of the </w:t>
      </w:r>
      <w:r w:rsidRPr="00A05376">
        <w:rPr>
          <w:i/>
        </w:rPr>
        <w:t>Competition Act</w:t>
      </w:r>
      <w:r w:rsidRPr="00FD55E3">
        <w:t>, and, if so, in what amount?</w:t>
      </w:r>
    </w:p>
    <w:p w:rsidR="006A370E" w:rsidRPr="00FD55E3" w:rsidRDefault="006A370E" w:rsidP="006A370E">
      <w:pPr>
        <w:ind w:left="2160" w:hanging="720"/>
        <w:jc w:val="both"/>
      </w:pPr>
    </w:p>
    <w:p w:rsidR="006A370E" w:rsidRDefault="006A370E" w:rsidP="006A370E">
      <w:pPr>
        <w:ind w:left="2160" w:hanging="720"/>
        <w:jc w:val="both"/>
      </w:pPr>
      <w:r w:rsidRPr="00FD55E3">
        <w:t>(c)</w:t>
      </w:r>
      <w:r w:rsidRPr="00FD55E3">
        <w:tab/>
        <w:t>Can the amount of damages be determined on an aggregate basis and if so, in what amount?</w:t>
      </w:r>
    </w:p>
    <w:p w:rsidR="006A370E" w:rsidRPr="00FD55E3" w:rsidRDefault="006A370E" w:rsidP="006A370E">
      <w:pPr>
        <w:ind w:left="2160" w:hanging="720"/>
        <w:jc w:val="both"/>
      </w:pPr>
    </w:p>
    <w:p w:rsidR="006A370E" w:rsidRPr="00FD55E3" w:rsidRDefault="006A370E" w:rsidP="006A370E">
      <w:pPr>
        <w:ind w:left="720"/>
        <w:jc w:val="both"/>
      </w:pPr>
      <w:r w:rsidRPr="00FD55E3">
        <w:t>Conspiracy</w:t>
      </w:r>
    </w:p>
    <w:p w:rsidR="006A370E" w:rsidRPr="00FD55E3" w:rsidRDefault="006A370E" w:rsidP="006A370E">
      <w:pPr>
        <w:ind w:left="720"/>
        <w:jc w:val="both"/>
      </w:pPr>
    </w:p>
    <w:p w:rsidR="006A370E" w:rsidRPr="00FD55E3" w:rsidRDefault="006A370E" w:rsidP="006A370E">
      <w:pPr>
        <w:ind w:left="2160" w:hanging="720"/>
        <w:jc w:val="both"/>
      </w:pPr>
      <w:r w:rsidRPr="00FD55E3">
        <w:t>(</w:t>
      </w:r>
      <w:proofErr w:type="gramStart"/>
      <w:r>
        <w:t>d</w:t>
      </w:r>
      <w:proofErr w:type="gramEnd"/>
      <w:r w:rsidRPr="00FD55E3">
        <w:t>)</w:t>
      </w:r>
      <w:r w:rsidRPr="00FD55E3">
        <w:tab/>
        <w:t xml:space="preserve">Did the Defendants, or either </w:t>
      </w:r>
      <w:r>
        <w:t xml:space="preserve">[of] </w:t>
      </w:r>
      <w:r w:rsidRPr="00FD55E3">
        <w:t>them, conspire to harm the Class Members?</w:t>
      </w:r>
    </w:p>
    <w:p w:rsidR="006A370E" w:rsidRPr="00FD55E3" w:rsidRDefault="006A370E" w:rsidP="006A370E">
      <w:pPr>
        <w:ind w:left="2160" w:hanging="720"/>
        <w:jc w:val="both"/>
      </w:pPr>
    </w:p>
    <w:p w:rsidR="006A370E" w:rsidRPr="00FD55E3" w:rsidRDefault="006A370E" w:rsidP="006A370E">
      <w:pPr>
        <w:ind w:left="2160" w:hanging="720"/>
        <w:jc w:val="both"/>
      </w:pPr>
      <w:r w:rsidRPr="00FD55E3">
        <w:t>(</w:t>
      </w:r>
      <w:proofErr w:type="gramStart"/>
      <w:r>
        <w:t>e</w:t>
      </w:r>
      <w:proofErr w:type="gramEnd"/>
      <w:r w:rsidRPr="00FD55E3">
        <w:t>)</w:t>
      </w:r>
      <w:r w:rsidRPr="00FD55E3">
        <w:tab/>
        <w:t>Did the Defendants, or either of them, act in furtherance of the conspiracy?</w:t>
      </w:r>
    </w:p>
    <w:p w:rsidR="006A370E" w:rsidRPr="00FD55E3" w:rsidRDefault="006A370E" w:rsidP="006A370E">
      <w:pPr>
        <w:ind w:left="2160" w:hanging="720"/>
        <w:jc w:val="both"/>
      </w:pPr>
    </w:p>
    <w:p w:rsidR="006A370E" w:rsidRPr="00FD55E3" w:rsidRDefault="006A370E" w:rsidP="006A370E">
      <w:pPr>
        <w:ind w:left="2160" w:hanging="720"/>
        <w:jc w:val="both"/>
      </w:pPr>
      <w:r>
        <w:t>(f</w:t>
      </w:r>
      <w:r w:rsidRPr="00FD55E3">
        <w:t>)</w:t>
      </w:r>
      <w:r w:rsidRPr="00FD55E3">
        <w:tab/>
        <w:t>Was the predominant purpose of the conspiracy to harm the Class Members?</w:t>
      </w:r>
    </w:p>
    <w:p w:rsidR="006A370E" w:rsidRPr="00FD55E3" w:rsidRDefault="006A370E" w:rsidP="006A370E">
      <w:pPr>
        <w:ind w:left="2160" w:hanging="720"/>
        <w:jc w:val="both"/>
      </w:pPr>
    </w:p>
    <w:p w:rsidR="006A370E" w:rsidRPr="00FD55E3" w:rsidRDefault="006A370E" w:rsidP="006A370E">
      <w:pPr>
        <w:ind w:left="2160" w:hanging="720"/>
        <w:jc w:val="both"/>
      </w:pPr>
      <w:r>
        <w:t>(g</w:t>
      </w:r>
      <w:r w:rsidRPr="00FD55E3">
        <w:t>)</w:t>
      </w:r>
      <w:r w:rsidRPr="00FD55E3">
        <w:tab/>
        <w:t>Did the conspiracy involve unlawful acts?</w:t>
      </w:r>
    </w:p>
    <w:p w:rsidR="006A370E" w:rsidRPr="00FD55E3" w:rsidRDefault="006A370E" w:rsidP="006A370E">
      <w:pPr>
        <w:ind w:left="2160" w:hanging="720"/>
        <w:jc w:val="both"/>
      </w:pPr>
    </w:p>
    <w:p w:rsidR="006A370E" w:rsidRPr="00FD55E3" w:rsidRDefault="006A370E" w:rsidP="006A370E">
      <w:pPr>
        <w:ind w:left="2160" w:hanging="720"/>
        <w:jc w:val="both"/>
      </w:pPr>
      <w:r>
        <w:t>(</w:t>
      </w:r>
      <w:proofErr w:type="gramStart"/>
      <w:r>
        <w:t>h</w:t>
      </w:r>
      <w:proofErr w:type="gramEnd"/>
      <w:r w:rsidRPr="00FD55E3">
        <w:t>)</w:t>
      </w:r>
      <w:r w:rsidRPr="00FD55E3">
        <w:tab/>
        <w:t>Did the Defendants, or either of them, know that the conspiracy would likely cause injury to the Class Members?</w:t>
      </w:r>
    </w:p>
    <w:p w:rsidR="006A370E" w:rsidRPr="00FD55E3" w:rsidRDefault="006A370E" w:rsidP="006A370E">
      <w:pPr>
        <w:ind w:left="2160" w:hanging="720"/>
        <w:jc w:val="both"/>
      </w:pPr>
    </w:p>
    <w:p w:rsidR="006A370E" w:rsidRPr="00FD55E3" w:rsidRDefault="006A370E" w:rsidP="006A370E">
      <w:pPr>
        <w:ind w:left="2160" w:hanging="720"/>
        <w:jc w:val="both"/>
      </w:pPr>
      <w:r>
        <w:t>(</w:t>
      </w:r>
      <w:proofErr w:type="spellStart"/>
      <w:r>
        <w:t>i</w:t>
      </w:r>
      <w:proofErr w:type="spellEnd"/>
      <w:r w:rsidRPr="00FD55E3">
        <w:t>)</w:t>
      </w:r>
      <w:r w:rsidRPr="00FD55E3">
        <w:tab/>
        <w:t>Did the Class Members suffer economic loss?</w:t>
      </w:r>
    </w:p>
    <w:p w:rsidR="006A370E" w:rsidRPr="00FD55E3" w:rsidRDefault="006A370E" w:rsidP="006A370E">
      <w:pPr>
        <w:ind w:left="2160" w:hanging="720"/>
        <w:jc w:val="both"/>
      </w:pPr>
    </w:p>
    <w:p w:rsidR="006A370E" w:rsidRPr="00FD55E3" w:rsidRDefault="006A370E" w:rsidP="006A370E">
      <w:pPr>
        <w:ind w:left="2160" w:hanging="720"/>
        <w:jc w:val="both"/>
      </w:pPr>
      <w:r>
        <w:t>(j</w:t>
      </w:r>
      <w:r w:rsidRPr="00FD55E3">
        <w:t>)</w:t>
      </w:r>
      <w:r w:rsidRPr="00FD55E3">
        <w:tab/>
        <w:t>What damages, if any, are payable by the Defendants, or either of them, to the Class Members?</w:t>
      </w:r>
    </w:p>
    <w:p w:rsidR="006A370E" w:rsidRPr="00FD55E3" w:rsidRDefault="006A370E" w:rsidP="006A370E">
      <w:pPr>
        <w:ind w:left="2160" w:hanging="720"/>
        <w:jc w:val="both"/>
      </w:pPr>
    </w:p>
    <w:p w:rsidR="006A370E" w:rsidRPr="00FD55E3" w:rsidRDefault="006A370E" w:rsidP="006A370E">
      <w:pPr>
        <w:ind w:left="2160" w:hanging="720"/>
        <w:jc w:val="both"/>
      </w:pPr>
      <w:r>
        <w:t>(k</w:t>
      </w:r>
      <w:r w:rsidRPr="00FD55E3">
        <w:t>)</w:t>
      </w:r>
      <w:r w:rsidRPr="00FD55E3">
        <w:tab/>
        <w:t>Can the amount of damages be determined on an aggregate basis and if so, in what amount?</w:t>
      </w:r>
    </w:p>
    <w:p w:rsidR="006A370E" w:rsidRPr="00FD55E3" w:rsidRDefault="006A370E" w:rsidP="006A370E">
      <w:pPr>
        <w:ind w:left="2160" w:hanging="720"/>
        <w:jc w:val="both"/>
      </w:pPr>
    </w:p>
    <w:p w:rsidR="006A370E" w:rsidRPr="00FD55E3" w:rsidRDefault="006A370E" w:rsidP="006A370E">
      <w:pPr>
        <w:ind w:left="720"/>
        <w:jc w:val="both"/>
      </w:pPr>
      <w:proofErr w:type="spellStart"/>
      <w:r w:rsidRPr="00FD55E3">
        <w:t>Tortious</w:t>
      </w:r>
      <w:proofErr w:type="spellEnd"/>
      <w:r w:rsidRPr="00FD55E3">
        <w:t xml:space="preserve"> Interference with Economic Interests</w:t>
      </w:r>
    </w:p>
    <w:p w:rsidR="006A370E" w:rsidRPr="00FD55E3" w:rsidRDefault="006A370E" w:rsidP="006A370E">
      <w:pPr>
        <w:ind w:left="720"/>
        <w:jc w:val="both"/>
      </w:pPr>
    </w:p>
    <w:p w:rsidR="006A370E" w:rsidRPr="00FD55E3" w:rsidRDefault="006A370E" w:rsidP="006A370E">
      <w:pPr>
        <w:ind w:left="2160" w:hanging="720"/>
        <w:jc w:val="both"/>
      </w:pPr>
      <w:r>
        <w:t>(</w:t>
      </w:r>
      <w:proofErr w:type="gramStart"/>
      <w:r>
        <w:t>l</w:t>
      </w:r>
      <w:proofErr w:type="gramEnd"/>
      <w:r w:rsidRPr="00FD55E3">
        <w:t>)</w:t>
      </w:r>
      <w:r w:rsidRPr="00FD55E3">
        <w:tab/>
        <w:t>Did the Defendants, or either of them, intend to injure the Class Members?</w:t>
      </w:r>
    </w:p>
    <w:p w:rsidR="006A370E" w:rsidRPr="00FD55E3" w:rsidRDefault="006A370E" w:rsidP="006A370E">
      <w:pPr>
        <w:ind w:left="2160" w:hanging="720"/>
        <w:jc w:val="both"/>
      </w:pPr>
    </w:p>
    <w:p w:rsidR="006A370E" w:rsidRPr="00FD55E3" w:rsidRDefault="006A370E" w:rsidP="006A370E">
      <w:pPr>
        <w:ind w:left="2160" w:hanging="720"/>
        <w:jc w:val="both"/>
      </w:pPr>
      <w:r>
        <w:t>(</w:t>
      </w:r>
      <w:proofErr w:type="gramStart"/>
      <w:r>
        <w:t>m</w:t>
      </w:r>
      <w:proofErr w:type="gramEnd"/>
      <w:r w:rsidRPr="00FD55E3">
        <w:t>)</w:t>
      </w:r>
      <w:r w:rsidRPr="00FD55E3">
        <w:tab/>
        <w:t>Did the Defendants, or either of them, interfere with the economic interests of the Class Members by unlawful or illegal means?</w:t>
      </w:r>
    </w:p>
    <w:p w:rsidR="006A370E" w:rsidRPr="00FD55E3" w:rsidRDefault="006A370E" w:rsidP="006A370E">
      <w:pPr>
        <w:ind w:left="2160" w:hanging="720"/>
        <w:jc w:val="both"/>
      </w:pPr>
    </w:p>
    <w:p w:rsidR="006A370E" w:rsidRPr="00FD55E3" w:rsidRDefault="006A370E" w:rsidP="006A370E">
      <w:pPr>
        <w:ind w:left="2160" w:hanging="720"/>
        <w:jc w:val="both"/>
      </w:pPr>
      <w:r>
        <w:t>(n</w:t>
      </w:r>
      <w:r w:rsidRPr="00FD55E3">
        <w:t>)</w:t>
      </w:r>
      <w:r w:rsidRPr="00FD55E3">
        <w:tab/>
        <w:t>Did the Class Members suffer economic loss as a result of the Defendants’ interference?</w:t>
      </w:r>
    </w:p>
    <w:p w:rsidR="006A370E" w:rsidRPr="00FD55E3" w:rsidRDefault="006A370E" w:rsidP="006A370E">
      <w:pPr>
        <w:ind w:left="2160" w:hanging="720"/>
        <w:jc w:val="both"/>
      </w:pPr>
    </w:p>
    <w:p w:rsidR="006A370E" w:rsidRPr="00FD55E3" w:rsidRDefault="006A370E" w:rsidP="006A370E">
      <w:pPr>
        <w:ind w:left="2160" w:hanging="720"/>
        <w:jc w:val="both"/>
      </w:pPr>
      <w:r>
        <w:t>(o</w:t>
      </w:r>
      <w:r w:rsidRPr="00FD55E3">
        <w:t>)</w:t>
      </w:r>
      <w:r w:rsidRPr="00FD55E3">
        <w:tab/>
        <w:t>What damages, if any, are payable by the Defendants, or either of them, to the Class Members?</w:t>
      </w:r>
    </w:p>
    <w:p w:rsidR="006A370E" w:rsidRPr="00FD55E3" w:rsidRDefault="006A370E" w:rsidP="006A370E">
      <w:pPr>
        <w:ind w:left="2160" w:hanging="720"/>
        <w:jc w:val="both"/>
      </w:pPr>
    </w:p>
    <w:p w:rsidR="006A370E" w:rsidRPr="00FD55E3" w:rsidRDefault="006A370E" w:rsidP="006A370E">
      <w:pPr>
        <w:ind w:left="2160" w:hanging="720"/>
        <w:jc w:val="both"/>
      </w:pPr>
      <w:r>
        <w:t>(p</w:t>
      </w:r>
      <w:r w:rsidRPr="00FD55E3">
        <w:t>)</w:t>
      </w:r>
      <w:r w:rsidRPr="00FD55E3">
        <w:tab/>
        <w:t>Can the amount of damages be determined on an aggregate basis and if so, in what amount?</w:t>
      </w:r>
    </w:p>
    <w:p w:rsidR="006A370E" w:rsidRPr="00FD55E3" w:rsidRDefault="006A370E" w:rsidP="006A370E">
      <w:pPr>
        <w:ind w:left="2160" w:hanging="720"/>
        <w:jc w:val="both"/>
      </w:pPr>
    </w:p>
    <w:p w:rsidR="006A370E" w:rsidRPr="00FD55E3" w:rsidRDefault="006A370E" w:rsidP="006A370E">
      <w:pPr>
        <w:ind w:left="720"/>
        <w:jc w:val="both"/>
      </w:pPr>
      <w:r w:rsidRPr="00FD55E3">
        <w:t>Unjust Enrichment, Waiver of Tort and Constructive Trust</w:t>
      </w:r>
    </w:p>
    <w:p w:rsidR="006A370E" w:rsidRPr="00FD55E3" w:rsidRDefault="006A370E" w:rsidP="006A370E">
      <w:pPr>
        <w:ind w:left="720"/>
        <w:jc w:val="both"/>
      </w:pPr>
    </w:p>
    <w:p w:rsidR="006A370E" w:rsidRPr="00FD55E3" w:rsidRDefault="006A370E" w:rsidP="006A370E">
      <w:pPr>
        <w:ind w:left="2160" w:hanging="720"/>
        <w:jc w:val="both"/>
      </w:pPr>
      <w:r w:rsidRPr="00FD55E3">
        <w:t>(</w:t>
      </w:r>
      <w:r>
        <w:t>q</w:t>
      </w:r>
      <w:r w:rsidRPr="00FD55E3">
        <w:t>)</w:t>
      </w:r>
      <w:r w:rsidRPr="00FD55E3">
        <w:tab/>
        <w:t>Have the Defendants, or either of them, been unjustly enriched by the receipt of an Overcharge?  “Overcharge” means the difference between the prices the Defendants actually charged for Microsoft Operating Systems and Microsoft Applications Software in the PC market in Canada and the prices that the Defendants would have been able to charge in the absence of their wrongdoing.</w:t>
      </w:r>
    </w:p>
    <w:p w:rsidR="006A370E" w:rsidRPr="00FD55E3" w:rsidRDefault="006A370E" w:rsidP="006A370E">
      <w:pPr>
        <w:ind w:left="2160" w:hanging="720"/>
        <w:jc w:val="both"/>
      </w:pPr>
    </w:p>
    <w:p w:rsidR="006A370E" w:rsidRPr="00FD55E3" w:rsidRDefault="006A370E" w:rsidP="006A370E">
      <w:pPr>
        <w:ind w:left="2160" w:hanging="720"/>
        <w:jc w:val="both"/>
      </w:pPr>
      <w:r>
        <w:t>(r</w:t>
      </w:r>
      <w:r w:rsidRPr="00FD55E3">
        <w:t>)</w:t>
      </w:r>
      <w:r w:rsidRPr="00FD55E3">
        <w:tab/>
        <w:t>Have the Class Members suffered a corresponding deprivation in the amount of the Overcharge?</w:t>
      </w:r>
    </w:p>
    <w:p w:rsidR="006A370E" w:rsidRPr="00FD55E3" w:rsidRDefault="006A370E" w:rsidP="006A370E">
      <w:pPr>
        <w:ind w:left="2160" w:hanging="720"/>
        <w:jc w:val="both"/>
      </w:pPr>
    </w:p>
    <w:p w:rsidR="006A370E" w:rsidRPr="00FD55E3" w:rsidRDefault="006A370E" w:rsidP="006A370E">
      <w:pPr>
        <w:ind w:left="2160" w:hanging="720"/>
        <w:jc w:val="both"/>
      </w:pPr>
      <w:r>
        <w:t>(s</w:t>
      </w:r>
      <w:r w:rsidRPr="00FD55E3">
        <w:t>)</w:t>
      </w:r>
      <w:r w:rsidRPr="00FD55E3">
        <w:tab/>
        <w:t>Is there a juridical reason why the Defendants, or either of them, should be entitled to retain the Overcharge?</w:t>
      </w:r>
    </w:p>
    <w:p w:rsidR="006A370E" w:rsidRPr="00FD55E3" w:rsidRDefault="006A370E" w:rsidP="006A370E">
      <w:pPr>
        <w:ind w:left="2160" w:hanging="720"/>
        <w:jc w:val="both"/>
      </w:pPr>
    </w:p>
    <w:p w:rsidR="006A370E" w:rsidRPr="00FD55E3" w:rsidRDefault="006A370E" w:rsidP="006A370E">
      <w:pPr>
        <w:ind w:left="2160" w:hanging="720"/>
        <w:jc w:val="both"/>
      </w:pPr>
      <w:r>
        <w:t>(t</w:t>
      </w:r>
      <w:r w:rsidRPr="00FD55E3">
        <w:t>)</w:t>
      </w:r>
      <w:r w:rsidRPr="00FD55E3">
        <w:tab/>
        <w:t xml:space="preserve">What restitution, if any, is payable by the </w:t>
      </w:r>
      <w:proofErr w:type="gramStart"/>
      <w:r w:rsidRPr="00FD55E3">
        <w:t>Defendants,</w:t>
      </w:r>
      <w:proofErr w:type="gramEnd"/>
      <w:r w:rsidRPr="00FD55E3">
        <w:t xml:space="preserve"> or either of them, to the Class Members based on unjust enrichment?</w:t>
      </w:r>
    </w:p>
    <w:p w:rsidR="006A370E" w:rsidRPr="00FD55E3" w:rsidRDefault="006A370E" w:rsidP="006A370E">
      <w:pPr>
        <w:ind w:left="2160" w:hanging="720"/>
        <w:jc w:val="both"/>
      </w:pPr>
    </w:p>
    <w:p w:rsidR="006A370E" w:rsidRPr="00FD55E3" w:rsidRDefault="006A370E" w:rsidP="006A370E">
      <w:pPr>
        <w:ind w:left="2160" w:hanging="720"/>
        <w:jc w:val="both"/>
      </w:pPr>
      <w:r>
        <w:t>(u</w:t>
      </w:r>
      <w:r w:rsidRPr="00FD55E3">
        <w:t>)</w:t>
      </w:r>
      <w:r w:rsidRPr="00FD55E3">
        <w:tab/>
        <w:t>Should the Defendants, or either of them, be constituted as constructive trustees in favour of the Class Members for the Overcharge?</w:t>
      </w:r>
    </w:p>
    <w:p w:rsidR="006A370E" w:rsidRPr="00FD55E3" w:rsidRDefault="006A370E" w:rsidP="006A370E">
      <w:pPr>
        <w:ind w:left="2160" w:hanging="720"/>
        <w:jc w:val="both"/>
      </w:pPr>
    </w:p>
    <w:p w:rsidR="006A370E" w:rsidRPr="00FD55E3" w:rsidRDefault="006A370E" w:rsidP="006A370E">
      <w:pPr>
        <w:ind w:left="2160" w:hanging="720"/>
        <w:jc w:val="both"/>
      </w:pPr>
      <w:r>
        <w:lastRenderedPageBreak/>
        <w:t>(v</w:t>
      </w:r>
      <w:r w:rsidRPr="00FD55E3">
        <w:t>)</w:t>
      </w:r>
      <w:r w:rsidRPr="00FD55E3">
        <w:tab/>
        <w:t>What is the quantum of the Overcharge, if any, that the Defendants, or either of them, hold in trust for the Class Members?</w:t>
      </w:r>
    </w:p>
    <w:p w:rsidR="006A370E" w:rsidRPr="00FD55E3" w:rsidRDefault="006A370E" w:rsidP="006A370E">
      <w:pPr>
        <w:ind w:left="2160" w:hanging="720"/>
        <w:jc w:val="both"/>
      </w:pPr>
    </w:p>
    <w:p w:rsidR="006A370E" w:rsidRPr="00FD55E3" w:rsidRDefault="006A370E" w:rsidP="006A370E">
      <w:pPr>
        <w:ind w:left="2160" w:hanging="720"/>
        <w:jc w:val="both"/>
      </w:pPr>
      <w:r>
        <w:t>(w</w:t>
      </w:r>
      <w:r w:rsidRPr="00FD55E3">
        <w:t>)</w:t>
      </w:r>
      <w:r w:rsidRPr="00FD55E3">
        <w:tab/>
        <w:t>What restitution, if any, is payable by the Defendants to the Class Members based on the doctrine of waiver of tort?</w:t>
      </w:r>
    </w:p>
    <w:p w:rsidR="006A370E" w:rsidRPr="00FD55E3" w:rsidRDefault="006A370E" w:rsidP="006A370E">
      <w:pPr>
        <w:ind w:left="2160" w:hanging="720"/>
        <w:jc w:val="both"/>
      </w:pPr>
    </w:p>
    <w:p w:rsidR="006A370E" w:rsidRPr="00FD55E3" w:rsidRDefault="006A370E" w:rsidP="006A370E">
      <w:pPr>
        <w:ind w:left="2160" w:hanging="720"/>
        <w:jc w:val="both"/>
      </w:pPr>
      <w:r>
        <w:t>(x</w:t>
      </w:r>
      <w:r w:rsidRPr="00FD55E3">
        <w:t>)</w:t>
      </w:r>
      <w:r w:rsidRPr="00FD55E3">
        <w:tab/>
        <w:t>Are the Defendants, or either of them, liable to account to the Class Members for the wrongful profits, if any, that they obtained on the sale of Microsoft Operating Systems or Microsoft Applications Software to the Class Members based on the doctrine of waiver of tort?</w:t>
      </w:r>
    </w:p>
    <w:p w:rsidR="006A370E" w:rsidRPr="00FD55E3" w:rsidRDefault="006A370E" w:rsidP="006A370E">
      <w:pPr>
        <w:ind w:left="2160" w:hanging="720"/>
        <w:jc w:val="both"/>
      </w:pPr>
    </w:p>
    <w:p w:rsidR="006A370E" w:rsidRPr="00FD55E3" w:rsidRDefault="006A370E" w:rsidP="006A370E">
      <w:pPr>
        <w:ind w:left="2160" w:hanging="720"/>
        <w:jc w:val="both"/>
      </w:pPr>
      <w:r w:rsidRPr="00FD55E3">
        <w:t>(</w:t>
      </w:r>
      <w:r>
        <w:t>y</w:t>
      </w:r>
      <w:r w:rsidRPr="00FD55E3">
        <w:t>)</w:t>
      </w:r>
      <w:r w:rsidRPr="00FD55E3">
        <w:tab/>
        <w:t>Can the amount of restitution be determined on an aggregate basis and if so, in what amount?</w:t>
      </w:r>
    </w:p>
    <w:p w:rsidR="006A370E" w:rsidRPr="00FD55E3" w:rsidRDefault="006A370E" w:rsidP="006A370E">
      <w:pPr>
        <w:ind w:left="2160" w:hanging="720"/>
        <w:jc w:val="both"/>
      </w:pPr>
    </w:p>
    <w:p w:rsidR="006A370E" w:rsidRPr="00FD55E3" w:rsidRDefault="006A370E" w:rsidP="006A370E">
      <w:pPr>
        <w:ind w:left="720"/>
        <w:jc w:val="both"/>
      </w:pPr>
      <w:r w:rsidRPr="00FD55E3">
        <w:t>Punitive Damages</w:t>
      </w:r>
    </w:p>
    <w:p w:rsidR="006A370E" w:rsidRPr="00FD55E3" w:rsidRDefault="006A370E" w:rsidP="006A370E">
      <w:pPr>
        <w:ind w:left="720"/>
        <w:jc w:val="both"/>
      </w:pPr>
    </w:p>
    <w:p w:rsidR="006A370E" w:rsidRPr="00FD55E3" w:rsidRDefault="006A370E" w:rsidP="006A370E">
      <w:pPr>
        <w:ind w:left="2160" w:hanging="720"/>
        <w:jc w:val="both"/>
      </w:pPr>
      <w:r>
        <w:t>(z</w:t>
      </w:r>
      <w:r w:rsidRPr="00FD55E3">
        <w:t>)</w:t>
      </w:r>
      <w:r w:rsidRPr="00FD55E3">
        <w:tab/>
        <w:t>Are the Defendants, or either of them, liable to pay punitive or exemplary damages having regard to the nature of their conduct and if so, in what amount and to whom?</w:t>
      </w:r>
    </w:p>
    <w:p w:rsidR="006A370E" w:rsidRPr="00FD55E3" w:rsidRDefault="006A370E" w:rsidP="006A370E">
      <w:pPr>
        <w:ind w:left="2160" w:hanging="720"/>
        <w:jc w:val="both"/>
      </w:pPr>
    </w:p>
    <w:p w:rsidR="006A370E" w:rsidRPr="00FD55E3" w:rsidRDefault="006A370E" w:rsidP="006A370E">
      <w:pPr>
        <w:ind w:left="720"/>
        <w:jc w:val="both"/>
      </w:pPr>
      <w:r w:rsidRPr="00FD55E3">
        <w:t>Interest</w:t>
      </w:r>
    </w:p>
    <w:p w:rsidR="006A370E" w:rsidRPr="00FD55E3" w:rsidRDefault="006A370E" w:rsidP="006A370E">
      <w:pPr>
        <w:ind w:left="720"/>
        <w:jc w:val="both"/>
      </w:pPr>
    </w:p>
    <w:p w:rsidR="006A370E" w:rsidRPr="00FD55E3" w:rsidRDefault="006A370E" w:rsidP="006A370E">
      <w:pPr>
        <w:ind w:left="2160" w:hanging="720"/>
        <w:jc w:val="both"/>
      </w:pPr>
      <w:r>
        <w:t>(</w:t>
      </w:r>
      <w:proofErr w:type="spellStart"/>
      <w:proofErr w:type="gramStart"/>
      <w:r>
        <w:t>aa</w:t>
      </w:r>
      <w:proofErr w:type="spellEnd"/>
      <w:proofErr w:type="gramEnd"/>
      <w:r w:rsidRPr="00FD55E3">
        <w:t>)</w:t>
      </w:r>
      <w:r w:rsidRPr="00FD55E3">
        <w:tab/>
        <w:t>What is the liability, if any, of the Defendants, or either of them, for court order interest?</w:t>
      </w:r>
    </w:p>
    <w:p w:rsidR="006A370E" w:rsidRPr="00FD55E3" w:rsidRDefault="006A370E" w:rsidP="006A370E">
      <w:pPr>
        <w:ind w:left="2160" w:hanging="720"/>
        <w:jc w:val="both"/>
      </w:pPr>
    </w:p>
    <w:p w:rsidR="006A370E" w:rsidRPr="00FD55E3" w:rsidRDefault="006A370E" w:rsidP="006A370E">
      <w:pPr>
        <w:ind w:left="720"/>
        <w:jc w:val="both"/>
      </w:pPr>
      <w:r w:rsidRPr="00FD55E3">
        <w:t>Distribution of Damages and/or Trust Funds</w:t>
      </w:r>
    </w:p>
    <w:p w:rsidR="006A370E" w:rsidRPr="00FD55E3" w:rsidRDefault="006A370E" w:rsidP="006A370E">
      <w:pPr>
        <w:ind w:left="720"/>
        <w:jc w:val="both"/>
      </w:pPr>
    </w:p>
    <w:p w:rsidR="006A370E" w:rsidRDefault="006A370E" w:rsidP="006A370E">
      <w:pPr>
        <w:spacing w:after="720"/>
        <w:ind w:left="2160" w:hanging="720"/>
        <w:jc w:val="both"/>
      </w:pPr>
      <w:r>
        <w:t>(</w:t>
      </w:r>
      <w:proofErr w:type="gramStart"/>
      <w:r>
        <w:t>bb</w:t>
      </w:r>
      <w:proofErr w:type="gramEnd"/>
      <w:r w:rsidRPr="00FD55E3">
        <w:t>)</w:t>
      </w:r>
      <w:r w:rsidRPr="00FD55E3">
        <w:tab/>
        <w:t>What is the appropriate distribution of damages and/or trust funds and interest to the Class Members and who should pay for the cost of that distribution?</w:t>
      </w:r>
      <w:r>
        <w:t xml:space="preserve"> </w:t>
      </w:r>
      <w:proofErr w:type="gramStart"/>
      <w:r>
        <w:t>[A.R., vol.</w:t>
      </w:r>
      <w:proofErr w:type="gramEnd"/>
      <w:r>
        <w:t xml:space="preserve"> I, at pp. 167-69]</w:t>
      </w:r>
    </w:p>
    <w:p w:rsidR="006A370E" w:rsidRPr="00BB1D30" w:rsidRDefault="006A370E" w:rsidP="006A370E">
      <w:pPr>
        <w:pStyle w:val="SCCLawFirm"/>
        <w:spacing w:after="480"/>
      </w:pPr>
      <w:r w:rsidRPr="00BB1D30">
        <w:tab/>
      </w:r>
      <w:proofErr w:type="gramStart"/>
      <w:r w:rsidRPr="00BB1D30">
        <w:t>Appeal allowed with costs</w:t>
      </w:r>
      <w:r w:rsidR="00027721" w:rsidRPr="00027721">
        <w:rPr>
          <w:sz w:val="20"/>
        </w:rPr>
        <w:t>*</w:t>
      </w:r>
      <w:r w:rsidRPr="00BB1D30">
        <w:t>.</w:t>
      </w:r>
      <w:proofErr w:type="gramEnd"/>
    </w:p>
    <w:p w:rsidR="006A370E" w:rsidRPr="00BB1D30" w:rsidRDefault="006A370E" w:rsidP="006A370E">
      <w:pPr>
        <w:pStyle w:val="SCCLawFirm"/>
        <w:spacing w:after="480"/>
      </w:pPr>
      <w:r w:rsidRPr="00BB1D30">
        <w:tab/>
        <w:t xml:space="preserve">Solicitors for the appellants:  Camp </w:t>
      </w:r>
      <w:proofErr w:type="spellStart"/>
      <w:r w:rsidRPr="00BB1D30">
        <w:t>Fiorante</w:t>
      </w:r>
      <w:proofErr w:type="spellEnd"/>
      <w:r w:rsidRPr="00BB1D30">
        <w:t xml:space="preserve"> Matthews </w:t>
      </w:r>
      <w:proofErr w:type="spellStart"/>
      <w:r w:rsidRPr="00BB1D30">
        <w:t>Mogerman</w:t>
      </w:r>
      <w:proofErr w:type="spellEnd"/>
      <w:r w:rsidRPr="00BB1D30">
        <w:t>, Vanco</w:t>
      </w:r>
      <w:r w:rsidR="00355176">
        <w:t xml:space="preserve">uver; Michael </w:t>
      </w:r>
      <w:proofErr w:type="spellStart"/>
      <w:r w:rsidR="00355176">
        <w:t>Sobkin</w:t>
      </w:r>
      <w:proofErr w:type="spellEnd"/>
      <w:r w:rsidR="00355176">
        <w:t>, Ottawa.</w:t>
      </w:r>
    </w:p>
    <w:p w:rsidR="006A370E" w:rsidRPr="00BB1D30" w:rsidRDefault="006A370E" w:rsidP="006A370E">
      <w:pPr>
        <w:pStyle w:val="SCCLawFirm"/>
        <w:spacing w:after="480"/>
      </w:pPr>
      <w:r w:rsidRPr="00BB1D30">
        <w:lastRenderedPageBreak/>
        <w:tab/>
        <w:t xml:space="preserve">Solicitors for the respondents:  McCarthy </w:t>
      </w:r>
      <w:proofErr w:type="spellStart"/>
      <w:r w:rsidRPr="00BB1D30">
        <w:t>Tétrault</w:t>
      </w:r>
      <w:proofErr w:type="spellEnd"/>
      <w:r w:rsidRPr="00BB1D30">
        <w:t xml:space="preserve">, Toronto; Blake, </w:t>
      </w:r>
      <w:proofErr w:type="spellStart"/>
      <w:r w:rsidRPr="00BB1D30">
        <w:t>Cassels</w:t>
      </w:r>
      <w:proofErr w:type="spellEnd"/>
      <w:r w:rsidRPr="00BB1D30">
        <w:t xml:space="preserve"> &amp; </w:t>
      </w:r>
      <w:proofErr w:type="spellStart"/>
      <w:r w:rsidRPr="00BB1D30">
        <w:t>Graydon</w:t>
      </w:r>
      <w:proofErr w:type="spellEnd"/>
      <w:r w:rsidRPr="00BB1D30">
        <w:t>, Vancouver and Toronto.</w:t>
      </w:r>
    </w:p>
    <w:p w:rsidR="006A370E" w:rsidRPr="00BB1D30" w:rsidRDefault="006A370E" w:rsidP="006A370E">
      <w:pPr>
        <w:pStyle w:val="SCCLawFirm"/>
        <w:sectPr w:rsidR="006A370E" w:rsidRPr="00BB1D30" w:rsidSect="00A8174B">
          <w:headerReference w:type="default" r:id="rId10"/>
          <w:pgSz w:w="12240" w:h="15840"/>
          <w:pgMar w:top="1267" w:right="2160" w:bottom="720" w:left="1800" w:header="1802" w:footer="720" w:gutter="0"/>
          <w:cols w:space="720"/>
          <w:titlePg/>
          <w:docGrid w:linePitch="326"/>
        </w:sectPr>
      </w:pPr>
      <w:r w:rsidRPr="00BB1D30">
        <w:tab/>
        <w:t>Solicitor for the intervener:  Attorney General of Canada, Ottawa.</w:t>
      </w:r>
    </w:p>
    <w:p w:rsidR="006A370E" w:rsidRPr="00711AC0" w:rsidRDefault="006A370E" w:rsidP="006A370E">
      <w:pPr>
        <w:rPr>
          <w:lang w:val="en-US"/>
        </w:rPr>
      </w:pPr>
    </w:p>
    <w:p w:rsidR="00E005E9" w:rsidRPr="006A370E" w:rsidRDefault="00E005E9">
      <w:pPr>
        <w:rPr>
          <w:lang w:val="en-US"/>
        </w:rPr>
      </w:pPr>
    </w:p>
    <w:sectPr w:rsidR="00E005E9" w:rsidRPr="006A370E" w:rsidSect="00A8174B">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9F0" w:rsidRDefault="006F59F0" w:rsidP="00546A15">
      <w:r>
        <w:separator/>
      </w:r>
    </w:p>
  </w:endnote>
  <w:endnote w:type="continuationSeparator" w:id="0">
    <w:p w:rsidR="006F59F0" w:rsidRDefault="006F59F0" w:rsidP="00546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9F0" w:rsidRDefault="006F59F0" w:rsidP="00546A15">
      <w:r>
        <w:separator/>
      </w:r>
    </w:p>
  </w:footnote>
  <w:footnote w:type="continuationSeparator" w:id="0">
    <w:p w:rsidR="006F59F0" w:rsidRDefault="006F59F0" w:rsidP="00546A15">
      <w:r>
        <w:continuationSeparator/>
      </w:r>
    </w:p>
  </w:footnote>
  <w:footnote w:id="1">
    <w:p w:rsidR="00027721" w:rsidRPr="00027721" w:rsidRDefault="00027721">
      <w:pPr>
        <w:pStyle w:val="FootnoteText"/>
        <w:rPr>
          <w:lang w:val="fr-CA"/>
        </w:rPr>
      </w:pPr>
      <w:r>
        <w:rPr>
          <w:rStyle w:val="FootnoteReference"/>
        </w:rPr>
        <w:t>*</w:t>
      </w:r>
      <w:r>
        <w:t xml:space="preserve"> </w:t>
      </w:r>
      <w:r>
        <w:rPr>
          <w:lang w:val="fr-CA"/>
        </w:rPr>
        <w:t xml:space="preserve">An </w:t>
      </w:r>
      <w:proofErr w:type="spellStart"/>
      <w:r>
        <w:rPr>
          <w:lang w:val="fr-CA"/>
        </w:rPr>
        <w:t>order</w:t>
      </w:r>
      <w:proofErr w:type="spellEnd"/>
      <w:r>
        <w:rPr>
          <w:lang w:val="fr-CA"/>
        </w:rPr>
        <w:t xml:space="preserve"> </w:t>
      </w:r>
      <w:proofErr w:type="spellStart"/>
      <w:r>
        <w:rPr>
          <w:lang w:val="fr-CA"/>
        </w:rPr>
        <w:t>was</w:t>
      </w:r>
      <w:proofErr w:type="spellEnd"/>
      <w:r>
        <w:rPr>
          <w:lang w:val="fr-CA"/>
        </w:rPr>
        <w:t xml:space="preserve"> </w:t>
      </w:r>
      <w:proofErr w:type="spellStart"/>
      <w:r>
        <w:rPr>
          <w:lang w:val="fr-CA"/>
        </w:rPr>
        <w:t>issued</w:t>
      </w:r>
      <w:proofErr w:type="spellEnd"/>
      <w:r>
        <w:rPr>
          <w:lang w:val="fr-CA"/>
        </w:rPr>
        <w:t xml:space="preserve"> on </w:t>
      </w:r>
      <w:proofErr w:type="spellStart"/>
      <w:r>
        <w:rPr>
          <w:lang w:val="fr-CA"/>
        </w:rPr>
        <w:t>October</w:t>
      </w:r>
      <w:proofErr w:type="spellEnd"/>
      <w:r>
        <w:rPr>
          <w:lang w:val="fr-CA"/>
        </w:rPr>
        <w:t xml:space="preserve"> 15, 2014, </w:t>
      </w:r>
      <w:proofErr w:type="spellStart"/>
      <w:r>
        <w:rPr>
          <w:lang w:val="fr-CA"/>
        </w:rPr>
        <w:t>amending</w:t>
      </w:r>
      <w:proofErr w:type="spellEnd"/>
      <w:r>
        <w:rPr>
          <w:lang w:val="fr-CA"/>
        </w:rPr>
        <w:t xml:space="preserve"> para. 143 of the </w:t>
      </w:r>
      <w:proofErr w:type="spellStart"/>
      <w:r>
        <w:rPr>
          <w:lang w:val="fr-CA"/>
        </w:rPr>
        <w:t>reasons</w:t>
      </w:r>
      <w:proofErr w:type="spellEnd"/>
      <w:r>
        <w:rPr>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271"/>
      <w:docPartObj>
        <w:docPartGallery w:val="Page Numbers (Top of Page)"/>
        <w:docPartUnique/>
      </w:docPartObj>
    </w:sdtPr>
    <w:sdtContent>
      <w:p w:rsidR="006D65F4" w:rsidRDefault="006D65F4">
        <w:pPr>
          <w:pStyle w:val="Header"/>
          <w:jc w:val="center"/>
        </w:pPr>
        <w:r>
          <w:t xml:space="preserve">- </w:t>
        </w:r>
        <w:fldSimple w:instr=" PAGE   \* MERGEFORMAT ">
          <w:r w:rsidR="00027721">
            <w:rPr>
              <w:noProof/>
            </w:rPr>
            <w:t>83</w:t>
          </w:r>
        </w:fldSimple>
        <w:r>
          <w:t xml:space="preserve"> -</w:t>
        </w:r>
      </w:p>
    </w:sdtContent>
  </w:sdt>
  <w:p w:rsidR="006D65F4" w:rsidRPr="00450352" w:rsidRDefault="006D65F4" w:rsidP="00A81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E49"/>
    <w:multiLevelType w:val="hybridMultilevel"/>
    <w:tmpl w:val="706EBB9A"/>
    <w:lvl w:ilvl="0" w:tplc="F40E6E34">
      <w:start w:val="1"/>
      <w:numFmt w:val="lowerLetter"/>
      <w:lvlText w:val="(%1)"/>
      <w:lvlJc w:val="lef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
    <w:nsid w:val="183A14B7"/>
    <w:multiLevelType w:val="hybridMultilevel"/>
    <w:tmpl w:val="706EBB9A"/>
    <w:lvl w:ilvl="0" w:tplc="F40E6E34">
      <w:start w:val="1"/>
      <w:numFmt w:val="lowerLetter"/>
      <w:lvlText w:val="(%1)"/>
      <w:lvlJc w:val="lef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
    <w:nsid w:val="1AE02AE0"/>
    <w:multiLevelType w:val="hybridMultilevel"/>
    <w:tmpl w:val="D5EAF1D0"/>
    <w:lvl w:ilvl="0" w:tplc="A404DA4C">
      <w:start w:val="1"/>
      <w:numFmt w:val="lowerRoman"/>
      <w:lvlText w:val="(%1)"/>
      <w:lvlJc w:val="left"/>
      <w:pPr>
        <w:ind w:left="1886" w:hanging="360"/>
      </w:pPr>
      <w:rPr>
        <w:rFonts w:hint="default"/>
      </w:rPr>
    </w:lvl>
    <w:lvl w:ilvl="1" w:tplc="10090019" w:tentative="1">
      <w:start w:val="1"/>
      <w:numFmt w:val="lowerLetter"/>
      <w:lvlText w:val="%2."/>
      <w:lvlJc w:val="left"/>
      <w:pPr>
        <w:ind w:left="1440" w:hanging="360"/>
      </w:pPr>
    </w:lvl>
    <w:lvl w:ilvl="2" w:tplc="A404DA4C">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D95132"/>
    <w:multiLevelType w:val="hybridMultilevel"/>
    <w:tmpl w:val="417CB460"/>
    <w:lvl w:ilvl="0" w:tplc="F97A6F1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nsid w:val="54283EE8"/>
    <w:multiLevelType w:val="multilevel"/>
    <w:tmpl w:val="613A6D1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07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5F32616"/>
    <w:multiLevelType w:val="hybridMultilevel"/>
    <w:tmpl w:val="706EBB9A"/>
    <w:lvl w:ilvl="0" w:tplc="F40E6E34">
      <w:start w:val="1"/>
      <w:numFmt w:val="lowerLetter"/>
      <w:lvlText w:val="(%1)"/>
      <w:lvlJc w:val="lef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7">
    <w:nsid w:val="7E1B148F"/>
    <w:multiLevelType w:val="hybridMultilevel"/>
    <w:tmpl w:val="054EEDA6"/>
    <w:lvl w:ilvl="0" w:tplc="A906C038">
      <w:start w:val="1"/>
      <w:numFmt w:val="decimal"/>
      <w:lvlText w:val="(%1)"/>
      <w:lvlJc w:val="left"/>
      <w:pPr>
        <w:ind w:left="720" w:hanging="360"/>
      </w:pPr>
      <w:rPr>
        <w:rFonts w:hint="default"/>
        <w:b w:val="0"/>
        <w:i w:val="0"/>
        <w:strike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A370E"/>
    <w:rsid w:val="00022B18"/>
    <w:rsid w:val="00027721"/>
    <w:rsid w:val="00040A60"/>
    <w:rsid w:val="00050C21"/>
    <w:rsid w:val="0013481D"/>
    <w:rsid w:val="00145655"/>
    <w:rsid w:val="00150E8F"/>
    <w:rsid w:val="00160E84"/>
    <w:rsid w:val="00166655"/>
    <w:rsid w:val="00217496"/>
    <w:rsid w:val="00221A51"/>
    <w:rsid w:val="00242E70"/>
    <w:rsid w:val="00293A64"/>
    <w:rsid w:val="00295F78"/>
    <w:rsid w:val="002A0198"/>
    <w:rsid w:val="002E1456"/>
    <w:rsid w:val="0030585A"/>
    <w:rsid w:val="00323DC6"/>
    <w:rsid w:val="00351BFE"/>
    <w:rsid w:val="00355176"/>
    <w:rsid w:val="00382C97"/>
    <w:rsid w:val="003C17F9"/>
    <w:rsid w:val="003F1ADD"/>
    <w:rsid w:val="00406986"/>
    <w:rsid w:val="00433E90"/>
    <w:rsid w:val="004514D6"/>
    <w:rsid w:val="00454B53"/>
    <w:rsid w:val="004E3AC5"/>
    <w:rsid w:val="004F300C"/>
    <w:rsid w:val="00546A15"/>
    <w:rsid w:val="00550AEF"/>
    <w:rsid w:val="0055276C"/>
    <w:rsid w:val="00583C18"/>
    <w:rsid w:val="005C73DF"/>
    <w:rsid w:val="005E5420"/>
    <w:rsid w:val="00682E6A"/>
    <w:rsid w:val="00697D41"/>
    <w:rsid w:val="006A370E"/>
    <w:rsid w:val="006B20A1"/>
    <w:rsid w:val="006D65F4"/>
    <w:rsid w:val="006F59F0"/>
    <w:rsid w:val="00711618"/>
    <w:rsid w:val="007276B8"/>
    <w:rsid w:val="007C24F1"/>
    <w:rsid w:val="007C527D"/>
    <w:rsid w:val="00825940"/>
    <w:rsid w:val="008A660E"/>
    <w:rsid w:val="008E6D14"/>
    <w:rsid w:val="009074C8"/>
    <w:rsid w:val="00913A52"/>
    <w:rsid w:val="00950F85"/>
    <w:rsid w:val="00995743"/>
    <w:rsid w:val="009C0675"/>
    <w:rsid w:val="00A04C95"/>
    <w:rsid w:val="00A11966"/>
    <w:rsid w:val="00A51AE0"/>
    <w:rsid w:val="00A555B9"/>
    <w:rsid w:val="00A600A0"/>
    <w:rsid w:val="00A643D4"/>
    <w:rsid w:val="00A762B8"/>
    <w:rsid w:val="00A8174B"/>
    <w:rsid w:val="00A939C6"/>
    <w:rsid w:val="00AA7792"/>
    <w:rsid w:val="00B60F6B"/>
    <w:rsid w:val="00B71B15"/>
    <w:rsid w:val="00C078BF"/>
    <w:rsid w:val="00C334D8"/>
    <w:rsid w:val="00CB54FB"/>
    <w:rsid w:val="00CC4C27"/>
    <w:rsid w:val="00DF53FF"/>
    <w:rsid w:val="00E005E9"/>
    <w:rsid w:val="00E1659C"/>
    <w:rsid w:val="00E23DE9"/>
    <w:rsid w:val="00E46741"/>
    <w:rsid w:val="00ED304F"/>
    <w:rsid w:val="00EE3FC6"/>
    <w:rsid w:val="00F0532D"/>
    <w:rsid w:val="00F1312C"/>
    <w:rsid w:val="00F63E92"/>
    <w:rsid w:val="00F8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0E"/>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370E"/>
    <w:pPr>
      <w:keepNext/>
      <w:keepLine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unhideWhenUsed/>
    <w:qFormat/>
    <w:rsid w:val="006A370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6A370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6A370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A370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A370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A370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6A370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Heading2Char">
    <w:name w:val="Heading 2 Char"/>
    <w:basedOn w:val="DefaultParagraphFont"/>
    <w:link w:val="Heading2"/>
    <w:uiPriority w:val="9"/>
    <w:rsid w:val="006A370E"/>
    <w:rPr>
      <w:rFonts w:asciiTheme="majorHAnsi" w:eastAsiaTheme="majorEastAsia" w:hAnsiTheme="majorHAnsi" w:cstheme="majorBidi"/>
      <w:b/>
      <w:bCs/>
      <w:color w:val="4F81BD" w:themeColor="accent1"/>
      <w:sz w:val="26"/>
      <w:szCs w:val="26"/>
      <w:lang w:val="en-US" w:eastAsia="en-US" w:bidi="en-US"/>
    </w:rPr>
  </w:style>
  <w:style w:type="character" w:customStyle="1" w:styleId="Heading3Char">
    <w:name w:val="Heading 3 Char"/>
    <w:basedOn w:val="DefaultParagraphFont"/>
    <w:link w:val="Heading3"/>
    <w:uiPriority w:val="9"/>
    <w:rsid w:val="006A370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6A370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A370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A370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A370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A370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A370E"/>
    <w:rPr>
      <w:rFonts w:asciiTheme="majorHAnsi" w:eastAsiaTheme="majorEastAsia" w:hAnsiTheme="majorHAnsi" w:cstheme="majorBidi"/>
      <w:i/>
      <w:iCs/>
      <w:color w:val="404040" w:themeColor="text1" w:themeTint="BF"/>
      <w:lang w:val="en-US" w:eastAsia="en-US" w:bidi="en-US"/>
    </w:rPr>
  </w:style>
  <w:style w:type="paragraph" w:customStyle="1" w:styleId="SCCNormalDoubleSpacing">
    <w:name w:val="SCC.Normal.DoubleSpacing"/>
    <w:basedOn w:val="Normal"/>
    <w:link w:val="SCCNormalDoubleSpacingChar"/>
    <w:rsid w:val="006A370E"/>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6A370E"/>
    <w:rPr>
      <w:sz w:val="24"/>
    </w:rPr>
  </w:style>
  <w:style w:type="paragraph" w:styleId="Header">
    <w:name w:val="header"/>
    <w:basedOn w:val="Normal"/>
    <w:link w:val="HeaderChar"/>
    <w:uiPriority w:val="99"/>
    <w:unhideWhenUsed/>
    <w:rsid w:val="006A370E"/>
    <w:pPr>
      <w:tabs>
        <w:tab w:val="center" w:pos="4680"/>
        <w:tab w:val="right" w:pos="9360"/>
      </w:tabs>
    </w:pPr>
  </w:style>
  <w:style w:type="character" w:customStyle="1" w:styleId="HeaderChar">
    <w:name w:val="Header Char"/>
    <w:basedOn w:val="DefaultParagraphFont"/>
    <w:link w:val="Header"/>
    <w:uiPriority w:val="99"/>
    <w:rsid w:val="006A370E"/>
    <w:rPr>
      <w:sz w:val="24"/>
    </w:rPr>
  </w:style>
  <w:style w:type="paragraph" w:customStyle="1" w:styleId="SCCLsocParty">
    <w:name w:val="SCC.Lsoc.Party"/>
    <w:basedOn w:val="Normal"/>
    <w:next w:val="Normal"/>
    <w:link w:val="SCCLsocPartyChar"/>
    <w:rsid w:val="006A370E"/>
    <w:pPr>
      <w:tabs>
        <w:tab w:val="right" w:pos="8222"/>
      </w:tabs>
      <w:jc w:val="both"/>
    </w:pPr>
    <w:rPr>
      <w:b/>
    </w:rPr>
  </w:style>
  <w:style w:type="character" w:customStyle="1" w:styleId="SCCLsocPartyChar">
    <w:name w:val="SCC.Lsoc.Party Char"/>
    <w:basedOn w:val="DefaultParagraphFont"/>
    <w:link w:val="SCCLsocParty"/>
    <w:rsid w:val="006A370E"/>
    <w:rPr>
      <w:b/>
      <w:sz w:val="24"/>
    </w:rPr>
  </w:style>
  <w:style w:type="paragraph" w:customStyle="1" w:styleId="SCCLsocVersus">
    <w:name w:val="SCC.Lsoc.Versus"/>
    <w:basedOn w:val="Normal"/>
    <w:next w:val="Normal"/>
    <w:link w:val="SCCLsocVersusChar"/>
    <w:rsid w:val="006A370E"/>
    <w:pPr>
      <w:spacing w:after="720"/>
    </w:pPr>
    <w:rPr>
      <w:i/>
    </w:rPr>
  </w:style>
  <w:style w:type="character" w:customStyle="1" w:styleId="SCCLsocVersusChar">
    <w:name w:val="SCC.Lsoc.Versus Char"/>
    <w:basedOn w:val="DefaultParagraphFont"/>
    <w:link w:val="SCCLsocVersus"/>
    <w:rsid w:val="006A370E"/>
    <w:rPr>
      <w:i/>
      <w:sz w:val="24"/>
    </w:rPr>
  </w:style>
  <w:style w:type="character" w:customStyle="1" w:styleId="SCCLsocPartyRole">
    <w:name w:val="SCC.Lsoc.PartyRole"/>
    <w:basedOn w:val="SCCLsocLastPartyInRoleChar"/>
    <w:uiPriority w:val="1"/>
    <w:rsid w:val="006A370E"/>
    <w:rPr>
      <w:i/>
    </w:rPr>
  </w:style>
  <w:style w:type="paragraph" w:customStyle="1" w:styleId="SCCLsocOtherPartySeparator">
    <w:name w:val="SCC.Lsoc.OtherPartySeparator"/>
    <w:basedOn w:val="Normal"/>
    <w:next w:val="Normal"/>
    <w:link w:val="SCCLsocOtherPartySeparatorChar"/>
    <w:rsid w:val="006A370E"/>
    <w:pPr>
      <w:spacing w:after="720"/>
    </w:pPr>
  </w:style>
  <w:style w:type="character" w:customStyle="1" w:styleId="SCCLsocOtherPartySeparatorChar">
    <w:name w:val="SCC.Lsoc.OtherPartySeparator Char"/>
    <w:basedOn w:val="DefaultParagraphFont"/>
    <w:link w:val="SCCLsocOtherPartySeparator"/>
    <w:rsid w:val="006A370E"/>
    <w:rPr>
      <w:sz w:val="24"/>
    </w:rPr>
  </w:style>
  <w:style w:type="paragraph" w:customStyle="1" w:styleId="SCCSystemYear">
    <w:name w:val="SCC.SystemYear"/>
    <w:basedOn w:val="Normal"/>
    <w:next w:val="Normal"/>
    <w:link w:val="SCCSystemYearChar"/>
    <w:rsid w:val="006A370E"/>
    <w:rPr>
      <w:b/>
    </w:rPr>
  </w:style>
  <w:style w:type="character" w:customStyle="1" w:styleId="SCCSystemYearChar">
    <w:name w:val="SCC.SystemYear Char"/>
    <w:basedOn w:val="DefaultParagraphFont"/>
    <w:link w:val="SCCSystemYear"/>
    <w:rsid w:val="006A370E"/>
    <w:rPr>
      <w:b/>
      <w:sz w:val="24"/>
    </w:rPr>
  </w:style>
  <w:style w:type="paragraph" w:customStyle="1" w:styleId="SCCLowerCourtNameLowercase">
    <w:name w:val="SCC.LowerCourtNameLowercase"/>
    <w:basedOn w:val="SCCNormalDoubleSpacing"/>
    <w:next w:val="SCCNormalDoubleSpacing"/>
    <w:rsid w:val="006A370E"/>
    <w:rPr>
      <w:smallCaps/>
    </w:rPr>
  </w:style>
  <w:style w:type="paragraph" w:customStyle="1" w:styleId="SCCLawFirm">
    <w:name w:val="SCC.LawFirm"/>
    <w:basedOn w:val="SCCNormalDoubleSpacing"/>
    <w:next w:val="SCCNormalDoubleSpacing"/>
    <w:link w:val="SCCLawFirmChar"/>
    <w:rsid w:val="006A370E"/>
    <w:rPr>
      <w:i/>
    </w:rPr>
  </w:style>
  <w:style w:type="character" w:customStyle="1" w:styleId="SCCLawFirmChar">
    <w:name w:val="SCC.LawFirm Char"/>
    <w:basedOn w:val="SCCNormalDoubleSpacingChar"/>
    <w:link w:val="SCCLawFirm"/>
    <w:rsid w:val="006A370E"/>
    <w:rPr>
      <w:i/>
    </w:rPr>
  </w:style>
  <w:style w:type="paragraph" w:customStyle="1" w:styleId="SCCLsocLastPartyInRole">
    <w:name w:val="SCC.Lsoc.LastPartyInRole"/>
    <w:basedOn w:val="Normal"/>
    <w:next w:val="Normal"/>
    <w:link w:val="SCCLsocLastPartyInRoleChar"/>
    <w:qFormat/>
    <w:rsid w:val="006A370E"/>
    <w:pPr>
      <w:tabs>
        <w:tab w:val="right" w:pos="8222"/>
      </w:tabs>
      <w:spacing w:after="720"/>
    </w:pPr>
    <w:rPr>
      <w:b/>
    </w:rPr>
  </w:style>
  <w:style w:type="character" w:customStyle="1" w:styleId="SCCLsocLastPartyInRoleChar">
    <w:name w:val="SCC.Lsoc.LastPartyInRole Char"/>
    <w:basedOn w:val="SCCLsocPartyChar"/>
    <w:link w:val="SCCLsocLastPartyInRole"/>
    <w:rsid w:val="006A370E"/>
  </w:style>
  <w:style w:type="paragraph" w:styleId="Footer">
    <w:name w:val="footer"/>
    <w:basedOn w:val="Normal"/>
    <w:link w:val="FooterChar"/>
    <w:uiPriority w:val="99"/>
    <w:semiHidden/>
    <w:unhideWhenUsed/>
    <w:rsid w:val="006A370E"/>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semiHidden/>
    <w:rsid w:val="006A370E"/>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6A370E"/>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6A370E"/>
    <w:rPr>
      <w:rFonts w:eastAsiaTheme="minorHAnsi" w:cstheme="minorBidi"/>
      <w:sz w:val="24"/>
      <w:szCs w:val="22"/>
      <w:lang w:val="en-US" w:eastAsia="en-US" w:bidi="en-US"/>
    </w:rPr>
  </w:style>
  <w:style w:type="paragraph" w:customStyle="1" w:styleId="SCCCoram">
    <w:name w:val="SCC.Coram"/>
    <w:basedOn w:val="Normal"/>
    <w:next w:val="Normal"/>
    <w:link w:val="SCCCoramChar"/>
    <w:rsid w:val="006A370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6A370E"/>
    <w:rPr>
      <w:rFonts w:eastAsiaTheme="minorHAnsi" w:cstheme="minorBidi"/>
      <w:sz w:val="24"/>
      <w:szCs w:val="22"/>
      <w:lang w:val="en-US" w:eastAsia="en-US" w:bidi="en-US"/>
    </w:rPr>
  </w:style>
  <w:style w:type="paragraph" w:customStyle="1" w:styleId="SCCLsocSubfileSeparator">
    <w:name w:val="SCC.Lsoc.SubfileSeparator"/>
    <w:basedOn w:val="Normal"/>
    <w:next w:val="Normal"/>
    <w:link w:val="SCCLsocSubfileSeparatorChar"/>
    <w:rsid w:val="006A370E"/>
    <w:pPr>
      <w:spacing w:after="480"/>
    </w:pPr>
    <w:rPr>
      <w:rFonts w:eastAsiaTheme="minorHAnsi" w:cstheme="minorBidi"/>
      <w:szCs w:val="22"/>
      <w:lang w:val="en-US" w:eastAsia="en-US" w:bidi="en-US"/>
    </w:rPr>
  </w:style>
  <w:style w:type="character" w:customStyle="1" w:styleId="SCCLsocSubfileSeparatorChar">
    <w:name w:val="SCC.Lsoc.SubfileSeparator Char"/>
    <w:basedOn w:val="DefaultParagraphFont"/>
    <w:link w:val="SCCLsocSubfileSeparator"/>
    <w:rsid w:val="006A370E"/>
    <w:rPr>
      <w:rFonts w:eastAsiaTheme="minorHAnsi" w:cstheme="minorBidi"/>
      <w:sz w:val="24"/>
      <w:szCs w:val="22"/>
      <w:lang w:val="en-US" w:eastAsia="en-US" w:bidi="en-US"/>
    </w:rPr>
  </w:style>
  <w:style w:type="paragraph" w:customStyle="1" w:styleId="SCCBanSummary">
    <w:name w:val="SCC.BanSummary"/>
    <w:basedOn w:val="Normal"/>
    <w:next w:val="Normal"/>
    <w:link w:val="SCCBanSummaryChar"/>
    <w:rsid w:val="006A370E"/>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6A370E"/>
    <w:rPr>
      <w:rFonts w:eastAsiaTheme="minorEastAsia" w:cstheme="minorBidi"/>
      <w:b/>
      <w:sz w:val="24"/>
      <w:szCs w:val="24"/>
      <w:lang w:val="en-US" w:eastAsia="en-US" w:bidi="en-US"/>
    </w:rPr>
  </w:style>
  <w:style w:type="character" w:styleId="PlaceholderText">
    <w:name w:val="Placeholder Text"/>
    <w:basedOn w:val="DefaultParagraphFont"/>
    <w:uiPriority w:val="99"/>
    <w:semiHidden/>
    <w:rsid w:val="006A370E"/>
    <w:rPr>
      <w:color w:val="808080"/>
    </w:rPr>
  </w:style>
  <w:style w:type="paragraph" w:styleId="BalloonText">
    <w:name w:val="Balloon Text"/>
    <w:basedOn w:val="Normal"/>
    <w:link w:val="BalloonTextChar"/>
    <w:uiPriority w:val="99"/>
    <w:semiHidden/>
    <w:unhideWhenUsed/>
    <w:rsid w:val="006A370E"/>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6A370E"/>
    <w:rPr>
      <w:rFonts w:eastAsiaTheme="minorHAnsi" w:cs="Tahoma"/>
      <w:sz w:val="28"/>
      <w:szCs w:val="16"/>
      <w:lang w:val="en-US" w:eastAsia="en-US" w:bidi="en-US"/>
    </w:rPr>
  </w:style>
  <w:style w:type="table" w:styleId="TableGrid">
    <w:name w:val="Table Grid"/>
    <w:basedOn w:val="TableNormal"/>
    <w:uiPriority w:val="59"/>
    <w:rsid w:val="006A3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A370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A370E"/>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6A370E"/>
    <w:pPr>
      <w:numPr>
        <w:numId w:val="1"/>
      </w:numPr>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6A370E"/>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6A370E"/>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6A370E"/>
    <w:pPr>
      <w:ind w:left="720"/>
      <w:contextualSpacing/>
    </w:pPr>
    <w:rPr>
      <w:rFonts w:eastAsiaTheme="minorHAnsi" w:cstheme="minorBidi"/>
      <w:szCs w:val="22"/>
      <w:lang w:val="en-US" w:eastAsia="en-US" w:bidi="en-US"/>
    </w:rPr>
  </w:style>
  <w:style w:type="character" w:styleId="Hyperlink">
    <w:name w:val="Hyperlink"/>
    <w:basedOn w:val="DefaultParagraphFont"/>
    <w:uiPriority w:val="99"/>
    <w:unhideWhenUsed/>
    <w:rsid w:val="006A370E"/>
    <w:rPr>
      <w:color w:val="0000FF" w:themeColor="hyperlink"/>
      <w:u w:val="single"/>
    </w:rPr>
  </w:style>
  <w:style w:type="paragraph" w:styleId="NormalWeb">
    <w:name w:val="Normal (Web)"/>
    <w:basedOn w:val="Normal"/>
    <w:uiPriority w:val="99"/>
    <w:semiHidden/>
    <w:unhideWhenUsed/>
    <w:rsid w:val="006A370E"/>
    <w:pPr>
      <w:spacing w:before="100" w:beforeAutospacing="1" w:after="100" w:afterAutospacing="1"/>
    </w:pPr>
    <w:rPr>
      <w:rFonts w:eastAsiaTheme="minorHAnsi" w:cstheme="minorBidi"/>
      <w:szCs w:val="22"/>
      <w:lang w:val="en-US" w:eastAsia="en-US" w:bidi="en-US"/>
    </w:rPr>
  </w:style>
  <w:style w:type="paragraph" w:styleId="TOC1">
    <w:name w:val="toc 1"/>
    <w:basedOn w:val="Normal"/>
    <w:next w:val="Normal"/>
    <w:uiPriority w:val="39"/>
    <w:unhideWhenUsed/>
    <w:rsid w:val="006A370E"/>
    <w:pPr>
      <w:tabs>
        <w:tab w:val="right" w:leader="dot" w:pos="7380"/>
      </w:tabs>
      <w:spacing w:before="120" w:after="120"/>
      <w:ind w:left="720" w:hanging="720"/>
    </w:pPr>
    <w:rPr>
      <w:rFonts w:eastAsiaTheme="minorHAnsi" w:cstheme="minorBidi"/>
      <w:szCs w:val="22"/>
      <w:lang w:val="en-US" w:eastAsia="en-US" w:bidi="en-US"/>
    </w:rPr>
  </w:style>
  <w:style w:type="paragraph" w:styleId="TOC2">
    <w:name w:val="toc 2"/>
    <w:basedOn w:val="Normal"/>
    <w:next w:val="Normal"/>
    <w:uiPriority w:val="39"/>
    <w:unhideWhenUsed/>
    <w:rsid w:val="006A370E"/>
    <w:pPr>
      <w:spacing w:before="120" w:after="120"/>
      <w:ind w:left="965" w:hanging="720"/>
    </w:pPr>
    <w:rPr>
      <w:rFonts w:eastAsiaTheme="minorHAnsi" w:cstheme="minorBidi"/>
      <w:szCs w:val="22"/>
      <w:lang w:val="en-US" w:eastAsia="en-US" w:bidi="en-US"/>
    </w:rPr>
  </w:style>
  <w:style w:type="paragraph" w:styleId="TOC3">
    <w:name w:val="toc 3"/>
    <w:basedOn w:val="Normal"/>
    <w:next w:val="Normal"/>
    <w:uiPriority w:val="39"/>
    <w:unhideWhenUsed/>
    <w:rsid w:val="006A370E"/>
    <w:pPr>
      <w:spacing w:before="120" w:after="120"/>
      <w:ind w:left="1195" w:hanging="720"/>
    </w:pPr>
    <w:rPr>
      <w:rFonts w:eastAsiaTheme="minorHAnsi" w:cstheme="minorBidi"/>
      <w:szCs w:val="22"/>
      <w:lang w:val="en-US" w:eastAsia="en-US" w:bidi="en-US"/>
    </w:rPr>
  </w:style>
  <w:style w:type="paragraph" w:styleId="TOC4">
    <w:name w:val="toc 4"/>
    <w:basedOn w:val="Normal"/>
    <w:next w:val="Normal"/>
    <w:uiPriority w:val="39"/>
    <w:unhideWhenUsed/>
    <w:rsid w:val="006A370E"/>
    <w:pPr>
      <w:spacing w:before="120" w:after="120"/>
      <w:ind w:left="1440" w:hanging="720"/>
    </w:pPr>
    <w:rPr>
      <w:rFonts w:eastAsiaTheme="minorHAnsi" w:cstheme="minorBidi"/>
      <w:szCs w:val="22"/>
      <w:lang w:val="en-US" w:eastAsia="en-US" w:bidi="en-US"/>
    </w:rPr>
  </w:style>
  <w:style w:type="paragraph" w:styleId="TOC5">
    <w:name w:val="toc 5"/>
    <w:basedOn w:val="Normal"/>
    <w:next w:val="Normal"/>
    <w:uiPriority w:val="39"/>
    <w:unhideWhenUsed/>
    <w:rsid w:val="006A370E"/>
    <w:pPr>
      <w:tabs>
        <w:tab w:val="left" w:pos="720"/>
        <w:tab w:val="left" w:pos="900"/>
        <w:tab w:val="left" w:pos="1685"/>
        <w:tab w:val="right" w:leader="dot" w:pos="8270"/>
      </w:tabs>
      <w:spacing w:before="120" w:after="120"/>
      <w:ind w:left="1685" w:hanging="720"/>
    </w:pPr>
    <w:rPr>
      <w:rFonts w:eastAsiaTheme="minorHAnsi"/>
      <w:i/>
      <w:noProof/>
      <w:szCs w:val="22"/>
      <w:lang w:val="en-US" w:eastAsia="en-US" w:bidi="en-US"/>
    </w:rPr>
  </w:style>
  <w:style w:type="character" w:styleId="CommentReference">
    <w:name w:val="annotation reference"/>
    <w:basedOn w:val="DefaultParagraphFont"/>
    <w:uiPriority w:val="99"/>
    <w:semiHidden/>
    <w:unhideWhenUsed/>
    <w:rsid w:val="006A370E"/>
    <w:rPr>
      <w:sz w:val="16"/>
      <w:szCs w:val="16"/>
    </w:rPr>
  </w:style>
  <w:style w:type="paragraph" w:styleId="CommentText">
    <w:name w:val="annotation text"/>
    <w:basedOn w:val="Normal"/>
    <w:link w:val="CommentTextChar"/>
    <w:uiPriority w:val="99"/>
    <w:semiHidden/>
    <w:unhideWhenUsed/>
    <w:rsid w:val="006A370E"/>
    <w:rPr>
      <w:sz w:val="20"/>
    </w:rPr>
  </w:style>
  <w:style w:type="character" w:customStyle="1" w:styleId="CommentTextChar">
    <w:name w:val="Comment Text Char"/>
    <w:basedOn w:val="DefaultParagraphFont"/>
    <w:link w:val="CommentText"/>
    <w:uiPriority w:val="99"/>
    <w:semiHidden/>
    <w:rsid w:val="006A370E"/>
  </w:style>
  <w:style w:type="paragraph" w:styleId="CommentSubject">
    <w:name w:val="annotation subject"/>
    <w:basedOn w:val="CommentText"/>
    <w:next w:val="CommentText"/>
    <w:link w:val="CommentSubjectChar"/>
    <w:uiPriority w:val="99"/>
    <w:semiHidden/>
    <w:unhideWhenUsed/>
    <w:rsid w:val="006A370E"/>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6A370E"/>
    <w:rPr>
      <w:rFonts w:eastAsiaTheme="minorHAnsi" w:cstheme="minorBidi"/>
      <w:b/>
      <w:bCs/>
      <w:szCs w:val="22"/>
      <w:lang w:val="en-US" w:eastAsia="en-US" w:bidi="en-US"/>
    </w:rPr>
  </w:style>
  <w:style w:type="paragraph" w:customStyle="1" w:styleId="Title1LevelTitre1Niveau-AltL">
    <w:name w:val="Title 1 Level / Titre 1 Niveau - Alt L"/>
    <w:next w:val="ParaNoNdepar-AltN"/>
    <w:uiPriority w:val="4"/>
    <w:qFormat/>
    <w:rsid w:val="006A370E"/>
    <w:pPr>
      <w:numPr>
        <w:numId w:val="3"/>
      </w:numPr>
      <w:tabs>
        <w:tab w:val="left" w:pos="432"/>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A370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6A370E"/>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6A370E"/>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6A370E"/>
    <w:pPr>
      <w:numPr>
        <w:ilvl w:val="4"/>
      </w:numPr>
      <w:tabs>
        <w:tab w:val="clear" w:pos="432"/>
      </w:tabs>
    </w:pPr>
  </w:style>
  <w:style w:type="table" w:customStyle="1" w:styleId="TableGrid1">
    <w:name w:val="Table Grid1"/>
    <w:basedOn w:val="TableNormal"/>
    <w:next w:val="TableGrid"/>
    <w:uiPriority w:val="59"/>
    <w:rsid w:val="006A370E"/>
    <w:rPr>
      <w:rFonts w:eastAsiaTheme="min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aliases w:val=" 2, 3, A"/>
    <w:basedOn w:val="Normal"/>
    <w:rsid w:val="006A370E"/>
    <w:pPr>
      <w:widowControl w:val="0"/>
    </w:pPr>
    <w:rPr>
      <w:rFonts w:eastAsiaTheme="minorHAnsi" w:cstheme="minorBidi"/>
      <w:szCs w:val="22"/>
      <w:lang w:val="en-US" w:eastAsia="en-US" w:bidi="en-US"/>
    </w:rPr>
  </w:style>
  <w:style w:type="paragraph" w:customStyle="1" w:styleId="SCCNormal">
    <w:name w:val="SCC.Normal"/>
    <w:autoRedefine/>
    <w:rsid w:val="006A370E"/>
    <w:rPr>
      <w:rFonts w:eastAsiaTheme="minorEastAsia"/>
      <w:sz w:val="24"/>
      <w:szCs w:val="24"/>
    </w:rPr>
  </w:style>
  <w:style w:type="paragraph" w:customStyle="1" w:styleId="SCCCirculationDate">
    <w:name w:val="SCC.CirculationDate"/>
    <w:basedOn w:val="SCCNormal"/>
    <w:next w:val="SCCNormal"/>
    <w:autoRedefine/>
    <w:rsid w:val="006A370E"/>
    <w:pPr>
      <w:jc w:val="right"/>
    </w:pPr>
  </w:style>
  <w:style w:type="paragraph" w:customStyle="1" w:styleId="SCCCitationTitle">
    <w:name w:val="SCC.CitationTitle"/>
    <w:basedOn w:val="SCCNormal"/>
    <w:next w:val="SCCNormal"/>
    <w:autoRedefine/>
    <w:rsid w:val="006A370E"/>
    <w:pPr>
      <w:jc w:val="center"/>
    </w:pPr>
    <w:rPr>
      <w:b/>
      <w:sz w:val="28"/>
    </w:rPr>
  </w:style>
  <w:style w:type="paragraph" w:customStyle="1" w:styleId="SCCConcurringJudge">
    <w:name w:val="SCC.ConcurringJudge"/>
    <w:basedOn w:val="SCCNormal"/>
    <w:next w:val="SCCNormal"/>
    <w:autoRedefine/>
    <w:rsid w:val="006A370E"/>
    <w:rPr>
      <w:u w:val="single"/>
    </w:rPr>
  </w:style>
  <w:style w:type="paragraph" w:customStyle="1" w:styleId="SCCFileNumber">
    <w:name w:val="SCC.FileNumber"/>
    <w:basedOn w:val="SCCNormal"/>
    <w:next w:val="SCCNormal"/>
    <w:autoRedefine/>
    <w:rsid w:val="006A370E"/>
    <w:pPr>
      <w:jc w:val="right"/>
    </w:pPr>
  </w:style>
  <w:style w:type="character" w:customStyle="1" w:styleId="SCCLowerCourtNameLowerCase0">
    <w:name w:val="SCC.LowerCourtNameLowerCase"/>
    <w:rsid w:val="006A370E"/>
    <w:rPr>
      <w:smallCaps/>
    </w:rPr>
  </w:style>
  <w:style w:type="paragraph" w:customStyle="1" w:styleId="SCCProtected">
    <w:name w:val="SCC.Protected"/>
    <w:basedOn w:val="SCCNormal"/>
    <w:next w:val="SCCNormal"/>
    <w:autoRedefine/>
    <w:rsid w:val="006A370E"/>
    <w:pPr>
      <w:jc w:val="right"/>
    </w:pPr>
    <w:rPr>
      <w:b/>
    </w:rPr>
  </w:style>
  <w:style w:type="paragraph" w:customStyle="1" w:styleId="SCCPublicationBanSummary">
    <w:name w:val="SCC.PublicationBanSummary"/>
    <w:basedOn w:val="SCCNormal"/>
    <w:next w:val="SCCNormal"/>
    <w:autoRedefine/>
    <w:rsid w:val="006A370E"/>
    <w:pPr>
      <w:jc w:val="right"/>
    </w:pPr>
    <w:rPr>
      <w:b/>
    </w:rPr>
  </w:style>
  <w:style w:type="character" w:customStyle="1" w:styleId="SCCReasonsAuthor">
    <w:name w:val="SCC.ReasonsAuthor"/>
    <w:basedOn w:val="DefaultParagraphFont"/>
    <w:uiPriority w:val="1"/>
    <w:rsid w:val="006A370E"/>
    <w:rPr>
      <w:rFonts w:ascii="Times New Roman" w:eastAsiaTheme="minorEastAsia" w:hAnsi="Times New Roman" w:cs="Times New Roman"/>
      <w:sz w:val="24"/>
      <w:szCs w:val="24"/>
      <w:lang w:val="en-CA" w:eastAsia="en-CA"/>
    </w:rPr>
  </w:style>
  <w:style w:type="character" w:customStyle="1" w:styleId="SCCRunningHead">
    <w:name w:val="SCC.RunningHead"/>
    <w:rsid w:val="006A370E"/>
    <w:rPr>
      <w:smallCaps/>
    </w:rPr>
  </w:style>
  <w:style w:type="paragraph" w:customStyle="1" w:styleId="SCCSubTitle">
    <w:name w:val="SCC.SubTitle"/>
    <w:basedOn w:val="SCCNormal"/>
    <w:next w:val="SCCNormal"/>
    <w:rsid w:val="006A370E"/>
    <w:rPr>
      <w:b/>
      <w:sz w:val="28"/>
    </w:rPr>
  </w:style>
  <w:style w:type="paragraph" w:customStyle="1" w:styleId="SCCTitleStyle">
    <w:name w:val="SCC.TitleStyle"/>
    <w:basedOn w:val="SCCNormal"/>
    <w:next w:val="SCCNormal"/>
    <w:autoRedefine/>
    <w:rsid w:val="006A370E"/>
    <w:rPr>
      <w:b/>
      <w:sz w:val="32"/>
    </w:rPr>
  </w:style>
  <w:style w:type="character" w:customStyle="1" w:styleId="SCCVersusStyle">
    <w:name w:val="SCC.VersusStyle"/>
    <w:basedOn w:val="DefaultParagraphFont"/>
    <w:rsid w:val="006A370E"/>
    <w:rPr>
      <w:b/>
      <w:i/>
      <w:iCs/>
      <w:u w:val="none"/>
    </w:rPr>
  </w:style>
  <w:style w:type="paragraph" w:styleId="FootnoteText">
    <w:name w:val="footnote text"/>
    <w:basedOn w:val="Normal"/>
    <w:link w:val="FootnoteTextChar"/>
    <w:uiPriority w:val="99"/>
    <w:semiHidden/>
    <w:unhideWhenUsed/>
    <w:rsid w:val="006A370E"/>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6A370E"/>
    <w:rPr>
      <w:rFonts w:eastAsiaTheme="minorHAnsi" w:cstheme="minorBidi"/>
      <w:lang w:val="en-US" w:eastAsia="en-US" w:bidi="en-US"/>
    </w:rPr>
  </w:style>
  <w:style w:type="character" w:styleId="FootnoteReference">
    <w:name w:val="footnote reference"/>
    <w:basedOn w:val="DefaultParagraphFont"/>
    <w:uiPriority w:val="99"/>
    <w:semiHidden/>
    <w:unhideWhenUsed/>
    <w:rsid w:val="006A370E"/>
    <w:rPr>
      <w:vertAlign w:val="superscript"/>
    </w:rPr>
  </w:style>
  <w:style w:type="character" w:customStyle="1" w:styleId="JudgeJugeChar">
    <w:name w:val="Judge / Juge Char"/>
    <w:basedOn w:val="DefaultParagraphFont"/>
    <w:link w:val="JudgeJuge"/>
    <w:uiPriority w:val="3"/>
    <w:rsid w:val="006A370E"/>
    <w:rPr>
      <w:smallCaps/>
      <w:sz w:val="24"/>
    </w:rPr>
  </w:style>
  <w:style w:type="paragraph" w:styleId="Revision">
    <w:name w:val="Revision"/>
    <w:hidden/>
    <w:uiPriority w:val="99"/>
    <w:semiHidden/>
    <w:rsid w:val="006A370E"/>
    <w:rPr>
      <w:rFonts w:eastAsiaTheme="minorHAnsi" w:cstheme="minorBidi"/>
      <w:sz w:val="24"/>
      <w:szCs w:val="22"/>
      <w:lang w:val="en-US" w:eastAsia="en-US" w:bidi="en-US"/>
    </w:rPr>
  </w:style>
  <w:style w:type="character" w:customStyle="1" w:styleId="FootnoteTextChar1">
    <w:name w:val="Footnote Text Char1"/>
    <w:basedOn w:val="DefaultParagraphFont"/>
    <w:uiPriority w:val="99"/>
    <w:semiHidden/>
    <w:rsid w:val="006A370E"/>
    <w:rPr>
      <w:sz w:val="20"/>
      <w:szCs w:val="20"/>
    </w:rPr>
  </w:style>
  <w:style w:type="table" w:customStyle="1" w:styleId="TableGrid2">
    <w:name w:val="Table Grid2"/>
    <w:basedOn w:val="TableNormal"/>
    <w:next w:val="TableGrid"/>
    <w:uiPriority w:val="59"/>
    <w:rsid w:val="006A370E"/>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CounselPartyRole">
    <w:name w:val="SCC.CounselPartyRole"/>
    <w:basedOn w:val="Normal"/>
    <w:link w:val="SCCCounselPartyRoleChar"/>
    <w:rsid w:val="006A370E"/>
    <w:pPr>
      <w:spacing w:line="480" w:lineRule="auto"/>
      <w:jc w:val="both"/>
    </w:pPr>
    <w:rPr>
      <w:rFonts w:eastAsiaTheme="minorHAnsi" w:cstheme="minorBidi"/>
      <w:lang w:val="en-US" w:eastAsia="en-US" w:bidi="en-US"/>
    </w:rPr>
  </w:style>
  <w:style w:type="character" w:customStyle="1" w:styleId="SCCCounselPartyRoleChar">
    <w:name w:val="SCC.CounselPartyRole Char"/>
    <w:basedOn w:val="DefaultParagraphFont"/>
    <w:link w:val="SCCCounselPartyRole"/>
    <w:rsid w:val="006A370E"/>
    <w:rPr>
      <w:rFonts w:eastAsiaTheme="minorHAnsi" w:cstheme="minorBidi"/>
      <w:sz w:val="24"/>
      <w:lang w:val="en-US" w:eastAsia="en-US" w:bidi="en-US"/>
    </w:rPr>
  </w:style>
  <w:style w:type="table" w:customStyle="1" w:styleId="TableGrid3">
    <w:name w:val="Table Grid3"/>
    <w:basedOn w:val="TableNormal"/>
    <w:next w:val="TableGrid"/>
    <w:uiPriority w:val="59"/>
    <w:rsid w:val="006A370E"/>
    <w:rPr>
      <w:rFonts w:eastAsiaTheme="min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6A37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A370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A370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6A370E"/>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6A370E"/>
    <w:rPr>
      <w:i/>
      <w:iCs/>
    </w:rPr>
  </w:style>
  <w:style w:type="paragraph" w:styleId="IntenseQuote">
    <w:name w:val="Intense Quote"/>
    <w:basedOn w:val="Normal"/>
    <w:next w:val="Normal"/>
    <w:link w:val="IntenseQuoteChar"/>
    <w:uiPriority w:val="30"/>
    <w:rsid w:val="006A370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6A370E"/>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6A370E"/>
    <w:rPr>
      <w:i/>
      <w:iCs/>
      <w:color w:val="808080" w:themeColor="text1" w:themeTint="7F"/>
    </w:rPr>
  </w:style>
  <w:style w:type="character" w:styleId="IntenseEmphasis">
    <w:name w:val="Intense Emphasis"/>
    <w:basedOn w:val="DefaultParagraphFont"/>
    <w:uiPriority w:val="21"/>
    <w:rsid w:val="006A370E"/>
    <w:rPr>
      <w:b/>
      <w:bCs/>
      <w:i/>
      <w:iCs/>
      <w:color w:val="4F81BD" w:themeColor="accent1"/>
    </w:rPr>
  </w:style>
  <w:style w:type="character" w:styleId="SubtleReference">
    <w:name w:val="Subtle Reference"/>
    <w:basedOn w:val="DefaultParagraphFont"/>
    <w:uiPriority w:val="31"/>
    <w:rsid w:val="006A370E"/>
    <w:rPr>
      <w:smallCaps/>
      <w:color w:val="C0504D" w:themeColor="accent2"/>
      <w:u w:val="single"/>
    </w:rPr>
  </w:style>
  <w:style w:type="character" w:styleId="IntenseReference">
    <w:name w:val="Intense Reference"/>
    <w:basedOn w:val="DefaultParagraphFont"/>
    <w:uiPriority w:val="32"/>
    <w:rsid w:val="006A370E"/>
    <w:rPr>
      <w:b/>
      <w:bCs/>
      <w:smallCaps/>
      <w:color w:val="C0504D" w:themeColor="accent2"/>
      <w:spacing w:val="5"/>
      <w:u w:val="single"/>
    </w:rPr>
  </w:style>
  <w:style w:type="character" w:styleId="BookTitle">
    <w:name w:val="Book Title"/>
    <w:basedOn w:val="DefaultParagraphFont"/>
    <w:uiPriority w:val="33"/>
    <w:rsid w:val="006A370E"/>
    <w:rPr>
      <w:b/>
      <w:bCs/>
      <w:smallCaps/>
      <w:spacing w:val="5"/>
    </w:rPr>
  </w:style>
  <w:style w:type="paragraph" w:styleId="TOCHeading">
    <w:name w:val="TOC Heading"/>
    <w:basedOn w:val="Heading1"/>
    <w:next w:val="Normal"/>
    <w:uiPriority w:val="39"/>
    <w:semiHidden/>
    <w:unhideWhenUsed/>
    <w:qFormat/>
    <w:rsid w:val="006A370E"/>
    <w:pPr>
      <w:outlineLvl w:val="9"/>
    </w:pPr>
    <w:rPr>
      <w:lang w:val="en-US" w:eastAsia="en-US" w:bidi="en-US"/>
    </w:rPr>
  </w:style>
  <w:style w:type="paragraph" w:styleId="Caption">
    <w:name w:val="caption"/>
    <w:basedOn w:val="Normal"/>
    <w:next w:val="Normal"/>
    <w:uiPriority w:val="35"/>
    <w:semiHidden/>
    <w:unhideWhenUsed/>
    <w:qFormat/>
    <w:rsid w:val="006A370E"/>
    <w:rPr>
      <w:rFonts w:eastAsiaTheme="minorHAnsi" w:cstheme="minorBidi"/>
      <w:b/>
      <w:bCs/>
      <w:color w:val="4F81BD" w:themeColor="accent1"/>
      <w:sz w:val="18"/>
      <w:szCs w:val="18"/>
      <w:lang w:val="en-US" w:eastAsia="en-US" w:bidi="en-US"/>
    </w:rPr>
  </w:style>
  <w:style w:type="paragraph" w:customStyle="1" w:styleId="HeadingTitre-AltH">
    <w:name w:val="Heading / Titre - Alt H"/>
    <w:next w:val="Normal"/>
    <w:uiPriority w:val="3"/>
    <w:rsid w:val="006A370E"/>
    <w:pPr>
      <w:tabs>
        <w:tab w:val="left" w:pos="360"/>
      </w:tabs>
      <w:spacing w:before="480" w:after="480"/>
      <w:ind w:left="360" w:hanging="360"/>
      <w:jc w:val="both"/>
    </w:pPr>
    <w:rPr>
      <w:rFonts w:eastAsiaTheme="minorHAnsi" w:cstheme="minorBidi"/>
      <w:sz w:val="24"/>
      <w:szCs w:val="22"/>
      <w:lang w:eastAsia="en-US"/>
    </w:rPr>
  </w:style>
  <w:style w:type="paragraph" w:styleId="NoSpacing">
    <w:name w:val="No Spacing"/>
    <w:uiPriority w:val="1"/>
    <w:rsid w:val="006A370E"/>
    <w:rPr>
      <w:rFonts w:eastAsiaTheme="minorHAnsi" w:cstheme="minorBidi"/>
      <w:sz w:val="24"/>
      <w:szCs w:val="22"/>
      <w:lang w:val="en-US" w:eastAsia="en-US" w:bidi="en-US"/>
    </w:rPr>
  </w:style>
  <w:style w:type="paragraph" w:styleId="TableofFigures">
    <w:name w:val="table of figures"/>
    <w:basedOn w:val="Normal"/>
    <w:next w:val="Normal"/>
    <w:uiPriority w:val="99"/>
    <w:unhideWhenUsed/>
    <w:rsid w:val="006A370E"/>
    <w:rPr>
      <w:rFonts w:eastAsiaTheme="minorHAnsi" w:cstheme="minorBidi"/>
      <w:szCs w:val="22"/>
      <w:lang w:val="en-US" w:eastAsia="en-US" w:bidi="en-US"/>
    </w:rPr>
  </w:style>
  <w:style w:type="character" w:customStyle="1" w:styleId="st">
    <w:name w:val="st"/>
    <w:basedOn w:val="DefaultParagraphFont"/>
    <w:rsid w:val="006A370E"/>
  </w:style>
  <w:style w:type="character" w:styleId="FollowedHyperlink">
    <w:name w:val="FollowedHyperlink"/>
    <w:basedOn w:val="DefaultParagraphFont"/>
    <w:uiPriority w:val="99"/>
    <w:semiHidden/>
    <w:unhideWhenUsed/>
    <w:rsid w:val="006A37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20335-46F1-4678-AD93-AD3187A9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18908</Words>
  <Characters>107781</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126437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2</cp:revision>
  <cp:lastPrinted>2014-10-20T21:32:00Z</cp:lastPrinted>
  <dcterms:created xsi:type="dcterms:W3CDTF">2014-10-20T21:32:00Z</dcterms:created>
  <dcterms:modified xsi:type="dcterms:W3CDTF">2014-10-20T21:32:00Z</dcterms:modified>
</cp:coreProperties>
</file>