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67D" w:rsidRPr="00F86C6C" w:rsidRDefault="0029667D" w:rsidP="0029667D">
      <w:pPr>
        <w:tabs>
          <w:tab w:val="center" w:pos="4680"/>
          <w:tab w:val="right" w:pos="9360"/>
        </w:tabs>
        <w:jc w:val="center"/>
        <w:rPr>
          <w:szCs w:val="24"/>
        </w:rPr>
      </w:pPr>
      <w:r w:rsidRPr="00F86C6C">
        <w:rPr>
          <w:szCs w:val="24"/>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pt;height:64.9pt" o:ole="">
            <v:imagedata r:id="rId7" o:title=""/>
          </v:shape>
          <o:OLEObject Type="Embed" ProgID="Presentations.Drawing.13" ShapeID="_x0000_i1025" DrawAspect="Content" ObjectID="_1458032869" r:id="rId8"/>
        </w:object>
      </w:r>
    </w:p>
    <w:p w:rsidR="0029667D" w:rsidRPr="00F86C6C" w:rsidRDefault="0029667D" w:rsidP="0029667D">
      <w:pPr>
        <w:tabs>
          <w:tab w:val="center" w:pos="4680"/>
          <w:tab w:val="right" w:pos="9360"/>
        </w:tabs>
        <w:rPr>
          <w:szCs w:val="24"/>
        </w:rPr>
      </w:pPr>
    </w:p>
    <w:p w:rsidR="0029667D" w:rsidRPr="00F86C6C" w:rsidRDefault="0029667D" w:rsidP="0029667D">
      <w:pPr>
        <w:jc w:val="center"/>
        <w:rPr>
          <w:b/>
          <w:szCs w:val="24"/>
        </w:rPr>
      </w:pPr>
      <w:r w:rsidRPr="00F86C6C">
        <w:rPr>
          <w:b/>
          <w:szCs w:val="24"/>
        </w:rPr>
        <w:t>SUPREME COURT OF CANADA</w:t>
      </w:r>
    </w:p>
    <w:p w:rsidR="0029667D" w:rsidRPr="00F86C6C" w:rsidRDefault="0029667D" w:rsidP="0029667D">
      <w:pPr>
        <w:rPr>
          <w:szCs w:val="24"/>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29667D" w:rsidRPr="00F86C6C" w:rsidTr="00A91E19">
        <w:trPr>
          <w:cantSplit/>
        </w:trPr>
        <w:tc>
          <w:tcPr>
            <w:tcW w:w="6768" w:type="dxa"/>
          </w:tcPr>
          <w:p w:rsidR="0029667D" w:rsidRPr="00F86C6C" w:rsidRDefault="0029667D" w:rsidP="00A91E19">
            <w:r w:rsidRPr="00F86C6C">
              <w:rPr>
                <w:b/>
                <w:smallCaps/>
              </w:rPr>
              <w:t>Citation:</w:t>
            </w:r>
            <w:r w:rsidRPr="00F86C6C">
              <w:t xml:space="preserve"> McLean</w:t>
            </w:r>
            <w:r w:rsidRPr="00F86C6C">
              <w:rPr>
                <w:iCs/>
                <w:color w:val="000000" w:themeColor="text1"/>
              </w:rPr>
              <w:t xml:space="preserve"> </w:t>
            </w:r>
            <w:r w:rsidRPr="00F86C6C">
              <w:rPr>
                <w:i/>
                <w:iCs/>
                <w:color w:val="000000" w:themeColor="text1"/>
              </w:rPr>
              <w:t>v.</w:t>
            </w:r>
            <w:r w:rsidRPr="00F86C6C">
              <w:rPr>
                <w:iCs/>
                <w:color w:val="000000" w:themeColor="text1"/>
              </w:rPr>
              <w:t xml:space="preserve"> </w:t>
            </w:r>
            <w:r w:rsidRPr="00F86C6C">
              <w:t>British Columbia (Securities Commission)</w:t>
            </w:r>
            <w:r w:rsidRPr="00F86C6C">
              <w:rPr>
                <w:iCs/>
                <w:color w:val="000000" w:themeColor="text1"/>
              </w:rPr>
              <w:t>,</w:t>
            </w:r>
            <w:r w:rsidRPr="00F86C6C">
              <w:rPr>
                <w:i/>
              </w:rPr>
              <w:t xml:space="preserve"> </w:t>
            </w:r>
            <w:r w:rsidRPr="00F86C6C">
              <w:t>2013 SCC 67</w:t>
            </w:r>
            <w:r>
              <w:t>, [2013] 3 S.C.R. 895</w:t>
            </w:r>
          </w:p>
        </w:tc>
        <w:tc>
          <w:tcPr>
            <w:tcW w:w="2808" w:type="dxa"/>
          </w:tcPr>
          <w:p w:rsidR="0029667D" w:rsidRPr="00F86C6C" w:rsidRDefault="0029667D" w:rsidP="00A91E19">
            <w:r w:rsidRPr="00F86C6C">
              <w:rPr>
                <w:b/>
                <w:smallCaps/>
              </w:rPr>
              <w:t>Date:</w:t>
            </w:r>
            <w:r w:rsidRPr="00F86C6C">
              <w:t xml:space="preserve"> 20131205</w:t>
            </w:r>
          </w:p>
          <w:p w:rsidR="0029667D" w:rsidRPr="00F86C6C" w:rsidRDefault="0029667D" w:rsidP="00A91E19">
            <w:r w:rsidRPr="00F86C6C">
              <w:rPr>
                <w:b/>
                <w:smallCaps/>
              </w:rPr>
              <w:t>Docket:</w:t>
            </w:r>
            <w:r w:rsidRPr="00F86C6C">
              <w:t xml:space="preserve"> 34593</w:t>
            </w:r>
          </w:p>
        </w:tc>
      </w:tr>
    </w:tbl>
    <w:p w:rsidR="0029667D" w:rsidRPr="00F86C6C" w:rsidRDefault="0029667D" w:rsidP="0029667D">
      <w:pPr>
        <w:rPr>
          <w:szCs w:val="24"/>
        </w:rPr>
      </w:pPr>
    </w:p>
    <w:p w:rsidR="0029667D" w:rsidRPr="00F86C6C" w:rsidRDefault="0029667D" w:rsidP="0029667D">
      <w:pPr>
        <w:rPr>
          <w:b/>
          <w:smallCaps/>
          <w:szCs w:val="24"/>
        </w:rPr>
      </w:pPr>
      <w:r w:rsidRPr="00F86C6C">
        <w:rPr>
          <w:b/>
          <w:smallCaps/>
          <w:szCs w:val="24"/>
        </w:rPr>
        <w:t>Between:</w:t>
      </w:r>
    </w:p>
    <w:p w:rsidR="0029667D" w:rsidRPr="00F86C6C" w:rsidRDefault="0029667D" w:rsidP="0029667D">
      <w:pPr>
        <w:jc w:val="center"/>
        <w:rPr>
          <w:b/>
          <w:szCs w:val="24"/>
        </w:rPr>
      </w:pPr>
      <w:r w:rsidRPr="00F86C6C">
        <w:rPr>
          <w:b/>
          <w:szCs w:val="24"/>
        </w:rPr>
        <w:t>Patricia McLean</w:t>
      </w:r>
    </w:p>
    <w:p w:rsidR="0029667D" w:rsidRPr="00F86C6C" w:rsidRDefault="0029667D" w:rsidP="0029667D">
      <w:pPr>
        <w:jc w:val="center"/>
        <w:rPr>
          <w:szCs w:val="24"/>
        </w:rPr>
      </w:pPr>
      <w:r w:rsidRPr="00F86C6C">
        <w:rPr>
          <w:szCs w:val="24"/>
        </w:rPr>
        <w:t>Appellant</w:t>
      </w:r>
    </w:p>
    <w:p w:rsidR="0029667D" w:rsidRPr="00F86C6C" w:rsidRDefault="0029667D" w:rsidP="0029667D">
      <w:pPr>
        <w:jc w:val="center"/>
        <w:rPr>
          <w:szCs w:val="24"/>
        </w:rPr>
      </w:pPr>
      <w:r w:rsidRPr="00F86C6C">
        <w:rPr>
          <w:szCs w:val="24"/>
        </w:rPr>
        <w:t>and</w:t>
      </w:r>
    </w:p>
    <w:p w:rsidR="0029667D" w:rsidRPr="00F86C6C" w:rsidRDefault="0029667D" w:rsidP="0029667D">
      <w:pPr>
        <w:jc w:val="center"/>
        <w:rPr>
          <w:b/>
          <w:szCs w:val="24"/>
        </w:rPr>
      </w:pPr>
      <w:r w:rsidRPr="00F86C6C">
        <w:rPr>
          <w:b/>
          <w:szCs w:val="24"/>
        </w:rPr>
        <w:t>Executive Director of the British Columbia Securities Commission</w:t>
      </w:r>
    </w:p>
    <w:p w:rsidR="0029667D" w:rsidRPr="00F86C6C" w:rsidRDefault="0029667D" w:rsidP="0029667D">
      <w:pPr>
        <w:jc w:val="center"/>
        <w:rPr>
          <w:szCs w:val="24"/>
        </w:rPr>
      </w:pPr>
      <w:r w:rsidRPr="00F86C6C">
        <w:rPr>
          <w:szCs w:val="24"/>
        </w:rPr>
        <w:t>Respondent</w:t>
      </w:r>
    </w:p>
    <w:p w:rsidR="0029667D" w:rsidRPr="00F86C6C" w:rsidRDefault="0029667D" w:rsidP="0029667D">
      <w:pPr>
        <w:jc w:val="center"/>
        <w:rPr>
          <w:szCs w:val="24"/>
        </w:rPr>
      </w:pPr>
      <w:r w:rsidRPr="00F86C6C">
        <w:rPr>
          <w:szCs w:val="24"/>
        </w:rPr>
        <w:t>- and -</w:t>
      </w:r>
    </w:p>
    <w:p w:rsidR="0029667D" w:rsidRPr="00F86C6C" w:rsidRDefault="0029667D" w:rsidP="0029667D">
      <w:pPr>
        <w:jc w:val="center"/>
        <w:rPr>
          <w:b/>
          <w:szCs w:val="24"/>
        </w:rPr>
      </w:pPr>
      <w:r w:rsidRPr="00F86C6C">
        <w:rPr>
          <w:b/>
          <w:szCs w:val="24"/>
        </w:rPr>
        <w:t>Financial Advisors Association of Canada and Ontario Securities Commission</w:t>
      </w:r>
    </w:p>
    <w:p w:rsidR="0029667D" w:rsidRPr="00F86C6C" w:rsidRDefault="0029667D" w:rsidP="0029667D">
      <w:pPr>
        <w:jc w:val="center"/>
        <w:rPr>
          <w:szCs w:val="24"/>
        </w:rPr>
      </w:pPr>
      <w:r w:rsidRPr="00F86C6C">
        <w:rPr>
          <w:szCs w:val="24"/>
        </w:rPr>
        <w:t>Interveners</w:t>
      </w:r>
    </w:p>
    <w:p w:rsidR="0029667D" w:rsidRPr="00F86C6C" w:rsidRDefault="0029667D" w:rsidP="0029667D">
      <w:pPr>
        <w:rPr>
          <w:szCs w:val="24"/>
        </w:rPr>
      </w:pPr>
    </w:p>
    <w:p w:rsidR="0029667D" w:rsidRPr="00F86C6C" w:rsidRDefault="0029667D" w:rsidP="0029667D">
      <w:pPr>
        <w:rPr>
          <w:szCs w:val="24"/>
        </w:rPr>
      </w:pPr>
      <w:r w:rsidRPr="00F86C6C">
        <w:rPr>
          <w:b/>
          <w:smallCaps/>
          <w:szCs w:val="24"/>
        </w:rPr>
        <w:t>Coram:</w:t>
      </w:r>
      <w:r w:rsidRPr="00F86C6C">
        <w:rPr>
          <w:szCs w:val="24"/>
        </w:rPr>
        <w:t xml:space="preserve"> LeBel, Fish, Rothstein, Cromwell, Moldaver, Karakatsanis and Wagner JJ.</w:t>
      </w:r>
    </w:p>
    <w:p w:rsidR="0029667D" w:rsidRPr="00F86C6C" w:rsidRDefault="0029667D" w:rsidP="0029667D">
      <w:pPr>
        <w:rPr>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29667D" w:rsidRPr="00F86C6C" w:rsidTr="00A91E19">
        <w:trPr>
          <w:cantSplit/>
        </w:trPr>
        <w:tc>
          <w:tcPr>
            <w:tcW w:w="3618" w:type="dxa"/>
          </w:tcPr>
          <w:p w:rsidR="0029667D" w:rsidRPr="00F86C6C" w:rsidRDefault="0029667D" w:rsidP="00A91E19">
            <w:pPr>
              <w:rPr>
                <w:b/>
                <w:smallCaps/>
              </w:rPr>
            </w:pPr>
            <w:r w:rsidRPr="00F86C6C">
              <w:rPr>
                <w:b/>
                <w:smallCaps/>
              </w:rPr>
              <w:t>Reasons for Judgment:</w:t>
            </w:r>
          </w:p>
          <w:p w:rsidR="0029667D" w:rsidRPr="00F86C6C" w:rsidRDefault="0029667D" w:rsidP="00A91E19">
            <w:r w:rsidRPr="00F86C6C">
              <w:t>(paras. 1 to 73)</w:t>
            </w:r>
          </w:p>
          <w:p w:rsidR="0029667D" w:rsidRPr="00F86C6C" w:rsidRDefault="0029667D" w:rsidP="00A91E19"/>
          <w:p w:rsidR="0029667D" w:rsidRPr="00F86C6C" w:rsidRDefault="0029667D" w:rsidP="00A91E19">
            <w:pPr>
              <w:rPr>
                <w:b/>
                <w:smallCaps/>
              </w:rPr>
            </w:pPr>
            <w:r w:rsidRPr="00F86C6C">
              <w:rPr>
                <w:b/>
                <w:smallCaps/>
              </w:rPr>
              <w:t>Concurring Reasons:</w:t>
            </w:r>
          </w:p>
          <w:p w:rsidR="0029667D" w:rsidRPr="00F86C6C" w:rsidRDefault="0029667D" w:rsidP="00A91E19">
            <w:r w:rsidRPr="00F86C6C">
              <w:t>(paras. 74 to 82)</w:t>
            </w:r>
          </w:p>
        </w:tc>
        <w:tc>
          <w:tcPr>
            <w:tcW w:w="5958" w:type="dxa"/>
          </w:tcPr>
          <w:p w:rsidR="0029667D" w:rsidRPr="00F86C6C" w:rsidRDefault="0029667D" w:rsidP="00A91E19">
            <w:r w:rsidRPr="00F86C6C">
              <w:t>Moldaver J. (LeBel, Fish, Rothstein, Cromwell and Wagner JJ. concurring)</w:t>
            </w:r>
          </w:p>
          <w:p w:rsidR="0029667D" w:rsidRPr="00F86C6C" w:rsidRDefault="0029667D" w:rsidP="00A91E19"/>
          <w:p w:rsidR="0029667D" w:rsidRPr="00F86C6C" w:rsidRDefault="0029667D" w:rsidP="00A91E19">
            <w:r w:rsidRPr="00F86C6C">
              <w:t>Karakatsanis J.</w:t>
            </w:r>
          </w:p>
        </w:tc>
      </w:tr>
    </w:tbl>
    <w:p w:rsidR="0029667D" w:rsidRPr="00F86C6C" w:rsidRDefault="0029667D" w:rsidP="0029667D">
      <w:pPr>
        <w:rPr>
          <w:szCs w:val="24"/>
        </w:rPr>
      </w:pPr>
      <w:r>
        <w:rPr>
          <w:noProof/>
          <w:szCs w:val="24"/>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29667D" w:rsidRDefault="0029667D" w:rsidP="0029667D">
      <w:pPr>
        <w:rPr>
          <w:smallCaps/>
        </w:rPr>
      </w:pPr>
      <w:r>
        <w:rPr>
          <w:smallCaps/>
        </w:rPr>
        <w:br w:type="page"/>
      </w:r>
    </w:p>
    <w:p w:rsidR="008322BD" w:rsidRPr="00930536" w:rsidRDefault="006F79DE" w:rsidP="00D57F17">
      <w:pPr>
        <w:spacing w:after="720"/>
        <w:jc w:val="both"/>
        <w:rPr>
          <w:smallCaps/>
        </w:rPr>
      </w:pPr>
      <w:r w:rsidRPr="00930536">
        <w:lastRenderedPageBreak/>
        <w:t xml:space="preserve">McLean </w:t>
      </w:r>
      <w:r w:rsidRPr="0025455A">
        <w:rPr>
          <w:i/>
        </w:rPr>
        <w:t>v.</w:t>
      </w:r>
      <w:r w:rsidRPr="00930536">
        <w:t xml:space="preserve"> British Columbia (Securities Commission)</w:t>
      </w:r>
      <w:r>
        <w:t xml:space="preserve">, </w:t>
      </w:r>
      <w:r w:rsidRPr="00930536">
        <w:t>2013 SCC 67</w:t>
      </w:r>
      <w:r>
        <w:t>, [2013] 3 S.C.R. 8</w:t>
      </w:r>
      <w:r w:rsidR="008B5B5B">
        <w:t>95</w:t>
      </w:r>
    </w:p>
    <w:p w:rsidR="006A3FE0" w:rsidRPr="00930536" w:rsidRDefault="00CC16FB" w:rsidP="00D57F17">
      <w:pPr>
        <w:pStyle w:val="SCCLsocLastPartyInRole"/>
      </w:pPr>
      <w:r w:rsidRPr="00930536">
        <w:t>Patricia McLean</w:t>
      </w:r>
      <w:r w:rsidRPr="00930536">
        <w:rPr>
          <w:rStyle w:val="SCCLsocPartyRole"/>
        </w:rPr>
        <w:tab/>
        <w:t>Appellant</w:t>
      </w:r>
    </w:p>
    <w:p w:rsidR="006A3FE0" w:rsidRPr="0042173D" w:rsidRDefault="00CC16FB" w:rsidP="00D57F17">
      <w:pPr>
        <w:pStyle w:val="SCCLsocVersus"/>
        <w:rPr>
          <w:i/>
        </w:rPr>
      </w:pPr>
      <w:r w:rsidRPr="0042173D">
        <w:rPr>
          <w:i/>
        </w:rPr>
        <w:t>v.</w:t>
      </w:r>
    </w:p>
    <w:p w:rsidR="00C2389A" w:rsidRPr="00930536" w:rsidRDefault="00CC16FB" w:rsidP="00D57F17">
      <w:pPr>
        <w:pStyle w:val="SCCLsocLastPartyInRole"/>
        <w:spacing w:after="0"/>
      </w:pPr>
      <w:r w:rsidRPr="00930536">
        <w:t xml:space="preserve">Executive Director of the British Columbia Securities </w:t>
      </w:r>
    </w:p>
    <w:p w:rsidR="006A3FE0" w:rsidRPr="00930536" w:rsidRDefault="00CC16FB" w:rsidP="00D57F17">
      <w:pPr>
        <w:pStyle w:val="SCCLsocLastPartyInRole"/>
      </w:pPr>
      <w:r w:rsidRPr="00930536">
        <w:t>Commission</w:t>
      </w:r>
      <w:r w:rsidRPr="00930536">
        <w:rPr>
          <w:rStyle w:val="SCCLsocPartyRole"/>
        </w:rPr>
        <w:tab/>
        <w:t>Respondent</w:t>
      </w:r>
    </w:p>
    <w:p w:rsidR="006A3FE0" w:rsidRPr="00930536" w:rsidRDefault="00CC16FB" w:rsidP="00D57F17">
      <w:pPr>
        <w:pStyle w:val="SCCLsocOtherPartySeparator"/>
      </w:pPr>
      <w:r w:rsidRPr="00930536">
        <w:t>and</w:t>
      </w:r>
    </w:p>
    <w:p w:rsidR="006A3FE0" w:rsidRPr="00A36A65" w:rsidRDefault="00CC16FB" w:rsidP="00A36A65">
      <w:pPr>
        <w:pStyle w:val="SCCLsocParty"/>
        <w:spacing w:after="0"/>
        <w:rPr>
          <w:b/>
        </w:rPr>
      </w:pPr>
      <w:r w:rsidRPr="00A36A65">
        <w:rPr>
          <w:b/>
        </w:rPr>
        <w:t>Financial Advisors Association of Canada</w:t>
      </w:r>
      <w:r w:rsidR="00C57A0A" w:rsidRPr="00A36A65">
        <w:rPr>
          <w:b/>
        </w:rPr>
        <w:t xml:space="preserve"> and</w:t>
      </w:r>
    </w:p>
    <w:p w:rsidR="006A3FE0" w:rsidRDefault="00CC16FB" w:rsidP="00A36A65">
      <w:pPr>
        <w:pStyle w:val="SCCLsocLastPartyInRole"/>
        <w:rPr>
          <w:rStyle w:val="SCCLsocPartyRole"/>
        </w:rPr>
      </w:pPr>
      <w:r w:rsidRPr="00930536">
        <w:t>Ontario Securities Commission</w:t>
      </w:r>
      <w:r w:rsidRPr="00930536">
        <w:rPr>
          <w:rStyle w:val="SCCLsocPartyRole"/>
        </w:rPr>
        <w:tab/>
        <w:t>Interveners</w:t>
      </w:r>
    </w:p>
    <w:p w:rsidR="00426659" w:rsidRPr="00930536" w:rsidRDefault="00426659" w:rsidP="00D57F17">
      <w:pPr>
        <w:pStyle w:val="SCCLsocLastPartyInRole"/>
      </w:pPr>
      <w:r w:rsidRPr="00930536">
        <w:t>Indexed as:  McLean</w:t>
      </w:r>
      <w:r w:rsidRPr="00930536">
        <w:rPr>
          <w:b w:val="0"/>
        </w:rPr>
        <w:t xml:space="preserve"> </w:t>
      </w:r>
      <w:r w:rsidRPr="0025455A">
        <w:rPr>
          <w:i/>
        </w:rPr>
        <w:t>v.</w:t>
      </w:r>
      <w:r w:rsidRPr="00930536">
        <w:t xml:space="preserve"> </w:t>
      </w:r>
      <w:r w:rsidR="004B7825" w:rsidRPr="00930536">
        <w:t>British </w:t>
      </w:r>
      <w:r w:rsidR="00C57A0A" w:rsidRPr="00930536">
        <w:t xml:space="preserve">Columbia (Securities Commission) </w:t>
      </w:r>
    </w:p>
    <w:p w:rsidR="00426659" w:rsidRPr="00930536" w:rsidRDefault="004F36FF" w:rsidP="00D57F17">
      <w:pPr>
        <w:pStyle w:val="SCCLsocLastPartyInRole"/>
      </w:pPr>
      <w:r w:rsidRPr="00930536">
        <w:t>2013</w:t>
      </w:r>
      <w:r w:rsidR="003D0399" w:rsidRPr="00930536">
        <w:t xml:space="preserve"> </w:t>
      </w:r>
      <w:r w:rsidR="00726DC7" w:rsidRPr="00930536">
        <w:t>SCC 67</w:t>
      </w:r>
    </w:p>
    <w:p w:rsidR="008322BD" w:rsidRPr="00930536" w:rsidRDefault="00D57F17" w:rsidP="00D57F17">
      <w:pPr>
        <w:spacing w:after="720"/>
        <w:jc w:val="both"/>
      </w:pPr>
      <w:r w:rsidRPr="00930536">
        <w:t>File No.:  </w:t>
      </w:r>
      <w:r w:rsidR="009B57B3" w:rsidRPr="00930536">
        <w:t>34593.</w:t>
      </w:r>
    </w:p>
    <w:p w:rsidR="008322BD" w:rsidRPr="00930536" w:rsidRDefault="00D57F17" w:rsidP="00D57F17">
      <w:pPr>
        <w:spacing w:after="720"/>
        <w:jc w:val="both"/>
      </w:pPr>
      <w:r w:rsidRPr="00930536">
        <w:t>2013:  March </w:t>
      </w:r>
      <w:r w:rsidR="004F36FF" w:rsidRPr="00930536">
        <w:t>21</w:t>
      </w:r>
      <w:r w:rsidR="009B57B3" w:rsidRPr="00930536">
        <w:t xml:space="preserve">; </w:t>
      </w:r>
      <w:r w:rsidR="004D7E30" w:rsidRPr="00930536">
        <w:t>2013:  December </w:t>
      </w:r>
      <w:r w:rsidR="00334D2D" w:rsidRPr="00930536">
        <w:t>5</w:t>
      </w:r>
      <w:r w:rsidR="009B57B3" w:rsidRPr="00930536">
        <w:t>.</w:t>
      </w:r>
    </w:p>
    <w:p w:rsidR="008322BD" w:rsidRPr="00930536" w:rsidRDefault="009B57B3" w:rsidP="00D57F17">
      <w:pPr>
        <w:spacing w:after="720"/>
        <w:jc w:val="both"/>
      </w:pPr>
      <w:r w:rsidRPr="00930536">
        <w:t>Present:  LeBel, Fish, Rothstein, Cromwell, Moldaver, Karakatsanis and Wagner JJ.</w:t>
      </w:r>
    </w:p>
    <w:p w:rsidR="004457D2" w:rsidRPr="00930536" w:rsidRDefault="00656313" w:rsidP="00726DC7">
      <w:pPr>
        <w:pStyle w:val="SCCLowerCourtNameLowercase"/>
        <w:spacing w:after="720" w:line="240" w:lineRule="auto"/>
      </w:pPr>
      <w:r w:rsidRPr="00930536">
        <w:t>o</w:t>
      </w:r>
      <w:r w:rsidR="00170592" w:rsidRPr="00930536">
        <w:t>n</w:t>
      </w:r>
      <w:r w:rsidR="00224FC0" w:rsidRPr="00930536">
        <w:t xml:space="preserve"> </w:t>
      </w:r>
      <w:r w:rsidRPr="00930536">
        <w:t>a</w:t>
      </w:r>
      <w:r w:rsidR="00170592" w:rsidRPr="00930536">
        <w:t>ppeal</w:t>
      </w:r>
      <w:r w:rsidR="00224FC0" w:rsidRPr="00930536">
        <w:t xml:space="preserve"> </w:t>
      </w:r>
      <w:r w:rsidR="00170592" w:rsidRPr="00930536">
        <w:t>from</w:t>
      </w:r>
      <w:r w:rsidR="009567AA" w:rsidRPr="00930536">
        <w:t xml:space="preserve"> the</w:t>
      </w:r>
      <w:r w:rsidR="00224FC0" w:rsidRPr="00930536">
        <w:t xml:space="preserve"> </w:t>
      </w:r>
      <w:r w:rsidR="00D57F17" w:rsidRPr="00930536">
        <w:t>court of appeal for british </w:t>
      </w:r>
      <w:r w:rsidR="009B57B3" w:rsidRPr="00930536">
        <w:t>columbia</w:t>
      </w:r>
    </w:p>
    <w:p w:rsidR="004457D2" w:rsidRPr="00930536" w:rsidRDefault="009440ED" w:rsidP="009440ED">
      <w:pPr>
        <w:pStyle w:val="SCCNormalDoubleSpacing"/>
        <w:spacing w:before="480" w:after="480"/>
        <w:rPr>
          <w:i/>
        </w:rPr>
      </w:pPr>
      <w:r w:rsidRPr="00930536">
        <w:rPr>
          <w:i/>
        </w:rPr>
        <w:lastRenderedPageBreak/>
        <w:tab/>
      </w:r>
      <w:r w:rsidR="004457D2" w:rsidRPr="00930536">
        <w:rPr>
          <w:i/>
        </w:rPr>
        <w:t xml:space="preserve">Administrative law </w:t>
      </w:r>
      <w:r w:rsidRPr="00930536">
        <w:rPr>
          <w:i/>
        </w:rPr>
        <w:t>—</w:t>
      </w:r>
      <w:r w:rsidR="004457D2" w:rsidRPr="00930536">
        <w:rPr>
          <w:i/>
        </w:rPr>
        <w:t xml:space="preserve"> Securities </w:t>
      </w:r>
      <w:r w:rsidRPr="00930536">
        <w:rPr>
          <w:i/>
        </w:rPr>
        <w:t>—</w:t>
      </w:r>
      <w:r w:rsidR="004457D2" w:rsidRPr="00930536">
        <w:rPr>
          <w:i/>
        </w:rPr>
        <w:t xml:space="preserve"> Standard of </w:t>
      </w:r>
      <w:r w:rsidR="001F17B0">
        <w:rPr>
          <w:i/>
        </w:rPr>
        <w:t>r</w:t>
      </w:r>
      <w:r w:rsidR="004457D2" w:rsidRPr="00930536">
        <w:rPr>
          <w:i/>
        </w:rPr>
        <w:t xml:space="preserve">eview </w:t>
      </w:r>
      <w:r w:rsidRPr="00930536">
        <w:rPr>
          <w:i/>
        </w:rPr>
        <w:t>—</w:t>
      </w:r>
      <w:r w:rsidR="004457D2" w:rsidRPr="00930536">
        <w:rPr>
          <w:i/>
        </w:rPr>
        <w:t xml:space="preserve"> Limitation of </w:t>
      </w:r>
      <w:r w:rsidR="001F17B0">
        <w:rPr>
          <w:i/>
        </w:rPr>
        <w:t>a</w:t>
      </w:r>
      <w:r w:rsidR="004457D2" w:rsidRPr="00930536">
        <w:rPr>
          <w:i/>
        </w:rPr>
        <w:t xml:space="preserve">ctions </w:t>
      </w:r>
      <w:r w:rsidRPr="00930536">
        <w:rPr>
          <w:i/>
        </w:rPr>
        <w:t>—</w:t>
      </w:r>
      <w:r w:rsidR="004457D2" w:rsidRPr="00930536">
        <w:rPr>
          <w:i/>
        </w:rPr>
        <w:t xml:space="preserve"> Appellant entering into settlement agreement with Ontario Securities Commission in respect to certain possible improper actions </w:t>
      </w:r>
      <w:r w:rsidRPr="00930536">
        <w:rPr>
          <w:i/>
        </w:rPr>
        <w:t>—</w:t>
      </w:r>
      <w:r w:rsidR="004457D2" w:rsidRPr="00930536">
        <w:rPr>
          <w:i/>
        </w:rPr>
        <w:t xml:space="preserve"> B.C. Securities Commission initiating secondary proceedings based on settlement agreement </w:t>
      </w:r>
      <w:r w:rsidRPr="00930536">
        <w:rPr>
          <w:i/>
        </w:rPr>
        <w:t>—</w:t>
      </w:r>
      <w:r w:rsidR="004457D2" w:rsidRPr="00930536">
        <w:rPr>
          <w:i/>
        </w:rPr>
        <w:t xml:space="preserve"> B.C. Securities Act establishing limitation period of six years from date of “events” giving rise to proceedings </w:t>
      </w:r>
      <w:r w:rsidRPr="00930536">
        <w:rPr>
          <w:i/>
        </w:rPr>
        <w:t>—</w:t>
      </w:r>
      <w:r w:rsidR="004457D2" w:rsidRPr="00930536">
        <w:rPr>
          <w:i/>
        </w:rPr>
        <w:t xml:space="preserve"> Whether “events” triggering six</w:t>
      </w:r>
      <w:r w:rsidRPr="00930536">
        <w:rPr>
          <w:i/>
        </w:rPr>
        <w:noBreakHyphen/>
      </w:r>
      <w:r w:rsidR="004457D2" w:rsidRPr="00930536">
        <w:rPr>
          <w:i/>
        </w:rPr>
        <w:t xml:space="preserve">year limitation period are the underlying misconduct giving rise to the settlement agreement, or the settlement agreement itself </w:t>
      </w:r>
      <w:r w:rsidRPr="00930536">
        <w:rPr>
          <w:i/>
        </w:rPr>
        <w:t>—</w:t>
      </w:r>
      <w:r w:rsidR="004457D2" w:rsidRPr="00930536">
        <w:rPr>
          <w:i/>
        </w:rPr>
        <w:t xml:space="preserve"> Whether the standard of review of the Commission</w:t>
      </w:r>
      <w:r w:rsidR="00887788" w:rsidRPr="00930536">
        <w:rPr>
          <w:i/>
        </w:rPr>
        <w:t>’</w:t>
      </w:r>
      <w:r w:rsidR="004457D2" w:rsidRPr="00930536">
        <w:rPr>
          <w:i/>
        </w:rPr>
        <w:t xml:space="preserve">s decision should be correctness or reasonableness </w:t>
      </w:r>
      <w:r w:rsidRPr="00930536">
        <w:rPr>
          <w:i/>
        </w:rPr>
        <w:t>—</w:t>
      </w:r>
      <w:r w:rsidR="004457D2" w:rsidRPr="00930536">
        <w:rPr>
          <w:i/>
        </w:rPr>
        <w:t xml:space="preserve"> Having regard to the standard of review, whether there is any basis to interfere with the Commission</w:t>
      </w:r>
      <w:r w:rsidR="00887788" w:rsidRPr="00930536">
        <w:rPr>
          <w:i/>
        </w:rPr>
        <w:t>’</w:t>
      </w:r>
      <w:r w:rsidR="004457D2" w:rsidRPr="00930536">
        <w:rPr>
          <w:i/>
        </w:rPr>
        <w:t xml:space="preserve">s interpretation </w:t>
      </w:r>
      <w:r w:rsidRPr="00930536">
        <w:rPr>
          <w:i/>
        </w:rPr>
        <w:t>—</w:t>
      </w:r>
      <w:r w:rsidR="004457D2" w:rsidRPr="00930536">
        <w:rPr>
          <w:i/>
        </w:rPr>
        <w:t xml:space="preserve"> Se</w:t>
      </w:r>
      <w:r w:rsidRPr="00930536">
        <w:rPr>
          <w:i/>
        </w:rPr>
        <w:t>curities Act, R.S.B.C. 1996, c. </w:t>
      </w:r>
      <w:r w:rsidR="004457D2" w:rsidRPr="00930536">
        <w:rPr>
          <w:i/>
        </w:rPr>
        <w:t xml:space="preserve">418, </w:t>
      </w:r>
      <w:r w:rsidRPr="00930536">
        <w:rPr>
          <w:i/>
        </w:rPr>
        <w:t>ss. </w:t>
      </w:r>
      <w:r w:rsidR="004457D2" w:rsidRPr="00930536">
        <w:rPr>
          <w:i/>
        </w:rPr>
        <w:t>159, 161(6)(d).</w:t>
      </w:r>
    </w:p>
    <w:p w:rsidR="004457D2" w:rsidRPr="00930536" w:rsidRDefault="009440ED" w:rsidP="009440ED">
      <w:pPr>
        <w:pStyle w:val="SCCNormalDoubleSpacing"/>
        <w:spacing w:before="480" w:after="480"/>
      </w:pPr>
      <w:r w:rsidRPr="00930536">
        <w:tab/>
        <w:t>On September </w:t>
      </w:r>
      <w:r w:rsidR="004457D2" w:rsidRPr="00930536">
        <w:t>8, 2008, M entered into a settlement agreement with the</w:t>
      </w:r>
      <w:r w:rsidR="00353B4E" w:rsidRPr="00930536">
        <w:t xml:space="preserve"> Ontario Securities Commission </w:t>
      </w:r>
      <w:r w:rsidR="004457D2" w:rsidRPr="00930536">
        <w:t>in respect to misconduct that occurred</w:t>
      </w:r>
      <w:r w:rsidR="00353B4E" w:rsidRPr="00930536">
        <w:t xml:space="preserve"> in Ontario, in 2001 or earlier</w:t>
      </w:r>
      <w:r w:rsidR="00887788" w:rsidRPr="00930536">
        <w:t xml:space="preserve">.  </w:t>
      </w:r>
      <w:r w:rsidR="004457D2" w:rsidRPr="00930536">
        <w:t>The Ontario Securit</w:t>
      </w:r>
      <w:r w:rsidR="00353B4E" w:rsidRPr="00930536">
        <w:t>ies Commission issued an order in the public interest</w:t>
      </w:r>
      <w:r w:rsidR="004457D2" w:rsidRPr="00930536">
        <w:t xml:space="preserve"> barring her from trading in securities for five years and banning her from acting as an officer or director of certain entities registe</w:t>
      </w:r>
      <w:r w:rsidRPr="00930536">
        <w:t>red in Ontario for 10 </w:t>
      </w:r>
      <w:r w:rsidR="00353B4E" w:rsidRPr="00930536">
        <w:t>years</w:t>
      </w:r>
      <w:r w:rsidR="00887788" w:rsidRPr="00930536">
        <w:t xml:space="preserve">.  </w:t>
      </w:r>
      <w:r w:rsidRPr="00930536">
        <w:t>On January </w:t>
      </w:r>
      <w:r w:rsidR="004457D2" w:rsidRPr="00930536">
        <w:t xml:space="preserve">14, 2010, the respondent notified M that he was applying to the British Columbia Securities Commission for a public interest order against her based on </w:t>
      </w:r>
      <w:r w:rsidRPr="00930536">
        <w:t>s. </w:t>
      </w:r>
      <w:r w:rsidR="004457D2" w:rsidRPr="00930536">
        <w:t xml:space="preserve">161(6)(d) of the </w:t>
      </w:r>
      <w:r w:rsidR="004457D2" w:rsidRPr="00930536">
        <w:rPr>
          <w:i/>
        </w:rPr>
        <w:t>Securities</w:t>
      </w:r>
      <w:r w:rsidR="004457D2" w:rsidRPr="00930536">
        <w:t xml:space="preserve"> </w:t>
      </w:r>
      <w:r w:rsidR="004457D2" w:rsidRPr="00930536">
        <w:rPr>
          <w:i/>
        </w:rPr>
        <w:t>Act</w:t>
      </w:r>
      <w:r w:rsidR="00887788" w:rsidRPr="00930536">
        <w:t>, R.S.B.C. 1996, c. </w:t>
      </w:r>
      <w:r w:rsidR="00353B4E" w:rsidRPr="00930536">
        <w:t xml:space="preserve">418. </w:t>
      </w:r>
      <w:r w:rsidR="004457D2" w:rsidRPr="00930536">
        <w:t>Section</w:t>
      </w:r>
      <w:r w:rsidR="00887788" w:rsidRPr="00930536">
        <w:t> </w:t>
      </w:r>
      <w:r w:rsidR="004457D2" w:rsidRPr="00930536">
        <w:t>161(6)(d) empowers the Commission to bring proceedings in the public interest against persons who have agreed with another jurisdiction</w:t>
      </w:r>
      <w:r w:rsidR="00887788" w:rsidRPr="00930536">
        <w:t>’</w:t>
      </w:r>
      <w:r w:rsidR="004457D2" w:rsidRPr="00930536">
        <w:t>s securities regulator, by way of a settlement agreement, to be subject to regulatory action.  Section</w:t>
      </w:r>
      <w:r w:rsidR="00887788" w:rsidRPr="00930536">
        <w:t> </w:t>
      </w:r>
      <w:r w:rsidR="004457D2" w:rsidRPr="00930536">
        <w:t xml:space="preserve">159 of the </w:t>
      </w:r>
      <w:r w:rsidR="004457D2" w:rsidRPr="00930536">
        <w:rPr>
          <w:i/>
        </w:rPr>
        <w:t>Securities</w:t>
      </w:r>
      <w:r w:rsidR="004457D2" w:rsidRPr="00930536">
        <w:t xml:space="preserve"> </w:t>
      </w:r>
      <w:r w:rsidR="004457D2" w:rsidRPr="00930536">
        <w:rPr>
          <w:i/>
        </w:rPr>
        <w:t>Act</w:t>
      </w:r>
      <w:r w:rsidR="004457D2" w:rsidRPr="00930536">
        <w:t xml:space="preserve"> sets </w:t>
      </w:r>
      <w:r w:rsidR="004457D2" w:rsidRPr="00930536">
        <w:lastRenderedPageBreak/>
        <w:t xml:space="preserve">out that all proceedings under the </w:t>
      </w:r>
      <w:r w:rsidR="004457D2" w:rsidRPr="001F17B0">
        <w:t>Act</w:t>
      </w:r>
      <w:r w:rsidR="004457D2" w:rsidRPr="00930536">
        <w:t xml:space="preserve"> “must not be commenced more than </w:t>
      </w:r>
      <w:r w:rsidR="0060625A">
        <w:t>6</w:t>
      </w:r>
      <w:r w:rsidR="004457D2" w:rsidRPr="00930536">
        <w:t xml:space="preserve"> years after the date of the events that giv</w:t>
      </w:r>
      <w:r w:rsidR="00353B4E" w:rsidRPr="00930536">
        <w:t>e rise to the proceedings”</w:t>
      </w:r>
      <w:r w:rsidR="0060625A">
        <w:t>.</w:t>
      </w:r>
      <w:r w:rsidR="00353B4E" w:rsidRPr="00930536">
        <w:t xml:space="preserve"> </w:t>
      </w:r>
      <w:r w:rsidR="004457D2" w:rsidRPr="00930536">
        <w:t xml:space="preserve"> The Commission issued a reciprocal order adopting the same prohibitions as are set out in the Ontario Sec</w:t>
      </w:r>
      <w:r w:rsidR="00353B4E" w:rsidRPr="00930536">
        <w:t>urities Commission</w:t>
      </w:r>
      <w:r w:rsidR="00887788" w:rsidRPr="00930536">
        <w:t>’</w:t>
      </w:r>
      <w:r w:rsidR="00353B4E" w:rsidRPr="00930536">
        <w:t>s order</w:t>
      </w:r>
      <w:r w:rsidR="00887788" w:rsidRPr="00930536">
        <w:t xml:space="preserve">.  </w:t>
      </w:r>
      <w:r w:rsidR="004457D2" w:rsidRPr="00930536">
        <w:t xml:space="preserve">In doing so, the Commission implicitly interpreted </w:t>
      </w:r>
      <w:r w:rsidRPr="00930536">
        <w:t>s. </w:t>
      </w:r>
      <w:r w:rsidR="004457D2" w:rsidRPr="00930536">
        <w:t xml:space="preserve">159, as it applies to </w:t>
      </w:r>
      <w:r w:rsidRPr="00930536">
        <w:t>s. </w:t>
      </w:r>
      <w:r w:rsidR="004457D2" w:rsidRPr="00930536">
        <w:t>161(6)(d), such that “the event” that triggered the six</w:t>
      </w:r>
      <w:r w:rsidRPr="00930536">
        <w:noBreakHyphen/>
      </w:r>
      <w:r w:rsidR="004457D2" w:rsidRPr="00930536">
        <w:t>year limitation period was M</w:t>
      </w:r>
      <w:r w:rsidR="00887788" w:rsidRPr="00930536">
        <w:t>’</w:t>
      </w:r>
      <w:r w:rsidR="004457D2" w:rsidRPr="00930536">
        <w:t>s entering into a settlement agreement and not the misconduct tha</w:t>
      </w:r>
      <w:r w:rsidR="00353B4E" w:rsidRPr="00930536">
        <w:t>t occurred in 2001 or earlier</w:t>
      </w:r>
      <w:r w:rsidR="00887788" w:rsidRPr="00930536">
        <w:t xml:space="preserve">.  </w:t>
      </w:r>
      <w:r w:rsidR="004457D2" w:rsidRPr="00930536">
        <w:t>The Court of Appeal applied a correctness standard of review and upheld the Commission</w:t>
      </w:r>
      <w:r w:rsidR="00887788" w:rsidRPr="00930536">
        <w:t>’</w:t>
      </w:r>
      <w:r w:rsidR="004457D2" w:rsidRPr="00930536">
        <w:t xml:space="preserve">s implied decision that “the event” that gave rise to the proceedings in British Columbia under </w:t>
      </w:r>
      <w:r w:rsidRPr="00930536">
        <w:t>s. </w:t>
      </w:r>
      <w:r w:rsidR="004457D2" w:rsidRPr="00930536">
        <w:t xml:space="preserve">161(6)(d) was the agreement in Ontario.   </w:t>
      </w:r>
    </w:p>
    <w:p w:rsidR="004457D2" w:rsidRPr="00930536" w:rsidRDefault="009440ED" w:rsidP="004457D2">
      <w:pPr>
        <w:pStyle w:val="SCCNormalDoubleSpacing"/>
        <w:spacing w:after="480"/>
      </w:pPr>
      <w:r w:rsidRPr="00930536">
        <w:rPr>
          <w:i/>
        </w:rPr>
        <w:tab/>
      </w:r>
      <w:r w:rsidR="004457D2" w:rsidRPr="00930536">
        <w:rPr>
          <w:i/>
        </w:rPr>
        <w:t>Held</w:t>
      </w:r>
      <w:r w:rsidR="004457D2" w:rsidRPr="0060625A">
        <w:t xml:space="preserve">: </w:t>
      </w:r>
      <w:r w:rsidR="004457D2" w:rsidRPr="00930536">
        <w:t xml:space="preserve"> The appeal should be dismissed</w:t>
      </w:r>
    </w:p>
    <w:p w:rsidR="004457D2" w:rsidRPr="00930536" w:rsidRDefault="009440ED" w:rsidP="009440ED">
      <w:pPr>
        <w:pStyle w:val="SCCNormalDoubleSpacing"/>
        <w:spacing w:before="480" w:after="480"/>
      </w:pPr>
      <w:r w:rsidRPr="00930536">
        <w:rPr>
          <w:i/>
        </w:rPr>
        <w:tab/>
      </w:r>
      <w:r w:rsidR="004457D2" w:rsidRPr="00930536">
        <w:rPr>
          <w:i/>
        </w:rPr>
        <w:t>Per</w:t>
      </w:r>
      <w:r w:rsidR="004457D2" w:rsidRPr="00930536">
        <w:t xml:space="preserve"> LeBel, Fish, Rothstein, Cromwell, </w:t>
      </w:r>
      <w:r w:rsidR="004457D2" w:rsidRPr="0060625A">
        <w:t>Moldaver</w:t>
      </w:r>
      <w:r w:rsidR="00353B4E" w:rsidRPr="0060625A">
        <w:t xml:space="preserve"> </w:t>
      </w:r>
      <w:r w:rsidR="00353B4E" w:rsidRPr="00930536">
        <w:t xml:space="preserve">and Wagner JJ.:  The </w:t>
      </w:r>
      <w:r w:rsidR="004457D2" w:rsidRPr="00930536">
        <w:t xml:space="preserve">question presented is whether, for purposes of </w:t>
      </w:r>
      <w:r w:rsidRPr="00930536">
        <w:t>s. </w:t>
      </w:r>
      <w:r w:rsidR="004457D2" w:rsidRPr="00930536">
        <w:t>161(6)(d), “the events” that trigger the six</w:t>
      </w:r>
      <w:r w:rsidRPr="00930536">
        <w:noBreakHyphen/>
      </w:r>
      <w:r w:rsidR="004457D2" w:rsidRPr="00930536">
        <w:t xml:space="preserve">year limitation period in </w:t>
      </w:r>
      <w:r w:rsidRPr="00930536">
        <w:t>s. </w:t>
      </w:r>
      <w:r w:rsidR="004457D2" w:rsidRPr="00930536">
        <w:t>159 are (i)</w:t>
      </w:r>
      <w:r w:rsidR="000F340C">
        <w:t> </w:t>
      </w:r>
      <w:r w:rsidR="004457D2" w:rsidRPr="00930536">
        <w:t>the underlying misconduct that gave rise to the settlement agreement or (ii)</w:t>
      </w:r>
      <w:r w:rsidR="000F340C">
        <w:t> </w:t>
      </w:r>
      <w:r w:rsidR="004457D2" w:rsidRPr="00930536">
        <w:t xml:space="preserve">the settlement agreement itself.  </w:t>
      </w:r>
      <w:r w:rsidR="004457D2" w:rsidRPr="00930536">
        <w:rPr>
          <w:szCs w:val="24"/>
        </w:rPr>
        <w:t xml:space="preserve">A review of the ordinary meaning, the context, and the purpose of both </w:t>
      </w:r>
      <w:r w:rsidRPr="00930536">
        <w:rPr>
          <w:szCs w:val="24"/>
        </w:rPr>
        <w:t>ss. </w:t>
      </w:r>
      <w:r w:rsidR="004457D2" w:rsidRPr="00930536">
        <w:rPr>
          <w:szCs w:val="24"/>
        </w:rPr>
        <w:t xml:space="preserve">159 and 161(6) </w:t>
      </w:r>
      <w:r w:rsidR="004457D2" w:rsidRPr="00930536">
        <w:t xml:space="preserve">of the </w:t>
      </w:r>
      <w:r w:rsidR="004457D2" w:rsidRPr="00930536">
        <w:rPr>
          <w:i/>
        </w:rPr>
        <w:t>Securities</w:t>
      </w:r>
      <w:r w:rsidR="004457D2" w:rsidRPr="00930536">
        <w:t xml:space="preserve"> </w:t>
      </w:r>
      <w:r w:rsidR="004457D2" w:rsidRPr="00930536">
        <w:rPr>
          <w:i/>
        </w:rPr>
        <w:t>Act</w:t>
      </w:r>
      <w:r w:rsidR="004457D2" w:rsidRPr="00930536">
        <w:rPr>
          <w:szCs w:val="24"/>
        </w:rPr>
        <w:t xml:space="preserve"> reason</w:t>
      </w:r>
      <w:r w:rsidR="00353B4E" w:rsidRPr="00930536">
        <w:rPr>
          <w:szCs w:val="24"/>
        </w:rPr>
        <w:t>ably supports the Commission</w:t>
      </w:r>
      <w:r w:rsidR="00887788" w:rsidRPr="00930536">
        <w:rPr>
          <w:szCs w:val="24"/>
        </w:rPr>
        <w:t>’</w:t>
      </w:r>
      <w:r w:rsidR="00353B4E" w:rsidRPr="00930536">
        <w:rPr>
          <w:szCs w:val="24"/>
        </w:rPr>
        <w:t>s</w:t>
      </w:r>
      <w:r w:rsidR="004457D2" w:rsidRPr="00930536">
        <w:rPr>
          <w:szCs w:val="24"/>
        </w:rPr>
        <w:t xml:space="preserve"> conclusion that </w:t>
      </w:r>
      <w:r w:rsidR="004457D2" w:rsidRPr="00930536">
        <w:t xml:space="preserve">the event giving rise to a proceeding under </w:t>
      </w:r>
      <w:r w:rsidRPr="00930536">
        <w:t>s. </w:t>
      </w:r>
      <w:r w:rsidR="004457D2" w:rsidRPr="00930536">
        <w:t>161(6)(d) is the fact of having agreed with a securities regulatory authority to be subj</w:t>
      </w:r>
      <w:r w:rsidR="00353B4E" w:rsidRPr="00930536">
        <w:t>ect to regulatory action.  The appropriate</w:t>
      </w:r>
      <w:r w:rsidR="004457D2" w:rsidRPr="00930536">
        <w:t xml:space="preserve"> standard o</w:t>
      </w:r>
      <w:r w:rsidR="00353B4E" w:rsidRPr="00930536">
        <w:t>f review is reasonablene</w:t>
      </w:r>
      <w:r w:rsidRPr="00930536">
        <w:t xml:space="preserve">ss.  </w:t>
      </w:r>
      <w:r w:rsidR="004457D2" w:rsidRPr="00930536">
        <w:t xml:space="preserve">Both parties proposed reasonable interpretations of </w:t>
      </w:r>
      <w:r w:rsidRPr="00930536">
        <w:t>s. </w:t>
      </w:r>
      <w:r w:rsidR="004457D2" w:rsidRPr="00930536">
        <w:t xml:space="preserve">159 of the </w:t>
      </w:r>
      <w:r w:rsidR="004457D2" w:rsidRPr="00930536">
        <w:rPr>
          <w:i/>
        </w:rPr>
        <w:t xml:space="preserve">Securities </w:t>
      </w:r>
      <w:r w:rsidR="004457D2" w:rsidRPr="001F17B0">
        <w:rPr>
          <w:i/>
        </w:rPr>
        <w:t>Act</w:t>
      </w:r>
      <w:r w:rsidR="004457D2" w:rsidRPr="00930536">
        <w:t xml:space="preserve">, as it applies to </w:t>
      </w:r>
      <w:r w:rsidRPr="00930536">
        <w:t>s. </w:t>
      </w:r>
      <w:r w:rsidR="004457D2" w:rsidRPr="00930536">
        <w:t xml:space="preserve">161(6)(d).  </w:t>
      </w:r>
      <w:r w:rsidR="00353B4E" w:rsidRPr="00930536">
        <w:rPr>
          <w:szCs w:val="24"/>
        </w:rPr>
        <w:t>However,</w:t>
      </w:r>
      <w:r w:rsidR="004457D2" w:rsidRPr="00930536">
        <w:rPr>
          <w:szCs w:val="24"/>
        </w:rPr>
        <w:t xml:space="preserve"> </w:t>
      </w:r>
      <w:r w:rsidR="004457D2" w:rsidRPr="00930536">
        <w:t xml:space="preserve">under reasonableness </w:t>
      </w:r>
      <w:r w:rsidR="004457D2" w:rsidRPr="00930536">
        <w:lastRenderedPageBreak/>
        <w:t>review, courts defer to any reasonable interpretation adopted by an administrative decision maker, even if other reasonable interpretations m</w:t>
      </w:r>
      <w:r w:rsidR="00353B4E" w:rsidRPr="00930536">
        <w:t xml:space="preserve">ay exist.  </w:t>
      </w:r>
      <w:r w:rsidR="004457D2" w:rsidRPr="00930536">
        <w:t>Because the Commission</w:t>
      </w:r>
      <w:r w:rsidR="00887788" w:rsidRPr="00930536">
        <w:t>’</w:t>
      </w:r>
      <w:r w:rsidR="004457D2" w:rsidRPr="00930536">
        <w:t>s interpretation has not been shown to be an unreasonable one, there is no basis to interfere on judicial review.</w:t>
      </w:r>
    </w:p>
    <w:p w:rsidR="004457D2" w:rsidRPr="00930536" w:rsidRDefault="009440ED" w:rsidP="009440ED">
      <w:pPr>
        <w:pStyle w:val="SCCNormalDoubleSpacing"/>
        <w:spacing w:before="480" w:after="480"/>
      </w:pPr>
      <w:r w:rsidRPr="00930536">
        <w:tab/>
      </w:r>
      <w:r w:rsidR="004457D2" w:rsidRPr="00930536">
        <w:t>The Court of Appeal erred by applying a co</w:t>
      </w:r>
      <w:r w:rsidR="00353B4E" w:rsidRPr="00930536">
        <w:t xml:space="preserve">rrectness standard of review.  </w:t>
      </w:r>
      <w:r w:rsidR="004457D2" w:rsidRPr="00930536">
        <w:rPr>
          <w:szCs w:val="24"/>
        </w:rPr>
        <w:t xml:space="preserve">It is presumed that courts will defer to an administrative </w:t>
      </w:r>
      <w:r w:rsidR="001F17B0">
        <w:rPr>
          <w:szCs w:val="24"/>
        </w:rPr>
        <w:t xml:space="preserve">decision maker </w:t>
      </w:r>
      <w:r w:rsidR="004457D2" w:rsidRPr="00930536">
        <w:rPr>
          <w:szCs w:val="24"/>
        </w:rPr>
        <w:t>interpreting its own statute or statutes clos</w:t>
      </w:r>
      <w:r w:rsidR="00353B4E" w:rsidRPr="00930536">
        <w:rPr>
          <w:szCs w:val="24"/>
        </w:rPr>
        <w:t>ely connected to its function</w:t>
      </w:r>
      <w:r w:rsidR="00887788" w:rsidRPr="00930536">
        <w:rPr>
          <w:szCs w:val="24"/>
        </w:rPr>
        <w:t xml:space="preserve">.  </w:t>
      </w:r>
      <w:r w:rsidR="004457D2" w:rsidRPr="00930536">
        <w:rPr>
          <w:szCs w:val="24"/>
        </w:rPr>
        <w:t xml:space="preserve">This presumption </w:t>
      </w:r>
      <w:r w:rsidR="00353B4E" w:rsidRPr="00930536">
        <w:t xml:space="preserve">is not rebutted in this case.  </w:t>
      </w:r>
      <w:r w:rsidR="004457D2" w:rsidRPr="00930536">
        <w:t>Nor does the question fall within any exceptional category</w:t>
      </w:r>
      <w:r w:rsidR="004457D2" w:rsidRPr="00930536">
        <w:rPr>
          <w:szCs w:val="24"/>
        </w:rPr>
        <w:t xml:space="preserve"> that warrants a correctness standard.  </w:t>
      </w:r>
      <w:r w:rsidR="00353B4E" w:rsidRPr="00930536">
        <w:t>Although</w:t>
      </w:r>
      <w:r w:rsidR="004457D2" w:rsidRPr="00930536">
        <w:t xml:space="preserve"> limitation periods generally are of central importance to the f</w:t>
      </w:r>
      <w:r w:rsidR="00353B4E" w:rsidRPr="00930536">
        <w:t>air administration of justice, the issue here is statutory interpretation in</w:t>
      </w:r>
      <w:r w:rsidR="004457D2" w:rsidRPr="00930536">
        <w:t xml:space="preserve"> a particular context within the Commission</w:t>
      </w:r>
      <w:r w:rsidR="00887788" w:rsidRPr="00930536">
        <w:t>’</w:t>
      </w:r>
      <w:r w:rsidR="004457D2" w:rsidRPr="00930536">
        <w:t xml:space="preserve">s </w:t>
      </w:r>
      <w:r w:rsidR="00353B4E" w:rsidRPr="00930536">
        <w:t>specialized area of expertise</w:t>
      </w:r>
      <w:r w:rsidR="00887788" w:rsidRPr="00930536">
        <w:t xml:space="preserve">.  </w:t>
      </w:r>
      <w:r w:rsidR="004457D2" w:rsidRPr="00930536">
        <w:t>The possibility that other provincial securities commissions may arrive a</w:t>
      </w:r>
      <w:r w:rsidR="00353B4E" w:rsidRPr="00930536">
        <w:t>t different interpretations of similar</w:t>
      </w:r>
      <w:r w:rsidR="004457D2" w:rsidRPr="00930536">
        <w:t xml:space="preserve"> statutory limitation periods is a function of the Constitution</w:t>
      </w:r>
      <w:r w:rsidR="00887788" w:rsidRPr="00930536">
        <w:t>’</w:t>
      </w:r>
      <w:r w:rsidR="004457D2" w:rsidRPr="00930536">
        <w:t>s federalist structure and does not provide a basis for a correctness review</w:t>
      </w:r>
      <w:r w:rsidR="00887788" w:rsidRPr="00930536">
        <w:t xml:space="preserve">.  </w:t>
      </w:r>
      <w:r w:rsidR="00353B4E" w:rsidRPr="00930536">
        <w:t xml:space="preserve">Finally, and </w:t>
      </w:r>
      <w:r w:rsidR="004457D2" w:rsidRPr="00930536">
        <w:t>most significantly, the modern approach to judicial review recognizes that courts may not be as qualified as an administrative tribunal to interpret</w:t>
      </w:r>
      <w:r w:rsidR="00353B4E" w:rsidRPr="00930536">
        <w:t xml:space="preserve"> that tribunal</w:t>
      </w:r>
      <w:r w:rsidR="00887788" w:rsidRPr="00930536">
        <w:t>’</w:t>
      </w:r>
      <w:r w:rsidR="00353B4E" w:rsidRPr="00930536">
        <w:t>s home statute</w:t>
      </w:r>
      <w:r w:rsidR="00887788" w:rsidRPr="00930536">
        <w:t xml:space="preserve">.  </w:t>
      </w:r>
      <w:r w:rsidR="004457D2" w:rsidRPr="00930536">
        <w:t>In particular, the resolution of unclear language in a home statute is usually best left to the administrative tribunal because the tribunal is presumed to be in the best position to weigh the policy considerations often involved in choosing between multiple reasonable interpretations of such language</w:t>
      </w:r>
      <w:r w:rsidR="003940FB">
        <w:t>.</w:t>
      </w:r>
    </w:p>
    <w:p w:rsidR="004457D2" w:rsidRPr="00930536" w:rsidRDefault="009440ED" w:rsidP="009440ED">
      <w:pPr>
        <w:pStyle w:val="SCCNormalDoubleSpacing"/>
        <w:spacing w:before="480" w:after="480"/>
      </w:pPr>
      <w:r w:rsidRPr="00930536">
        <w:lastRenderedPageBreak/>
        <w:tab/>
      </w:r>
      <w:r w:rsidR="004457D2" w:rsidRPr="00930536">
        <w:t>The Commission</w:t>
      </w:r>
      <w:r w:rsidR="00887788" w:rsidRPr="00930536">
        <w:t>’</w:t>
      </w:r>
      <w:r w:rsidR="004457D2" w:rsidRPr="00930536">
        <w:t xml:space="preserve">s interpretation of the limitations period here is reasonable.  The ordinary meaning of “the events” in </w:t>
      </w:r>
      <w:r w:rsidRPr="00930536">
        <w:t>s. </w:t>
      </w:r>
      <w:r w:rsidR="004457D2" w:rsidRPr="00930536">
        <w:t xml:space="preserve">159 that give rise to a proceeding under </w:t>
      </w:r>
      <w:r w:rsidRPr="00930536">
        <w:t>s. </w:t>
      </w:r>
      <w:r w:rsidR="004457D2" w:rsidRPr="00930536">
        <w:t>161(6)(d) is the fact of having agreed with a securities regulatory authority to be su</w:t>
      </w:r>
      <w:r w:rsidR="00353B4E" w:rsidRPr="00930536">
        <w:t>bject to regulatory action</w:t>
      </w:r>
      <w:r w:rsidR="00887788" w:rsidRPr="00930536">
        <w:t xml:space="preserve">.  </w:t>
      </w:r>
      <w:r w:rsidR="004457D2" w:rsidRPr="00930536">
        <w:t>Although</w:t>
      </w:r>
      <w:r w:rsidR="00353B4E" w:rsidRPr="00930536">
        <w:t xml:space="preserve"> </w:t>
      </w:r>
      <w:r w:rsidRPr="00930536">
        <w:t>s. </w:t>
      </w:r>
      <w:r w:rsidR="004457D2" w:rsidRPr="00930536">
        <w:t xml:space="preserve">159 predates </w:t>
      </w:r>
      <w:r w:rsidRPr="00930536">
        <w:t>s. </w:t>
      </w:r>
      <w:r w:rsidR="004457D2" w:rsidRPr="00930536">
        <w:t>161(6), and originally limitation periods were understood to run from the date of the underlying misconduct, that drafting history is not dispositive.  The phrase “the events” is deliberately open</w:t>
      </w:r>
      <w:r w:rsidRPr="00930536">
        <w:noBreakHyphen/>
      </w:r>
      <w:r w:rsidR="004457D2" w:rsidRPr="00930536">
        <w:t xml:space="preserve">ended and applicable to a variety of contexts.  As applied to </w:t>
      </w:r>
      <w:r w:rsidRPr="00930536">
        <w:t>s. </w:t>
      </w:r>
      <w:r w:rsidR="004457D2" w:rsidRPr="00930536">
        <w:t>161(6)(d), it can mean the date the person “has agreed with a securities regulatory authority”.  Finally, allowing secondary jurisdictions to wait until the conclusion</w:t>
      </w:r>
      <w:r w:rsidR="004457D2" w:rsidRPr="00930536">
        <w:rPr>
          <w:i/>
        </w:rPr>
        <w:t xml:space="preserve"> </w:t>
      </w:r>
      <w:r w:rsidR="004457D2" w:rsidRPr="00930536">
        <w:t>of a primary proceeding obviates the need for parallel and duplicative proceedings that will overburden securities commissions a</w:t>
      </w:r>
      <w:r w:rsidR="00353B4E" w:rsidRPr="00930536">
        <w:t>nd the targets of proceedings</w:t>
      </w:r>
      <w:r w:rsidR="00887788" w:rsidRPr="00930536">
        <w:t xml:space="preserve">.  </w:t>
      </w:r>
      <w:r w:rsidR="004457D2" w:rsidRPr="00930536">
        <w:t>The Commission</w:t>
      </w:r>
      <w:r w:rsidR="00887788" w:rsidRPr="00930536">
        <w:t>’</w:t>
      </w:r>
      <w:r w:rsidR="004457D2" w:rsidRPr="00930536">
        <w:t xml:space="preserve">s interpretation thus furthers the legislative goal of improving interjurisdictional cooperation between provinces and territories. </w:t>
      </w:r>
    </w:p>
    <w:p w:rsidR="004457D2" w:rsidRPr="00930536" w:rsidRDefault="009440ED" w:rsidP="009440ED">
      <w:pPr>
        <w:pStyle w:val="SCCNormalDoubleSpacing"/>
        <w:spacing w:before="480" w:after="480"/>
      </w:pPr>
      <w:r w:rsidRPr="00930536">
        <w:tab/>
      </w:r>
      <w:r w:rsidR="004457D2" w:rsidRPr="00930536">
        <w:t>Although the Commission</w:t>
      </w:r>
      <w:r w:rsidR="00887788" w:rsidRPr="00930536">
        <w:t>’</w:t>
      </w:r>
      <w:r w:rsidR="004457D2" w:rsidRPr="00930536">
        <w:t>s interpretation significantly extends the duration of time for which a person may be subject to regulatory action, of itself, that is not offensive to the purpose of limitation periods.  Limitation periods are always driven by policy choices that attempt to balance the interests of the parties.  The Commission</w:t>
      </w:r>
      <w:r w:rsidR="00887788" w:rsidRPr="00930536">
        <w:t>’</w:t>
      </w:r>
      <w:r w:rsidR="004457D2" w:rsidRPr="00930536">
        <w:t>s interpretation strikes a reasonable balance between facilitation of interprovincial cooperation and the underlying purposes of limitation periods.</w:t>
      </w:r>
    </w:p>
    <w:p w:rsidR="004457D2" w:rsidRPr="00930536" w:rsidRDefault="009440ED" w:rsidP="009440ED">
      <w:pPr>
        <w:pStyle w:val="SCCNormalDoubleSpacing"/>
        <w:spacing w:before="480" w:after="480"/>
      </w:pPr>
      <w:r w:rsidRPr="00930536">
        <w:rPr>
          <w:b/>
          <w:i/>
        </w:rPr>
        <w:tab/>
      </w:r>
      <w:r w:rsidR="0069339F" w:rsidRPr="0060625A">
        <w:rPr>
          <w:i/>
        </w:rPr>
        <w:t>Per</w:t>
      </w:r>
      <w:r w:rsidR="0069339F" w:rsidRPr="0060625A">
        <w:t xml:space="preserve"> Karakatsanis</w:t>
      </w:r>
      <w:r w:rsidRPr="00930536">
        <w:t> </w:t>
      </w:r>
      <w:r w:rsidR="0069339F" w:rsidRPr="00930536">
        <w:t>J.:</w:t>
      </w:r>
      <w:r w:rsidRPr="00930536">
        <w:t xml:space="preserve"> </w:t>
      </w:r>
      <w:r w:rsidR="0069339F" w:rsidRPr="00930536">
        <w:t xml:space="preserve"> The Commission was reasonable in interpreting </w:t>
      </w:r>
      <w:r w:rsidRPr="00930536">
        <w:t>s. </w:t>
      </w:r>
      <w:r w:rsidR="0069339F" w:rsidRPr="00930536">
        <w:t xml:space="preserve">159 to require that secondary proceedings under </w:t>
      </w:r>
      <w:r w:rsidRPr="00930536">
        <w:t>s. </w:t>
      </w:r>
      <w:r w:rsidR="0069339F" w:rsidRPr="00930536">
        <w:t xml:space="preserve">161(6) must be initiated within </w:t>
      </w:r>
      <w:r w:rsidR="0069339F" w:rsidRPr="00930536">
        <w:lastRenderedPageBreak/>
        <w:t>six years of a person being sanct</w:t>
      </w:r>
      <w:r w:rsidR="00353B4E" w:rsidRPr="00930536">
        <w:t>ioned in another jurisdiction</w:t>
      </w:r>
      <w:r w:rsidR="00887788" w:rsidRPr="00930536">
        <w:t xml:space="preserve">.  </w:t>
      </w:r>
      <w:r w:rsidR="00353B4E" w:rsidRPr="00930536">
        <w:t>However,</w:t>
      </w:r>
      <w:r w:rsidR="0069339F" w:rsidRPr="00930536">
        <w:t xml:space="preserve"> the opposite interpretation </w:t>
      </w:r>
      <w:r w:rsidRPr="00930536">
        <w:t>—</w:t>
      </w:r>
      <w:r w:rsidR="0069339F" w:rsidRPr="00930536">
        <w:t xml:space="preserve"> that the limitation period runs from the time of the underlying misconduct </w:t>
      </w:r>
      <w:r w:rsidRPr="00930536">
        <w:t>—</w:t>
      </w:r>
      <w:r w:rsidR="0069339F" w:rsidRPr="00930536">
        <w:t xml:space="preserve"> is not reasonable</w:t>
      </w:r>
      <w:r w:rsidR="00887788" w:rsidRPr="00930536">
        <w:t xml:space="preserve">.  </w:t>
      </w:r>
      <w:r w:rsidR="0069339F" w:rsidRPr="00930536">
        <w:t>Such an interpretation would require duplicative proceedings in cases, like this one, where an investigation in another jurisdiction does not conclude within six years of the underlying misconduct.  It is inconsistent with the legislative objective of facilitating i</w:t>
      </w:r>
      <w:r w:rsidR="00353B4E" w:rsidRPr="00930536">
        <w:t>nter</w:t>
      </w:r>
      <w:r w:rsidR="0069339F" w:rsidRPr="00930536">
        <w:t>jurisdictional cooperation and it is at odds wi</w:t>
      </w:r>
      <w:r w:rsidR="00353B4E" w:rsidRPr="00930536">
        <w:t>th a purposive interpretation</w:t>
      </w:r>
      <w:r w:rsidR="00887788" w:rsidRPr="00930536">
        <w:t xml:space="preserve">.  </w:t>
      </w:r>
      <w:r w:rsidR="00353B4E" w:rsidRPr="00930536">
        <w:t>Consequently,</w:t>
      </w:r>
      <w:r w:rsidR="0069339F" w:rsidRPr="00930536">
        <w:t xml:space="preserve"> it would not have been open to the Commission to interpret the limitations period as the appellant urges.  </w:t>
      </w:r>
    </w:p>
    <w:p w:rsidR="00A149DF" w:rsidRPr="00930536" w:rsidRDefault="002E6705" w:rsidP="009440ED">
      <w:pPr>
        <w:pStyle w:val="SCCNormalDoubleSpacing"/>
        <w:keepNext/>
        <w:spacing w:after="720" w:line="240" w:lineRule="auto"/>
        <w:rPr>
          <w:b/>
        </w:rPr>
      </w:pPr>
      <w:r w:rsidRPr="00930536">
        <w:rPr>
          <w:b/>
        </w:rPr>
        <w:t>Cases Cited</w:t>
      </w:r>
    </w:p>
    <w:p w:rsidR="006838AE" w:rsidRPr="00930536" w:rsidRDefault="009440ED" w:rsidP="00D57F17">
      <w:pPr>
        <w:pStyle w:val="SCCNormalDoubleSpacing"/>
        <w:keepNext/>
        <w:spacing w:after="720" w:line="240" w:lineRule="auto"/>
      </w:pPr>
      <w:r w:rsidRPr="00930536">
        <w:t>By Moldaver </w:t>
      </w:r>
      <w:r w:rsidR="006838AE" w:rsidRPr="00930536">
        <w:t>J.</w:t>
      </w:r>
    </w:p>
    <w:p w:rsidR="00A149DF" w:rsidRPr="00930536" w:rsidRDefault="002E6705" w:rsidP="00D57F17">
      <w:pPr>
        <w:pStyle w:val="SCCNormalDoubleSpacing"/>
        <w:spacing w:after="480"/>
        <w:rPr>
          <w:szCs w:val="24"/>
        </w:rPr>
      </w:pPr>
      <w:r w:rsidRPr="00930536">
        <w:tab/>
      </w:r>
      <w:r w:rsidR="00A06717" w:rsidRPr="00930536">
        <w:rPr>
          <w:b/>
        </w:rPr>
        <w:t>Distinguished:</w:t>
      </w:r>
      <w:r w:rsidR="00A06717" w:rsidRPr="00930536">
        <w:t xml:space="preserve"> </w:t>
      </w:r>
      <w:r w:rsidR="00A06717" w:rsidRPr="00930536">
        <w:rPr>
          <w:i/>
        </w:rPr>
        <w:t>Rogers Communications Inc. v. Society of Composers, Authors and Music Publishers of Canada</w:t>
      </w:r>
      <w:r w:rsidR="00A06717" w:rsidRPr="00930536">
        <w:t>, 2012 SCC 35, [2012] 2 S.C.R. 283</w:t>
      </w:r>
      <w:r w:rsidR="00F1093F" w:rsidRPr="00930536">
        <w:t xml:space="preserve">; </w:t>
      </w:r>
      <w:r w:rsidR="00F1093F" w:rsidRPr="00930536">
        <w:rPr>
          <w:b/>
        </w:rPr>
        <w:t>r</w:t>
      </w:r>
      <w:r w:rsidRPr="00930536">
        <w:rPr>
          <w:b/>
        </w:rPr>
        <w:t>eferred to:</w:t>
      </w:r>
      <w:r w:rsidR="00BD0E9E" w:rsidRPr="00930536">
        <w:t xml:space="preserve"> </w:t>
      </w:r>
      <w:r w:rsidR="00EA48BE" w:rsidRPr="00930536">
        <w:t xml:space="preserve"> </w:t>
      </w:r>
      <w:r w:rsidR="00EA48BE" w:rsidRPr="00930536">
        <w:rPr>
          <w:i/>
        </w:rPr>
        <w:t>Committee for the Equal Treatment of Asbestos Minority Shareholders v. Ontario (Securities Commission)</w:t>
      </w:r>
      <w:r w:rsidR="00EA48BE" w:rsidRPr="00930536">
        <w:t>, 2001 SCC 37, [2001] 2 S.C.R. 132</w:t>
      </w:r>
      <w:r w:rsidR="00585345" w:rsidRPr="00930536">
        <w:t xml:space="preserve">; </w:t>
      </w:r>
      <w:r w:rsidR="00BF361D" w:rsidRPr="00930536">
        <w:rPr>
          <w:i/>
        </w:rPr>
        <w:t>McLean (Re)</w:t>
      </w:r>
      <w:r w:rsidR="00BF361D" w:rsidRPr="00930536">
        <w:t xml:space="preserve">, 2008 LNONOSC 660, 31 O.S.C.B. 8734; </w:t>
      </w:r>
      <w:r w:rsidR="00585345" w:rsidRPr="00930536">
        <w:rPr>
          <w:i/>
        </w:rPr>
        <w:t>Heidary</w:t>
      </w:r>
      <w:r w:rsidR="0060625A">
        <w:rPr>
          <w:i/>
        </w:rPr>
        <w:t xml:space="preserve"> (</w:t>
      </w:r>
      <w:r w:rsidR="0060625A" w:rsidRPr="00930536">
        <w:rPr>
          <w:i/>
        </w:rPr>
        <w:t>Re</w:t>
      </w:r>
      <w:r w:rsidR="0060625A">
        <w:rPr>
          <w:i/>
        </w:rPr>
        <w:t>)</w:t>
      </w:r>
      <w:r w:rsidR="00585345" w:rsidRPr="00930536">
        <w:t>, 2000 LNONOSC 79, 23 O.S.C.B. 959</w:t>
      </w:r>
      <w:r w:rsidR="00B6493C" w:rsidRPr="00930536">
        <w:t xml:space="preserve">; </w:t>
      </w:r>
      <w:r w:rsidR="00B6493C" w:rsidRPr="00930536">
        <w:rPr>
          <w:i/>
        </w:rPr>
        <w:t>Dunsmuir v. New Brunswick</w:t>
      </w:r>
      <w:r w:rsidR="00B6493C" w:rsidRPr="00930536">
        <w:t>, 2008 SCC 9, [2008] 1 S.C.R. 190</w:t>
      </w:r>
      <w:r w:rsidR="00EF162A" w:rsidRPr="00930536">
        <w:t xml:space="preserve">; </w:t>
      </w:r>
      <w:r w:rsidR="00EF162A" w:rsidRPr="00930536">
        <w:rPr>
          <w:i/>
        </w:rPr>
        <w:t>Pezim v. British Columbia (Superintendent of Brokers)</w:t>
      </w:r>
      <w:r w:rsidR="00EF162A" w:rsidRPr="00930536">
        <w:t xml:space="preserve">, [1994] 2 S.C.R. 557; </w:t>
      </w:r>
      <w:r w:rsidR="00EF162A" w:rsidRPr="00930536">
        <w:rPr>
          <w:i/>
        </w:rPr>
        <w:t>Dr. Q v. College of Phy</w:t>
      </w:r>
      <w:r w:rsidR="00D57F17" w:rsidRPr="00930536">
        <w:rPr>
          <w:i/>
        </w:rPr>
        <w:t>sicians and Surgeons of British </w:t>
      </w:r>
      <w:r w:rsidR="00EF162A" w:rsidRPr="00930536">
        <w:rPr>
          <w:i/>
        </w:rPr>
        <w:t>Columbia</w:t>
      </w:r>
      <w:r w:rsidR="00EF162A" w:rsidRPr="00930536">
        <w:t>, 2003 SCC 19, [2003] 1 S.C.R. 226</w:t>
      </w:r>
      <w:r w:rsidR="00B6493C" w:rsidRPr="00930536">
        <w:t xml:space="preserve">; </w:t>
      </w:r>
      <w:r w:rsidR="00B6493C" w:rsidRPr="00930536">
        <w:rPr>
          <w:i/>
          <w:szCs w:val="24"/>
        </w:rPr>
        <w:t>Alberta (Information and Privacy Commissioner) v. Alberta Teachers</w:t>
      </w:r>
      <w:r w:rsidR="00887788" w:rsidRPr="00930536">
        <w:rPr>
          <w:i/>
          <w:szCs w:val="24"/>
        </w:rPr>
        <w:t>’</w:t>
      </w:r>
      <w:r w:rsidR="00B6493C" w:rsidRPr="00930536">
        <w:rPr>
          <w:i/>
          <w:szCs w:val="24"/>
        </w:rPr>
        <w:t xml:space="preserve"> Association</w:t>
      </w:r>
      <w:r w:rsidR="00B6493C" w:rsidRPr="00930536">
        <w:rPr>
          <w:szCs w:val="24"/>
        </w:rPr>
        <w:t>, 2011 SCC 61, [2011</w:t>
      </w:r>
      <w:r w:rsidR="006A55B9">
        <w:rPr>
          <w:szCs w:val="24"/>
        </w:rPr>
        <w:t>]</w:t>
      </w:r>
      <w:r w:rsidR="00B6493C" w:rsidRPr="00930536">
        <w:rPr>
          <w:szCs w:val="24"/>
        </w:rPr>
        <w:t xml:space="preserve"> 3 S.C.R. 654</w:t>
      </w:r>
      <w:r w:rsidR="00EF162A" w:rsidRPr="00930536">
        <w:rPr>
          <w:szCs w:val="24"/>
        </w:rPr>
        <w:t>;</w:t>
      </w:r>
      <w:r w:rsidR="009D3794" w:rsidRPr="00930536">
        <w:t xml:space="preserve"> </w:t>
      </w:r>
      <w:r w:rsidR="009D3794" w:rsidRPr="00930536">
        <w:rPr>
          <w:i/>
        </w:rPr>
        <w:t>City of Arlington, Texas v. Federal Communications Commission</w:t>
      </w:r>
      <w:r w:rsidR="009D3794" w:rsidRPr="00930536">
        <w:t xml:space="preserve">, 133 S. Ct. 1863 (2013); </w:t>
      </w:r>
      <w:r w:rsidR="009D3794" w:rsidRPr="00930536">
        <w:rPr>
          <w:i/>
        </w:rPr>
        <w:t xml:space="preserve">Canada (Canadian Human </w:t>
      </w:r>
      <w:r w:rsidR="009D3794" w:rsidRPr="00930536">
        <w:rPr>
          <w:i/>
        </w:rPr>
        <w:lastRenderedPageBreak/>
        <w:t>Rights Commission) v. Canada (Attorney General)</w:t>
      </w:r>
      <w:r w:rsidR="009D3794" w:rsidRPr="00930536">
        <w:t xml:space="preserve">, 2011 SCC 53, [2011] 3 S.C.R. 471; </w:t>
      </w:r>
      <w:r w:rsidR="009D3794" w:rsidRPr="00930536">
        <w:rPr>
          <w:i/>
          <w:szCs w:val="24"/>
        </w:rPr>
        <w:t>Nor</w:t>
      </w:r>
      <w:r w:rsidR="009440ED" w:rsidRPr="00930536">
        <w:rPr>
          <w:i/>
          <w:szCs w:val="24"/>
        </w:rPr>
        <w:noBreakHyphen/>
      </w:r>
      <w:r w:rsidR="009D3794" w:rsidRPr="00930536">
        <w:rPr>
          <w:i/>
          <w:szCs w:val="24"/>
        </w:rPr>
        <w:t>Man Regional Health Authority Inc. v. Manitoba Association of Health Care Professionals</w:t>
      </w:r>
      <w:r w:rsidR="009D3794" w:rsidRPr="00930536">
        <w:rPr>
          <w:szCs w:val="24"/>
        </w:rPr>
        <w:t xml:space="preserve">, 2011 SCC 59, [2011] 3 S.C.R. 616; </w:t>
      </w:r>
      <w:r w:rsidR="009D3794" w:rsidRPr="00930536">
        <w:rPr>
          <w:i/>
          <w:szCs w:val="24"/>
        </w:rPr>
        <w:t>Communications, Energy and Paperworkers Union of Canada, Local 30 v. Irving Pulp &amp; Paper, Ltd.</w:t>
      </w:r>
      <w:r w:rsidR="009D3794" w:rsidRPr="00930536">
        <w:rPr>
          <w:szCs w:val="24"/>
        </w:rPr>
        <w:t>, 2013 SCC 34</w:t>
      </w:r>
      <w:r w:rsidR="00796E81">
        <w:rPr>
          <w:szCs w:val="24"/>
        </w:rPr>
        <w:t>, [2013] 2 S.C.R. 458</w:t>
      </w:r>
      <w:r w:rsidR="00BC0351" w:rsidRPr="00930536">
        <w:t xml:space="preserve">; </w:t>
      </w:r>
      <w:r w:rsidR="005F5FCF" w:rsidRPr="00930536">
        <w:rPr>
          <w:i/>
        </w:rPr>
        <w:t>British </w:t>
      </w:r>
      <w:r w:rsidR="00BC0351" w:rsidRPr="00930536">
        <w:rPr>
          <w:i/>
        </w:rPr>
        <w:t>Columbia Securities Commission v. Bapty</w:t>
      </w:r>
      <w:r w:rsidR="00BC0351" w:rsidRPr="00930536">
        <w:t>, 2006 BCSC 638 (CanLII)</w:t>
      </w:r>
      <w:r w:rsidR="00B827E3" w:rsidRPr="00930536">
        <w:t xml:space="preserve">; </w:t>
      </w:r>
      <w:r w:rsidR="00B827E3" w:rsidRPr="00930536">
        <w:rPr>
          <w:i/>
        </w:rPr>
        <w:t>National Corn Growers Assn. v. Canada (Import Tribunal)</w:t>
      </w:r>
      <w:r w:rsidR="00B827E3" w:rsidRPr="00930536">
        <w:t>, [1990] 2 S.C.R. 1324</w:t>
      </w:r>
      <w:r w:rsidR="000F33CD" w:rsidRPr="00930536">
        <w:t xml:space="preserve">; </w:t>
      </w:r>
      <w:r w:rsidR="000F33CD" w:rsidRPr="00930536">
        <w:rPr>
          <w:i/>
        </w:rPr>
        <w:t>Council of Canadians with Disabilities v. V</w:t>
      </w:r>
      <w:r w:rsidR="00557CF0">
        <w:rPr>
          <w:i/>
        </w:rPr>
        <w:t>IA</w:t>
      </w:r>
      <w:r w:rsidR="000F33CD" w:rsidRPr="00930536">
        <w:rPr>
          <w:i/>
        </w:rPr>
        <w:t xml:space="preserve"> Rail Canada Inc.</w:t>
      </w:r>
      <w:r w:rsidR="000F33CD" w:rsidRPr="00930536">
        <w:t>, 2007 SCC 15, [2007] 1 S.C.R. 650</w:t>
      </w:r>
      <w:r w:rsidR="00C55072" w:rsidRPr="00930536">
        <w:t xml:space="preserve">; </w:t>
      </w:r>
      <w:r w:rsidR="00C55072" w:rsidRPr="00930536">
        <w:rPr>
          <w:i/>
        </w:rPr>
        <w:t>Construction Labour Relations v. Driver Iron Inc.</w:t>
      </w:r>
      <w:r w:rsidR="00C55072" w:rsidRPr="00930536">
        <w:t>, 2012 SCC 65, [2012] 3 S.C.R. 405</w:t>
      </w:r>
      <w:r w:rsidR="006837CD" w:rsidRPr="00930536">
        <w:t xml:space="preserve">; </w:t>
      </w:r>
      <w:r w:rsidR="006837CD" w:rsidRPr="00930536">
        <w:rPr>
          <w:i/>
        </w:rPr>
        <w:t>Woods (Re)</w:t>
      </w:r>
      <w:r w:rsidR="006837CD" w:rsidRPr="00930536">
        <w:t xml:space="preserve">, 1997 LNBCSC 11 (QL); </w:t>
      </w:r>
      <w:r w:rsidR="006837CD" w:rsidRPr="00930536">
        <w:rPr>
          <w:i/>
        </w:rPr>
        <w:t>Seto (Re)</w:t>
      </w:r>
      <w:r w:rsidR="006837CD" w:rsidRPr="00930536">
        <w:t>, 2006 BCSECCOM 569 (CanLII)</w:t>
      </w:r>
      <w:r w:rsidR="00A75024" w:rsidRPr="00930536">
        <w:t xml:space="preserve">; </w:t>
      </w:r>
      <w:r w:rsidR="00A75024" w:rsidRPr="00930536">
        <w:rPr>
          <w:i/>
          <w:szCs w:val="24"/>
        </w:rPr>
        <w:t>Bell ExpressVu Limited Partnership v. Rex</w:t>
      </w:r>
      <w:r w:rsidR="00A75024" w:rsidRPr="00930536">
        <w:rPr>
          <w:szCs w:val="24"/>
        </w:rPr>
        <w:t>, 2002 SCC 42, [2002] 2 S.C.R. 559</w:t>
      </w:r>
      <w:r w:rsidR="00EF7717" w:rsidRPr="00930536">
        <w:rPr>
          <w:szCs w:val="24"/>
        </w:rPr>
        <w:t xml:space="preserve">; </w:t>
      </w:r>
      <w:r w:rsidR="00EF7717" w:rsidRPr="00930536">
        <w:rPr>
          <w:i/>
          <w:szCs w:val="24"/>
        </w:rPr>
        <w:t>Canada (Citizenship and Immigration) v. Khosa</w:t>
      </w:r>
      <w:r w:rsidR="00EF7717" w:rsidRPr="00930536">
        <w:rPr>
          <w:szCs w:val="24"/>
        </w:rPr>
        <w:t>, 2009 SCC 12, [20</w:t>
      </w:r>
      <w:r w:rsidR="00924B89" w:rsidRPr="00930536">
        <w:rPr>
          <w:szCs w:val="24"/>
        </w:rPr>
        <w:t>09</w:t>
      </w:r>
      <w:r w:rsidR="00EF7717" w:rsidRPr="00930536">
        <w:rPr>
          <w:szCs w:val="24"/>
        </w:rPr>
        <w:t>] 1 S.C.R. 339</w:t>
      </w:r>
      <w:r w:rsidR="0054128B" w:rsidRPr="00930536">
        <w:rPr>
          <w:szCs w:val="24"/>
        </w:rPr>
        <w:t xml:space="preserve">; </w:t>
      </w:r>
      <w:r w:rsidR="0054128B" w:rsidRPr="00930536">
        <w:rPr>
          <w:i/>
        </w:rPr>
        <w:t>Canadian Pacific Air Lines Ltd. v. Canadian Air Line Pilots Assn.</w:t>
      </w:r>
      <w:r w:rsidR="0054128B" w:rsidRPr="00930536">
        <w:t xml:space="preserve">, [1993] 3 S.C.R. 724; </w:t>
      </w:r>
      <w:r w:rsidR="0054128B" w:rsidRPr="00930536">
        <w:rPr>
          <w:i/>
        </w:rPr>
        <w:t>ATCO Gas and Pipelines Ltd. v. Alberta (Energy and Utilities Board)</w:t>
      </w:r>
      <w:r w:rsidR="0054128B" w:rsidRPr="00930536">
        <w:t>, 2006 SCC 4, [2006] 1 S.C.R. 140</w:t>
      </w:r>
      <w:r w:rsidR="00B94A0C" w:rsidRPr="00930536">
        <w:t xml:space="preserve">; </w:t>
      </w:r>
      <w:r w:rsidR="00B94A0C" w:rsidRPr="00930536">
        <w:rPr>
          <w:i/>
        </w:rPr>
        <w:t>Montréal (City) v. 2952</w:t>
      </w:r>
      <w:r w:rsidR="009440ED" w:rsidRPr="00930536">
        <w:rPr>
          <w:i/>
        </w:rPr>
        <w:noBreakHyphen/>
      </w:r>
      <w:r w:rsidR="00B94A0C" w:rsidRPr="00930536">
        <w:rPr>
          <w:i/>
        </w:rPr>
        <w:t>1366 Québec Inc.</w:t>
      </w:r>
      <w:r w:rsidR="00B94A0C" w:rsidRPr="00930536">
        <w:t>, 2005 SCC 62, [2005] 3 S.C.R. 141</w:t>
      </w:r>
      <w:r w:rsidR="00923A10" w:rsidRPr="00930536">
        <w:t xml:space="preserve">; </w:t>
      </w:r>
      <w:r w:rsidR="00923A10" w:rsidRPr="00930536">
        <w:rPr>
          <w:i/>
        </w:rPr>
        <w:t>Dennis (Re)</w:t>
      </w:r>
      <w:r w:rsidR="00923A10" w:rsidRPr="00930536">
        <w:t>, 2005 BCSECCOM 65, 2004 LNBCSC 705 (QL)</w:t>
      </w:r>
      <w:r w:rsidR="00D0303F" w:rsidRPr="00930536">
        <w:t xml:space="preserve">; </w:t>
      </w:r>
      <w:r w:rsidR="00D0303F" w:rsidRPr="00930536">
        <w:rPr>
          <w:i/>
        </w:rPr>
        <w:t>Perka v. The Queen</w:t>
      </w:r>
      <w:r w:rsidR="00D0303F" w:rsidRPr="00930536">
        <w:t>, [1984] 2 S.C.R. 232</w:t>
      </w:r>
      <w:r w:rsidR="00600987" w:rsidRPr="00930536">
        <w:t xml:space="preserve">; </w:t>
      </w:r>
      <w:r w:rsidR="00600987" w:rsidRPr="00930536">
        <w:rPr>
          <w:i/>
        </w:rPr>
        <w:t>Global Securities Cor</w:t>
      </w:r>
      <w:r w:rsidR="009440ED" w:rsidRPr="00930536">
        <w:rPr>
          <w:i/>
        </w:rPr>
        <w:t>p. </w:t>
      </w:r>
      <w:r w:rsidR="00600987" w:rsidRPr="00930536">
        <w:rPr>
          <w:i/>
        </w:rPr>
        <w:t>v. British Columbia (Securities Commission)</w:t>
      </w:r>
      <w:r w:rsidR="00600987" w:rsidRPr="00930536">
        <w:t>, 2000 SCC 21, [2000] 1 S.C.R. 494</w:t>
      </w:r>
      <w:r w:rsidR="007E6534" w:rsidRPr="00930536">
        <w:t xml:space="preserve">; </w:t>
      </w:r>
      <w:r w:rsidR="007E6534" w:rsidRPr="00930536">
        <w:rPr>
          <w:i/>
        </w:rPr>
        <w:t>Novak v. Bond</w:t>
      </w:r>
      <w:r w:rsidR="007E6534" w:rsidRPr="00930536">
        <w:t>, [1999] 1 S.C.R. 808;</w:t>
      </w:r>
      <w:r w:rsidR="00EC5972" w:rsidRPr="00930536">
        <w:t xml:space="preserve"> </w:t>
      </w:r>
      <w:r w:rsidR="00EC5972" w:rsidRPr="00930536">
        <w:rPr>
          <w:i/>
        </w:rPr>
        <w:t>Friedland (Re)</w:t>
      </w:r>
      <w:r w:rsidR="00EC5972" w:rsidRPr="00930536">
        <w:t>, 2010 BCSECCOM 654 (CanLII);</w:t>
      </w:r>
      <w:r w:rsidR="00C63749" w:rsidRPr="00930536">
        <w:t xml:space="preserve"> </w:t>
      </w:r>
      <w:r w:rsidR="00C63749" w:rsidRPr="00930536">
        <w:rPr>
          <w:i/>
        </w:rPr>
        <w:t>Nielsen (Re)</w:t>
      </w:r>
      <w:r w:rsidR="00C63749" w:rsidRPr="00930536">
        <w:t xml:space="preserve">, 2013 LNONOSC 254, 36 O.S.C.B. 3478; </w:t>
      </w:r>
      <w:r w:rsidR="00C63749" w:rsidRPr="00930536">
        <w:rPr>
          <w:i/>
        </w:rPr>
        <w:t>Robinson (Re)</w:t>
      </w:r>
      <w:r w:rsidR="00C63749" w:rsidRPr="00930536">
        <w:t>, 2013 LNABASC 295, 2013 ABASC 317</w:t>
      </w:r>
      <w:r w:rsidR="00C43CF1" w:rsidRPr="00930536">
        <w:t xml:space="preserve"> (CanLII)</w:t>
      </w:r>
      <w:r w:rsidR="00C63749" w:rsidRPr="00930536">
        <w:t xml:space="preserve">; </w:t>
      </w:r>
      <w:r w:rsidR="00C63749" w:rsidRPr="00930536">
        <w:rPr>
          <w:i/>
        </w:rPr>
        <w:t>Maitland Capital Ltd. (Re)</w:t>
      </w:r>
      <w:r w:rsidR="00C63749" w:rsidRPr="00930536">
        <w:t>, 2012 LNONOSC</w:t>
      </w:r>
      <w:r w:rsidR="00A36A65">
        <w:t xml:space="preserve"> </w:t>
      </w:r>
      <w:r w:rsidR="00C63749" w:rsidRPr="00930536">
        <w:t>95, 35 O.S.C.B. 1729</w:t>
      </w:r>
      <w:r w:rsidR="00EC5972" w:rsidRPr="00930536">
        <w:t>;</w:t>
      </w:r>
      <w:r w:rsidR="007E6534" w:rsidRPr="00930536">
        <w:t xml:space="preserve"> </w:t>
      </w:r>
      <w:r w:rsidR="007E6534" w:rsidRPr="00930536">
        <w:rPr>
          <w:i/>
        </w:rPr>
        <w:t>M.</w:t>
      </w:r>
      <w:r w:rsidR="00D57F17" w:rsidRPr="00930536">
        <w:rPr>
          <w:i/>
        </w:rPr>
        <w:t> </w:t>
      </w:r>
      <w:r w:rsidR="007E6534" w:rsidRPr="00930536">
        <w:rPr>
          <w:i/>
        </w:rPr>
        <w:t>(K.) v. M.</w:t>
      </w:r>
      <w:r w:rsidR="00D57F17" w:rsidRPr="00930536">
        <w:rPr>
          <w:i/>
        </w:rPr>
        <w:t> </w:t>
      </w:r>
      <w:r w:rsidR="007E6534" w:rsidRPr="00930536">
        <w:rPr>
          <w:i/>
        </w:rPr>
        <w:t>(H.)</w:t>
      </w:r>
      <w:r w:rsidR="007E6534" w:rsidRPr="00930536">
        <w:t xml:space="preserve">, [1992] 3 S.C.R. 6; </w:t>
      </w:r>
      <w:r w:rsidR="007E6534" w:rsidRPr="00930536">
        <w:rPr>
          <w:i/>
        </w:rPr>
        <w:t>Cholmondeley v. Clinton</w:t>
      </w:r>
      <w:r w:rsidR="007E6534" w:rsidRPr="00930536">
        <w:t xml:space="preserve"> (1820), </w:t>
      </w:r>
      <w:r w:rsidR="00D254B0" w:rsidRPr="00930536">
        <w:t xml:space="preserve">2 Jac. &amp; W. 1, </w:t>
      </w:r>
      <w:r w:rsidR="007E6534" w:rsidRPr="00930536">
        <w:t>37 E.R. 527</w:t>
      </w:r>
      <w:r w:rsidR="00914EB7" w:rsidRPr="00930536">
        <w:t xml:space="preserve">; </w:t>
      </w:r>
      <w:r w:rsidR="00914EB7" w:rsidRPr="00930536">
        <w:rPr>
          <w:i/>
          <w:szCs w:val="24"/>
        </w:rPr>
        <w:t>Lines v. British Columbia (Securities Commission)</w:t>
      </w:r>
      <w:r w:rsidR="00914EB7" w:rsidRPr="00930536">
        <w:rPr>
          <w:szCs w:val="24"/>
        </w:rPr>
        <w:t xml:space="preserve">, 2012 BCCA </w:t>
      </w:r>
      <w:r w:rsidR="00914EB7" w:rsidRPr="00930536">
        <w:rPr>
          <w:szCs w:val="24"/>
        </w:rPr>
        <w:lastRenderedPageBreak/>
        <w:t xml:space="preserve">316, 35 B.C.L.R. (5th) 281; </w:t>
      </w:r>
      <w:r w:rsidR="00914EB7" w:rsidRPr="00930536">
        <w:rPr>
          <w:i/>
        </w:rPr>
        <w:t>Roncarelli v. Duplessis</w:t>
      </w:r>
      <w:r w:rsidR="00914EB7" w:rsidRPr="00930536">
        <w:t xml:space="preserve">, [1959] S.C.R. 121; </w:t>
      </w:r>
      <w:r w:rsidR="00914EB7" w:rsidRPr="00930536">
        <w:rPr>
          <w:i/>
          <w:szCs w:val="24"/>
        </w:rPr>
        <w:t>Manitoba Metis Federation Inc. v. Canada (Attorney General)</w:t>
      </w:r>
      <w:r w:rsidR="00914EB7" w:rsidRPr="00930536">
        <w:rPr>
          <w:szCs w:val="24"/>
        </w:rPr>
        <w:t>, 2013 SCC 14, [2013] 1 S.C.R. 6</w:t>
      </w:r>
      <w:r w:rsidR="00E23248" w:rsidRPr="00930536">
        <w:rPr>
          <w:szCs w:val="24"/>
        </w:rPr>
        <w:t>23</w:t>
      </w:r>
      <w:r w:rsidR="00914EB7" w:rsidRPr="00930536">
        <w:rPr>
          <w:szCs w:val="24"/>
        </w:rPr>
        <w:t xml:space="preserve">; </w:t>
      </w:r>
      <w:r w:rsidR="00914EB7" w:rsidRPr="00930536">
        <w:rPr>
          <w:i/>
          <w:szCs w:val="24"/>
        </w:rPr>
        <w:t>Murphy v. Welsh</w:t>
      </w:r>
      <w:r w:rsidR="00914EB7" w:rsidRPr="00930536">
        <w:rPr>
          <w:szCs w:val="24"/>
        </w:rPr>
        <w:t>, [1993] 2 S.C.R. 1069</w:t>
      </w:r>
      <w:r w:rsidR="00EC5972" w:rsidRPr="00930536">
        <w:rPr>
          <w:szCs w:val="24"/>
        </w:rPr>
        <w:t xml:space="preserve">; </w:t>
      </w:r>
      <w:r w:rsidR="00EC5972" w:rsidRPr="00930536">
        <w:rPr>
          <w:i/>
        </w:rPr>
        <w:t>Agraira v. Canada (Public Safety and Emergency Preparedness)</w:t>
      </w:r>
      <w:r w:rsidR="00EC5972" w:rsidRPr="00930536">
        <w:t>, 2013 SCC 36</w:t>
      </w:r>
      <w:r w:rsidR="00657779">
        <w:t>, [2013] 2 S.C.R. 559</w:t>
      </w:r>
      <w:r w:rsidR="009D3794" w:rsidRPr="00930536">
        <w:rPr>
          <w:szCs w:val="24"/>
        </w:rPr>
        <w:t xml:space="preserve">.  </w:t>
      </w:r>
    </w:p>
    <w:p w:rsidR="006838AE" w:rsidRPr="00930536" w:rsidRDefault="006838AE" w:rsidP="009440ED">
      <w:pPr>
        <w:pStyle w:val="SCCNormalDoubleSpacing"/>
        <w:keepNext/>
        <w:spacing w:after="720" w:line="240" w:lineRule="auto"/>
      </w:pPr>
      <w:r w:rsidRPr="00930536">
        <w:rPr>
          <w:szCs w:val="24"/>
        </w:rPr>
        <w:t xml:space="preserve">By </w:t>
      </w:r>
      <w:r w:rsidR="009440ED" w:rsidRPr="00930536">
        <w:t>Karakatsanis </w:t>
      </w:r>
      <w:r w:rsidRPr="00930536">
        <w:t>J.</w:t>
      </w:r>
    </w:p>
    <w:p w:rsidR="006838AE" w:rsidRPr="00930536" w:rsidRDefault="006838AE" w:rsidP="00D57F17">
      <w:pPr>
        <w:pStyle w:val="SCCNormalDoubleSpacing"/>
        <w:spacing w:after="480"/>
        <w:rPr>
          <w:szCs w:val="24"/>
        </w:rPr>
      </w:pPr>
      <w:r w:rsidRPr="00930536">
        <w:tab/>
      </w:r>
      <w:r w:rsidRPr="00930536">
        <w:rPr>
          <w:b/>
        </w:rPr>
        <w:t>Referred to:</w:t>
      </w:r>
      <w:r w:rsidR="008664A9" w:rsidRPr="00930536">
        <w:rPr>
          <w:b/>
        </w:rPr>
        <w:t xml:space="preserve"> </w:t>
      </w:r>
      <w:r w:rsidRPr="00930536">
        <w:t xml:space="preserve"> </w:t>
      </w:r>
      <w:r w:rsidR="008664A9" w:rsidRPr="00930536">
        <w:rPr>
          <w:i/>
        </w:rPr>
        <w:t>Global Securities Cor</w:t>
      </w:r>
      <w:r w:rsidR="009440ED" w:rsidRPr="00930536">
        <w:rPr>
          <w:i/>
        </w:rPr>
        <w:t>p. </w:t>
      </w:r>
      <w:r w:rsidR="008664A9" w:rsidRPr="00930536">
        <w:rPr>
          <w:i/>
        </w:rPr>
        <w:t>v. British Columbia (Securities Commission)</w:t>
      </w:r>
      <w:r w:rsidR="008664A9" w:rsidRPr="00930536">
        <w:t>, 2000 SCC 21, [2000] 1 S.C.R. 494;</w:t>
      </w:r>
      <w:r w:rsidRPr="00930536">
        <w:t xml:space="preserve"> </w:t>
      </w:r>
      <w:r w:rsidR="00BE2D0D" w:rsidRPr="00930536" w:rsidDel="004147F5">
        <w:rPr>
          <w:i/>
        </w:rPr>
        <w:t>Reference</w:t>
      </w:r>
      <w:r w:rsidR="00BE2D0D" w:rsidRPr="00930536">
        <w:rPr>
          <w:i/>
        </w:rPr>
        <w:t xml:space="preserve"> re Securities Act</w:t>
      </w:r>
      <w:r w:rsidR="00BE2D0D" w:rsidRPr="00930536">
        <w:t>, 2011 SCC 66, [2011] 3 S.C.R. 837</w:t>
      </w:r>
      <w:r w:rsidR="004A19DC" w:rsidRPr="00930536">
        <w:rPr>
          <w:szCs w:val="24"/>
        </w:rPr>
        <w:t>.</w:t>
      </w:r>
    </w:p>
    <w:p w:rsidR="003B215F" w:rsidRPr="00930536" w:rsidRDefault="002E6705" w:rsidP="009440ED">
      <w:pPr>
        <w:pStyle w:val="SCCNormalDoubleSpacing"/>
        <w:keepNext/>
        <w:spacing w:after="720" w:line="240" w:lineRule="auto"/>
      </w:pPr>
      <w:r w:rsidRPr="00930536">
        <w:rPr>
          <w:b/>
        </w:rPr>
        <w:t>Statutes and Regulations Cite</w:t>
      </w:r>
      <w:r w:rsidR="00A41805" w:rsidRPr="00930536">
        <w:rPr>
          <w:b/>
        </w:rPr>
        <w:t>d</w:t>
      </w:r>
    </w:p>
    <w:p w:rsidR="00F664FF" w:rsidRPr="00930536" w:rsidRDefault="00CA1A88" w:rsidP="009440ED">
      <w:pPr>
        <w:pStyle w:val="SCCNormalDoubleSpacing"/>
        <w:spacing w:after="240" w:line="240" w:lineRule="auto"/>
        <w:ind w:left="547" w:hanging="547"/>
      </w:pPr>
      <w:r w:rsidRPr="00930536">
        <w:t xml:space="preserve">Bill 20, </w:t>
      </w:r>
      <w:r w:rsidRPr="00930536">
        <w:rPr>
          <w:i/>
        </w:rPr>
        <w:t>Securities Amendment Act, 2006</w:t>
      </w:r>
      <w:r w:rsidR="00F664FF" w:rsidRPr="00930536">
        <w:t>,</w:t>
      </w:r>
      <w:r w:rsidR="00D57F17" w:rsidRPr="00930536">
        <w:t xml:space="preserve"> 2nd Sess., 38th Parl., British </w:t>
      </w:r>
      <w:r w:rsidR="004D7E30" w:rsidRPr="00930536">
        <w:t>Columbia (Third reading, April </w:t>
      </w:r>
      <w:r w:rsidR="00F664FF" w:rsidRPr="00930536">
        <w:t>25, 2006).</w:t>
      </w:r>
    </w:p>
    <w:p w:rsidR="00F664FF" w:rsidRPr="00930536" w:rsidRDefault="00CA1A88" w:rsidP="009440ED">
      <w:pPr>
        <w:pStyle w:val="SCCNormalDoubleSpacing"/>
        <w:spacing w:after="240" w:line="240" w:lineRule="auto"/>
        <w:ind w:left="547" w:hanging="547"/>
      </w:pPr>
      <w:r w:rsidRPr="00930536">
        <w:t xml:space="preserve">Bill 28, </w:t>
      </w:r>
      <w:r w:rsidRPr="00930536">
        <w:rPr>
          <w:i/>
        </w:rPr>
        <w:t>Securities Amendment Act, 2007</w:t>
      </w:r>
      <w:r w:rsidR="00F664FF" w:rsidRPr="00930536">
        <w:t xml:space="preserve">, </w:t>
      </w:r>
      <w:r w:rsidR="003D5664" w:rsidRPr="00930536">
        <w:t>3rd</w:t>
      </w:r>
      <w:r w:rsidR="00D57F17" w:rsidRPr="00930536">
        <w:t xml:space="preserve"> Sess., 38th Parl., British </w:t>
      </w:r>
      <w:r w:rsidR="00F664FF" w:rsidRPr="00930536">
        <w:t>Columbia (</w:t>
      </w:r>
      <w:r w:rsidR="004D7E30" w:rsidRPr="00930536">
        <w:t>Third reading, October </w:t>
      </w:r>
      <w:r w:rsidR="003D5664" w:rsidRPr="00930536">
        <w:t>23</w:t>
      </w:r>
      <w:r w:rsidR="00F664FF" w:rsidRPr="00930536">
        <w:t>, 200</w:t>
      </w:r>
      <w:r w:rsidR="003D5664" w:rsidRPr="00930536">
        <w:t>7</w:t>
      </w:r>
      <w:r w:rsidR="00F664FF" w:rsidRPr="00930536">
        <w:t>).</w:t>
      </w:r>
    </w:p>
    <w:p w:rsidR="00A41805" w:rsidRPr="00930536" w:rsidRDefault="00BC0351" w:rsidP="009440ED">
      <w:pPr>
        <w:pStyle w:val="SCCNormalDoubleSpacing"/>
        <w:spacing w:after="240" w:line="240" w:lineRule="auto"/>
        <w:ind w:left="547" w:hanging="547"/>
      </w:pPr>
      <w:r w:rsidRPr="00930536">
        <w:rPr>
          <w:i/>
        </w:rPr>
        <w:t>Securities Act</w:t>
      </w:r>
      <w:r w:rsidRPr="00930536">
        <w:t>, C.C.S.M.</w:t>
      </w:r>
      <w:r w:rsidR="00790EBE">
        <w:t>,</w:t>
      </w:r>
      <w:r w:rsidR="00D57F17" w:rsidRPr="00930536">
        <w:t xml:space="preserve"> c. </w:t>
      </w:r>
      <w:r w:rsidRPr="00930536">
        <w:t xml:space="preserve">S50, </w:t>
      </w:r>
      <w:r w:rsidR="009440ED" w:rsidRPr="00930536">
        <w:t>s</w:t>
      </w:r>
      <w:r w:rsidR="001F17B0">
        <w:t>s</w:t>
      </w:r>
      <w:r w:rsidR="009440ED" w:rsidRPr="00930536">
        <w:t>. </w:t>
      </w:r>
      <w:r w:rsidRPr="00930536">
        <w:t>137</w:t>
      </w:r>
      <w:r w:rsidR="00134647" w:rsidRPr="00930536">
        <w:t>, 148.4(1)</w:t>
      </w:r>
      <w:r w:rsidRPr="00930536">
        <w:t>.</w:t>
      </w:r>
    </w:p>
    <w:p w:rsidR="00134647" w:rsidRPr="00930536" w:rsidRDefault="00134647" w:rsidP="009440ED">
      <w:pPr>
        <w:pStyle w:val="SCCNormalDoubleSpacing"/>
        <w:spacing w:after="240" w:line="240" w:lineRule="auto"/>
        <w:ind w:left="547" w:hanging="547"/>
      </w:pPr>
      <w:r w:rsidRPr="00930536">
        <w:rPr>
          <w:i/>
          <w:szCs w:val="24"/>
        </w:rPr>
        <w:t>Securities Act</w:t>
      </w:r>
      <w:r w:rsidR="009440ED" w:rsidRPr="00930536">
        <w:rPr>
          <w:szCs w:val="24"/>
        </w:rPr>
        <w:t>, R.S.A. 2000, c. </w:t>
      </w:r>
      <w:r w:rsidRPr="00930536">
        <w:rPr>
          <w:szCs w:val="24"/>
        </w:rPr>
        <w:t>S</w:t>
      </w:r>
      <w:r w:rsidR="009440ED" w:rsidRPr="00930536">
        <w:rPr>
          <w:szCs w:val="24"/>
        </w:rPr>
        <w:noBreakHyphen/>
      </w:r>
      <w:r w:rsidRPr="00930536">
        <w:rPr>
          <w:szCs w:val="24"/>
        </w:rPr>
        <w:t xml:space="preserve">4, </w:t>
      </w:r>
      <w:r w:rsidR="009440ED" w:rsidRPr="00930536">
        <w:rPr>
          <w:szCs w:val="24"/>
        </w:rPr>
        <w:t>s. </w:t>
      </w:r>
      <w:r w:rsidRPr="00930536">
        <w:rPr>
          <w:szCs w:val="24"/>
        </w:rPr>
        <w:t>198(1.1).</w:t>
      </w:r>
    </w:p>
    <w:p w:rsidR="00935218" w:rsidRPr="00930536" w:rsidRDefault="006B1518" w:rsidP="009440ED">
      <w:pPr>
        <w:pStyle w:val="SCCNormalDoubleSpacing"/>
        <w:spacing w:after="240" w:line="240" w:lineRule="auto"/>
        <w:ind w:left="547" w:hanging="547"/>
      </w:pPr>
      <w:r w:rsidRPr="00930536">
        <w:rPr>
          <w:i/>
        </w:rPr>
        <w:t>Securities Act</w:t>
      </w:r>
      <w:r w:rsidRPr="00930536">
        <w:t>, R.S.B.C. 1996, c.</w:t>
      </w:r>
      <w:r w:rsidR="00D57F17" w:rsidRPr="00930536">
        <w:t> </w:t>
      </w:r>
      <w:r w:rsidRPr="00930536">
        <w:t xml:space="preserve">418, </w:t>
      </w:r>
      <w:r w:rsidR="001F17B0">
        <w:t>s</w:t>
      </w:r>
      <w:r w:rsidR="009440ED" w:rsidRPr="00930536">
        <w:t>s. </w:t>
      </w:r>
      <w:r w:rsidR="00D928AE" w:rsidRPr="00930536">
        <w:t xml:space="preserve">127, 127.1, </w:t>
      </w:r>
      <w:r w:rsidR="00311E21" w:rsidRPr="00930536">
        <w:t xml:space="preserve">140(a), 140.94, </w:t>
      </w:r>
      <w:r w:rsidRPr="00930536">
        <w:t>159, 161(</w:t>
      </w:r>
      <w:r w:rsidR="007E6534" w:rsidRPr="00930536">
        <w:t>1), (</w:t>
      </w:r>
      <w:r w:rsidRPr="00930536">
        <w:t>6).</w:t>
      </w:r>
    </w:p>
    <w:p w:rsidR="00A960F8" w:rsidRPr="00930536" w:rsidRDefault="00A960F8" w:rsidP="009440ED">
      <w:pPr>
        <w:pStyle w:val="SCCNormalDoubleSpacing"/>
        <w:spacing w:after="240" w:line="240" w:lineRule="auto"/>
        <w:ind w:left="547" w:hanging="547"/>
        <w:rPr>
          <w:szCs w:val="24"/>
        </w:rPr>
      </w:pPr>
      <w:r w:rsidRPr="00930536">
        <w:rPr>
          <w:i/>
          <w:szCs w:val="24"/>
        </w:rPr>
        <w:t>Securities Act</w:t>
      </w:r>
      <w:r w:rsidR="009440ED" w:rsidRPr="00930536">
        <w:rPr>
          <w:szCs w:val="24"/>
        </w:rPr>
        <w:t>, R.S.N.L. 1990, c. </w:t>
      </w:r>
      <w:r w:rsidRPr="00930536">
        <w:rPr>
          <w:szCs w:val="24"/>
        </w:rPr>
        <w:t>S</w:t>
      </w:r>
      <w:r w:rsidR="009440ED" w:rsidRPr="00930536">
        <w:rPr>
          <w:szCs w:val="24"/>
        </w:rPr>
        <w:noBreakHyphen/>
      </w:r>
      <w:r w:rsidRPr="00930536">
        <w:rPr>
          <w:szCs w:val="24"/>
        </w:rPr>
        <w:t xml:space="preserve">13, </w:t>
      </w:r>
      <w:r w:rsidR="009440ED" w:rsidRPr="00930536">
        <w:rPr>
          <w:szCs w:val="24"/>
        </w:rPr>
        <w:t>s</w:t>
      </w:r>
      <w:r w:rsidR="001F17B0">
        <w:rPr>
          <w:szCs w:val="24"/>
        </w:rPr>
        <w:t>s</w:t>
      </w:r>
      <w:r w:rsidR="009440ED" w:rsidRPr="00930536">
        <w:rPr>
          <w:szCs w:val="24"/>
        </w:rPr>
        <w:t>. </w:t>
      </w:r>
      <w:r w:rsidRPr="00930536">
        <w:rPr>
          <w:szCs w:val="24"/>
        </w:rPr>
        <w:t>127(1.1), 129.</w:t>
      </w:r>
    </w:p>
    <w:p w:rsidR="002C23E2" w:rsidRPr="00930536" w:rsidRDefault="002C23E2" w:rsidP="009440ED">
      <w:pPr>
        <w:pStyle w:val="SCCNormalDoubleSpacing"/>
        <w:spacing w:after="240" w:line="240" w:lineRule="auto"/>
        <w:ind w:left="547" w:hanging="547"/>
        <w:rPr>
          <w:i/>
        </w:rPr>
      </w:pPr>
      <w:r w:rsidRPr="00930536">
        <w:rPr>
          <w:i/>
          <w:szCs w:val="24"/>
        </w:rPr>
        <w:t>Securities Act</w:t>
      </w:r>
      <w:r w:rsidR="009440ED" w:rsidRPr="00930536">
        <w:rPr>
          <w:szCs w:val="24"/>
        </w:rPr>
        <w:t>, R.S.N.S. 1989, c. </w:t>
      </w:r>
      <w:r w:rsidRPr="00930536">
        <w:rPr>
          <w:szCs w:val="24"/>
        </w:rPr>
        <w:t xml:space="preserve">418, </w:t>
      </w:r>
      <w:r w:rsidR="009440ED" w:rsidRPr="00930536">
        <w:rPr>
          <w:szCs w:val="24"/>
        </w:rPr>
        <w:t>s. </w:t>
      </w:r>
      <w:r w:rsidRPr="00930536">
        <w:rPr>
          <w:szCs w:val="24"/>
        </w:rPr>
        <w:t>134(1A).</w:t>
      </w:r>
    </w:p>
    <w:p w:rsidR="006B1518" w:rsidRPr="00930536" w:rsidRDefault="00A9298F" w:rsidP="009440ED">
      <w:pPr>
        <w:pStyle w:val="SCCNormalDoubleSpacing"/>
        <w:spacing w:after="240" w:line="240" w:lineRule="auto"/>
        <w:ind w:left="547" w:hanging="547"/>
      </w:pPr>
      <w:r w:rsidRPr="00930536">
        <w:rPr>
          <w:i/>
        </w:rPr>
        <w:t>Securities Act</w:t>
      </w:r>
      <w:r w:rsidRPr="00930536">
        <w:t>, R.S.O. 1990, c.</w:t>
      </w:r>
      <w:r w:rsidR="00D57F17" w:rsidRPr="00930536">
        <w:t> </w:t>
      </w:r>
      <w:r w:rsidRPr="00930536">
        <w:t>S.5</w:t>
      </w:r>
      <w:r w:rsidR="00556A8C" w:rsidRPr="00930536">
        <w:t xml:space="preserve">, </w:t>
      </w:r>
      <w:r w:rsidR="009440ED" w:rsidRPr="00930536">
        <w:t>s. </w:t>
      </w:r>
      <w:r w:rsidR="00556A8C" w:rsidRPr="00930536">
        <w:t>127(10)</w:t>
      </w:r>
      <w:r w:rsidRPr="00930536">
        <w:t>.</w:t>
      </w:r>
    </w:p>
    <w:p w:rsidR="00FC15C5" w:rsidRPr="00930536" w:rsidRDefault="00FC15C5" w:rsidP="009440ED">
      <w:pPr>
        <w:pStyle w:val="SCCNormalDoubleSpacing"/>
        <w:spacing w:after="240" w:line="240" w:lineRule="auto"/>
        <w:ind w:left="547" w:hanging="547"/>
        <w:rPr>
          <w:szCs w:val="24"/>
        </w:rPr>
      </w:pPr>
      <w:r w:rsidRPr="00930536">
        <w:rPr>
          <w:i/>
          <w:szCs w:val="24"/>
        </w:rPr>
        <w:t>Securities Act</w:t>
      </w:r>
      <w:r w:rsidR="00790EBE">
        <w:rPr>
          <w:szCs w:val="24"/>
        </w:rPr>
        <w:t>, R.S.P.E.I. 198</w:t>
      </w:r>
      <w:r w:rsidR="009440ED" w:rsidRPr="00930536">
        <w:rPr>
          <w:szCs w:val="24"/>
        </w:rPr>
        <w:t>8, c. </w:t>
      </w:r>
      <w:r w:rsidRPr="00930536">
        <w:rPr>
          <w:szCs w:val="24"/>
        </w:rPr>
        <w:t>S</w:t>
      </w:r>
      <w:r w:rsidR="009440ED" w:rsidRPr="00930536">
        <w:rPr>
          <w:szCs w:val="24"/>
        </w:rPr>
        <w:noBreakHyphen/>
      </w:r>
      <w:r w:rsidRPr="00930536">
        <w:rPr>
          <w:szCs w:val="24"/>
        </w:rPr>
        <w:t xml:space="preserve">3.1, </w:t>
      </w:r>
      <w:r w:rsidR="009440ED" w:rsidRPr="00930536">
        <w:rPr>
          <w:szCs w:val="24"/>
        </w:rPr>
        <w:t>s. </w:t>
      </w:r>
      <w:r w:rsidRPr="00930536">
        <w:rPr>
          <w:szCs w:val="24"/>
        </w:rPr>
        <w:t>60(3).</w:t>
      </w:r>
    </w:p>
    <w:p w:rsidR="001E0D94" w:rsidRPr="00930536" w:rsidRDefault="001E0D94" w:rsidP="009440ED">
      <w:pPr>
        <w:pStyle w:val="SCCNormalDoubleSpacing"/>
        <w:spacing w:after="240" w:line="240" w:lineRule="auto"/>
        <w:ind w:left="547" w:hanging="547"/>
        <w:rPr>
          <w:szCs w:val="24"/>
        </w:rPr>
      </w:pPr>
      <w:r w:rsidRPr="00930536">
        <w:rPr>
          <w:i/>
          <w:szCs w:val="24"/>
        </w:rPr>
        <w:t>Securities Act</w:t>
      </w:r>
      <w:r w:rsidR="009440ED" w:rsidRPr="00930536">
        <w:rPr>
          <w:szCs w:val="24"/>
        </w:rPr>
        <w:t>, S.N.B. 2004, c. </w:t>
      </w:r>
      <w:r w:rsidRPr="00930536">
        <w:rPr>
          <w:szCs w:val="24"/>
        </w:rPr>
        <w:t>S</w:t>
      </w:r>
      <w:r w:rsidR="009440ED" w:rsidRPr="00930536">
        <w:rPr>
          <w:szCs w:val="24"/>
        </w:rPr>
        <w:noBreakHyphen/>
      </w:r>
      <w:r w:rsidRPr="00930536">
        <w:rPr>
          <w:szCs w:val="24"/>
        </w:rPr>
        <w:t xml:space="preserve">5.5, </w:t>
      </w:r>
      <w:r w:rsidR="009440ED" w:rsidRPr="00930536">
        <w:rPr>
          <w:szCs w:val="24"/>
        </w:rPr>
        <w:t>s. </w:t>
      </w:r>
      <w:r w:rsidRPr="00930536">
        <w:rPr>
          <w:szCs w:val="24"/>
        </w:rPr>
        <w:t>184(1.1).</w:t>
      </w:r>
    </w:p>
    <w:p w:rsidR="001E0D94" w:rsidRPr="00930536" w:rsidRDefault="001E0D94" w:rsidP="009440ED">
      <w:pPr>
        <w:pStyle w:val="SCCNormalDoubleSpacing"/>
        <w:spacing w:after="240" w:line="240" w:lineRule="auto"/>
        <w:ind w:left="547" w:hanging="547"/>
        <w:rPr>
          <w:szCs w:val="24"/>
        </w:rPr>
      </w:pPr>
      <w:r w:rsidRPr="00930536">
        <w:rPr>
          <w:i/>
          <w:szCs w:val="24"/>
        </w:rPr>
        <w:lastRenderedPageBreak/>
        <w:t>Securities Act</w:t>
      </w:r>
      <w:r w:rsidR="009440ED" w:rsidRPr="00930536">
        <w:rPr>
          <w:szCs w:val="24"/>
        </w:rPr>
        <w:t>, S.Nu. 2008, c. </w:t>
      </w:r>
      <w:r w:rsidRPr="00930536">
        <w:rPr>
          <w:szCs w:val="24"/>
        </w:rPr>
        <w:t xml:space="preserve">12, </w:t>
      </w:r>
      <w:r w:rsidR="009440ED" w:rsidRPr="00930536">
        <w:rPr>
          <w:szCs w:val="24"/>
        </w:rPr>
        <w:t>s. </w:t>
      </w:r>
      <w:r w:rsidRPr="00930536">
        <w:rPr>
          <w:szCs w:val="24"/>
        </w:rPr>
        <w:t>60(3).</w:t>
      </w:r>
    </w:p>
    <w:p w:rsidR="001E0D94" w:rsidRPr="00930536" w:rsidRDefault="001E0D94" w:rsidP="009440ED">
      <w:pPr>
        <w:pStyle w:val="SCCNormalDoubleSpacing"/>
        <w:spacing w:after="240" w:line="240" w:lineRule="auto"/>
        <w:ind w:left="547" w:hanging="547"/>
        <w:rPr>
          <w:szCs w:val="24"/>
        </w:rPr>
      </w:pPr>
      <w:r w:rsidRPr="00930536">
        <w:rPr>
          <w:i/>
          <w:szCs w:val="24"/>
        </w:rPr>
        <w:t>Securities Act</w:t>
      </w:r>
      <w:r w:rsidR="009440ED" w:rsidRPr="00930536">
        <w:rPr>
          <w:szCs w:val="24"/>
        </w:rPr>
        <w:t>, S.N.W.T. 2008, c. </w:t>
      </w:r>
      <w:r w:rsidRPr="00930536">
        <w:rPr>
          <w:szCs w:val="24"/>
        </w:rPr>
        <w:t xml:space="preserve">10, </w:t>
      </w:r>
      <w:r w:rsidR="009440ED" w:rsidRPr="00930536">
        <w:rPr>
          <w:szCs w:val="24"/>
        </w:rPr>
        <w:t>s. </w:t>
      </w:r>
      <w:r w:rsidRPr="00930536">
        <w:rPr>
          <w:szCs w:val="24"/>
        </w:rPr>
        <w:t>60(3).</w:t>
      </w:r>
    </w:p>
    <w:p w:rsidR="001E0D94" w:rsidRPr="00930536" w:rsidRDefault="001E0D94" w:rsidP="009440ED">
      <w:pPr>
        <w:pStyle w:val="SCCNormalDoubleSpacing"/>
        <w:spacing w:after="240" w:line="240" w:lineRule="auto"/>
        <w:ind w:left="547" w:hanging="547"/>
      </w:pPr>
      <w:r w:rsidRPr="00930536">
        <w:rPr>
          <w:i/>
          <w:szCs w:val="24"/>
        </w:rPr>
        <w:t>Securities Act</w:t>
      </w:r>
      <w:r w:rsidR="009440ED" w:rsidRPr="00930536">
        <w:rPr>
          <w:szCs w:val="24"/>
        </w:rPr>
        <w:t>, S.Y. 2007, c. </w:t>
      </w:r>
      <w:r w:rsidRPr="00930536">
        <w:rPr>
          <w:szCs w:val="24"/>
        </w:rPr>
        <w:t xml:space="preserve">16, </w:t>
      </w:r>
      <w:r w:rsidR="009440ED" w:rsidRPr="00930536">
        <w:rPr>
          <w:szCs w:val="24"/>
        </w:rPr>
        <w:t>s. </w:t>
      </w:r>
      <w:r w:rsidRPr="00930536">
        <w:rPr>
          <w:szCs w:val="24"/>
        </w:rPr>
        <w:t>60(3).</w:t>
      </w:r>
    </w:p>
    <w:p w:rsidR="00683FEE" w:rsidRPr="00930536" w:rsidRDefault="00683FEE" w:rsidP="009440ED">
      <w:pPr>
        <w:pStyle w:val="SCCNormalDoubleSpacing"/>
        <w:spacing w:after="240" w:line="240" w:lineRule="auto"/>
        <w:ind w:left="547" w:hanging="547"/>
      </w:pPr>
      <w:r w:rsidRPr="00930536">
        <w:rPr>
          <w:i/>
          <w:szCs w:val="24"/>
        </w:rPr>
        <w:t>Securities Act, 1988</w:t>
      </w:r>
      <w:r w:rsidRPr="00930536">
        <w:rPr>
          <w:szCs w:val="24"/>
        </w:rPr>
        <w:t>, S.S. 1988</w:t>
      </w:r>
      <w:r w:rsidR="009440ED" w:rsidRPr="00930536">
        <w:rPr>
          <w:szCs w:val="24"/>
        </w:rPr>
        <w:noBreakHyphen/>
        <w:t>89, c. </w:t>
      </w:r>
      <w:r w:rsidRPr="00930536">
        <w:rPr>
          <w:szCs w:val="24"/>
        </w:rPr>
        <w:t>S</w:t>
      </w:r>
      <w:r w:rsidR="009440ED" w:rsidRPr="00930536">
        <w:rPr>
          <w:szCs w:val="24"/>
        </w:rPr>
        <w:noBreakHyphen/>
      </w:r>
      <w:r w:rsidRPr="00930536">
        <w:rPr>
          <w:szCs w:val="24"/>
        </w:rPr>
        <w:t xml:space="preserve">42.2, </w:t>
      </w:r>
      <w:r w:rsidR="009440ED" w:rsidRPr="00930536">
        <w:rPr>
          <w:szCs w:val="24"/>
        </w:rPr>
        <w:t>s. </w:t>
      </w:r>
      <w:r w:rsidRPr="00930536">
        <w:rPr>
          <w:szCs w:val="24"/>
        </w:rPr>
        <w:t>134(1.1</w:t>
      </w:r>
      <w:r w:rsidR="00790EBE">
        <w:rPr>
          <w:szCs w:val="24"/>
        </w:rPr>
        <w:t>)</w:t>
      </w:r>
      <w:r w:rsidR="00E4703C" w:rsidRPr="00930536">
        <w:rPr>
          <w:szCs w:val="24"/>
        </w:rPr>
        <w:t>.</w:t>
      </w:r>
    </w:p>
    <w:p w:rsidR="00FA49DC" w:rsidRPr="00930536" w:rsidRDefault="00B94A0C" w:rsidP="009440ED">
      <w:pPr>
        <w:pStyle w:val="SCCNormalDoubleSpacing"/>
        <w:spacing w:after="720" w:line="240" w:lineRule="auto"/>
        <w:ind w:left="547" w:hanging="547"/>
      </w:pPr>
      <w:r w:rsidRPr="00930536">
        <w:rPr>
          <w:i/>
        </w:rPr>
        <w:t>Securities Amendment Act, 2006</w:t>
      </w:r>
      <w:r w:rsidRPr="00930536">
        <w:t xml:space="preserve">, </w:t>
      </w:r>
      <w:r w:rsidR="00D57F17" w:rsidRPr="00930536">
        <w:t>S.B.C. 2006, c. </w:t>
      </w:r>
      <w:r w:rsidRPr="00930536">
        <w:t>32.</w:t>
      </w:r>
    </w:p>
    <w:p w:rsidR="002E6705" w:rsidRPr="00930536" w:rsidRDefault="002E6705" w:rsidP="009440ED">
      <w:pPr>
        <w:pStyle w:val="SCCNormalDoubleSpacing"/>
        <w:keepNext/>
        <w:spacing w:after="720" w:line="240" w:lineRule="auto"/>
        <w:rPr>
          <w:b/>
        </w:rPr>
      </w:pPr>
      <w:r w:rsidRPr="00930536">
        <w:rPr>
          <w:b/>
        </w:rPr>
        <w:t>Authors Cited</w:t>
      </w:r>
    </w:p>
    <w:p w:rsidR="00252A6E" w:rsidRDefault="00600987" w:rsidP="00790EBE">
      <w:pPr>
        <w:pStyle w:val="SCCNormalDoubleSpacing"/>
        <w:spacing w:line="240" w:lineRule="auto"/>
        <w:ind w:left="540" w:hanging="540"/>
      </w:pPr>
      <w:r w:rsidRPr="00930536">
        <w:t xml:space="preserve">Canada.  </w:t>
      </w:r>
      <w:r w:rsidRPr="00930536">
        <w:rPr>
          <w:i/>
        </w:rPr>
        <w:t>A Provincial/Territorial Memorandum of Understanding Regarding Securities Regulation</w:t>
      </w:r>
      <w:r w:rsidR="00252A6E" w:rsidRPr="00930536">
        <w:t>, 2004</w:t>
      </w:r>
      <w:r w:rsidR="00732934">
        <w:t xml:space="preserve"> </w:t>
      </w:r>
      <w:r w:rsidR="00252A6E" w:rsidRPr="00930536">
        <w:t>(online:</w:t>
      </w:r>
      <w:r w:rsidRPr="00930536">
        <w:t xml:space="preserve">  </w:t>
      </w:r>
      <w:r w:rsidR="00790EBE" w:rsidRPr="00790EBE">
        <w:t>http://www.securitiescanada.org/2004_0930_mou_english.pdf</w:t>
      </w:r>
      <w:r w:rsidR="00252A6E" w:rsidRPr="00930536">
        <w:t>).</w:t>
      </w:r>
    </w:p>
    <w:p w:rsidR="00790EBE" w:rsidRPr="00930536" w:rsidRDefault="00790EBE" w:rsidP="00790EBE">
      <w:pPr>
        <w:pStyle w:val="SCCNormalDoubleSpacing"/>
        <w:spacing w:line="240" w:lineRule="auto"/>
        <w:ind w:left="540" w:hanging="540"/>
      </w:pPr>
    </w:p>
    <w:p w:rsidR="00D0303F" w:rsidRPr="00930536" w:rsidRDefault="000256F2" w:rsidP="00D57F17">
      <w:pPr>
        <w:pStyle w:val="SCCNormalDoubleSpacing"/>
        <w:spacing w:after="240" w:line="240" w:lineRule="auto"/>
        <w:ind w:left="547" w:hanging="547"/>
      </w:pPr>
      <w:r w:rsidRPr="00930536">
        <w:rPr>
          <w:lang w:val="fr-CA"/>
        </w:rPr>
        <w:t>Côté, Pierre</w:t>
      </w:r>
      <w:r w:rsidR="009462B5">
        <w:rPr>
          <w:rFonts w:eastAsia="MS Mincho"/>
          <w:lang w:val="fr-CA"/>
        </w:rPr>
        <w:t>-</w:t>
      </w:r>
      <w:r w:rsidRPr="00930536">
        <w:rPr>
          <w:lang w:val="fr-CA"/>
        </w:rPr>
        <w:t xml:space="preserve">André, in collaboration with Stéphane Beaulac and Mathieu Devinat.  </w:t>
      </w:r>
      <w:r w:rsidRPr="00930536">
        <w:rPr>
          <w:i/>
        </w:rPr>
        <w:t>The Interpretation of Legislation in Canada</w:t>
      </w:r>
      <w:r w:rsidRPr="00930536">
        <w:t>, 4th ed.  Toronto:  Carswell, 2011.</w:t>
      </w:r>
    </w:p>
    <w:p w:rsidR="00DE319C" w:rsidRPr="00930536" w:rsidRDefault="00D0303F" w:rsidP="00D57F17">
      <w:pPr>
        <w:pStyle w:val="SCCNormalDoubleSpacing"/>
        <w:spacing w:after="240" w:line="240" w:lineRule="auto"/>
        <w:ind w:left="547" w:hanging="547"/>
      </w:pPr>
      <w:r w:rsidRPr="00930536">
        <w:t xml:space="preserve">Driedger, Elmer A.  </w:t>
      </w:r>
      <w:r w:rsidRPr="00930536">
        <w:rPr>
          <w:i/>
        </w:rPr>
        <w:t>Construction of Statutes</w:t>
      </w:r>
      <w:r w:rsidRPr="00930536">
        <w:t>, 2nd ed.  Toronto:  Butterworths, 1983.</w:t>
      </w:r>
    </w:p>
    <w:p w:rsidR="00D0303F" w:rsidRPr="00930536" w:rsidRDefault="00D0303F" w:rsidP="00D60492">
      <w:pPr>
        <w:pStyle w:val="SCCNormalDoubleSpacing"/>
        <w:spacing w:after="240" w:line="240" w:lineRule="auto"/>
        <w:ind w:left="547" w:hanging="547"/>
      </w:pPr>
      <w:r w:rsidRPr="00930536">
        <w:t xml:space="preserve">Sullivan, Ruth.  </w:t>
      </w:r>
      <w:r w:rsidRPr="00930536">
        <w:rPr>
          <w:i/>
        </w:rPr>
        <w:t>Sullivan on the Construction of Statutes</w:t>
      </w:r>
      <w:r w:rsidRPr="00930536">
        <w:t xml:space="preserve">, 5th ed.  Markham, Ont.:  LexisNexis, 2008. </w:t>
      </w:r>
    </w:p>
    <w:p w:rsidR="00D60492" w:rsidRPr="00930536" w:rsidRDefault="00D60492" w:rsidP="009440ED">
      <w:pPr>
        <w:pStyle w:val="SCCNormalDoubleSpacing"/>
        <w:spacing w:after="240" w:line="240" w:lineRule="auto"/>
        <w:ind w:left="547" w:hanging="547"/>
      </w:pPr>
      <w:r w:rsidRPr="00930536">
        <w:t xml:space="preserve">Teplitsky, Martin.  “Standard of review of administrative adjudication:  </w:t>
      </w:r>
      <w:r w:rsidR="00887788" w:rsidRPr="00930536">
        <w:t>‘</w:t>
      </w:r>
      <w:r w:rsidRPr="00930536">
        <w:t>What a tangled web we weave</w:t>
      </w:r>
      <w:r w:rsidR="009440ED" w:rsidRPr="00930536">
        <w:t xml:space="preserve"> . </w:t>
      </w:r>
      <w:r w:rsidR="003D414F" w:rsidRPr="00930536">
        <w:t>.</w:t>
      </w:r>
      <w:r w:rsidR="009440ED" w:rsidRPr="00930536">
        <w:t> </w:t>
      </w:r>
      <w:r w:rsidR="003D414F" w:rsidRPr="00930536">
        <w:t>.</w:t>
      </w:r>
      <w:r w:rsidR="00887788" w:rsidRPr="00930536">
        <w:t>’</w:t>
      </w:r>
      <w:r w:rsidRPr="00930536">
        <w:t xml:space="preserve">” (2013), </w:t>
      </w:r>
      <w:r w:rsidRPr="00930536">
        <w:rPr>
          <w:i/>
        </w:rPr>
        <w:t>Advocates</w:t>
      </w:r>
      <w:r w:rsidR="00790EBE">
        <w:rPr>
          <w:i/>
        </w:rPr>
        <w:t>’</w:t>
      </w:r>
      <w:r w:rsidRPr="00930536">
        <w:rPr>
          <w:i/>
        </w:rPr>
        <w:t xml:space="preserve"> Soc. J. </w:t>
      </w:r>
      <w:r w:rsidRPr="00930536">
        <w:t>3.</w:t>
      </w:r>
    </w:p>
    <w:p w:rsidR="006837CD" w:rsidRPr="00930536" w:rsidRDefault="006837CD" w:rsidP="009440ED">
      <w:pPr>
        <w:pStyle w:val="SCCNormalDoubleSpacing"/>
        <w:spacing w:after="720" w:line="240" w:lineRule="auto"/>
        <w:ind w:left="547" w:hanging="547"/>
      </w:pPr>
      <w:r w:rsidRPr="00930536">
        <w:t xml:space="preserve">Willis, John.  “Statute Interpretation in a Nutshell” (1938), 16 </w:t>
      </w:r>
      <w:r w:rsidRPr="00930536">
        <w:rPr>
          <w:i/>
        </w:rPr>
        <w:t>Can. Bar Rev.</w:t>
      </w:r>
      <w:r w:rsidR="00D57F17" w:rsidRPr="00930536">
        <w:t xml:space="preserve"> 1.</w:t>
      </w:r>
    </w:p>
    <w:p w:rsidR="0094476F" w:rsidRPr="00930536" w:rsidRDefault="009B57B3" w:rsidP="00D57F17">
      <w:pPr>
        <w:pStyle w:val="SCCNormalDoubleSpacing"/>
        <w:spacing w:after="480"/>
      </w:pPr>
      <w:r w:rsidRPr="00930536">
        <w:tab/>
        <w:t xml:space="preserve">APPEAL from a judgment of the </w:t>
      </w:r>
      <w:r w:rsidR="005F5FCF" w:rsidRPr="00930536">
        <w:t>British </w:t>
      </w:r>
      <w:r w:rsidR="00C57A0A" w:rsidRPr="00930536">
        <w:t xml:space="preserve">Columbia </w:t>
      </w:r>
      <w:r w:rsidRPr="00930536">
        <w:t>Court of Appeal (</w:t>
      </w:r>
      <w:r w:rsidR="00D57F17" w:rsidRPr="00930536">
        <w:t>Saunders, Chiasson and Neilson </w:t>
      </w:r>
      <w:r w:rsidR="0094476F" w:rsidRPr="00930536">
        <w:t>JJ.A.), 2011 BCCA 455, 312 B.C.A.C. 288, 531 W.A.C. 288,</w:t>
      </w:r>
      <w:r w:rsidR="00D67BB4" w:rsidRPr="00930536">
        <w:t xml:space="preserve"> </w:t>
      </w:r>
      <w:r w:rsidR="0094476F" w:rsidRPr="00930536">
        <w:t xml:space="preserve">343 D.L.R. (4th) 432, [2011] B.C.J. </w:t>
      </w:r>
      <w:r w:rsidR="009440ED" w:rsidRPr="00930536">
        <w:t>No. </w:t>
      </w:r>
      <w:r w:rsidR="0094476F" w:rsidRPr="00930536">
        <w:t xml:space="preserve">2124 (QL), 2011 CarswellBC 2929, </w:t>
      </w:r>
      <w:r w:rsidR="00A06717" w:rsidRPr="00930536">
        <w:t>allowing an appeal from</w:t>
      </w:r>
      <w:r w:rsidR="0094476F" w:rsidRPr="00930536">
        <w:t xml:space="preserve"> </w:t>
      </w:r>
      <w:r w:rsidR="00205BAE" w:rsidRPr="00930536">
        <w:t xml:space="preserve">a decision by </w:t>
      </w:r>
      <w:r w:rsidR="0094476F" w:rsidRPr="00930536">
        <w:t xml:space="preserve">the British Columbia Securities Commission, 2010 BCSECCOM 262, 2010 LNBCSC 222 (QL).  Appeal dismissed.  </w:t>
      </w:r>
    </w:p>
    <w:p w:rsidR="006A3FE0" w:rsidRPr="00930536" w:rsidRDefault="00CC16FB" w:rsidP="00D57F17">
      <w:pPr>
        <w:pStyle w:val="SCCNormalDoubleSpacing"/>
        <w:spacing w:after="480"/>
      </w:pPr>
      <w:r w:rsidRPr="00930536">
        <w:rPr>
          <w:i/>
        </w:rPr>
        <w:tab/>
        <w:t>Christopher</w:t>
      </w:r>
      <w:r w:rsidR="00D57F17" w:rsidRPr="00930536">
        <w:rPr>
          <w:i/>
        </w:rPr>
        <w:t> </w:t>
      </w:r>
      <w:r w:rsidRPr="00930536">
        <w:rPr>
          <w:i/>
        </w:rPr>
        <w:t>H. Wirth</w:t>
      </w:r>
      <w:r w:rsidRPr="00930536">
        <w:t xml:space="preserve"> and </w:t>
      </w:r>
      <w:r w:rsidRPr="00930536">
        <w:rPr>
          <w:i/>
        </w:rPr>
        <w:t>Fredrick Schumann</w:t>
      </w:r>
      <w:r w:rsidRPr="00930536">
        <w:t>, for the appellant.</w:t>
      </w:r>
    </w:p>
    <w:p w:rsidR="006A3FE0" w:rsidRPr="00930536" w:rsidRDefault="00D57F17" w:rsidP="00D57F17">
      <w:pPr>
        <w:pStyle w:val="SCCNormalDoubleSpacing"/>
        <w:spacing w:after="480"/>
      </w:pPr>
      <w:r w:rsidRPr="00930536">
        <w:rPr>
          <w:i/>
        </w:rPr>
        <w:lastRenderedPageBreak/>
        <w:tab/>
        <w:t>Stephen </w:t>
      </w:r>
      <w:r w:rsidR="00CC16FB" w:rsidRPr="00930536">
        <w:rPr>
          <w:i/>
        </w:rPr>
        <w:t>M. Zolnay</w:t>
      </w:r>
      <w:r w:rsidR="00CC16FB" w:rsidRPr="00930536">
        <w:t>, for the respondent.</w:t>
      </w:r>
    </w:p>
    <w:p w:rsidR="006A3FE0" w:rsidRPr="00930536" w:rsidRDefault="00CC16FB" w:rsidP="00D57F17">
      <w:pPr>
        <w:pStyle w:val="SCCNormalDoubleSpacing"/>
        <w:spacing w:after="480"/>
      </w:pPr>
      <w:r w:rsidRPr="00930536">
        <w:rPr>
          <w:i/>
        </w:rPr>
        <w:tab/>
        <w:t>Lou Brzezinski</w:t>
      </w:r>
      <w:r w:rsidRPr="00930536">
        <w:t xml:space="preserve"> and </w:t>
      </w:r>
      <w:r w:rsidRPr="00930536">
        <w:rPr>
          <w:i/>
        </w:rPr>
        <w:t>John Polyzogopoulos</w:t>
      </w:r>
      <w:r w:rsidRPr="00930536">
        <w:t xml:space="preserve">, for the intervener </w:t>
      </w:r>
      <w:r w:rsidR="00F96F2D" w:rsidRPr="00930536">
        <w:t xml:space="preserve">the </w:t>
      </w:r>
      <w:r w:rsidRPr="00930536">
        <w:t>Financial Advisors Association of Canada.</w:t>
      </w:r>
    </w:p>
    <w:p w:rsidR="006A3FE0" w:rsidRPr="00930536" w:rsidRDefault="00D57F17" w:rsidP="00D57F17">
      <w:pPr>
        <w:pStyle w:val="SCCNormalDoubleSpacing"/>
        <w:spacing w:after="480"/>
      </w:pPr>
      <w:r w:rsidRPr="00930536">
        <w:rPr>
          <w:i/>
        </w:rPr>
        <w:tab/>
        <w:t>Johanna </w:t>
      </w:r>
      <w:r w:rsidR="00CC16FB" w:rsidRPr="00930536">
        <w:rPr>
          <w:i/>
        </w:rPr>
        <w:t>M. Superina</w:t>
      </w:r>
      <w:r w:rsidR="00CC16FB" w:rsidRPr="00930536">
        <w:t xml:space="preserve"> and </w:t>
      </w:r>
      <w:r w:rsidRPr="00930536">
        <w:rPr>
          <w:i/>
        </w:rPr>
        <w:t>Usman </w:t>
      </w:r>
      <w:r w:rsidR="00CC16FB" w:rsidRPr="00930536">
        <w:rPr>
          <w:i/>
        </w:rPr>
        <w:t>M. Sheikh</w:t>
      </w:r>
      <w:r w:rsidR="00CC16FB" w:rsidRPr="00930536">
        <w:t xml:space="preserve">, for the intervener </w:t>
      </w:r>
      <w:r w:rsidR="00F96F2D" w:rsidRPr="00930536">
        <w:t xml:space="preserve">the </w:t>
      </w:r>
      <w:r w:rsidR="00CC16FB" w:rsidRPr="00930536">
        <w:t>Ontario Securities Commission.</w:t>
      </w:r>
    </w:p>
    <w:p w:rsidR="00DC267F" w:rsidRPr="004D35A2" w:rsidRDefault="004D35A2" w:rsidP="004D35A2">
      <w:pPr>
        <w:pStyle w:val="JudgeJuge"/>
        <w:jc w:val="both"/>
        <w:rPr>
          <w:smallCaps w:val="0"/>
        </w:rPr>
      </w:pPr>
      <w:r>
        <w:tab/>
      </w:r>
      <w:r w:rsidRPr="004D35A2">
        <w:rPr>
          <w:smallCaps w:val="0"/>
        </w:rPr>
        <w:t>The judgment of LeBel, Fish, Rothstein, Cromwell, Moldaver and Wagner JJ. was delivered by</w:t>
      </w:r>
    </w:p>
    <w:p w:rsidR="00DC267F" w:rsidRPr="00684A62" w:rsidRDefault="00DC267F" w:rsidP="00DC267F">
      <w:pPr>
        <w:pStyle w:val="JudgeJuge"/>
      </w:pPr>
      <w:r w:rsidRPr="00684A62">
        <w:tab/>
        <w:t xml:space="preserve">Moldaver J. — </w:t>
      </w:r>
    </w:p>
    <w:p w:rsidR="00DC267F" w:rsidRPr="00684A62" w:rsidRDefault="00732934" w:rsidP="00732934">
      <w:pPr>
        <w:pStyle w:val="TitleTitre-AltT"/>
        <w:tabs>
          <w:tab w:val="clear" w:pos="360"/>
          <w:tab w:val="left" w:pos="540"/>
        </w:tabs>
        <w:ind w:left="540" w:hanging="540"/>
        <w:rPr>
          <w:rFonts w:cs="Times New Roman"/>
        </w:rPr>
      </w:pPr>
      <w:r>
        <w:rPr>
          <w:rFonts w:cs="Times New Roman"/>
        </w:rPr>
        <w:t>I.</w:t>
      </w:r>
      <w:r w:rsidR="00DC267F" w:rsidRPr="00684A62">
        <w:rPr>
          <w:rFonts w:cs="Times New Roman"/>
        </w:rPr>
        <w:tab/>
      </w:r>
      <w:r w:rsidR="00DC267F" w:rsidRPr="00684A62">
        <w:rPr>
          <w:rFonts w:cs="Times New Roman"/>
          <w:u w:val="single"/>
        </w:rPr>
        <w:t>Introduction</w:t>
      </w:r>
    </w:p>
    <w:p w:rsidR="00DC267F" w:rsidRPr="00684A62" w:rsidRDefault="00DC267F" w:rsidP="00DC267F">
      <w:pPr>
        <w:pStyle w:val="ParaNoNdepar-AltN"/>
        <w:tabs>
          <w:tab w:val="clear" w:pos="1152"/>
          <w:tab w:val="left" w:pos="1166"/>
        </w:tabs>
        <w:rPr>
          <w:rFonts w:cs="Times New Roman"/>
        </w:rPr>
      </w:pPr>
      <w:r w:rsidRPr="00684A62">
        <w:rPr>
          <w:rFonts w:cs="Times New Roman"/>
        </w:rPr>
        <w:t>In Canada, the individual provinces and territories bear primary responsibility for the regulation of stocks, bonds, and other securities.  However, because modern securities markets transcend provincial</w:t>
      </w:r>
      <w:r>
        <w:rPr>
          <w:rFonts w:cs="Times New Roman"/>
        </w:rPr>
        <w:t xml:space="preserve"> and territorial</w:t>
      </w:r>
      <w:r w:rsidRPr="00684A62">
        <w:rPr>
          <w:rFonts w:cs="Times New Roman"/>
        </w:rPr>
        <w:t xml:space="preserve"> borders, the provinces</w:t>
      </w:r>
      <w:r>
        <w:rPr>
          <w:rFonts w:cs="Times New Roman"/>
        </w:rPr>
        <w:t xml:space="preserve"> and territories</w:t>
      </w:r>
      <w:r w:rsidRPr="00684A62">
        <w:rPr>
          <w:rFonts w:cs="Times New Roman"/>
        </w:rPr>
        <w:t xml:space="preserve"> have in recent years taken steps to harmonize their securities laws and to improve cooperation between their securities regulators.</w:t>
      </w:r>
    </w:p>
    <w:p w:rsidR="00DC267F" w:rsidRPr="00684A62" w:rsidRDefault="00DC267F" w:rsidP="00DC267F">
      <w:pPr>
        <w:pStyle w:val="ParaNoNdepar-AltN"/>
        <w:tabs>
          <w:tab w:val="clear" w:pos="1152"/>
          <w:tab w:val="left" w:pos="1166"/>
        </w:tabs>
        <w:rPr>
          <w:rFonts w:cs="Times New Roman"/>
        </w:rPr>
      </w:pPr>
      <w:r w:rsidRPr="00684A62">
        <w:rPr>
          <w:rFonts w:cs="Times New Roman"/>
        </w:rPr>
        <w:t>As a result of these efforts, the British Columbia Securities Commission (</w:t>
      </w:r>
      <w:r w:rsidR="009462B5">
        <w:rPr>
          <w:rFonts w:cs="Times New Roman"/>
        </w:rPr>
        <w:t xml:space="preserve">the </w:t>
      </w:r>
      <w:r w:rsidRPr="00684A62">
        <w:rPr>
          <w:rFonts w:cs="Times New Roman"/>
        </w:rPr>
        <w:t xml:space="preserve">“Commission”), like all of its provincial </w:t>
      </w:r>
      <w:r>
        <w:rPr>
          <w:rFonts w:cs="Times New Roman"/>
        </w:rPr>
        <w:t xml:space="preserve">and territorial </w:t>
      </w:r>
      <w:r w:rsidRPr="00684A62">
        <w:rPr>
          <w:rFonts w:cs="Times New Roman"/>
        </w:rPr>
        <w:t xml:space="preserve">peers, has been empowered to bring proceedings in the public interest against persons </w:t>
      </w:r>
      <w:r w:rsidRPr="00684A62">
        <w:rPr>
          <w:rFonts w:cs="Times New Roman"/>
          <w:lang w:val="en-US"/>
        </w:rPr>
        <w:t xml:space="preserve">who, among </w:t>
      </w:r>
      <w:r w:rsidRPr="00684A62">
        <w:rPr>
          <w:rFonts w:cs="Times New Roman"/>
          <w:lang w:val="en-US"/>
        </w:rPr>
        <w:lastRenderedPageBreak/>
        <w:t>other things, have agreed with another jurisdiction’s securities regulator, by way of a settlement agreement, to be subject to regulatory action</w:t>
      </w:r>
      <w:r>
        <w:rPr>
          <w:rFonts w:cs="Times New Roman"/>
          <w:lang w:val="en-US"/>
        </w:rPr>
        <w:t>;</w:t>
      </w:r>
      <w:r w:rsidRPr="00684A62">
        <w:rPr>
          <w:rFonts w:cs="Times New Roman"/>
          <w:lang w:val="en-US"/>
        </w:rPr>
        <w:t xml:space="preserve"> </w:t>
      </w:r>
      <w:r>
        <w:rPr>
          <w:rFonts w:cs="Times New Roman"/>
          <w:lang w:val="en-US"/>
        </w:rPr>
        <w:t>s</w:t>
      </w:r>
      <w:r w:rsidRPr="00684A62">
        <w:rPr>
          <w:rFonts w:cs="Times New Roman"/>
          <w:lang w:val="en-US"/>
        </w:rPr>
        <w:t xml:space="preserve">ee s. 161(6)(d) of the </w:t>
      </w:r>
      <w:r w:rsidRPr="00684A62">
        <w:rPr>
          <w:rFonts w:cs="Times New Roman"/>
          <w:i/>
        </w:rPr>
        <w:t>Securities</w:t>
      </w:r>
      <w:r w:rsidRPr="00684A62">
        <w:rPr>
          <w:rFonts w:cs="Times New Roman"/>
        </w:rPr>
        <w:t xml:space="preserve"> </w:t>
      </w:r>
      <w:r w:rsidRPr="00684A62">
        <w:rPr>
          <w:rFonts w:cs="Times New Roman"/>
          <w:i/>
        </w:rPr>
        <w:t>Act</w:t>
      </w:r>
      <w:r w:rsidRPr="00684A62">
        <w:rPr>
          <w:rFonts w:cs="Times New Roman"/>
        </w:rPr>
        <w:t>, R.S.B.C. 1996, c. 418</w:t>
      </w:r>
      <w:r w:rsidRPr="00684A62">
        <w:rPr>
          <w:rFonts w:cs="Times New Roman"/>
          <w:lang w:val="en-US"/>
        </w:rPr>
        <w:t xml:space="preserve">.  </w:t>
      </w:r>
      <w:r w:rsidRPr="00684A62">
        <w:rPr>
          <w:rFonts w:cs="Times New Roman"/>
        </w:rPr>
        <w:t xml:space="preserve">In the jargon of the industry, these proceedings are known as “secondary proceedings” because they piggy-back on another jurisdiction’s efforts.  Subject to a few exceptions, all proceedings under the </w:t>
      </w:r>
      <w:r w:rsidRPr="00684A62">
        <w:rPr>
          <w:rFonts w:cs="Times New Roman"/>
          <w:i/>
        </w:rPr>
        <w:t>Act</w:t>
      </w:r>
      <w:r w:rsidRPr="00684A62">
        <w:rPr>
          <w:rFonts w:cs="Times New Roman"/>
        </w:rPr>
        <w:t xml:space="preserve"> — secondary or otherwise — “must not be commenced more than </w:t>
      </w:r>
      <w:r>
        <w:rPr>
          <w:rFonts w:cs="Times New Roman"/>
        </w:rPr>
        <w:t>6</w:t>
      </w:r>
      <w:r w:rsidRPr="00684A62">
        <w:rPr>
          <w:rFonts w:cs="Times New Roman"/>
        </w:rPr>
        <w:t xml:space="preserve"> years after the date of the events that give rise to the proceedings” (s. 159).</w:t>
      </w:r>
    </w:p>
    <w:p w:rsidR="00DC267F" w:rsidRPr="00684A62" w:rsidRDefault="00DC267F" w:rsidP="00DC267F">
      <w:pPr>
        <w:pStyle w:val="ParaNoNdepar-AltN"/>
        <w:tabs>
          <w:tab w:val="clear" w:pos="1152"/>
          <w:tab w:val="left" w:pos="1166"/>
        </w:tabs>
        <w:rPr>
          <w:rFonts w:cs="Times New Roman"/>
        </w:rPr>
      </w:pPr>
      <w:r w:rsidRPr="00684A62">
        <w:rPr>
          <w:rFonts w:cs="Times New Roman"/>
        </w:rPr>
        <w:t>At issue in this appeal is whether, for purposes of s. 161(6)(d), “the events” that trigger the six-year limitation period in s. 159 are (i) the underlying misconduct that gave rise to the settlement agreement or (ii) the settlement agreement itself.  The Commission takes the position that the settlement agreement is the triggering event.  On that basis, it commenced secondary proceedings against the appellant after she entered into a settlement agreement with another regulator, even though the underlying misconduct referred to in that agreement occurred roughly nine years earlier.  Had the Commission adopted the alternative interpretation, as the appellant argues it should have, the secondary proceeding would have been commenced outside the six-year limitation period and thus been statute-barred.</w:t>
      </w:r>
    </w:p>
    <w:p w:rsidR="00DC267F" w:rsidRPr="00684A62" w:rsidRDefault="00DC267F" w:rsidP="00DC267F">
      <w:pPr>
        <w:pStyle w:val="ParaNoNdepar-AltN"/>
        <w:tabs>
          <w:tab w:val="clear" w:pos="1152"/>
          <w:tab w:val="left" w:pos="1166"/>
        </w:tabs>
        <w:rPr>
          <w:rFonts w:cs="Times New Roman"/>
        </w:rPr>
      </w:pPr>
      <w:r w:rsidRPr="00684A62">
        <w:rPr>
          <w:rFonts w:cs="Times New Roman"/>
        </w:rPr>
        <w:t xml:space="preserve">Applying the governing standard of review, which I consider to be reasonableness, I am satisfied that the Commission’s interpretation is a reasonable construction of the relevant statutory language.  Significantly, the Commission’s conclusion supports the legislative objective of facilitating interjurisdictional </w:t>
      </w:r>
      <w:r w:rsidRPr="00684A62">
        <w:rPr>
          <w:rFonts w:cs="Times New Roman"/>
        </w:rPr>
        <w:lastRenderedPageBreak/>
        <w:t>cooperation in secondary proceedings and does so without undercutting the crucial role of limitation periods.  Accordingly, I see no reason to interfere and would dismiss the appeal.</w:t>
      </w:r>
    </w:p>
    <w:p w:rsidR="00DC267F" w:rsidRPr="00684A62" w:rsidRDefault="00732934" w:rsidP="00732934">
      <w:pPr>
        <w:pStyle w:val="TitleTitre-AltT"/>
        <w:tabs>
          <w:tab w:val="clear" w:pos="360"/>
          <w:tab w:val="left" w:pos="540"/>
        </w:tabs>
        <w:ind w:left="540" w:hanging="540"/>
        <w:rPr>
          <w:rFonts w:cs="Times New Roman"/>
          <w:u w:val="single"/>
        </w:rPr>
      </w:pPr>
      <w:r>
        <w:rPr>
          <w:rFonts w:cs="Times New Roman"/>
        </w:rPr>
        <w:t>II.</w:t>
      </w:r>
      <w:r>
        <w:rPr>
          <w:rFonts w:cs="Times New Roman"/>
        </w:rPr>
        <w:tab/>
      </w:r>
      <w:r w:rsidR="00DC267F" w:rsidRPr="00684A62">
        <w:rPr>
          <w:rFonts w:cs="Times New Roman"/>
          <w:u w:val="single"/>
        </w:rPr>
        <w:t>Facts</w:t>
      </w:r>
    </w:p>
    <w:p w:rsidR="00DC267F" w:rsidRPr="00684A62" w:rsidRDefault="00732934" w:rsidP="00732934">
      <w:pPr>
        <w:pStyle w:val="TitleTitre-AltT"/>
        <w:tabs>
          <w:tab w:val="clear" w:pos="360"/>
          <w:tab w:val="left" w:pos="540"/>
        </w:tabs>
        <w:ind w:left="540" w:hanging="540"/>
        <w:rPr>
          <w:rFonts w:cs="Times New Roman"/>
        </w:rPr>
      </w:pPr>
      <w:r>
        <w:rPr>
          <w:rFonts w:cs="Times New Roman"/>
        </w:rPr>
        <w:t>A.</w:t>
      </w:r>
      <w:r>
        <w:rPr>
          <w:rFonts w:cs="Times New Roman"/>
        </w:rPr>
        <w:tab/>
      </w:r>
      <w:r w:rsidR="00DC267F" w:rsidRPr="00684A62">
        <w:rPr>
          <w:rFonts w:cs="Times New Roman"/>
          <w:i/>
        </w:rPr>
        <w:t>The Primary Investigation and The Settlement Agreement</w:t>
      </w:r>
    </w:p>
    <w:p w:rsidR="00DC267F" w:rsidRPr="00684A62" w:rsidRDefault="00DC267F" w:rsidP="00DC267F">
      <w:pPr>
        <w:pStyle w:val="ParaNoNdepar-AltN"/>
        <w:tabs>
          <w:tab w:val="clear" w:pos="1152"/>
          <w:tab w:val="left" w:pos="1166"/>
        </w:tabs>
        <w:rPr>
          <w:rFonts w:cs="Times New Roman"/>
        </w:rPr>
      </w:pPr>
      <w:r w:rsidRPr="00684A62">
        <w:rPr>
          <w:rFonts w:cs="Times New Roman"/>
        </w:rPr>
        <w:t xml:space="preserve">The facts are straightforward and undisputed.  From March 1996 to June 2001, the appellant, Patricia McLean, served as </w:t>
      </w:r>
      <w:r>
        <w:rPr>
          <w:rFonts w:cs="Times New Roman"/>
        </w:rPr>
        <w:t xml:space="preserve">a </w:t>
      </w:r>
      <w:r w:rsidRPr="00684A62">
        <w:rPr>
          <w:rFonts w:cs="Times New Roman"/>
        </w:rPr>
        <w:t xml:space="preserve">director of Hucamp Mines Ltd., a reporting issuer registered in Ontario under the </w:t>
      </w:r>
      <w:r w:rsidRPr="00684A62">
        <w:rPr>
          <w:rFonts w:cs="Times New Roman"/>
          <w:i/>
        </w:rPr>
        <w:t>Securities Act</w:t>
      </w:r>
      <w:r w:rsidRPr="00684A62">
        <w:rPr>
          <w:rFonts w:cs="Times New Roman"/>
        </w:rPr>
        <w:t>, R.S.O. 1990, c. S.5.  Beginning in July 2001, the appellant began cooperating with the Ontario Securities Commission (“OSC”) in respect of “certain possible improper actions at Hucamp” (Settlement Agreement Between OSC Staff and Patricia McLean, at para. 63</w:t>
      </w:r>
      <w:r>
        <w:rPr>
          <w:rFonts w:cs="Times New Roman"/>
        </w:rPr>
        <w:t xml:space="preserve"> (A.R., at p. 45)</w:t>
      </w:r>
      <w:r w:rsidRPr="00684A62">
        <w:rPr>
          <w:rFonts w:cs="Times New Roman"/>
        </w:rPr>
        <w:t>).  The particulars of the alleged misconduct are not relevant, but the timing is — the allegations pertain to conduct that occurred in 2001 or earlier.</w:t>
      </w:r>
    </w:p>
    <w:p w:rsidR="00DC267F" w:rsidRPr="00684A62" w:rsidRDefault="00DC267F" w:rsidP="00DC267F">
      <w:pPr>
        <w:pStyle w:val="ParaNoNdepar-AltN"/>
        <w:tabs>
          <w:tab w:val="clear" w:pos="1152"/>
          <w:tab w:val="left" w:pos="1166"/>
        </w:tabs>
        <w:rPr>
          <w:rFonts w:cs="Times New Roman"/>
        </w:rPr>
      </w:pPr>
      <w:r w:rsidRPr="00684A62">
        <w:rPr>
          <w:rFonts w:cs="Times New Roman"/>
        </w:rPr>
        <w:t>On July 11, 2005, the OSC announced that it would hold a hearing under its public interest powers to sanction the appellant and certain others for their alleged misconduct at Hucamp</w:t>
      </w:r>
      <w:r>
        <w:rPr>
          <w:rFonts w:cs="Times New Roman"/>
        </w:rPr>
        <w:t>;</w:t>
      </w:r>
      <w:r w:rsidRPr="00684A62">
        <w:rPr>
          <w:rFonts w:cs="Times New Roman"/>
        </w:rPr>
        <w:t xml:space="preserve"> </w:t>
      </w:r>
      <w:r>
        <w:rPr>
          <w:rFonts w:cs="Times New Roman"/>
        </w:rPr>
        <w:t>s</w:t>
      </w:r>
      <w:r w:rsidRPr="00684A62">
        <w:rPr>
          <w:rFonts w:cs="Times New Roman"/>
        </w:rPr>
        <w:t xml:space="preserve">ee </w:t>
      </w:r>
      <w:r w:rsidRPr="00684A62">
        <w:rPr>
          <w:rFonts w:cs="Times New Roman"/>
          <w:i/>
        </w:rPr>
        <w:t>Securities Act</w:t>
      </w:r>
      <w:r w:rsidRPr="00684A62">
        <w:rPr>
          <w:rFonts w:cs="Times New Roman"/>
        </w:rPr>
        <w:t>, ss. 127</w:t>
      </w:r>
      <w:r>
        <w:rPr>
          <w:rFonts w:cs="Times New Roman"/>
        </w:rPr>
        <w:t xml:space="preserve"> and</w:t>
      </w:r>
      <w:r w:rsidRPr="00684A62">
        <w:rPr>
          <w:rFonts w:cs="Times New Roman"/>
        </w:rPr>
        <w:t xml:space="preserve"> 127.1</w:t>
      </w:r>
      <w:r>
        <w:rPr>
          <w:rFonts w:cs="Times New Roman"/>
        </w:rPr>
        <w:t>.</w:t>
      </w:r>
      <w:r w:rsidRPr="00684A62">
        <w:rPr>
          <w:rFonts w:cs="Times New Roman"/>
        </w:rPr>
        <w:t xml:space="preserve">  Such powers, which exist in each of the provincial </w:t>
      </w:r>
      <w:r>
        <w:rPr>
          <w:rFonts w:cs="Times New Roman"/>
        </w:rPr>
        <w:t xml:space="preserve">and territorial </w:t>
      </w:r>
      <w:r w:rsidRPr="00684A62">
        <w:rPr>
          <w:rFonts w:cs="Times New Roman"/>
        </w:rPr>
        <w:t xml:space="preserve">statutes, confer a  “very wide discretion” to make whatever orders the </w:t>
      </w:r>
      <w:r w:rsidR="001F17B0">
        <w:rPr>
          <w:rFonts w:cs="Times New Roman"/>
        </w:rPr>
        <w:t>OSC</w:t>
      </w:r>
      <w:r w:rsidRPr="00684A62">
        <w:rPr>
          <w:rFonts w:cs="Times New Roman"/>
        </w:rPr>
        <w:t xml:space="preserve"> considers to be in the public interest (</w:t>
      </w:r>
      <w:r w:rsidRPr="00684A62">
        <w:rPr>
          <w:rFonts w:cs="Times New Roman"/>
          <w:i/>
        </w:rPr>
        <w:t>Committee for the Equal Treatment of Asbestos Minority Shareholders v. Ontario (Securities Commission)</w:t>
      </w:r>
      <w:r w:rsidRPr="00684A62">
        <w:rPr>
          <w:rFonts w:cs="Times New Roman"/>
        </w:rPr>
        <w:t>, 2001 SCC 37,</w:t>
      </w:r>
      <w:r>
        <w:rPr>
          <w:rFonts w:cs="Times New Roman"/>
        </w:rPr>
        <w:t xml:space="preserve"> [2001] 2 S.C.R. 132,</w:t>
      </w:r>
      <w:r w:rsidRPr="00684A62">
        <w:rPr>
          <w:rFonts w:cs="Times New Roman"/>
        </w:rPr>
        <w:t xml:space="preserve"> at para. 39).</w:t>
      </w:r>
    </w:p>
    <w:p w:rsidR="00DC267F" w:rsidRPr="00684A62" w:rsidRDefault="00DC267F" w:rsidP="00DC267F">
      <w:pPr>
        <w:pStyle w:val="ParaNoNdepar-AltN"/>
        <w:tabs>
          <w:tab w:val="clear" w:pos="1152"/>
          <w:tab w:val="left" w:pos="1166"/>
        </w:tabs>
        <w:rPr>
          <w:rFonts w:cs="Times New Roman"/>
        </w:rPr>
      </w:pPr>
      <w:r w:rsidRPr="00684A62">
        <w:rPr>
          <w:rFonts w:cs="Times New Roman"/>
        </w:rPr>
        <w:lastRenderedPageBreak/>
        <w:t xml:space="preserve">Three years later, on September 8, 2008, the appellant entered into a settlement agreement with the OSC staff wherein </w:t>
      </w:r>
      <w:r w:rsidRPr="00684A62">
        <w:rPr>
          <w:rFonts w:cs="Times New Roman"/>
          <w:lang w:val="en-US"/>
        </w:rPr>
        <w:t xml:space="preserve">she </w:t>
      </w:r>
      <w:r>
        <w:rPr>
          <w:rFonts w:cs="Times New Roman"/>
          <w:lang w:val="en-US"/>
        </w:rPr>
        <w:t>“</w:t>
      </w:r>
      <w:r w:rsidRPr="00684A62">
        <w:rPr>
          <w:rFonts w:cs="Times New Roman"/>
          <w:lang w:val="en-US"/>
        </w:rPr>
        <w:t xml:space="preserve">consent[ed] to the making of [such] an order against her” </w:t>
      </w:r>
      <w:r w:rsidRPr="00684A62">
        <w:rPr>
          <w:rFonts w:cs="Times New Roman"/>
        </w:rPr>
        <w:t>(Settlement Agreement, at para. 2</w:t>
      </w:r>
      <w:r>
        <w:rPr>
          <w:rFonts w:cs="Times New Roman"/>
        </w:rPr>
        <w:t xml:space="preserve"> (A.R., at p. 33)</w:t>
      </w:r>
      <w:r w:rsidRPr="00684A62">
        <w:rPr>
          <w:rFonts w:cs="Times New Roman"/>
        </w:rPr>
        <w:t>).  On the same day, the OSC approved the settlement agreement and issued the agreed-upon order (</w:t>
      </w:r>
      <w:r>
        <w:rPr>
          <w:rFonts w:cs="Times New Roman"/>
          <w:i/>
        </w:rPr>
        <w:t>McLean (Re)</w:t>
      </w:r>
      <w:r>
        <w:rPr>
          <w:rFonts w:cs="Times New Roman"/>
        </w:rPr>
        <w:t xml:space="preserve">, 2008 LNONOSC 660, </w:t>
      </w:r>
      <w:r w:rsidRPr="00684A62">
        <w:rPr>
          <w:rFonts w:cs="Times New Roman"/>
        </w:rPr>
        <w:t>31 O.S.C.B. 8734).</w:t>
      </w:r>
    </w:p>
    <w:p w:rsidR="00DC267F" w:rsidRPr="00684A62" w:rsidRDefault="00DC267F" w:rsidP="00DC267F">
      <w:pPr>
        <w:pStyle w:val="ParaNoNdepar-AltN"/>
        <w:tabs>
          <w:tab w:val="clear" w:pos="1152"/>
          <w:tab w:val="left" w:pos="1166"/>
        </w:tabs>
        <w:rPr>
          <w:rFonts w:cs="Times New Roman"/>
        </w:rPr>
      </w:pPr>
      <w:r w:rsidRPr="00684A62">
        <w:rPr>
          <w:rFonts w:cs="Times New Roman"/>
        </w:rPr>
        <w:t xml:space="preserve">In its pertinent parts, the OSC order barred the appellant for five years from trading in securities (with some exceptions) and banned her for </w:t>
      </w:r>
      <w:r>
        <w:rPr>
          <w:rFonts w:cs="Times New Roman"/>
        </w:rPr>
        <w:t>ten</w:t>
      </w:r>
      <w:r w:rsidRPr="00684A62">
        <w:rPr>
          <w:rFonts w:cs="Times New Roman"/>
        </w:rPr>
        <w:t xml:space="preserve"> years from acting as an officer or director of certain entities registered under the Ontario </w:t>
      </w:r>
      <w:r w:rsidRPr="00684A62">
        <w:rPr>
          <w:rFonts w:cs="Times New Roman"/>
          <w:i/>
        </w:rPr>
        <w:t>Securities Act</w:t>
      </w:r>
      <w:r w:rsidRPr="00684A62">
        <w:rPr>
          <w:rFonts w:cs="Times New Roman"/>
        </w:rPr>
        <w:t xml:space="preserve">.  By virtue of </w:t>
      </w:r>
      <w:r w:rsidR="001F17B0">
        <w:rPr>
          <w:rFonts w:cs="Times New Roman"/>
        </w:rPr>
        <w:t xml:space="preserve">the </w:t>
      </w:r>
      <w:r w:rsidRPr="00684A62">
        <w:rPr>
          <w:rFonts w:cs="Times New Roman"/>
        </w:rPr>
        <w:t>OSC’s provincial jurisdiction, the reach of these sanctions did not extend beyond Ontario’s borders.  No one challenges the propriety of the OSC’s order.</w:t>
      </w:r>
    </w:p>
    <w:p w:rsidR="00DC267F" w:rsidRPr="00684A62" w:rsidRDefault="00DC267F" w:rsidP="00DC267F">
      <w:pPr>
        <w:pStyle w:val="TitleTitre-AltT"/>
        <w:rPr>
          <w:rFonts w:cs="Times New Roman"/>
        </w:rPr>
      </w:pPr>
      <w:r w:rsidRPr="00684A62">
        <w:rPr>
          <w:rFonts w:cs="Times New Roman"/>
        </w:rPr>
        <w:t>B.</w:t>
      </w:r>
      <w:r w:rsidRPr="00684A62">
        <w:rPr>
          <w:rFonts w:cs="Times New Roman"/>
        </w:rPr>
        <w:tab/>
      </w:r>
      <w:r w:rsidRPr="00684A62">
        <w:rPr>
          <w:rFonts w:cs="Times New Roman"/>
        </w:rPr>
        <w:tab/>
      </w:r>
      <w:r w:rsidRPr="00684A62">
        <w:rPr>
          <w:rFonts w:cs="Times New Roman"/>
          <w:i/>
        </w:rPr>
        <w:t xml:space="preserve">The Secondary Investigation and </w:t>
      </w:r>
      <w:r>
        <w:rPr>
          <w:rFonts w:cs="Times New Roman"/>
          <w:i/>
        </w:rPr>
        <w:t>t</w:t>
      </w:r>
      <w:r w:rsidRPr="00684A62">
        <w:rPr>
          <w:rFonts w:cs="Times New Roman"/>
          <w:i/>
        </w:rPr>
        <w:t>he B.C. Order</w:t>
      </w:r>
    </w:p>
    <w:p w:rsidR="00DC267F" w:rsidRPr="00684A62" w:rsidRDefault="00DC267F" w:rsidP="00DC267F">
      <w:pPr>
        <w:pStyle w:val="ParaNoNdepar-AltN"/>
        <w:tabs>
          <w:tab w:val="clear" w:pos="1152"/>
          <w:tab w:val="left" w:pos="1166"/>
        </w:tabs>
        <w:rPr>
          <w:rFonts w:cs="Times New Roman"/>
        </w:rPr>
      </w:pPr>
      <w:r w:rsidRPr="00684A62">
        <w:rPr>
          <w:rFonts w:cs="Times New Roman"/>
        </w:rPr>
        <w:t xml:space="preserve">All was quiet for the next 15 months — until January 14, 2010 to be exact — when the appellant was notified by the Executive Director of the B.C. Securities Commission (the respondent) that he was applying to the Commission under s. 161(1) of the </w:t>
      </w:r>
      <w:r w:rsidRPr="00684A62">
        <w:rPr>
          <w:rFonts w:cs="Times New Roman"/>
          <w:i/>
        </w:rPr>
        <w:t>Act</w:t>
      </w:r>
      <w:r w:rsidRPr="00684A62">
        <w:rPr>
          <w:rFonts w:cs="Times New Roman"/>
        </w:rPr>
        <w:t xml:space="preserve"> for a “public interest” order against her based on s. 161(6)(d).  For present purposes, the relevant aspects of those provisions are as follows: </w:t>
      </w:r>
    </w:p>
    <w:p w:rsidR="00DC267F" w:rsidRPr="00684A62" w:rsidRDefault="00DC267F" w:rsidP="00DC267F">
      <w:pPr>
        <w:pStyle w:val="Citation-AltC"/>
        <w:tabs>
          <w:tab w:val="left" w:pos="2160"/>
        </w:tabs>
        <w:ind w:left="1980" w:hanging="814"/>
        <w:rPr>
          <w:b/>
        </w:rPr>
      </w:pPr>
      <w:r w:rsidRPr="000E35F8">
        <w:rPr>
          <w:b/>
        </w:rPr>
        <w:t>159</w:t>
      </w:r>
      <w:r>
        <w:rPr>
          <w:b/>
        </w:rPr>
        <w:tab/>
      </w:r>
      <w:r>
        <w:t>[</w:t>
      </w:r>
      <w:r w:rsidRPr="003B32E9">
        <w:t>Limitation Period</w:t>
      </w:r>
      <w:r>
        <w:t>]</w:t>
      </w:r>
      <w:r w:rsidRPr="003B32E9">
        <w:t xml:space="preserve"> </w:t>
      </w:r>
      <w:r w:rsidRPr="00684A62">
        <w:t xml:space="preserve">Proceedings under this Act, other than an action referred to in section 140, must not be commenced more </w:t>
      </w:r>
      <w:r w:rsidRPr="00684A62">
        <w:lastRenderedPageBreak/>
        <w:t xml:space="preserve">than 6 years after the date of </w:t>
      </w:r>
      <w:r w:rsidRPr="00684A62">
        <w:rPr>
          <w:u w:val="single"/>
        </w:rPr>
        <w:t>the events</w:t>
      </w:r>
      <w:r w:rsidRPr="00684A62">
        <w:t xml:space="preserve"> that give rise to the proceedings.</w:t>
      </w:r>
    </w:p>
    <w:p w:rsidR="00DC267F" w:rsidRPr="00684A62" w:rsidRDefault="00DC267F" w:rsidP="00DC267F">
      <w:pPr>
        <w:pStyle w:val="Citation-AltC"/>
      </w:pPr>
    </w:p>
    <w:p w:rsidR="00DC267F" w:rsidRDefault="00DC267F" w:rsidP="00DC267F">
      <w:pPr>
        <w:pStyle w:val="Citation-AltC"/>
        <w:jc w:val="center"/>
      </w:pPr>
      <w:r w:rsidRPr="00684A62">
        <w:t xml:space="preserve">. . . </w:t>
      </w:r>
    </w:p>
    <w:p w:rsidR="00DC267F" w:rsidRDefault="00DC267F" w:rsidP="00DC267F">
      <w:pPr>
        <w:pStyle w:val="Citation-AltC"/>
        <w:jc w:val="center"/>
      </w:pPr>
    </w:p>
    <w:p w:rsidR="00DC267F" w:rsidRDefault="00DC267F" w:rsidP="009462B5">
      <w:pPr>
        <w:pStyle w:val="Citation-AltC"/>
        <w:tabs>
          <w:tab w:val="left" w:pos="1980"/>
        </w:tabs>
        <w:ind w:left="1980" w:hanging="814"/>
      </w:pPr>
      <w:r>
        <w:rPr>
          <w:b/>
        </w:rPr>
        <w:t>1</w:t>
      </w:r>
      <w:r w:rsidR="009462B5">
        <w:rPr>
          <w:b/>
        </w:rPr>
        <w:t>61</w:t>
      </w:r>
      <w:r w:rsidR="009462B5">
        <w:rPr>
          <w:b/>
        </w:rPr>
        <w:tab/>
      </w:r>
      <w:r w:rsidRPr="009462B5">
        <w:t>(1)</w:t>
      </w:r>
      <w:r w:rsidR="009462B5">
        <w:t xml:space="preserve"> </w:t>
      </w:r>
      <w:r>
        <w:t>[</w:t>
      </w:r>
      <w:r w:rsidRPr="000E35F8">
        <w:t>Enforcement Orders</w:t>
      </w:r>
      <w:r>
        <w:t xml:space="preserve">] </w:t>
      </w:r>
      <w:r w:rsidRPr="00684A62">
        <w:rPr>
          <w:u w:val="single"/>
        </w:rPr>
        <w:t>If the commission or the executive director considers it to be in the public interest</w:t>
      </w:r>
      <w:r w:rsidRPr="00684A62">
        <w:t xml:space="preserve">, the commission or the executive director, after a hearing, </w:t>
      </w:r>
      <w:r w:rsidRPr="00684A62">
        <w:rPr>
          <w:u w:val="single"/>
        </w:rPr>
        <w:t>may order one or more of the following</w:t>
      </w:r>
      <w:r w:rsidRPr="00684A62">
        <w:t xml:space="preserve">: </w:t>
      </w:r>
    </w:p>
    <w:p w:rsidR="00DC267F" w:rsidRDefault="00DC267F" w:rsidP="00DC267F">
      <w:pPr>
        <w:pStyle w:val="Citation-AltC"/>
        <w:tabs>
          <w:tab w:val="left" w:pos="1890"/>
          <w:tab w:val="left" w:pos="2070"/>
        </w:tabs>
        <w:ind w:left="2070" w:hanging="810"/>
      </w:pPr>
    </w:p>
    <w:p w:rsidR="00DC267F" w:rsidRDefault="00DC267F" w:rsidP="00DC267F">
      <w:pPr>
        <w:pStyle w:val="Citation-AltC"/>
        <w:tabs>
          <w:tab w:val="left" w:pos="1890"/>
          <w:tab w:val="left" w:pos="2070"/>
        </w:tabs>
        <w:ind w:left="2070" w:hanging="810"/>
        <w:jc w:val="center"/>
      </w:pPr>
      <w:r>
        <w:t>. . .</w:t>
      </w:r>
    </w:p>
    <w:p w:rsidR="009462B5" w:rsidRDefault="009462B5" w:rsidP="00DC267F">
      <w:pPr>
        <w:pStyle w:val="Citation-AltC"/>
        <w:tabs>
          <w:tab w:val="left" w:pos="1890"/>
          <w:tab w:val="left" w:pos="2070"/>
        </w:tabs>
        <w:ind w:left="2070" w:hanging="810"/>
        <w:jc w:val="center"/>
      </w:pPr>
    </w:p>
    <w:p w:rsidR="00DC267F" w:rsidRDefault="009462B5" w:rsidP="009462B5">
      <w:pPr>
        <w:pStyle w:val="Citation-AltC"/>
        <w:tabs>
          <w:tab w:val="left" w:pos="2340"/>
        </w:tabs>
        <w:ind w:left="2340" w:hanging="630"/>
        <w:rPr>
          <w:u w:val="single"/>
        </w:rPr>
      </w:pPr>
      <w:r>
        <w:tab/>
      </w:r>
      <w:r w:rsidR="00DC267F" w:rsidRPr="00684A62">
        <w:t>(b)</w:t>
      </w:r>
      <w:r w:rsidR="00DC267F">
        <w:t xml:space="preserve"> </w:t>
      </w:r>
      <w:r w:rsidR="00DC267F" w:rsidRPr="00684A62">
        <w:rPr>
          <w:u w:val="single"/>
        </w:rPr>
        <w:t>that</w:t>
      </w:r>
    </w:p>
    <w:p w:rsidR="00DC267F" w:rsidRDefault="00DC267F" w:rsidP="00DC267F">
      <w:pPr>
        <w:pStyle w:val="Citation-AltC"/>
        <w:ind w:left="1710"/>
        <w:rPr>
          <w:u w:val="single"/>
        </w:rPr>
      </w:pPr>
    </w:p>
    <w:p w:rsidR="00DC267F" w:rsidRDefault="00DC267F" w:rsidP="00DC267F">
      <w:pPr>
        <w:pStyle w:val="Citation-AltC"/>
        <w:tabs>
          <w:tab w:val="left" w:pos="1890"/>
          <w:tab w:val="left" w:pos="2070"/>
        </w:tabs>
        <w:ind w:left="2070" w:hanging="810"/>
        <w:jc w:val="center"/>
      </w:pPr>
      <w:r w:rsidRPr="00684A62">
        <w:t>. . .</w:t>
      </w:r>
    </w:p>
    <w:p w:rsidR="00DC267F" w:rsidRPr="00684A62" w:rsidRDefault="00DC267F" w:rsidP="00DC267F">
      <w:pPr>
        <w:pStyle w:val="Citation-AltC"/>
        <w:ind w:left="1710"/>
        <w:jc w:val="center"/>
      </w:pPr>
    </w:p>
    <w:p w:rsidR="00DC267F" w:rsidRDefault="00DC267F" w:rsidP="00010884">
      <w:pPr>
        <w:pStyle w:val="Citation-AltC"/>
        <w:tabs>
          <w:tab w:val="left" w:pos="2700"/>
          <w:tab w:val="left" w:pos="3150"/>
        </w:tabs>
        <w:ind w:left="2700" w:hanging="540"/>
      </w:pPr>
      <w:r>
        <w:tab/>
      </w:r>
      <w:r w:rsidRPr="00684A62">
        <w:t>(ii)</w:t>
      </w:r>
      <w:r>
        <w:tab/>
      </w:r>
      <w:r w:rsidRPr="00684A62">
        <w:rPr>
          <w:u w:val="single"/>
        </w:rPr>
        <w:t>the person</w:t>
      </w:r>
      <w:r w:rsidRPr="00684A62">
        <w:t xml:space="preserve"> or persons named in the order</w:t>
      </w:r>
      <w:r>
        <w:t>,</w:t>
      </w:r>
      <w:r w:rsidRPr="00684A62">
        <w:t xml:space="preserve"> . . .</w:t>
      </w:r>
    </w:p>
    <w:p w:rsidR="00DC267F" w:rsidRDefault="00DC267F" w:rsidP="00DC267F">
      <w:pPr>
        <w:pStyle w:val="Citation-AltC"/>
        <w:ind w:left="1886" w:firstLine="274"/>
      </w:pPr>
    </w:p>
    <w:p w:rsidR="00DC267F" w:rsidRPr="00684A62" w:rsidRDefault="00DC267F" w:rsidP="00DC267F">
      <w:pPr>
        <w:pStyle w:val="Citation-AltC"/>
        <w:tabs>
          <w:tab w:val="left" w:pos="1890"/>
          <w:tab w:val="left" w:pos="2070"/>
        </w:tabs>
        <w:ind w:left="2070" w:hanging="810"/>
        <w:jc w:val="center"/>
      </w:pPr>
      <w:r>
        <w:t xml:space="preserve">. . . </w:t>
      </w:r>
    </w:p>
    <w:p w:rsidR="00DC267F" w:rsidRPr="00684A62" w:rsidRDefault="00DC267F" w:rsidP="00DC267F">
      <w:pPr>
        <w:pStyle w:val="Citation-AltC"/>
      </w:pPr>
    </w:p>
    <w:p w:rsidR="00DC267F" w:rsidRDefault="00DC267F" w:rsidP="00DC267F">
      <w:pPr>
        <w:pStyle w:val="Citation-AltC"/>
        <w:ind w:left="1980"/>
      </w:pPr>
      <w:r w:rsidRPr="00684A62">
        <w:rPr>
          <w:u w:val="single"/>
        </w:rPr>
        <w:t>cease trading in, or be prohibited from purchasing, any securities</w:t>
      </w:r>
      <w:r w:rsidRPr="00684A62">
        <w:t xml:space="preserve"> or exchange contracts, a specified security or exchange contract or a specified class of securities or class of exchange contracts; </w:t>
      </w:r>
    </w:p>
    <w:p w:rsidR="00DC267F" w:rsidRDefault="00DC267F" w:rsidP="00DC267F">
      <w:pPr>
        <w:pStyle w:val="Citation-AltC"/>
        <w:ind w:left="1980"/>
      </w:pPr>
    </w:p>
    <w:p w:rsidR="00DC267F" w:rsidRPr="00684A62" w:rsidRDefault="00DC267F" w:rsidP="00DC267F">
      <w:pPr>
        <w:pStyle w:val="Citation-AltC"/>
        <w:tabs>
          <w:tab w:val="left" w:pos="1890"/>
          <w:tab w:val="left" w:pos="2070"/>
        </w:tabs>
        <w:ind w:left="2070" w:hanging="810"/>
        <w:jc w:val="center"/>
      </w:pPr>
      <w:r w:rsidRPr="00684A62">
        <w:t>. . .</w:t>
      </w:r>
    </w:p>
    <w:p w:rsidR="00DC267F" w:rsidRPr="00684A62" w:rsidRDefault="00DC267F" w:rsidP="00DC267F">
      <w:pPr>
        <w:pStyle w:val="Citation-AltC"/>
      </w:pPr>
    </w:p>
    <w:p w:rsidR="00DC267F" w:rsidRPr="00684A62" w:rsidRDefault="009462B5" w:rsidP="00010884">
      <w:pPr>
        <w:pStyle w:val="Citation-AltC"/>
        <w:tabs>
          <w:tab w:val="left" w:pos="2340"/>
          <w:tab w:val="left" w:pos="2700"/>
        </w:tabs>
        <w:ind w:left="2340" w:hanging="630"/>
      </w:pPr>
      <w:r>
        <w:tab/>
      </w:r>
      <w:r w:rsidR="00010884">
        <w:t>(d)</w:t>
      </w:r>
      <w:r w:rsidR="00010884">
        <w:tab/>
      </w:r>
      <w:r w:rsidR="00DC267F" w:rsidRPr="00684A62">
        <w:rPr>
          <w:u w:val="single"/>
        </w:rPr>
        <w:t>that a person</w:t>
      </w:r>
      <w:r w:rsidR="00DC267F" w:rsidRPr="00684A62">
        <w:t xml:space="preserve"> </w:t>
      </w:r>
    </w:p>
    <w:p w:rsidR="00DC267F" w:rsidRPr="00684A62" w:rsidRDefault="00DC267F" w:rsidP="009462B5">
      <w:pPr>
        <w:pStyle w:val="Citation-AltC"/>
        <w:tabs>
          <w:tab w:val="left" w:pos="2340"/>
        </w:tabs>
        <w:ind w:left="2340" w:hanging="630"/>
      </w:pPr>
    </w:p>
    <w:p w:rsidR="00DC267F" w:rsidRPr="00684A62" w:rsidRDefault="004D1D4C" w:rsidP="00010884">
      <w:pPr>
        <w:pStyle w:val="Citation-AltC"/>
        <w:tabs>
          <w:tab w:val="left" w:pos="2700"/>
          <w:tab w:val="left" w:pos="3150"/>
        </w:tabs>
        <w:ind w:left="2700" w:hanging="540"/>
      </w:pPr>
      <w:r>
        <w:tab/>
        <w:t>(i)</w:t>
      </w:r>
      <w:r w:rsidR="00010884">
        <w:tab/>
      </w:r>
      <w:r w:rsidR="00DC267F" w:rsidRPr="00684A62">
        <w:rPr>
          <w:u w:val="single"/>
        </w:rPr>
        <w:t>resign any position that the person holds as a director or officer</w:t>
      </w:r>
      <w:r w:rsidR="00DC267F" w:rsidRPr="00684A62">
        <w:t xml:space="preserve"> of an issuer or registrant,</w:t>
      </w:r>
    </w:p>
    <w:p w:rsidR="00DC267F" w:rsidRPr="00684A62" w:rsidRDefault="00DC267F" w:rsidP="00DC267F">
      <w:pPr>
        <w:pStyle w:val="Citation-AltC"/>
      </w:pPr>
    </w:p>
    <w:p w:rsidR="00DC267F" w:rsidRDefault="00DC267F" w:rsidP="00010884">
      <w:pPr>
        <w:pStyle w:val="Citation-AltC"/>
        <w:tabs>
          <w:tab w:val="left" w:pos="2700"/>
          <w:tab w:val="left" w:pos="3150"/>
        </w:tabs>
        <w:ind w:left="2700" w:hanging="540"/>
      </w:pPr>
      <w:r>
        <w:tab/>
      </w:r>
      <w:r w:rsidRPr="00684A62">
        <w:t>(ii)</w:t>
      </w:r>
      <w:r w:rsidR="00010884">
        <w:tab/>
      </w:r>
      <w:r w:rsidRPr="00684A62">
        <w:rPr>
          <w:u w:val="single"/>
        </w:rPr>
        <w:t>is prohibited from becoming or acting as a director or officer</w:t>
      </w:r>
      <w:r w:rsidRPr="00684A62">
        <w:t xml:space="preserve"> of any issuer or registrant,</w:t>
      </w:r>
    </w:p>
    <w:p w:rsidR="00010884" w:rsidRDefault="00010884" w:rsidP="00010884">
      <w:pPr>
        <w:pStyle w:val="Citation-AltC"/>
        <w:tabs>
          <w:tab w:val="left" w:pos="2700"/>
          <w:tab w:val="left" w:pos="3150"/>
        </w:tabs>
        <w:ind w:left="2700" w:hanging="540"/>
      </w:pPr>
    </w:p>
    <w:p w:rsidR="00010884" w:rsidRPr="00684A62" w:rsidRDefault="00010884" w:rsidP="00010884">
      <w:pPr>
        <w:pStyle w:val="Citation-AltC"/>
        <w:tabs>
          <w:tab w:val="left" w:pos="2700"/>
          <w:tab w:val="left" w:pos="3150"/>
        </w:tabs>
        <w:ind w:left="2700" w:hanging="540"/>
        <w:jc w:val="center"/>
      </w:pPr>
      <w:r>
        <w:t>. . .</w:t>
      </w:r>
    </w:p>
    <w:p w:rsidR="00DC267F" w:rsidRPr="00684A62" w:rsidRDefault="00DC267F" w:rsidP="009462B5">
      <w:pPr>
        <w:pStyle w:val="Citation-AltC"/>
        <w:tabs>
          <w:tab w:val="left" w:pos="2700"/>
        </w:tabs>
        <w:ind w:left="2700" w:hanging="540"/>
      </w:pPr>
    </w:p>
    <w:p w:rsidR="00DC267F" w:rsidRPr="00684A62" w:rsidRDefault="009462B5" w:rsidP="004D1D4C">
      <w:pPr>
        <w:pStyle w:val="Citation-AltC"/>
        <w:tabs>
          <w:tab w:val="left" w:pos="1980"/>
          <w:tab w:val="left" w:pos="2340"/>
        </w:tabs>
        <w:ind w:left="1980" w:hanging="814"/>
      </w:pPr>
      <w:r>
        <w:tab/>
      </w:r>
      <w:r w:rsidR="00DC267F" w:rsidRPr="00684A62">
        <w:t>(6)</w:t>
      </w:r>
      <w:r w:rsidR="004D1D4C">
        <w:tab/>
      </w:r>
      <w:r w:rsidR="00DC267F" w:rsidRPr="00684A62">
        <w:rPr>
          <w:u w:val="single"/>
        </w:rPr>
        <w:t>The commission or the executive director may</w:t>
      </w:r>
      <w:r w:rsidR="00DC267F" w:rsidRPr="00684A62">
        <w:t xml:space="preserve">, after providing an opportunity to be heard, </w:t>
      </w:r>
      <w:r w:rsidR="00DC267F" w:rsidRPr="00684A62">
        <w:rPr>
          <w:u w:val="single"/>
        </w:rPr>
        <w:t>make an order under subsection (1) in respect of a person if the person</w:t>
      </w:r>
      <w:r w:rsidR="00DC267F" w:rsidRPr="00684A62">
        <w:t xml:space="preserve">  </w:t>
      </w:r>
    </w:p>
    <w:p w:rsidR="00DC267F" w:rsidRPr="00684A62" w:rsidRDefault="00DC267F" w:rsidP="00DC267F">
      <w:pPr>
        <w:pStyle w:val="Citation-AltC"/>
      </w:pPr>
    </w:p>
    <w:p w:rsidR="00DC267F" w:rsidRPr="00684A62" w:rsidRDefault="009462B5" w:rsidP="00010884">
      <w:pPr>
        <w:pStyle w:val="Citation-AltC"/>
        <w:tabs>
          <w:tab w:val="left" w:pos="2340"/>
          <w:tab w:val="left" w:pos="2700"/>
        </w:tabs>
        <w:ind w:left="2340" w:hanging="630"/>
      </w:pPr>
      <w:r>
        <w:tab/>
      </w:r>
      <w:r w:rsidR="00010884">
        <w:t>(a)</w:t>
      </w:r>
      <w:r w:rsidR="00010884">
        <w:tab/>
      </w:r>
      <w:r w:rsidR="00DC267F" w:rsidRPr="00684A62">
        <w:t>has been convicted in Canada or elsewhere of an offence</w:t>
      </w:r>
    </w:p>
    <w:p w:rsidR="00DC267F" w:rsidRPr="00684A62" w:rsidRDefault="00DC267F" w:rsidP="00DC267F">
      <w:pPr>
        <w:pStyle w:val="Citation-AltC"/>
        <w:ind w:left="1440"/>
      </w:pPr>
    </w:p>
    <w:p w:rsidR="00DC267F" w:rsidRPr="00684A62" w:rsidRDefault="00DC267F" w:rsidP="00010884">
      <w:pPr>
        <w:pStyle w:val="Citation-AltC"/>
        <w:tabs>
          <w:tab w:val="left" w:pos="2700"/>
          <w:tab w:val="left" w:pos="3150"/>
        </w:tabs>
        <w:ind w:left="2700" w:hanging="540"/>
      </w:pPr>
      <w:r>
        <w:tab/>
        <w:t>(</w:t>
      </w:r>
      <w:r w:rsidRPr="00684A62">
        <w:t>i)</w:t>
      </w:r>
      <w:r>
        <w:tab/>
      </w:r>
      <w:r w:rsidRPr="00684A62">
        <w:t>arising from a transaction, business or course of conduct related to securities or exchange contracts, or</w:t>
      </w:r>
    </w:p>
    <w:p w:rsidR="00DC267F" w:rsidRPr="00684A62" w:rsidRDefault="00DC267F" w:rsidP="00DC267F">
      <w:pPr>
        <w:pStyle w:val="Citation-AltC"/>
        <w:ind w:left="1440"/>
      </w:pPr>
    </w:p>
    <w:p w:rsidR="00DC267F" w:rsidRPr="00684A62" w:rsidRDefault="00DC267F" w:rsidP="00010884">
      <w:pPr>
        <w:pStyle w:val="Citation-AltC"/>
        <w:tabs>
          <w:tab w:val="left" w:pos="2700"/>
          <w:tab w:val="left" w:pos="3150"/>
        </w:tabs>
        <w:ind w:left="2700" w:hanging="540"/>
      </w:pPr>
      <w:r>
        <w:lastRenderedPageBreak/>
        <w:tab/>
      </w:r>
      <w:r w:rsidRPr="00684A62">
        <w:t>(ii)</w:t>
      </w:r>
      <w:r>
        <w:tab/>
      </w:r>
      <w:r w:rsidRPr="00684A62">
        <w:t>under the laws of the jurisdiction respecting trading in securities or exchange contracts,</w:t>
      </w:r>
    </w:p>
    <w:p w:rsidR="00DC267F" w:rsidRPr="00684A62" w:rsidRDefault="00DC267F" w:rsidP="00DC267F">
      <w:pPr>
        <w:pStyle w:val="Citation-AltC"/>
        <w:ind w:left="1440"/>
      </w:pPr>
    </w:p>
    <w:p w:rsidR="00DC267F" w:rsidRPr="00684A62" w:rsidRDefault="00010884" w:rsidP="00010884">
      <w:pPr>
        <w:pStyle w:val="Citation-AltC"/>
        <w:tabs>
          <w:tab w:val="left" w:pos="2340"/>
          <w:tab w:val="left" w:pos="2700"/>
        </w:tabs>
        <w:ind w:left="2340" w:hanging="630"/>
      </w:pPr>
      <w:r>
        <w:tab/>
      </w:r>
      <w:r w:rsidR="00DC267F">
        <w:t>(b)</w:t>
      </w:r>
      <w:r w:rsidR="00DC267F">
        <w:tab/>
      </w:r>
      <w:r w:rsidR="00DC267F" w:rsidRPr="00684A62">
        <w:t>has been found by a court in Canada or elsewhere to have contravened the laws of the jurisdiction respecting trading in securities or exchange contracts,</w:t>
      </w:r>
    </w:p>
    <w:p w:rsidR="00DC267F" w:rsidRPr="00684A62" w:rsidRDefault="00DC267F" w:rsidP="00DC267F">
      <w:pPr>
        <w:pStyle w:val="Citation-AltC"/>
        <w:ind w:left="1440"/>
      </w:pPr>
    </w:p>
    <w:p w:rsidR="00DC267F" w:rsidRPr="00684A62" w:rsidRDefault="00010884" w:rsidP="00010884">
      <w:pPr>
        <w:pStyle w:val="Citation-AltC"/>
        <w:tabs>
          <w:tab w:val="left" w:pos="2340"/>
          <w:tab w:val="left" w:pos="2700"/>
        </w:tabs>
        <w:ind w:left="2340" w:hanging="630"/>
      </w:pPr>
      <w:r>
        <w:tab/>
      </w:r>
      <w:r w:rsidR="004D1D4C">
        <w:t>(c)</w:t>
      </w:r>
      <w:r w:rsidR="004D1D4C">
        <w:tab/>
      </w:r>
      <w:r w:rsidR="00DC267F" w:rsidRPr="00684A62">
        <w:t>is subject to an order made by a securities regulatory authority, a self regulatory body or an exchange, in Canada or elsewhere, imposing sanctions, conditions, restrictions or requirements on the person, or</w:t>
      </w:r>
    </w:p>
    <w:p w:rsidR="00DC267F" w:rsidRPr="00684A62" w:rsidRDefault="00DC267F" w:rsidP="00DC267F">
      <w:pPr>
        <w:pStyle w:val="Citation-AltC"/>
        <w:ind w:left="1440"/>
      </w:pPr>
    </w:p>
    <w:p w:rsidR="00DC267F" w:rsidRPr="00684A62" w:rsidRDefault="00010884" w:rsidP="00010884">
      <w:pPr>
        <w:pStyle w:val="Citation-AltC"/>
        <w:tabs>
          <w:tab w:val="left" w:pos="2340"/>
          <w:tab w:val="left" w:pos="2700"/>
        </w:tabs>
        <w:ind w:left="2340" w:hanging="630"/>
      </w:pPr>
      <w:r>
        <w:tab/>
      </w:r>
      <w:r w:rsidR="00DC267F" w:rsidRPr="00684A62">
        <w:t>(d)</w:t>
      </w:r>
      <w:r w:rsidR="00DC267F">
        <w:tab/>
      </w:r>
      <w:r w:rsidR="00DC267F" w:rsidRPr="00684A62">
        <w:rPr>
          <w:u w:val="single"/>
        </w:rPr>
        <w:t>has agreed with a securities regulatory authority</w:t>
      </w:r>
      <w:r w:rsidR="00DC267F" w:rsidRPr="00684A62">
        <w:t xml:space="preserve">, a self regulatory body or an exchange, in Canada or elsewhere, </w:t>
      </w:r>
      <w:r w:rsidR="00DC267F" w:rsidRPr="00684A62">
        <w:rPr>
          <w:u w:val="single"/>
        </w:rPr>
        <w:t>to be subject to sanctions, conditions, restrictions or requirements</w:t>
      </w:r>
      <w:r w:rsidR="00DC267F" w:rsidRPr="00684A62">
        <w:t xml:space="preserve">. </w:t>
      </w:r>
    </w:p>
    <w:p w:rsidR="00DC267F" w:rsidRPr="00684A62" w:rsidRDefault="00DC267F" w:rsidP="00DC267F">
      <w:pPr>
        <w:pStyle w:val="ParaNoNdepar-AltN"/>
        <w:tabs>
          <w:tab w:val="clear" w:pos="1152"/>
          <w:tab w:val="left" w:pos="1166"/>
        </w:tabs>
        <w:rPr>
          <w:rFonts w:cs="Times New Roman"/>
        </w:rPr>
      </w:pPr>
      <w:r w:rsidRPr="00684A62">
        <w:rPr>
          <w:rFonts w:cs="Times New Roman"/>
        </w:rPr>
        <w:t xml:space="preserve">In asserting that it had authority to make an order under s. 161(1) based on s. 161(6)(d), the Commission relied on the appellant’s settlement agreement with the OSC.  And thus began the present case.  </w:t>
      </w:r>
    </w:p>
    <w:p w:rsidR="00DC267F" w:rsidRPr="00684A62" w:rsidRDefault="00DC267F" w:rsidP="00DC267F">
      <w:pPr>
        <w:pStyle w:val="ParaNoNdepar-AltN"/>
        <w:tabs>
          <w:tab w:val="clear" w:pos="1152"/>
          <w:tab w:val="left" w:pos="1166"/>
        </w:tabs>
        <w:rPr>
          <w:rFonts w:cs="Times New Roman"/>
        </w:rPr>
      </w:pPr>
      <w:r w:rsidRPr="00684A62">
        <w:rPr>
          <w:rFonts w:cs="Times New Roman"/>
        </w:rPr>
        <w:t xml:space="preserve">There is no dispute that had the Commission proceeded </w:t>
      </w:r>
      <w:r w:rsidRPr="00684A62">
        <w:rPr>
          <w:rFonts w:cs="Times New Roman"/>
          <w:i/>
        </w:rPr>
        <w:t xml:space="preserve">solely </w:t>
      </w:r>
      <w:r w:rsidRPr="00684A62">
        <w:rPr>
          <w:rFonts w:cs="Times New Roman"/>
        </w:rPr>
        <w:t>under s.</w:t>
      </w:r>
      <w:r>
        <w:rPr>
          <w:rFonts w:cs="Times New Roman"/>
        </w:rPr>
        <w:t> </w:t>
      </w:r>
      <w:r w:rsidRPr="00684A62">
        <w:rPr>
          <w:rFonts w:cs="Times New Roman"/>
        </w:rPr>
        <w:t xml:space="preserve">161(1), the proceeding would have run afoul of s. 159.  The respondent accepts that the six-year limitation period in s. 159 as applied to s. 161(1) alone begins to run from “the last event in the series of events which form the course of conduct” sanctioned by the order (R.F., at para. 79, citing </w:t>
      </w:r>
      <w:r w:rsidRPr="00684A62">
        <w:rPr>
          <w:rFonts w:cs="Times New Roman"/>
          <w:i/>
        </w:rPr>
        <w:t>Heidary</w:t>
      </w:r>
      <w:r w:rsidR="00844CF0">
        <w:rPr>
          <w:rFonts w:cs="Times New Roman"/>
          <w:i/>
        </w:rPr>
        <w:t xml:space="preserve"> (</w:t>
      </w:r>
      <w:r w:rsidR="00844CF0" w:rsidRPr="00684A62">
        <w:rPr>
          <w:rFonts w:cs="Times New Roman"/>
          <w:i/>
        </w:rPr>
        <w:t>Re</w:t>
      </w:r>
      <w:r w:rsidR="00844CF0">
        <w:rPr>
          <w:rFonts w:cs="Times New Roman"/>
          <w:i/>
        </w:rPr>
        <w:t>)</w:t>
      </w:r>
      <w:r>
        <w:rPr>
          <w:rFonts w:cs="Times New Roman"/>
        </w:rPr>
        <w:t xml:space="preserve">, </w:t>
      </w:r>
      <w:r w:rsidRPr="00684A62">
        <w:rPr>
          <w:rFonts w:cs="Times New Roman"/>
        </w:rPr>
        <w:t>2000</w:t>
      </w:r>
      <w:r>
        <w:rPr>
          <w:rFonts w:cs="Times New Roman"/>
        </w:rPr>
        <w:t xml:space="preserve"> LNONOSC 79</w:t>
      </w:r>
      <w:r w:rsidRPr="00684A62">
        <w:rPr>
          <w:rFonts w:cs="Times New Roman"/>
        </w:rPr>
        <w:t>, 23 O.S.C.B. 959, at p</w:t>
      </w:r>
      <w:r>
        <w:rPr>
          <w:rFonts w:cs="Times New Roman"/>
        </w:rPr>
        <w:t>. 961</w:t>
      </w:r>
      <w:r w:rsidR="00844CF0">
        <w:rPr>
          <w:rFonts w:cs="Times New Roman"/>
        </w:rPr>
        <w:t>)</w:t>
      </w:r>
      <w:r w:rsidRPr="00684A62">
        <w:rPr>
          <w:rFonts w:cs="Times New Roman"/>
        </w:rPr>
        <w:t>.  By January 2010, it had been almost nine years since the last event described in the settlement agreement.</w:t>
      </w:r>
    </w:p>
    <w:p w:rsidR="00DC267F" w:rsidRPr="00684A62" w:rsidRDefault="00DC267F" w:rsidP="00DC267F">
      <w:pPr>
        <w:pStyle w:val="ParaNoNdepar-AltN"/>
        <w:tabs>
          <w:tab w:val="clear" w:pos="1152"/>
          <w:tab w:val="left" w:pos="1166"/>
        </w:tabs>
        <w:rPr>
          <w:rFonts w:cs="Times New Roman"/>
        </w:rPr>
      </w:pPr>
      <w:r w:rsidRPr="00684A62">
        <w:rPr>
          <w:rFonts w:cs="Times New Roman"/>
        </w:rPr>
        <w:t xml:space="preserve">The question in this case is whether the same conclusion holds true for secondary proceedings initiated using s. 161(6)(d).  If it does, as the appellant </w:t>
      </w:r>
      <w:r w:rsidRPr="00684A62">
        <w:rPr>
          <w:rFonts w:cs="Times New Roman"/>
        </w:rPr>
        <w:lastRenderedPageBreak/>
        <w:t>contends, the Commission’s order must be set aside for the same reason that an order based on s. 161(1) alone would be — it had been almost nine years after the last event described in the settlement agreement and three years beyond the requisite limitation period.  If, however, the clock under s. 161(6)(d) starts running on the date of the settlement agreement referred to in that provision, as the Commission concluded, the Commission’s order must stand because the proceeding was commenced well within the six-year window prescribed by s. 159.</w:t>
      </w:r>
    </w:p>
    <w:p w:rsidR="00DC267F" w:rsidRPr="00684A62" w:rsidRDefault="00844CF0" w:rsidP="00844CF0">
      <w:pPr>
        <w:pStyle w:val="TitleTitre-AltT"/>
        <w:tabs>
          <w:tab w:val="clear" w:pos="360"/>
          <w:tab w:val="left" w:pos="540"/>
        </w:tabs>
        <w:ind w:left="540" w:hanging="540"/>
        <w:rPr>
          <w:rFonts w:cs="Times New Roman"/>
        </w:rPr>
      </w:pPr>
      <w:r>
        <w:rPr>
          <w:rFonts w:cs="Times New Roman"/>
        </w:rPr>
        <w:t>III.</w:t>
      </w:r>
      <w:r>
        <w:rPr>
          <w:rFonts w:cs="Times New Roman"/>
        </w:rPr>
        <w:tab/>
      </w:r>
      <w:r w:rsidR="00DC267F" w:rsidRPr="00684A62">
        <w:rPr>
          <w:rFonts w:cs="Times New Roman"/>
          <w:u w:val="single"/>
        </w:rPr>
        <w:t>Proceedings Below</w:t>
      </w:r>
    </w:p>
    <w:p w:rsidR="00DC267F" w:rsidRPr="004A56B0" w:rsidRDefault="00DC267F" w:rsidP="00844CF0">
      <w:pPr>
        <w:pStyle w:val="TitleTitre-AltT"/>
        <w:tabs>
          <w:tab w:val="clear" w:pos="360"/>
          <w:tab w:val="left" w:pos="540"/>
        </w:tabs>
        <w:ind w:left="540" w:hanging="540"/>
        <w:rPr>
          <w:rFonts w:cs="Times New Roman"/>
          <w:i/>
        </w:rPr>
      </w:pPr>
      <w:r w:rsidRPr="00684A62">
        <w:rPr>
          <w:rFonts w:cs="Times New Roman"/>
        </w:rPr>
        <w:t>A.</w:t>
      </w:r>
      <w:r w:rsidRPr="00684A62">
        <w:rPr>
          <w:rFonts w:cs="Times New Roman"/>
          <w:i/>
        </w:rPr>
        <w:tab/>
        <w:t>British Columbia Securities Commission</w:t>
      </w:r>
      <w:r w:rsidRPr="004A56B0">
        <w:rPr>
          <w:rFonts w:cs="Times New Roman"/>
          <w:i/>
        </w:rPr>
        <w:t>, 2010 BCSECCOM 262</w:t>
      </w:r>
      <w:r>
        <w:rPr>
          <w:rFonts w:cs="Times New Roman"/>
          <w:i/>
        </w:rPr>
        <w:t xml:space="preserve"> (CanLII)</w:t>
      </w:r>
    </w:p>
    <w:p w:rsidR="00DC267F" w:rsidRPr="00684A62" w:rsidRDefault="00DC267F" w:rsidP="00DC267F">
      <w:pPr>
        <w:pStyle w:val="ParaNoNdepar-AltN"/>
        <w:tabs>
          <w:tab w:val="clear" w:pos="1152"/>
          <w:tab w:val="left" w:pos="1166"/>
        </w:tabs>
        <w:rPr>
          <w:rFonts w:cs="Times New Roman"/>
        </w:rPr>
      </w:pPr>
      <w:r w:rsidRPr="00684A62">
        <w:rPr>
          <w:rFonts w:cs="Times New Roman"/>
        </w:rPr>
        <w:t>After receiving notice of the secondary proceeding, the appellant “made extensive written submissions on the limitation period issue” to the Commission arguing that it lacked authority to make an order against her by virtue of s. 159 (A.F., at para. 10).  She raised no other issues or arguments.</w:t>
      </w:r>
    </w:p>
    <w:p w:rsidR="00DC267F" w:rsidRPr="00684A62" w:rsidRDefault="00DC267F" w:rsidP="00DC267F">
      <w:pPr>
        <w:pStyle w:val="ParaNoNdepar-AltN"/>
        <w:tabs>
          <w:tab w:val="clear" w:pos="1152"/>
          <w:tab w:val="left" w:pos="1166"/>
        </w:tabs>
        <w:rPr>
          <w:rFonts w:cs="Times New Roman"/>
        </w:rPr>
      </w:pPr>
      <w:r w:rsidRPr="00684A62">
        <w:rPr>
          <w:rFonts w:cs="Times New Roman"/>
        </w:rPr>
        <w:t xml:space="preserve">The Commission implicitly rejected the appellant’s limitations argument by issuing what it termed a “reciprocal order” that was substantially identical to the OSC order.  In particular, the Commission barred the appellant from trading in securities under s. 161(1)(b) (except for those trades permitted under the OSC order) and prohibited her from acting as an officer or director of certain entities registered under the </w:t>
      </w:r>
      <w:r w:rsidRPr="00684A62">
        <w:rPr>
          <w:rFonts w:cs="Times New Roman"/>
          <w:i/>
        </w:rPr>
        <w:t xml:space="preserve">Act </w:t>
      </w:r>
      <w:r w:rsidRPr="00684A62">
        <w:rPr>
          <w:rFonts w:cs="Times New Roman"/>
        </w:rPr>
        <w:t xml:space="preserve">under s. 161(1)(d)(i) and (ii).  The prohibitions expired on the same day </w:t>
      </w:r>
      <w:r w:rsidRPr="00684A62">
        <w:rPr>
          <w:rFonts w:cs="Times New Roman"/>
        </w:rPr>
        <w:lastRenderedPageBreak/>
        <w:t xml:space="preserve">as the OSC order — that is, five years and ten years, respectively, from September 8, 2008.  </w:t>
      </w:r>
    </w:p>
    <w:p w:rsidR="00DC267F" w:rsidRPr="00684A62" w:rsidRDefault="00DC267F" w:rsidP="00DC267F">
      <w:pPr>
        <w:pStyle w:val="ParaNoNdepar-AltN"/>
        <w:tabs>
          <w:tab w:val="clear" w:pos="1152"/>
          <w:tab w:val="left" w:pos="1166"/>
        </w:tabs>
        <w:rPr>
          <w:rFonts w:cs="Times New Roman"/>
        </w:rPr>
      </w:pPr>
      <w:r w:rsidRPr="00684A62">
        <w:rPr>
          <w:rFonts w:cs="Times New Roman"/>
        </w:rPr>
        <w:t>As a consequence of the twin orders from the Ontario and B.C. Commissions, the appellant was prohibited from engaging in substantially identical conduct in both Ontario and British Columbia for identical periods of time.</w:t>
      </w:r>
    </w:p>
    <w:p w:rsidR="00DC267F" w:rsidRPr="00684A62" w:rsidRDefault="00844CF0" w:rsidP="00844CF0">
      <w:pPr>
        <w:pStyle w:val="TitleTitre-AltT"/>
        <w:tabs>
          <w:tab w:val="clear" w:pos="360"/>
          <w:tab w:val="left" w:pos="540"/>
        </w:tabs>
        <w:ind w:left="540" w:hanging="540"/>
        <w:rPr>
          <w:rFonts w:cs="Times New Roman"/>
        </w:rPr>
      </w:pPr>
      <w:r>
        <w:rPr>
          <w:rFonts w:cs="Times New Roman"/>
        </w:rPr>
        <w:t>B.</w:t>
      </w:r>
      <w:r>
        <w:rPr>
          <w:rFonts w:cs="Times New Roman"/>
        </w:rPr>
        <w:tab/>
      </w:r>
      <w:r w:rsidR="00DC267F">
        <w:rPr>
          <w:rFonts w:cs="Times New Roman"/>
          <w:i/>
        </w:rPr>
        <w:t xml:space="preserve">British Columbia </w:t>
      </w:r>
      <w:r w:rsidR="00DC267F" w:rsidRPr="00684A62">
        <w:rPr>
          <w:rFonts w:cs="Times New Roman"/>
          <w:i/>
        </w:rPr>
        <w:t>Court of Appeal</w:t>
      </w:r>
      <w:r w:rsidR="00DC267F">
        <w:rPr>
          <w:rFonts w:cs="Times New Roman"/>
          <w:i/>
        </w:rPr>
        <w:t>, 2011 BCCA 455, 312 B.C.A.C. 288</w:t>
      </w:r>
    </w:p>
    <w:p w:rsidR="00DC267F" w:rsidRPr="00684A62" w:rsidRDefault="00DC267F" w:rsidP="00DC267F">
      <w:pPr>
        <w:pStyle w:val="ParaNoNdepar-AltN"/>
        <w:tabs>
          <w:tab w:val="clear" w:pos="1152"/>
          <w:tab w:val="left" w:pos="1166"/>
        </w:tabs>
        <w:rPr>
          <w:rFonts w:cs="Times New Roman"/>
        </w:rPr>
      </w:pPr>
      <w:r w:rsidRPr="00684A62">
        <w:rPr>
          <w:rFonts w:cs="Times New Roman"/>
        </w:rPr>
        <w:t>On appeal, the appellant reiterated her limitations argument.  The B.C. Court of Appeal concluded that “generally the interpretation of a limitation period provision in a statute by an administrative tribunal will engage the standard of correctness” (para. 15).  Applying that standard, it nonetheless found in favour of the Commission.  On a “plain reading”, the court concluded that “although the acts which gave rise to the Ontario proceedings obviously occurred before the agreement was made, the event that gave rise to the [B.C.] proceedings under s. 161(6)(d) was the agreement in Ontario” (para. 20).  The interpretation put forward by the appellant “would eliminate the effective operation of s. 161(6)(d) which cannot have been the intention of the Legislature” (</w:t>
      </w:r>
      <w:r w:rsidRPr="00684A62">
        <w:rPr>
          <w:rFonts w:cs="Times New Roman"/>
          <w:i/>
        </w:rPr>
        <w:t>ibid</w:t>
      </w:r>
      <w:r w:rsidRPr="00684A62">
        <w:rPr>
          <w:rFonts w:cs="Times New Roman"/>
        </w:rPr>
        <w:t>.).</w:t>
      </w:r>
    </w:p>
    <w:p w:rsidR="00DC267F" w:rsidRPr="00684A62" w:rsidRDefault="00DC267F" w:rsidP="00DC267F">
      <w:pPr>
        <w:pStyle w:val="ParaNoNdepar-AltN"/>
        <w:tabs>
          <w:tab w:val="clear" w:pos="1152"/>
          <w:tab w:val="left" w:pos="1166"/>
        </w:tabs>
        <w:rPr>
          <w:rFonts w:cs="Times New Roman"/>
        </w:rPr>
      </w:pPr>
      <w:r w:rsidRPr="00684A62">
        <w:rPr>
          <w:rFonts w:cs="Times New Roman"/>
        </w:rPr>
        <w:t xml:space="preserve">The appellant also challenged the Commission’s failure to give reasons for its order, both as to the limitation period and as to why the order was in the public interest.  As regards the limitation argument, the court held that “although it might have been of assistance” had the Commission given reasons for its interpretation of </w:t>
      </w:r>
      <w:r w:rsidRPr="00684A62">
        <w:rPr>
          <w:rFonts w:cs="Times New Roman"/>
        </w:rPr>
        <w:lastRenderedPageBreak/>
        <w:t>s.</w:t>
      </w:r>
      <w:r>
        <w:rPr>
          <w:rFonts w:cs="Times New Roman"/>
        </w:rPr>
        <w:t> </w:t>
      </w:r>
      <w:r w:rsidRPr="00684A62">
        <w:rPr>
          <w:rFonts w:cs="Times New Roman"/>
        </w:rPr>
        <w:t>159, reasons were not essential because the question was one of law reviewable on a standard of correctness (para. 27).  With respect to the order being in the public interest, the court concluded that “the complete absence of reasons makes appellate review of the public interest aspect of the decision and the sanctions imposed impossible” (para. 30).  Hence, the court remitted the matter to the Commission for a “brief explanation” (para. 31).  The Commission subsequently provided such an explanation (2012 BCSECCOM 50</w:t>
      </w:r>
      <w:r>
        <w:rPr>
          <w:rFonts w:cs="Times New Roman"/>
        </w:rPr>
        <w:t xml:space="preserve"> (CanLII)</w:t>
      </w:r>
      <w:r w:rsidRPr="00684A62">
        <w:rPr>
          <w:rFonts w:cs="Times New Roman"/>
        </w:rPr>
        <w:t>), and that aspect of its decision is not challenged before this Court.</w:t>
      </w:r>
    </w:p>
    <w:p w:rsidR="00DC267F" w:rsidRPr="00684A62" w:rsidRDefault="00DC267F" w:rsidP="00844CF0">
      <w:pPr>
        <w:pStyle w:val="TitleTitre-AltT"/>
        <w:tabs>
          <w:tab w:val="clear" w:pos="360"/>
          <w:tab w:val="left" w:pos="540"/>
        </w:tabs>
        <w:ind w:left="540" w:hanging="450"/>
        <w:rPr>
          <w:rFonts w:cs="Times New Roman"/>
          <w:u w:val="single"/>
        </w:rPr>
      </w:pPr>
      <w:r w:rsidRPr="00684A62">
        <w:rPr>
          <w:rFonts w:cs="Times New Roman"/>
        </w:rPr>
        <w:t>IV.</w:t>
      </w:r>
      <w:r w:rsidRPr="00684A62">
        <w:rPr>
          <w:rFonts w:cs="Times New Roman"/>
        </w:rPr>
        <w:tab/>
      </w:r>
      <w:r w:rsidRPr="00684A62">
        <w:rPr>
          <w:rFonts w:cs="Times New Roman"/>
          <w:u w:val="single"/>
        </w:rPr>
        <w:t>Issues</w:t>
      </w:r>
    </w:p>
    <w:p w:rsidR="00DC267F" w:rsidRPr="00684A62" w:rsidRDefault="00DC267F" w:rsidP="00DC267F">
      <w:pPr>
        <w:pStyle w:val="ParaNoNdepar-AltN"/>
        <w:tabs>
          <w:tab w:val="clear" w:pos="1152"/>
          <w:tab w:val="left" w:pos="1166"/>
        </w:tabs>
        <w:rPr>
          <w:rFonts w:cs="Times New Roman"/>
        </w:rPr>
      </w:pPr>
      <w:r w:rsidRPr="00684A62">
        <w:rPr>
          <w:rFonts w:cs="Times New Roman"/>
        </w:rPr>
        <w:t xml:space="preserve">At issue in this appeal is the proper interpretation of the limitation period in s. 159 as it relates to public interest orders made under s. 161(6)(d) of the </w:t>
      </w:r>
      <w:r w:rsidRPr="00684A62">
        <w:rPr>
          <w:rFonts w:cs="Times New Roman"/>
          <w:i/>
        </w:rPr>
        <w:t>Act</w:t>
      </w:r>
      <w:r w:rsidRPr="00684A62">
        <w:rPr>
          <w:rFonts w:cs="Times New Roman"/>
        </w:rPr>
        <w:t xml:space="preserve">.  </w:t>
      </w:r>
      <w:r w:rsidRPr="00684A62">
        <w:rPr>
          <w:rFonts w:eastAsiaTheme="minorHAnsi" w:cs="Times New Roman"/>
        </w:rPr>
        <w:t>The following two questions arise:</w:t>
      </w:r>
    </w:p>
    <w:p w:rsidR="00DC267F" w:rsidRPr="00684A62" w:rsidRDefault="00844CF0" w:rsidP="00844CF0">
      <w:pPr>
        <w:pStyle w:val="Citation-AltC"/>
        <w:tabs>
          <w:tab w:val="left" w:pos="720"/>
        </w:tabs>
        <w:spacing w:line="480" w:lineRule="auto"/>
        <w:ind w:left="720" w:hanging="720"/>
      </w:pPr>
      <w:r>
        <w:t>(1)</w:t>
      </w:r>
      <w:r>
        <w:tab/>
      </w:r>
      <w:r w:rsidR="00DC267F" w:rsidRPr="00684A62">
        <w:t>What is the standard of review for the Commission’s interpretation of s. 159 as it applies to s. 161(6)(d)?</w:t>
      </w:r>
    </w:p>
    <w:p w:rsidR="00DC267F" w:rsidRPr="00684A62" w:rsidRDefault="00DC267F" w:rsidP="00844CF0">
      <w:pPr>
        <w:pStyle w:val="Citation-AltC"/>
        <w:tabs>
          <w:tab w:val="left" w:pos="720"/>
        </w:tabs>
        <w:spacing w:line="480" w:lineRule="auto"/>
        <w:ind w:left="720" w:hanging="720"/>
      </w:pPr>
    </w:p>
    <w:p w:rsidR="00DC267F" w:rsidRPr="00684A62" w:rsidRDefault="00844CF0" w:rsidP="00844CF0">
      <w:pPr>
        <w:pStyle w:val="Citation-AltC"/>
        <w:tabs>
          <w:tab w:val="left" w:pos="720"/>
        </w:tabs>
        <w:spacing w:line="480" w:lineRule="auto"/>
        <w:ind w:left="720" w:hanging="720"/>
      </w:pPr>
      <w:r>
        <w:t>(2)</w:t>
      </w:r>
      <w:r>
        <w:tab/>
      </w:r>
      <w:r w:rsidR="00DC267F" w:rsidRPr="00684A62">
        <w:t>Having regard to the applicable standard of review, is there any basis to interfere with the Commission’s interpretation?</w:t>
      </w:r>
    </w:p>
    <w:p w:rsidR="00DC267F" w:rsidRPr="00684A62" w:rsidRDefault="00844CF0" w:rsidP="00844CF0">
      <w:pPr>
        <w:pStyle w:val="TitleTitre-AltT"/>
        <w:tabs>
          <w:tab w:val="clear" w:pos="360"/>
          <w:tab w:val="left" w:pos="540"/>
        </w:tabs>
        <w:ind w:left="540" w:hanging="540"/>
        <w:rPr>
          <w:rFonts w:cs="Times New Roman"/>
          <w:u w:val="single"/>
        </w:rPr>
      </w:pPr>
      <w:r>
        <w:rPr>
          <w:rFonts w:cs="Times New Roman"/>
        </w:rPr>
        <w:t>V.</w:t>
      </w:r>
      <w:r>
        <w:rPr>
          <w:rFonts w:cs="Times New Roman"/>
        </w:rPr>
        <w:tab/>
      </w:r>
      <w:r w:rsidR="00DC267F" w:rsidRPr="00684A62">
        <w:rPr>
          <w:rFonts w:cs="Times New Roman"/>
          <w:u w:val="single"/>
        </w:rPr>
        <w:t>Analysis</w:t>
      </w:r>
    </w:p>
    <w:p w:rsidR="00DC267F" w:rsidRPr="00684A62" w:rsidRDefault="00DC267F" w:rsidP="00DC267F">
      <w:pPr>
        <w:pStyle w:val="TitleTitre-AltT"/>
        <w:rPr>
          <w:rFonts w:cs="Times New Roman"/>
          <w:i/>
        </w:rPr>
      </w:pPr>
      <w:r w:rsidRPr="00684A62">
        <w:rPr>
          <w:rFonts w:cs="Times New Roman"/>
        </w:rPr>
        <w:lastRenderedPageBreak/>
        <w:t>A.</w:t>
      </w:r>
      <w:r w:rsidRPr="00684A62">
        <w:rPr>
          <w:rFonts w:cs="Times New Roman"/>
        </w:rPr>
        <w:tab/>
      </w:r>
      <w:r w:rsidRPr="00684A62">
        <w:rPr>
          <w:rFonts w:cs="Times New Roman"/>
        </w:rPr>
        <w:tab/>
      </w:r>
      <w:r w:rsidRPr="00684A62">
        <w:rPr>
          <w:rFonts w:cs="Times New Roman"/>
          <w:i/>
        </w:rPr>
        <w:t>Standard of Review</w:t>
      </w:r>
    </w:p>
    <w:p w:rsidR="00DC267F" w:rsidRPr="00684A62" w:rsidRDefault="00844CF0" w:rsidP="00844CF0">
      <w:pPr>
        <w:pStyle w:val="TitleTitre-AltT"/>
        <w:tabs>
          <w:tab w:val="clear" w:pos="360"/>
          <w:tab w:val="left" w:pos="1170"/>
          <w:tab w:val="left" w:pos="1800"/>
        </w:tabs>
        <w:ind w:left="1170" w:hanging="1170"/>
        <w:rPr>
          <w:rFonts w:cs="Times New Roman"/>
        </w:rPr>
      </w:pPr>
      <w:r>
        <w:rPr>
          <w:rFonts w:cs="Times New Roman"/>
        </w:rPr>
        <w:tab/>
      </w:r>
      <w:r w:rsidR="00DC267F" w:rsidRPr="00684A62">
        <w:rPr>
          <w:rFonts w:cs="Times New Roman"/>
        </w:rPr>
        <w:t>(1)</w:t>
      </w:r>
      <w:r w:rsidR="00DC267F" w:rsidRPr="00684A62">
        <w:rPr>
          <w:rFonts w:cs="Times New Roman"/>
        </w:rPr>
        <w:tab/>
      </w:r>
      <w:r w:rsidR="00DC267F" w:rsidRPr="00684A62">
        <w:rPr>
          <w:rFonts w:cs="Times New Roman"/>
          <w:u w:val="single"/>
        </w:rPr>
        <w:t>The Presumption of Reasonableness Review for Home Statutes</w:t>
      </w:r>
    </w:p>
    <w:p w:rsidR="00DC267F" w:rsidRPr="00684A62" w:rsidRDefault="00DC267F" w:rsidP="00DC267F">
      <w:pPr>
        <w:pStyle w:val="ParaNoNdepar-AltN"/>
        <w:tabs>
          <w:tab w:val="clear" w:pos="1152"/>
          <w:tab w:val="left" w:pos="1166"/>
        </w:tabs>
        <w:rPr>
          <w:rFonts w:cs="Times New Roman"/>
        </w:rPr>
      </w:pPr>
      <w:r w:rsidRPr="00684A62">
        <w:rPr>
          <w:rFonts w:cs="Times New Roman"/>
        </w:rPr>
        <w:t>As noted, the Court of Appeal was of the view that the standard of review was correctness.  Before this Court, the parties and the intervener</w:t>
      </w:r>
      <w:r>
        <w:rPr>
          <w:rFonts w:cs="Times New Roman"/>
        </w:rPr>
        <w:t>,</w:t>
      </w:r>
      <w:r w:rsidRPr="00684A62">
        <w:rPr>
          <w:rFonts w:cs="Times New Roman"/>
        </w:rPr>
        <w:t xml:space="preserve"> </w:t>
      </w:r>
      <w:r>
        <w:rPr>
          <w:rFonts w:cs="Times New Roman"/>
        </w:rPr>
        <w:t xml:space="preserve">the </w:t>
      </w:r>
      <w:r w:rsidRPr="00684A62">
        <w:rPr>
          <w:rFonts w:cs="Times New Roman"/>
        </w:rPr>
        <w:t>OSC</w:t>
      </w:r>
      <w:r>
        <w:rPr>
          <w:rFonts w:cs="Times New Roman"/>
        </w:rPr>
        <w:t>,</w:t>
      </w:r>
      <w:r w:rsidRPr="00684A62">
        <w:rPr>
          <w:rFonts w:cs="Times New Roman"/>
        </w:rPr>
        <w:t xml:space="preserve"> disagreed on that issue.  For the reasons that follow, I am satisfied that the standard of review is reasonableness.</w:t>
      </w:r>
    </w:p>
    <w:p w:rsidR="00DC267F" w:rsidRPr="00684A62" w:rsidRDefault="00DC267F" w:rsidP="00DC267F">
      <w:pPr>
        <w:pStyle w:val="ParaNoNdepar-AltN"/>
        <w:tabs>
          <w:tab w:val="clear" w:pos="1152"/>
          <w:tab w:val="left" w:pos="1166"/>
        </w:tabs>
        <w:rPr>
          <w:rFonts w:cs="Times New Roman"/>
        </w:rPr>
      </w:pPr>
      <w:r w:rsidRPr="00684A62">
        <w:rPr>
          <w:rFonts w:cs="Times New Roman"/>
        </w:rPr>
        <w:t>Before turning to my analysis, I pause to note that the standard of review debate is one that generates strong opinions on all sides, especially in the recent jurisprudence of this Court.  However, the analysis that follows is based on this Court’s existing jurisprudence — and it is designed to bring a measure of predictability and clarity to that framework.</w:t>
      </w:r>
      <w:r w:rsidRPr="00684A62">
        <w:rPr>
          <w:rStyle w:val="FootnoteReference"/>
          <w:rFonts w:cs="Times New Roman"/>
        </w:rPr>
        <w:footnoteReference w:id="1"/>
      </w:r>
    </w:p>
    <w:p w:rsidR="00DC267F" w:rsidRPr="00684A62" w:rsidRDefault="00DC267F" w:rsidP="00DC267F">
      <w:pPr>
        <w:pStyle w:val="ParaNoNdepar-AltN"/>
        <w:tabs>
          <w:tab w:val="clear" w:pos="1152"/>
          <w:tab w:val="left" w:pos="1166"/>
        </w:tabs>
        <w:rPr>
          <w:rFonts w:cs="Times New Roman"/>
        </w:rPr>
      </w:pPr>
      <w:r w:rsidRPr="00684A62">
        <w:rPr>
          <w:rFonts w:cs="Times New Roman"/>
        </w:rPr>
        <w:t xml:space="preserve"> Since </w:t>
      </w:r>
      <w:r w:rsidRPr="00684A62">
        <w:rPr>
          <w:rFonts w:cs="Times New Roman"/>
          <w:i/>
        </w:rPr>
        <w:t>Dunsmuir v. New Brunswick</w:t>
      </w:r>
      <w:r w:rsidRPr="00684A62">
        <w:rPr>
          <w:rFonts w:cs="Times New Roman"/>
        </w:rPr>
        <w:t xml:space="preserve">, 2008 SCC 9, </w:t>
      </w:r>
      <w:r>
        <w:rPr>
          <w:rFonts w:cs="Times New Roman"/>
        </w:rPr>
        <w:t xml:space="preserve">[2008] 1 S.C.R. 190, </w:t>
      </w:r>
      <w:r w:rsidRPr="00684A62">
        <w:rPr>
          <w:rFonts w:cs="Times New Roman"/>
        </w:rPr>
        <w:t>this Court has repeatedly underscored that “</w:t>
      </w:r>
      <w:r w:rsidRPr="00684A62">
        <w:rPr>
          <w:rFonts w:cs="Times New Roman"/>
          <w:szCs w:val="24"/>
        </w:rPr>
        <w:t>[d]eference will usually result where a tribunal is interpreting its own statute or statutes closely connected to its function, with which it will have particular familiarity” (para. 54).</w:t>
      </w:r>
      <w:r w:rsidRPr="00684A62">
        <w:rPr>
          <w:rStyle w:val="FootnoteReference"/>
          <w:rFonts w:cs="Times New Roman"/>
          <w:szCs w:val="24"/>
        </w:rPr>
        <w:footnoteReference w:id="2"/>
      </w:r>
      <w:r w:rsidRPr="00684A62">
        <w:rPr>
          <w:rFonts w:cs="Times New Roman"/>
          <w:szCs w:val="24"/>
        </w:rPr>
        <w:t xml:space="preserve">  Recently, in an attempt to further simplify matters, this Court held that an administrative decision</w:t>
      </w:r>
      <w:r>
        <w:rPr>
          <w:rFonts w:cs="Times New Roman"/>
          <w:szCs w:val="24"/>
        </w:rPr>
        <w:t xml:space="preserve"> </w:t>
      </w:r>
      <w:r w:rsidRPr="00684A62">
        <w:rPr>
          <w:rFonts w:cs="Times New Roman"/>
          <w:szCs w:val="24"/>
        </w:rPr>
        <w:t xml:space="preserve">maker’s interpretation of its home or closely-connected statutes “should be presumed to be a </w:t>
      </w:r>
      <w:r w:rsidRPr="00684A62">
        <w:rPr>
          <w:rFonts w:cs="Times New Roman"/>
          <w:szCs w:val="24"/>
        </w:rPr>
        <w:lastRenderedPageBreak/>
        <w:t>question of statutory interpretation subject to deference on judicial review” (</w:t>
      </w:r>
      <w:r w:rsidRPr="00684A62">
        <w:rPr>
          <w:rFonts w:cs="Times New Roman"/>
          <w:i/>
          <w:szCs w:val="24"/>
        </w:rPr>
        <w:t>Alberta (Information and Privacy Commissioner) v. Alberta Teachers’ Association</w:t>
      </w:r>
      <w:r w:rsidRPr="00684A62">
        <w:rPr>
          <w:rFonts w:cs="Times New Roman"/>
          <w:szCs w:val="24"/>
        </w:rPr>
        <w:t xml:space="preserve">, 2011 SCC 61, </w:t>
      </w:r>
      <w:r>
        <w:rPr>
          <w:rFonts w:cs="Times New Roman"/>
          <w:szCs w:val="24"/>
        </w:rPr>
        <w:t xml:space="preserve">[2011] 3 S.C.R. 654, </w:t>
      </w:r>
      <w:r w:rsidRPr="00684A62">
        <w:rPr>
          <w:rFonts w:cs="Times New Roman"/>
          <w:szCs w:val="24"/>
        </w:rPr>
        <w:t>at para. 34).</w:t>
      </w:r>
    </w:p>
    <w:p w:rsidR="00DC267F" w:rsidRPr="00684A62" w:rsidRDefault="00DC267F" w:rsidP="00DC267F">
      <w:pPr>
        <w:pStyle w:val="ParaNoNdepar-AltN"/>
        <w:tabs>
          <w:tab w:val="clear" w:pos="1152"/>
          <w:tab w:val="left" w:pos="1166"/>
        </w:tabs>
        <w:rPr>
          <w:rFonts w:cs="Times New Roman"/>
        </w:rPr>
      </w:pPr>
      <w:r w:rsidRPr="00684A62">
        <w:rPr>
          <w:rFonts w:cs="Times New Roman"/>
          <w:szCs w:val="24"/>
        </w:rPr>
        <w:t xml:space="preserve">The presumption endorsed in </w:t>
      </w:r>
      <w:r w:rsidRPr="00684A62">
        <w:rPr>
          <w:rFonts w:cs="Times New Roman"/>
          <w:i/>
          <w:szCs w:val="24"/>
        </w:rPr>
        <w:t>Alberta Teachers</w:t>
      </w:r>
      <w:r w:rsidRPr="00684A62">
        <w:rPr>
          <w:rFonts w:cs="Times New Roman"/>
          <w:szCs w:val="24"/>
        </w:rPr>
        <w:t>, however, is not carved in stone.  First, this Court has long recognized that certain categories of questions — even when they involve the interpretation of a home statute — warrant review on a correctness standard (</w:t>
      </w:r>
      <w:r w:rsidRPr="00684A62">
        <w:rPr>
          <w:rFonts w:cs="Times New Roman"/>
          <w:i/>
          <w:szCs w:val="24"/>
        </w:rPr>
        <w:t>Dunsmuir</w:t>
      </w:r>
      <w:r w:rsidRPr="00684A62">
        <w:rPr>
          <w:rFonts w:cs="Times New Roman"/>
          <w:szCs w:val="24"/>
        </w:rPr>
        <w:t>, at paras. 58-61).  Second, we have also said that a contextual analysis may “rebut the presumption of reasonableness review for questions involving the interpretation of the home statute” (</w:t>
      </w:r>
      <w:r w:rsidRPr="00684A62">
        <w:rPr>
          <w:rFonts w:cs="Times New Roman"/>
          <w:i/>
        </w:rPr>
        <w:t>Rogers Communications Inc. v. Society of Composers, Authors and Music Publishers of Canada</w:t>
      </w:r>
      <w:r w:rsidRPr="00684A62">
        <w:rPr>
          <w:rFonts w:cs="Times New Roman"/>
        </w:rPr>
        <w:t xml:space="preserve">, 2012 SCC 35, </w:t>
      </w:r>
      <w:r>
        <w:rPr>
          <w:rFonts w:cs="Times New Roman"/>
        </w:rPr>
        <w:t xml:space="preserve">[2012] 2 S.C.R. 283, </w:t>
      </w:r>
      <w:r w:rsidRPr="00684A62">
        <w:rPr>
          <w:rFonts w:cs="Times New Roman"/>
        </w:rPr>
        <w:t>at para. 16).  The appellant follows both these routes in urging us to accept a correctness standard.  I propose to deal with her second argument first as it can be dispensed with quickly.</w:t>
      </w:r>
    </w:p>
    <w:p w:rsidR="00DC267F" w:rsidRPr="00684A62" w:rsidRDefault="00692F37" w:rsidP="00692F37">
      <w:pPr>
        <w:pStyle w:val="TitleTitre-AltT"/>
        <w:tabs>
          <w:tab w:val="clear" w:pos="360"/>
          <w:tab w:val="left" w:pos="1170"/>
          <w:tab w:val="left" w:pos="1800"/>
        </w:tabs>
        <w:ind w:left="1170" w:hanging="1170"/>
        <w:rPr>
          <w:rFonts w:cs="Times New Roman"/>
        </w:rPr>
      </w:pPr>
      <w:r>
        <w:rPr>
          <w:rFonts w:cs="Times New Roman"/>
        </w:rPr>
        <w:tab/>
      </w:r>
      <w:r w:rsidR="00DC267F" w:rsidRPr="00684A62">
        <w:rPr>
          <w:rFonts w:cs="Times New Roman"/>
        </w:rPr>
        <w:t>(2)</w:t>
      </w:r>
      <w:r w:rsidR="00DC267F" w:rsidRPr="00684A62">
        <w:rPr>
          <w:rFonts w:cs="Times New Roman"/>
        </w:rPr>
        <w:tab/>
      </w:r>
      <w:r w:rsidR="00DC267F" w:rsidRPr="00684A62">
        <w:rPr>
          <w:rFonts w:cs="Times New Roman"/>
          <w:u w:val="single"/>
        </w:rPr>
        <w:t xml:space="preserve">The Presumption of Reasonableness Review </w:t>
      </w:r>
      <w:r w:rsidR="001F17B0">
        <w:rPr>
          <w:rFonts w:cs="Times New Roman"/>
          <w:u w:val="single"/>
        </w:rPr>
        <w:t>I</w:t>
      </w:r>
      <w:r w:rsidR="00DC267F" w:rsidRPr="00684A62">
        <w:rPr>
          <w:rFonts w:cs="Times New Roman"/>
          <w:u w:val="single"/>
        </w:rPr>
        <w:t>s Not Rebutted</w:t>
      </w:r>
    </w:p>
    <w:p w:rsidR="00DC267F" w:rsidRPr="00684A62" w:rsidRDefault="00DC267F" w:rsidP="00DC267F">
      <w:pPr>
        <w:pStyle w:val="ParaNoNdepar-AltN"/>
        <w:tabs>
          <w:tab w:val="clear" w:pos="1152"/>
          <w:tab w:val="left" w:pos="1166"/>
        </w:tabs>
        <w:rPr>
          <w:rFonts w:cs="Times New Roman"/>
        </w:rPr>
      </w:pPr>
      <w:r w:rsidRPr="00684A62">
        <w:rPr>
          <w:rFonts w:cs="Times New Roman"/>
        </w:rPr>
        <w:t xml:space="preserve">The appellant contends that the presumption of reasonableness review has been rebutted.  She relies on our recent decision in </w:t>
      </w:r>
      <w:r w:rsidRPr="00684A62">
        <w:rPr>
          <w:rFonts w:cs="Times New Roman"/>
          <w:i/>
        </w:rPr>
        <w:t>Rogers</w:t>
      </w:r>
      <w:r w:rsidRPr="00684A62">
        <w:rPr>
          <w:rFonts w:cs="Times New Roman"/>
        </w:rPr>
        <w:t xml:space="preserve">, where we held that a correctness standard was appropriate because of a statutory scheme under which both an administrative tribunal and the courts had concurrent jurisdiction at first instance in interpreting the relevant statute.  </w:t>
      </w:r>
    </w:p>
    <w:p w:rsidR="00DC267F" w:rsidRPr="00684A62" w:rsidRDefault="00DC267F" w:rsidP="00DC267F">
      <w:pPr>
        <w:pStyle w:val="ParaNoNdepar-AltN"/>
        <w:tabs>
          <w:tab w:val="clear" w:pos="1152"/>
          <w:tab w:val="left" w:pos="1166"/>
        </w:tabs>
        <w:rPr>
          <w:rFonts w:cs="Times New Roman"/>
        </w:rPr>
      </w:pPr>
      <w:r w:rsidRPr="00684A62">
        <w:rPr>
          <w:rFonts w:cs="Times New Roman"/>
        </w:rPr>
        <w:lastRenderedPageBreak/>
        <w:t xml:space="preserve">This case is different.  As Rothstein J. made clear in </w:t>
      </w:r>
      <w:r w:rsidRPr="00684A62">
        <w:rPr>
          <w:rFonts w:cs="Times New Roman"/>
          <w:i/>
        </w:rPr>
        <w:t>Rogers</w:t>
      </w:r>
      <w:r w:rsidRPr="00684A62">
        <w:rPr>
          <w:rFonts w:cs="Times New Roman"/>
        </w:rPr>
        <w:t xml:space="preserve">, it was the fact that both the tribunal and the courts “may each have [had] to consider </w:t>
      </w:r>
      <w:r w:rsidRPr="00684A62">
        <w:rPr>
          <w:rFonts w:cs="Times New Roman"/>
          <w:u w:val="single"/>
        </w:rPr>
        <w:t>the same legal question</w:t>
      </w:r>
      <w:r w:rsidRPr="00684A62">
        <w:rPr>
          <w:rFonts w:cs="Times New Roman"/>
        </w:rPr>
        <w:t xml:space="preserve"> at first instance” that “rebutt[ed] the presumption of reasonableness review” (para. 15 (emphasis added)).  Here, the legal question is the interpretation of s. 159 as it applies to s. 161(6)(d)</w:t>
      </w:r>
      <w:r w:rsidRPr="00684A62">
        <w:rPr>
          <w:rFonts w:cs="Times New Roman"/>
          <w:i/>
        </w:rPr>
        <w:t xml:space="preserve"> </w:t>
      </w:r>
      <w:r w:rsidRPr="00684A62">
        <w:rPr>
          <w:rFonts w:cs="Times New Roman"/>
        </w:rPr>
        <w:t xml:space="preserve">— and it is </w:t>
      </w:r>
      <w:r w:rsidRPr="00684A62">
        <w:rPr>
          <w:rFonts w:cs="Times New Roman"/>
          <w:i/>
        </w:rPr>
        <w:t xml:space="preserve">solely </w:t>
      </w:r>
      <w:r w:rsidRPr="00684A62">
        <w:rPr>
          <w:rFonts w:cs="Times New Roman"/>
        </w:rPr>
        <w:t xml:space="preserve">the Commission that is tasked with considering that matter in the first instance.  Accordingly, there is no possibility of conflicting interpretations with respect to the question actually at issue.  The logic of </w:t>
      </w:r>
      <w:r w:rsidRPr="00684A62">
        <w:rPr>
          <w:rFonts w:cs="Times New Roman"/>
          <w:i/>
        </w:rPr>
        <w:t xml:space="preserve">Rogers </w:t>
      </w:r>
      <w:r w:rsidRPr="00684A62">
        <w:rPr>
          <w:rFonts w:cs="Times New Roman"/>
        </w:rPr>
        <w:t>is thus inapplicable.</w:t>
      </w:r>
    </w:p>
    <w:p w:rsidR="00DC267F" w:rsidRPr="00684A62" w:rsidRDefault="00DC267F" w:rsidP="00692F37">
      <w:pPr>
        <w:pStyle w:val="TitleTitre-AltT"/>
        <w:tabs>
          <w:tab w:val="clear" w:pos="360"/>
          <w:tab w:val="left" w:pos="1170"/>
          <w:tab w:val="left" w:pos="1800"/>
        </w:tabs>
        <w:ind w:left="1170" w:hanging="1170"/>
        <w:rPr>
          <w:rFonts w:cs="Times New Roman"/>
        </w:rPr>
      </w:pPr>
      <w:r w:rsidRPr="00684A62">
        <w:rPr>
          <w:rFonts w:cs="Times New Roman"/>
        </w:rPr>
        <w:tab/>
        <w:t>(3)</w:t>
      </w:r>
      <w:r w:rsidRPr="00684A62">
        <w:rPr>
          <w:rFonts w:cs="Times New Roman"/>
        </w:rPr>
        <w:tab/>
      </w:r>
      <w:r w:rsidRPr="00684A62">
        <w:rPr>
          <w:rFonts w:cs="Times New Roman"/>
          <w:u w:val="single"/>
        </w:rPr>
        <w:t>The Question Does Not Fall Into an Exceptional Category</w:t>
      </w:r>
    </w:p>
    <w:p w:rsidR="00DC267F" w:rsidRPr="00684A62" w:rsidRDefault="00DC267F" w:rsidP="00DC267F">
      <w:pPr>
        <w:pStyle w:val="ParaNoNdepar-AltN"/>
        <w:tabs>
          <w:tab w:val="clear" w:pos="1152"/>
          <w:tab w:val="left" w:pos="1166"/>
        </w:tabs>
        <w:rPr>
          <w:rFonts w:cs="Times New Roman"/>
        </w:rPr>
      </w:pPr>
      <w:r w:rsidRPr="00684A62">
        <w:rPr>
          <w:rFonts w:cs="Times New Roman"/>
        </w:rPr>
        <w:t>I return then to the appellant’s first argument — that the question presented falls into an exceptional category warranting “correctness” review.  Post-</w:t>
      </w:r>
      <w:r w:rsidRPr="00684A62">
        <w:rPr>
          <w:rFonts w:cs="Times New Roman"/>
          <w:i/>
        </w:rPr>
        <w:t>Dunsmuir</w:t>
      </w:r>
      <w:r w:rsidRPr="00684A62">
        <w:rPr>
          <w:rFonts w:cs="Times New Roman"/>
        </w:rPr>
        <w:t>, it has become fashionable for counsel to argue that the question before an administrative decision</w:t>
      </w:r>
      <w:r>
        <w:rPr>
          <w:rFonts w:cs="Times New Roman"/>
        </w:rPr>
        <w:t xml:space="preserve"> </w:t>
      </w:r>
      <w:r w:rsidRPr="00684A62">
        <w:rPr>
          <w:rFonts w:cs="Times New Roman"/>
        </w:rPr>
        <w:t xml:space="preserve">maker falls into one of the few recognized exceptional categories.  One wave of cases focuses on whether the question raised is a “true” question of </w:t>
      </w:r>
      <w:r w:rsidRPr="00684A62">
        <w:rPr>
          <w:rFonts w:cs="Times New Roman"/>
          <w:i/>
        </w:rPr>
        <w:t xml:space="preserve">vires </w:t>
      </w:r>
      <w:r w:rsidRPr="00684A62">
        <w:rPr>
          <w:rFonts w:cs="Times New Roman"/>
        </w:rPr>
        <w:t>or jurisdiction</w:t>
      </w:r>
      <w:r>
        <w:rPr>
          <w:rFonts w:cs="Times New Roman"/>
        </w:rPr>
        <w:t>;</w:t>
      </w:r>
      <w:r w:rsidRPr="00684A62">
        <w:rPr>
          <w:rFonts w:cs="Times New Roman"/>
        </w:rPr>
        <w:t xml:space="preserve"> </w:t>
      </w:r>
      <w:r>
        <w:rPr>
          <w:rFonts w:cs="Times New Roman"/>
        </w:rPr>
        <w:t>s</w:t>
      </w:r>
      <w:r w:rsidRPr="00684A62">
        <w:rPr>
          <w:rFonts w:cs="Times New Roman"/>
        </w:rPr>
        <w:t xml:space="preserve">ee </w:t>
      </w:r>
      <w:r w:rsidRPr="00684A62">
        <w:rPr>
          <w:rFonts w:cs="Times New Roman"/>
          <w:i/>
        </w:rPr>
        <w:t>Alberta Teachers</w:t>
      </w:r>
      <w:r w:rsidRPr="00684A62">
        <w:rPr>
          <w:rFonts w:cs="Times New Roman"/>
        </w:rPr>
        <w:t>, at paras. 37-38 (citing various cases).  In that case, the Court expressed serious reservations about whether such questions can be distinguished as a separate category of questions of law, but ultimately left the door open to the possibility (para. 34).</w:t>
      </w:r>
      <w:r w:rsidRPr="00684A62">
        <w:rPr>
          <w:rStyle w:val="FootnoteReference"/>
          <w:rFonts w:cs="Times New Roman"/>
        </w:rPr>
        <w:footnoteReference w:id="3"/>
      </w:r>
      <w:r w:rsidRPr="00684A62">
        <w:rPr>
          <w:rFonts w:cs="Times New Roman"/>
        </w:rPr>
        <w:t xml:space="preserve">  </w:t>
      </w:r>
    </w:p>
    <w:p w:rsidR="00DC267F" w:rsidRPr="00684A62" w:rsidRDefault="00DC267F" w:rsidP="00DC267F">
      <w:pPr>
        <w:pStyle w:val="ParaNoNdepar-AltN"/>
        <w:tabs>
          <w:tab w:val="clear" w:pos="1152"/>
          <w:tab w:val="left" w:pos="1166"/>
        </w:tabs>
        <w:rPr>
          <w:rFonts w:cs="Times New Roman"/>
        </w:rPr>
      </w:pPr>
      <w:r w:rsidRPr="00684A62">
        <w:rPr>
          <w:rFonts w:cs="Times New Roman"/>
        </w:rPr>
        <w:lastRenderedPageBreak/>
        <w:t>A second wave — the one which the appellant now rides — focuses on “</w:t>
      </w:r>
      <w:r w:rsidRPr="00684A62">
        <w:rPr>
          <w:rFonts w:cs="Times New Roman"/>
          <w:szCs w:val="24"/>
        </w:rPr>
        <w:t>general questions of law that are both of central importance to the legal system as a whole and outside the adjudicator’s specialized area of expertise” (</w:t>
      </w:r>
      <w:r w:rsidRPr="00684A62">
        <w:rPr>
          <w:rFonts w:cs="Times New Roman"/>
          <w:i/>
        </w:rPr>
        <w:t>Canada (Canadian Human Rights Commission) v. Canada (Attorney General)</w:t>
      </w:r>
      <w:r w:rsidRPr="00684A62">
        <w:rPr>
          <w:rFonts w:cs="Times New Roman"/>
        </w:rPr>
        <w:t xml:space="preserve">, 2011 SCC 53, </w:t>
      </w:r>
      <w:r>
        <w:rPr>
          <w:rFonts w:cs="Times New Roman"/>
        </w:rPr>
        <w:t>[2011] 3 S.C.R. 471 (</w:t>
      </w:r>
      <w:r w:rsidRPr="00684A62">
        <w:rPr>
          <w:rFonts w:cs="Times New Roman"/>
        </w:rPr>
        <w:t>“</w:t>
      </w:r>
      <w:r w:rsidRPr="00684A62">
        <w:rPr>
          <w:rFonts w:cs="Times New Roman"/>
          <w:i/>
        </w:rPr>
        <w:t>Mowat</w:t>
      </w:r>
      <w:r w:rsidRPr="00684A62">
        <w:rPr>
          <w:rFonts w:cs="Times New Roman"/>
        </w:rPr>
        <w:t>”),</w:t>
      </w:r>
      <w:r>
        <w:rPr>
          <w:rFonts w:cs="Times New Roman"/>
        </w:rPr>
        <w:t xml:space="preserve"> at para. 22, referring to</w:t>
      </w:r>
      <w:r w:rsidRPr="00684A62">
        <w:rPr>
          <w:rFonts w:cs="Times New Roman"/>
        </w:rPr>
        <w:t xml:space="preserve"> </w:t>
      </w:r>
      <w:r w:rsidRPr="00684A62">
        <w:rPr>
          <w:rFonts w:cs="Times New Roman"/>
          <w:i/>
        </w:rPr>
        <w:t>Dunsmuir</w:t>
      </w:r>
      <w:r w:rsidRPr="00684A62">
        <w:rPr>
          <w:rFonts w:cs="Times New Roman"/>
        </w:rPr>
        <w:t>, at para. 60)</w:t>
      </w:r>
      <w:r>
        <w:rPr>
          <w:rFonts w:cs="Times New Roman"/>
        </w:rPr>
        <w:t>;</w:t>
      </w:r>
      <w:r w:rsidRPr="00684A62">
        <w:rPr>
          <w:rFonts w:cs="Times New Roman"/>
        </w:rPr>
        <w:t xml:space="preserve"> </w:t>
      </w:r>
      <w:r>
        <w:rPr>
          <w:rFonts w:cs="Times New Roman"/>
        </w:rPr>
        <w:t>s</w:t>
      </w:r>
      <w:r w:rsidRPr="00684A62">
        <w:rPr>
          <w:rFonts w:cs="Times New Roman"/>
        </w:rPr>
        <w:t xml:space="preserve">ee also </w:t>
      </w:r>
      <w:r w:rsidRPr="00684A62">
        <w:rPr>
          <w:rFonts w:cs="Times New Roman"/>
          <w:i/>
          <w:szCs w:val="24"/>
        </w:rPr>
        <w:t>Nor-Man Regional Health Authority Inc. v. Manitoba Association of Health Care Professionals</w:t>
      </w:r>
      <w:r w:rsidRPr="00684A62">
        <w:rPr>
          <w:rFonts w:cs="Times New Roman"/>
          <w:szCs w:val="24"/>
        </w:rPr>
        <w:t>, 2011 SCC 59</w:t>
      </w:r>
      <w:r>
        <w:rPr>
          <w:rFonts w:cs="Times New Roman"/>
          <w:szCs w:val="24"/>
        </w:rPr>
        <w:t>, [2011] 3 S.C.R. 616</w:t>
      </w:r>
      <w:r w:rsidRPr="00684A62">
        <w:rPr>
          <w:rFonts w:cs="Times New Roman"/>
          <w:szCs w:val="24"/>
        </w:rPr>
        <w:t xml:space="preserve">; </w:t>
      </w:r>
      <w:r w:rsidRPr="00684A62">
        <w:rPr>
          <w:rFonts w:cs="Times New Roman"/>
          <w:i/>
          <w:szCs w:val="24"/>
        </w:rPr>
        <w:t>Communications, Energy and Paperworkers Union of Canada, Local 30 v. Irving Pulp &amp; Paper, L</w:t>
      </w:r>
      <w:r>
        <w:rPr>
          <w:rFonts w:cs="Times New Roman"/>
          <w:i/>
          <w:szCs w:val="24"/>
        </w:rPr>
        <w:t>td.</w:t>
      </w:r>
      <w:r w:rsidRPr="00684A62">
        <w:rPr>
          <w:rFonts w:cs="Times New Roman"/>
          <w:szCs w:val="24"/>
        </w:rPr>
        <w:t>, 2013 SCC 34</w:t>
      </w:r>
      <w:r w:rsidR="00692F37">
        <w:rPr>
          <w:rFonts w:cs="Times New Roman"/>
          <w:szCs w:val="24"/>
        </w:rPr>
        <w:t>, [2013] 2 S.C.R. 458</w:t>
      </w:r>
      <w:r w:rsidRPr="00684A62">
        <w:rPr>
          <w:rFonts w:cs="Times New Roman"/>
          <w:szCs w:val="24"/>
        </w:rPr>
        <w:t>.  In each of these cases, this Court unanimously found that the question presented did not fall into this exceptional category — and I would do so again here.</w:t>
      </w:r>
    </w:p>
    <w:p w:rsidR="00DC267F" w:rsidRPr="00684A62" w:rsidRDefault="00DC267F" w:rsidP="00DC267F">
      <w:pPr>
        <w:pStyle w:val="ParaNoNdepar-AltN"/>
        <w:tabs>
          <w:tab w:val="clear" w:pos="1152"/>
          <w:tab w:val="left" w:pos="1166"/>
        </w:tabs>
        <w:rPr>
          <w:rFonts w:cs="Times New Roman"/>
        </w:rPr>
      </w:pPr>
      <w:r w:rsidRPr="00684A62">
        <w:rPr>
          <w:rFonts w:cs="Times New Roman"/>
        </w:rPr>
        <w:t xml:space="preserve">The logic underlying the “general question” exception is simple.  As Bastarache and LeBel JJ. explained in </w:t>
      </w:r>
      <w:r w:rsidRPr="00684A62">
        <w:rPr>
          <w:rFonts w:cs="Times New Roman"/>
          <w:i/>
        </w:rPr>
        <w:t>Dunsmuir</w:t>
      </w:r>
      <w:r w:rsidRPr="00684A62">
        <w:rPr>
          <w:rFonts w:cs="Times New Roman"/>
        </w:rPr>
        <w:t xml:space="preserve">, “[b]ecause of their impact on the administration of justice as a whole, such questions require uniform and consistent answers” (para. 60).  Or, as LeBel and Cromwell JJ. put it in </w:t>
      </w:r>
      <w:r w:rsidRPr="00684A62">
        <w:rPr>
          <w:rFonts w:cs="Times New Roman"/>
          <w:i/>
        </w:rPr>
        <w:t>Mowat</w:t>
      </w:r>
      <w:r w:rsidRPr="00684A62">
        <w:rPr>
          <w:rFonts w:cs="Times New Roman"/>
        </w:rPr>
        <w:t>, correctness review for such questions “</w:t>
      </w:r>
      <w:r w:rsidRPr="00684A62">
        <w:rPr>
          <w:rFonts w:cs="Times New Roman"/>
          <w:szCs w:val="24"/>
        </w:rPr>
        <w:t xml:space="preserve">safeguard[s] a basic consistency in the fundamental legal order of our country” (para. 22).  </w:t>
      </w:r>
    </w:p>
    <w:p w:rsidR="00DC267F" w:rsidRPr="00684A62" w:rsidRDefault="00DC267F" w:rsidP="00DC267F">
      <w:pPr>
        <w:pStyle w:val="ParaNoNdepar-AltN"/>
        <w:tabs>
          <w:tab w:val="clear" w:pos="1152"/>
          <w:tab w:val="left" w:pos="1166"/>
        </w:tabs>
        <w:rPr>
          <w:rFonts w:cs="Times New Roman"/>
        </w:rPr>
      </w:pPr>
      <w:r w:rsidRPr="00684A62">
        <w:rPr>
          <w:rFonts w:cs="Times New Roman"/>
        </w:rPr>
        <w:t xml:space="preserve">Here, the appellant’s arguments in support of her contention that this case falls into the general question category fail for three reasons.  First, although I agree that limitation periods, as a conceptual matter, are </w:t>
      </w:r>
      <w:r w:rsidRPr="00684A62">
        <w:rPr>
          <w:rFonts w:cs="Times New Roman"/>
          <w:i/>
        </w:rPr>
        <w:t>generally</w:t>
      </w:r>
      <w:r w:rsidRPr="00684A62">
        <w:rPr>
          <w:rFonts w:cs="Times New Roman"/>
        </w:rPr>
        <w:t xml:space="preserve"> of central importance to the fair administration of justice, it does not follow that the Commission’s </w:t>
      </w:r>
      <w:r w:rsidRPr="00684A62">
        <w:rPr>
          <w:rFonts w:cs="Times New Roman"/>
        </w:rPr>
        <w:lastRenderedPageBreak/>
        <w:t xml:space="preserve">interpretation of </w:t>
      </w:r>
      <w:r w:rsidRPr="00684A62">
        <w:rPr>
          <w:rFonts w:cs="Times New Roman"/>
          <w:i/>
        </w:rPr>
        <w:t xml:space="preserve">this </w:t>
      </w:r>
      <w:r w:rsidRPr="00684A62">
        <w:rPr>
          <w:rFonts w:cs="Times New Roman"/>
        </w:rPr>
        <w:t>limitation period must be reviewed for its correctness.  The meaning of “the events” in s. 159 is a nuts-and-bolts question of statutory interpretation confined to a particular context.  Indeed, the arguably complex legal doctrines such as discoverability that the appellant says demand correctness</w:t>
      </w:r>
      <w:r w:rsidRPr="00684A62">
        <w:rPr>
          <w:rFonts w:cs="Times New Roman"/>
          <w:i/>
        </w:rPr>
        <w:t xml:space="preserve"> </w:t>
      </w:r>
      <w:r w:rsidRPr="00684A62">
        <w:rPr>
          <w:rFonts w:cs="Times New Roman"/>
        </w:rPr>
        <w:t xml:space="preserve">review (see A.R.F., at para. 9) have been specifically </w:t>
      </w:r>
      <w:r w:rsidRPr="00684A62">
        <w:rPr>
          <w:rFonts w:cs="Times New Roman"/>
          <w:i/>
        </w:rPr>
        <w:t>excluded</w:t>
      </w:r>
      <w:r w:rsidRPr="00684A62">
        <w:rPr>
          <w:rFonts w:cs="Times New Roman"/>
        </w:rPr>
        <w:t xml:space="preserve"> from any application to s.</w:t>
      </w:r>
      <w:r>
        <w:rPr>
          <w:rFonts w:cs="Times New Roman"/>
        </w:rPr>
        <w:t> </w:t>
      </w:r>
      <w:r w:rsidRPr="00684A62">
        <w:rPr>
          <w:rFonts w:cs="Times New Roman"/>
        </w:rPr>
        <w:t xml:space="preserve">159.  The appellant recognizes this fact elsewhere in her submissions (A.F., at para. 25, citing </w:t>
      </w:r>
      <w:r w:rsidRPr="00684A62">
        <w:rPr>
          <w:rFonts w:cs="Times New Roman"/>
          <w:i/>
        </w:rPr>
        <w:t>British Columbia Securities Commission v. Bapty</w:t>
      </w:r>
      <w:r w:rsidRPr="00684A62">
        <w:rPr>
          <w:rFonts w:cs="Times New Roman"/>
        </w:rPr>
        <w:t>, 2006 BCSC 638</w:t>
      </w:r>
      <w:r>
        <w:rPr>
          <w:rFonts w:cs="Times New Roman"/>
        </w:rPr>
        <w:t xml:space="preserve"> (CanLII)</w:t>
      </w:r>
      <w:r w:rsidRPr="00684A62">
        <w:rPr>
          <w:rFonts w:cs="Times New Roman"/>
        </w:rPr>
        <w:t>, at para. 28).  Accordingly, there is no question of law of central importance to the legal system as a whole, let alone one that falls outside the Commission’s specialized area of expertise.</w:t>
      </w:r>
    </w:p>
    <w:p w:rsidR="00DC267F" w:rsidRPr="00684A62" w:rsidRDefault="00DC267F" w:rsidP="00DC267F">
      <w:pPr>
        <w:pStyle w:val="ParaNoNdepar-AltN"/>
        <w:tabs>
          <w:tab w:val="clear" w:pos="1152"/>
          <w:tab w:val="left" w:pos="1166"/>
        </w:tabs>
        <w:rPr>
          <w:rFonts w:cs="Times New Roman"/>
        </w:rPr>
      </w:pPr>
      <w:r w:rsidRPr="00684A62">
        <w:rPr>
          <w:rFonts w:cs="Times New Roman"/>
        </w:rPr>
        <w:t xml:space="preserve">Second, while it is true that reasonableness review in this context necessarily entails the possibility that other provincial </w:t>
      </w:r>
      <w:r>
        <w:rPr>
          <w:rFonts w:cs="Times New Roman"/>
        </w:rPr>
        <w:t xml:space="preserve">and territorial </w:t>
      </w:r>
      <w:r w:rsidRPr="00684A62">
        <w:rPr>
          <w:rFonts w:cs="Times New Roman"/>
        </w:rPr>
        <w:t>securities commissions may arrive at different interpretations of their own statutory limitation periods, I cannot agree that such a result provides a basis for correctness review — and thus judicially</w:t>
      </w:r>
      <w:r>
        <w:rPr>
          <w:rFonts w:cs="Times New Roman"/>
        </w:rPr>
        <w:t xml:space="preserve"> </w:t>
      </w:r>
      <w:r w:rsidRPr="00684A62">
        <w:rPr>
          <w:rFonts w:cs="Times New Roman"/>
        </w:rPr>
        <w:t xml:space="preserve">mandated “consisten[cy] . . . across the country” (A.R.F., at para. 13).  No one disputes that each of the provincial </w:t>
      </w:r>
      <w:r>
        <w:rPr>
          <w:rFonts w:cs="Times New Roman"/>
        </w:rPr>
        <w:t xml:space="preserve">and territorial </w:t>
      </w:r>
      <w:r w:rsidRPr="00684A62">
        <w:rPr>
          <w:rFonts w:cs="Times New Roman"/>
        </w:rPr>
        <w:t>legislatures can enact entirely different limitation periods.  Indeed, one of them has</w:t>
      </w:r>
      <w:r>
        <w:rPr>
          <w:rFonts w:cs="Times New Roman"/>
        </w:rPr>
        <w:t>;</w:t>
      </w:r>
      <w:r w:rsidRPr="00684A62">
        <w:rPr>
          <w:rFonts w:cs="Times New Roman"/>
        </w:rPr>
        <w:t xml:space="preserve"> </w:t>
      </w:r>
      <w:r>
        <w:rPr>
          <w:rFonts w:cs="Times New Roman"/>
        </w:rPr>
        <w:t>s</w:t>
      </w:r>
      <w:r w:rsidRPr="00684A62">
        <w:rPr>
          <w:rFonts w:cs="Times New Roman"/>
        </w:rPr>
        <w:t xml:space="preserve">ee Manitoba’s </w:t>
      </w:r>
      <w:r w:rsidRPr="00684A62">
        <w:rPr>
          <w:rFonts w:cs="Times New Roman"/>
          <w:i/>
        </w:rPr>
        <w:t>Securities Act</w:t>
      </w:r>
      <w:r w:rsidRPr="00684A62">
        <w:rPr>
          <w:rFonts w:cs="Times New Roman"/>
        </w:rPr>
        <w:t>, C.C.S.M.</w:t>
      </w:r>
      <w:r w:rsidR="00B37F3A">
        <w:rPr>
          <w:rFonts w:cs="Times New Roman"/>
        </w:rPr>
        <w:t>,</w:t>
      </w:r>
      <w:r w:rsidRPr="00684A62">
        <w:rPr>
          <w:rFonts w:cs="Times New Roman"/>
        </w:rPr>
        <w:t xml:space="preserve"> c. S50, s.</w:t>
      </w:r>
      <w:r>
        <w:rPr>
          <w:rFonts w:cs="Times New Roman"/>
        </w:rPr>
        <w:t> </w:t>
      </w:r>
      <w:r w:rsidRPr="00684A62">
        <w:rPr>
          <w:rFonts w:cs="Times New Roman"/>
        </w:rPr>
        <w:t xml:space="preserve">137 (providing an eight-year period, instead of the six-year norm).  By the same token, it may be the case that provincial </w:t>
      </w:r>
      <w:r>
        <w:rPr>
          <w:rFonts w:cs="Times New Roman"/>
        </w:rPr>
        <w:t xml:space="preserve">and territorial </w:t>
      </w:r>
      <w:r w:rsidRPr="00684A62">
        <w:rPr>
          <w:rFonts w:cs="Times New Roman"/>
        </w:rPr>
        <w:t xml:space="preserve">securities regulators come to differing (but nonetheless reasonable) interpretations of those limitation periods (though that has yet to occur).  If there is a problem with such </w:t>
      </w:r>
      <w:r w:rsidRPr="00684A62">
        <w:rPr>
          <w:rFonts w:cs="Times New Roman"/>
        </w:rPr>
        <w:lastRenderedPageBreak/>
        <w:t>a hypothetical outcome, it is a function of our Constitution’s federalist structure — not the administrative law standards of review.</w:t>
      </w:r>
    </w:p>
    <w:p w:rsidR="00DC267F" w:rsidRPr="00684A62" w:rsidRDefault="00DC267F" w:rsidP="00DC267F">
      <w:pPr>
        <w:pStyle w:val="ParaNoNdepar-AltN"/>
        <w:tabs>
          <w:tab w:val="clear" w:pos="1152"/>
          <w:tab w:val="left" w:pos="1166"/>
        </w:tabs>
        <w:rPr>
          <w:rFonts w:cs="Times New Roman"/>
        </w:rPr>
      </w:pPr>
      <w:r w:rsidRPr="00684A62">
        <w:rPr>
          <w:rFonts w:cs="Times New Roman"/>
        </w:rPr>
        <w:t>Third, and most significantly, the problem with the appellant’s argument is her narrow view of the Commission’s expertise.  In particular, the appellant argues that limitation periods “are not in themselves part of substantive securities regulation, the area of the [Commission’s] specialised expertise” (A.R.F., at para. 9).  The argument presupposes a neat division between what one might call a “lawyer’s question” and a “bureaucrat’s question”</w:t>
      </w:r>
      <w:r>
        <w:rPr>
          <w:rFonts w:cs="Times New Roman"/>
        </w:rPr>
        <w:t>.</w:t>
      </w:r>
      <w:r w:rsidRPr="00684A62">
        <w:rPr>
          <w:rFonts w:cs="Times New Roman"/>
        </w:rPr>
        <w:t xml:space="preserve">  The logic seems to be that because the meaning of “the events” in s. 159 cannot possibly require any great technical expertise — there is, after all, no specialized “bureaucratese” to interpret — why should the matter be left to the Commission?</w:t>
      </w:r>
    </w:p>
    <w:p w:rsidR="00DC267F" w:rsidRPr="00684A62" w:rsidRDefault="00DC267F" w:rsidP="00DC267F">
      <w:pPr>
        <w:pStyle w:val="ParaNoNdepar-AltN"/>
        <w:tabs>
          <w:tab w:val="clear" w:pos="1152"/>
          <w:tab w:val="left" w:pos="1166"/>
        </w:tabs>
        <w:rPr>
          <w:rFonts w:cs="Times New Roman"/>
        </w:rPr>
      </w:pPr>
      <w:r w:rsidRPr="00684A62">
        <w:rPr>
          <w:rFonts w:cs="Times New Roman"/>
        </w:rPr>
        <w:t>While such a view may have carried some weight in the past, that is no longer the case.  The modern approach to judicial review recognizes that courts “may not be as well qualified as a given agency to provide interpretations of that agency’s constitutive statute that make sense given the broad policy context within which that agency must work” (</w:t>
      </w:r>
      <w:r w:rsidRPr="00684A62">
        <w:rPr>
          <w:rFonts w:cs="Times New Roman"/>
          <w:i/>
        </w:rPr>
        <w:t>National Corn Growers Assn. v. Canada (Import Tribunal)</w:t>
      </w:r>
      <w:r w:rsidRPr="00684A62">
        <w:rPr>
          <w:rFonts w:cs="Times New Roman"/>
        </w:rPr>
        <w:t xml:space="preserve">, [1990] 2 S.C.R. 1324, at p. 1336, </w:t>
      </w:r>
      <w:r w:rsidRPr="00684A62">
        <w:rPr>
          <w:rFonts w:cs="Times New Roman"/>
          <w:i/>
        </w:rPr>
        <w:t xml:space="preserve">per </w:t>
      </w:r>
      <w:r w:rsidRPr="00684A62">
        <w:rPr>
          <w:rFonts w:cs="Times New Roman"/>
        </w:rPr>
        <w:t>Wilson J.</w:t>
      </w:r>
      <w:r>
        <w:rPr>
          <w:rFonts w:cs="Times New Roman"/>
        </w:rPr>
        <w:t>;</w:t>
      </w:r>
      <w:r w:rsidRPr="00684A62">
        <w:rPr>
          <w:rFonts w:cs="Times New Roman"/>
        </w:rPr>
        <w:t xml:space="preserve"> </w:t>
      </w:r>
      <w:r>
        <w:rPr>
          <w:rFonts w:cs="Times New Roman"/>
        </w:rPr>
        <w:t>s</w:t>
      </w:r>
      <w:r w:rsidRPr="00684A62">
        <w:rPr>
          <w:rFonts w:cs="Times New Roman"/>
        </w:rPr>
        <w:t xml:space="preserve">ee also </w:t>
      </w:r>
      <w:r w:rsidRPr="00684A62">
        <w:rPr>
          <w:rFonts w:cs="Times New Roman"/>
          <w:i/>
        </w:rPr>
        <w:t>Council of Ca</w:t>
      </w:r>
      <w:r w:rsidR="00085039">
        <w:rPr>
          <w:rFonts w:cs="Times New Roman"/>
          <w:i/>
        </w:rPr>
        <w:t>nadians with Disabilities v. VIA</w:t>
      </w:r>
      <w:r w:rsidRPr="00684A62">
        <w:rPr>
          <w:rFonts w:cs="Times New Roman"/>
          <w:i/>
        </w:rPr>
        <w:t xml:space="preserve"> Rail Canada Inc.</w:t>
      </w:r>
      <w:r w:rsidRPr="00684A62">
        <w:rPr>
          <w:rFonts w:cs="Times New Roman"/>
        </w:rPr>
        <w:t xml:space="preserve">, 2007 SCC 15, </w:t>
      </w:r>
      <w:r>
        <w:rPr>
          <w:rFonts w:cs="Times New Roman"/>
        </w:rPr>
        <w:t xml:space="preserve">[2007] 1 S.C.R. 650, </w:t>
      </w:r>
      <w:r w:rsidRPr="00684A62">
        <w:rPr>
          <w:rFonts w:cs="Times New Roman"/>
        </w:rPr>
        <w:t xml:space="preserve">at para. 92; </w:t>
      </w:r>
      <w:r w:rsidRPr="00684A62">
        <w:rPr>
          <w:rFonts w:cs="Times New Roman"/>
          <w:i/>
        </w:rPr>
        <w:t>Mowat</w:t>
      </w:r>
      <w:r w:rsidRPr="00684A62">
        <w:rPr>
          <w:rFonts w:cs="Times New Roman"/>
        </w:rPr>
        <w:t>, at para. 25</w:t>
      </w:r>
      <w:r w:rsidR="00085039">
        <w:rPr>
          <w:rFonts w:cs="Times New Roman"/>
        </w:rPr>
        <w:t>)</w:t>
      </w:r>
      <w:r w:rsidRPr="00684A62">
        <w:rPr>
          <w:rFonts w:cs="Times New Roman"/>
        </w:rPr>
        <w:t>.</w:t>
      </w:r>
    </w:p>
    <w:p w:rsidR="00DC267F" w:rsidRPr="00684A62" w:rsidRDefault="00DC267F" w:rsidP="00DC267F">
      <w:pPr>
        <w:pStyle w:val="ParaNoNdepar-AltN"/>
        <w:tabs>
          <w:tab w:val="clear" w:pos="1152"/>
          <w:tab w:val="left" w:pos="1166"/>
        </w:tabs>
        <w:rPr>
          <w:rFonts w:cs="Times New Roman"/>
        </w:rPr>
      </w:pPr>
      <w:r w:rsidRPr="00684A62">
        <w:rPr>
          <w:rFonts w:cs="Times New Roman"/>
        </w:rPr>
        <w:t xml:space="preserve">In plain terms, because legislatures do not always speak clearly and because the tools of statutory interpretation do not always guarantee a single clear </w:t>
      </w:r>
      <w:r w:rsidRPr="00684A62">
        <w:rPr>
          <w:rFonts w:cs="Times New Roman"/>
        </w:rPr>
        <w:lastRenderedPageBreak/>
        <w:t xml:space="preserve">answer, legislative provisions will on occasion be susceptible to multiple </w:t>
      </w:r>
      <w:r w:rsidRPr="00684A62">
        <w:rPr>
          <w:rFonts w:cs="Times New Roman"/>
          <w:i/>
        </w:rPr>
        <w:t>reasonable</w:t>
      </w:r>
      <w:r w:rsidRPr="00684A62">
        <w:rPr>
          <w:rFonts w:cs="Times New Roman"/>
        </w:rPr>
        <w:t xml:space="preserve"> interpretations (</w:t>
      </w:r>
      <w:r w:rsidRPr="00684A62">
        <w:rPr>
          <w:rFonts w:cs="Times New Roman"/>
          <w:i/>
        </w:rPr>
        <w:t>Dunsmuir</w:t>
      </w:r>
      <w:r w:rsidRPr="00684A62">
        <w:rPr>
          <w:rFonts w:cs="Times New Roman"/>
        </w:rPr>
        <w:t xml:space="preserve">, </w:t>
      </w:r>
      <w:r>
        <w:rPr>
          <w:rFonts w:cs="Times New Roman"/>
        </w:rPr>
        <w:t xml:space="preserve">at </w:t>
      </w:r>
      <w:r w:rsidRPr="00684A62">
        <w:rPr>
          <w:rFonts w:cs="Times New Roman"/>
        </w:rPr>
        <w:t xml:space="preserve">para. 47; see also </w:t>
      </w:r>
      <w:r w:rsidRPr="00684A62">
        <w:rPr>
          <w:rFonts w:cs="Times New Roman"/>
          <w:i/>
        </w:rPr>
        <w:t>Construction Labour Relations v. Driver Iron Inc.</w:t>
      </w:r>
      <w:r w:rsidRPr="00684A62">
        <w:rPr>
          <w:rFonts w:cs="Times New Roman"/>
        </w:rPr>
        <w:t>, 2012 SCC 65</w:t>
      </w:r>
      <w:r>
        <w:rPr>
          <w:rFonts w:cs="Times New Roman"/>
        </w:rPr>
        <w:t>, [2012] 3 S.C.R. 405</w:t>
      </w:r>
      <w:r w:rsidRPr="00684A62">
        <w:rPr>
          <w:rFonts w:cs="Times New Roman"/>
        </w:rPr>
        <w:t xml:space="preserve">).  Indeed, that is the case here, as I will explain in a moment.  The question that arises, then, is </w:t>
      </w:r>
      <w:r w:rsidRPr="00684A62">
        <w:rPr>
          <w:rFonts w:cs="Times New Roman"/>
          <w:i/>
        </w:rPr>
        <w:t>who gets to decide among these competing reasonable interpretations?</w:t>
      </w:r>
    </w:p>
    <w:p w:rsidR="00DC267F" w:rsidRPr="00684A62" w:rsidRDefault="00DC267F" w:rsidP="00DC267F">
      <w:pPr>
        <w:pStyle w:val="ParaNoNdepar-AltN"/>
        <w:tabs>
          <w:tab w:val="clear" w:pos="1152"/>
          <w:tab w:val="left" w:pos="1166"/>
        </w:tabs>
        <w:rPr>
          <w:rFonts w:cs="Times New Roman"/>
        </w:rPr>
      </w:pPr>
      <w:r w:rsidRPr="00684A62">
        <w:rPr>
          <w:rFonts w:cs="Times New Roman"/>
        </w:rPr>
        <w:t xml:space="preserve">The answer, as this Court has repeatedly indicated since </w:t>
      </w:r>
      <w:r w:rsidRPr="00684A62">
        <w:rPr>
          <w:rFonts w:cs="Times New Roman"/>
          <w:i/>
        </w:rPr>
        <w:t>Dunsmuir</w:t>
      </w:r>
      <w:r w:rsidRPr="00684A62">
        <w:rPr>
          <w:rFonts w:cs="Times New Roman"/>
        </w:rPr>
        <w:t>, is that the resolution of unclear language in an administrative decision</w:t>
      </w:r>
      <w:r>
        <w:rPr>
          <w:rFonts w:cs="Times New Roman"/>
        </w:rPr>
        <w:t xml:space="preserve"> </w:t>
      </w:r>
      <w:r w:rsidRPr="00684A62">
        <w:rPr>
          <w:rFonts w:cs="Times New Roman"/>
        </w:rPr>
        <w:t>maker’s home statute is usually best left to the decision</w:t>
      </w:r>
      <w:r>
        <w:rPr>
          <w:rFonts w:cs="Times New Roman"/>
        </w:rPr>
        <w:t xml:space="preserve"> </w:t>
      </w:r>
      <w:r w:rsidRPr="00684A62">
        <w:rPr>
          <w:rFonts w:cs="Times New Roman"/>
        </w:rPr>
        <w:t xml:space="preserve">maker.  That is so because the choice between multiple reasonable interpretations will often involve policy considerations that we presume the legislature desired </w:t>
      </w:r>
      <w:r w:rsidRPr="00684A62">
        <w:rPr>
          <w:rFonts w:cs="Times New Roman"/>
          <w:i/>
        </w:rPr>
        <w:t>the administrative decision</w:t>
      </w:r>
      <w:r>
        <w:rPr>
          <w:rFonts w:cs="Times New Roman"/>
          <w:i/>
        </w:rPr>
        <w:t xml:space="preserve"> </w:t>
      </w:r>
      <w:r w:rsidRPr="00684A62">
        <w:rPr>
          <w:rFonts w:cs="Times New Roman"/>
          <w:i/>
        </w:rPr>
        <w:t>maker</w:t>
      </w:r>
      <w:r w:rsidRPr="00684A62">
        <w:rPr>
          <w:rFonts w:cs="Times New Roman"/>
        </w:rPr>
        <w:t xml:space="preserve"> — not the courts — to make.  Indeed, the exercise of that interpretative discretion is part of an administrative decision</w:t>
      </w:r>
      <w:r>
        <w:rPr>
          <w:rFonts w:cs="Times New Roman"/>
        </w:rPr>
        <w:t xml:space="preserve"> </w:t>
      </w:r>
      <w:r w:rsidRPr="00684A62">
        <w:rPr>
          <w:rFonts w:cs="Times New Roman"/>
        </w:rPr>
        <w:t>maker’s “expertise”</w:t>
      </w:r>
      <w:r>
        <w:rPr>
          <w:rFonts w:cs="Times New Roman"/>
        </w:rPr>
        <w:t>.</w:t>
      </w:r>
      <w:r w:rsidRPr="00684A62">
        <w:rPr>
          <w:rFonts w:cs="Times New Roman"/>
        </w:rPr>
        <w:t xml:space="preserve"> </w:t>
      </w:r>
    </w:p>
    <w:p w:rsidR="00DC267F" w:rsidRPr="00684A62" w:rsidRDefault="00085039" w:rsidP="00085039">
      <w:pPr>
        <w:pStyle w:val="TitleTitre-AltT"/>
        <w:tabs>
          <w:tab w:val="clear" w:pos="360"/>
          <w:tab w:val="left" w:pos="540"/>
        </w:tabs>
        <w:ind w:left="540" w:hanging="540"/>
        <w:rPr>
          <w:rFonts w:cs="Times New Roman"/>
          <w:i/>
        </w:rPr>
      </w:pPr>
      <w:r>
        <w:rPr>
          <w:rFonts w:cs="Times New Roman"/>
        </w:rPr>
        <w:t>B.</w:t>
      </w:r>
      <w:r>
        <w:rPr>
          <w:rFonts w:cs="Times New Roman"/>
        </w:rPr>
        <w:tab/>
      </w:r>
      <w:r w:rsidR="00DC267F" w:rsidRPr="00684A62">
        <w:rPr>
          <w:rFonts w:cs="Times New Roman"/>
          <w:i/>
        </w:rPr>
        <w:t>The Commission’s Interpretation of Section 159 Was Reasonable</w:t>
      </w:r>
    </w:p>
    <w:p w:rsidR="00DC267F" w:rsidRPr="00684A62" w:rsidRDefault="00085039" w:rsidP="00085039">
      <w:pPr>
        <w:pStyle w:val="TitleTitre-AltT"/>
        <w:tabs>
          <w:tab w:val="clear" w:pos="360"/>
          <w:tab w:val="left" w:pos="1170"/>
          <w:tab w:val="left" w:pos="1800"/>
        </w:tabs>
        <w:ind w:left="1170" w:hanging="1170"/>
        <w:rPr>
          <w:rFonts w:cs="Times New Roman"/>
        </w:rPr>
      </w:pPr>
      <w:r>
        <w:rPr>
          <w:rFonts w:cs="Times New Roman"/>
        </w:rPr>
        <w:tab/>
      </w:r>
      <w:r w:rsidR="00DC267F" w:rsidRPr="00684A62">
        <w:rPr>
          <w:rFonts w:cs="Times New Roman"/>
        </w:rPr>
        <w:t>(1)</w:t>
      </w:r>
      <w:r w:rsidR="00DC267F" w:rsidRPr="00684A62">
        <w:rPr>
          <w:rFonts w:cs="Times New Roman"/>
        </w:rPr>
        <w:tab/>
      </w:r>
      <w:r w:rsidR="00DC267F" w:rsidRPr="00684A62">
        <w:rPr>
          <w:rFonts w:cs="Times New Roman"/>
          <w:u w:val="single"/>
        </w:rPr>
        <w:t>Overview</w:t>
      </w:r>
    </w:p>
    <w:p w:rsidR="00DC267F" w:rsidRPr="00684A62" w:rsidRDefault="00085039" w:rsidP="00085039">
      <w:pPr>
        <w:pStyle w:val="TitleTitre-AltT"/>
        <w:tabs>
          <w:tab w:val="clear" w:pos="360"/>
          <w:tab w:val="left" w:pos="1170"/>
          <w:tab w:val="left" w:pos="1800"/>
        </w:tabs>
        <w:ind w:left="1170" w:hanging="1170"/>
        <w:rPr>
          <w:rFonts w:cs="Times New Roman"/>
          <w:i/>
        </w:rPr>
      </w:pPr>
      <w:r>
        <w:rPr>
          <w:rFonts w:cs="Times New Roman"/>
        </w:rPr>
        <w:tab/>
      </w:r>
      <w:r w:rsidR="00DC267F" w:rsidRPr="00684A62">
        <w:rPr>
          <w:rFonts w:cs="Times New Roman"/>
        </w:rPr>
        <w:t>(a)</w:t>
      </w:r>
      <w:r w:rsidR="00DC267F" w:rsidRPr="00684A62">
        <w:rPr>
          <w:rFonts w:cs="Times New Roman"/>
        </w:rPr>
        <w:tab/>
      </w:r>
      <w:r w:rsidR="00DC267F" w:rsidRPr="00684A62">
        <w:rPr>
          <w:rFonts w:cs="Times New Roman"/>
          <w:i/>
        </w:rPr>
        <w:t>The Appellant’s Position</w:t>
      </w:r>
    </w:p>
    <w:p w:rsidR="00DC267F" w:rsidRPr="00684A62" w:rsidRDefault="00DC267F" w:rsidP="00DC267F">
      <w:pPr>
        <w:pStyle w:val="ParaNoNdepar-AltN"/>
        <w:tabs>
          <w:tab w:val="clear" w:pos="1152"/>
          <w:tab w:val="left" w:pos="1166"/>
        </w:tabs>
        <w:rPr>
          <w:rFonts w:cs="Times New Roman"/>
        </w:rPr>
      </w:pPr>
      <w:r w:rsidRPr="00684A62">
        <w:rPr>
          <w:rFonts w:cs="Times New Roman"/>
        </w:rPr>
        <w:t xml:space="preserve">In a nutshell, the appellant argues that s. 161(6) merely “codifies the [Commission’s] already-existing ability to rely on convictions, findings, orders, or agreements as </w:t>
      </w:r>
      <w:r w:rsidRPr="00684A62">
        <w:rPr>
          <w:rFonts w:cs="Times New Roman"/>
          <w:i/>
        </w:rPr>
        <w:t xml:space="preserve">evidence </w:t>
      </w:r>
      <w:r w:rsidRPr="00684A62">
        <w:rPr>
          <w:rFonts w:cs="Times New Roman"/>
        </w:rPr>
        <w:t xml:space="preserve">of a person’s conduct contrary to the public interest” (A.F., at para. 40 (emphasis in original)).  The law is clear that the Commission could — and </w:t>
      </w:r>
      <w:r w:rsidRPr="00684A62">
        <w:rPr>
          <w:rFonts w:cs="Times New Roman"/>
        </w:rPr>
        <w:lastRenderedPageBreak/>
        <w:t>did — issue reciprocal orders using its existing power under s. 161(1) on the strength of factual findings in other jurisdictions prior to the introduction of s. 161(6)</w:t>
      </w:r>
      <w:r>
        <w:rPr>
          <w:rFonts w:cs="Times New Roman"/>
        </w:rPr>
        <w:t>;</w:t>
      </w:r>
      <w:r w:rsidRPr="00684A62">
        <w:rPr>
          <w:rFonts w:cs="Times New Roman"/>
        </w:rPr>
        <w:t xml:space="preserve"> </w:t>
      </w:r>
      <w:r>
        <w:rPr>
          <w:rFonts w:cs="Times New Roman"/>
        </w:rPr>
        <w:t>s</w:t>
      </w:r>
      <w:r w:rsidRPr="00684A62">
        <w:rPr>
          <w:rFonts w:cs="Times New Roman"/>
        </w:rPr>
        <w:t xml:space="preserve">ee, e.g., </w:t>
      </w:r>
      <w:r w:rsidRPr="00684A62">
        <w:rPr>
          <w:rFonts w:cs="Times New Roman"/>
          <w:i/>
        </w:rPr>
        <w:t>Woods</w:t>
      </w:r>
      <w:r>
        <w:rPr>
          <w:rFonts w:cs="Times New Roman"/>
          <w:i/>
        </w:rPr>
        <w:t xml:space="preserve"> (Re)</w:t>
      </w:r>
      <w:r w:rsidRPr="00684A62">
        <w:rPr>
          <w:rFonts w:cs="Times New Roman"/>
        </w:rPr>
        <w:t>, 1997 LNBCSC 11</w:t>
      </w:r>
      <w:r>
        <w:rPr>
          <w:rFonts w:cs="Times New Roman"/>
        </w:rPr>
        <w:t xml:space="preserve"> (QL), at p. 5</w:t>
      </w:r>
      <w:r w:rsidRPr="00684A62">
        <w:rPr>
          <w:rFonts w:cs="Times New Roman"/>
        </w:rPr>
        <w:t xml:space="preserve"> (where the Commission relied on “the findings of fact and law of the Ontario courts, and the enforcement orders made by the Ontario Securities Commission”); </w:t>
      </w:r>
      <w:r w:rsidRPr="00684A62">
        <w:rPr>
          <w:rFonts w:cs="Times New Roman"/>
          <w:i/>
        </w:rPr>
        <w:t>Seto</w:t>
      </w:r>
      <w:r>
        <w:rPr>
          <w:rFonts w:cs="Times New Roman"/>
          <w:i/>
        </w:rPr>
        <w:t xml:space="preserve"> (Re)</w:t>
      </w:r>
      <w:r w:rsidRPr="00684A62">
        <w:rPr>
          <w:rFonts w:cs="Times New Roman"/>
        </w:rPr>
        <w:t>, 2006 BCSECCOM 569</w:t>
      </w:r>
      <w:r>
        <w:rPr>
          <w:rFonts w:cs="Times New Roman"/>
        </w:rPr>
        <w:t xml:space="preserve"> (CanLII)</w:t>
      </w:r>
      <w:r w:rsidRPr="00684A62">
        <w:rPr>
          <w:rFonts w:cs="Times New Roman"/>
        </w:rPr>
        <w:t xml:space="preserve">, at para. 4 (where the Commission drew the facts “solely from the decision and order of the [Alberta Securities Commission] and the judgment of the Alberta Provincial Court”).  </w:t>
      </w:r>
    </w:p>
    <w:p w:rsidR="00DC267F" w:rsidRPr="00684A62" w:rsidRDefault="00DC267F" w:rsidP="00DC267F">
      <w:pPr>
        <w:pStyle w:val="ParaNoNdepar-AltN"/>
        <w:tabs>
          <w:tab w:val="clear" w:pos="1152"/>
          <w:tab w:val="left" w:pos="1166"/>
        </w:tabs>
        <w:rPr>
          <w:rFonts w:cs="Times New Roman"/>
        </w:rPr>
      </w:pPr>
      <w:r w:rsidRPr="00684A62">
        <w:rPr>
          <w:rFonts w:cs="Times New Roman"/>
        </w:rPr>
        <w:t xml:space="preserve">In those earlier cases, “the events” meant the underlying misconduct — and no one suggests otherwise.  As such, the Commission’s choice to rely on the “procedural shortcut” reflected in s. 161(6)(d) does not change the nature of the proceedings such that the </w:t>
      </w:r>
      <w:r w:rsidRPr="00684A62">
        <w:rPr>
          <w:rFonts w:cs="Times New Roman"/>
          <w:i/>
        </w:rPr>
        <w:t xml:space="preserve">agreement </w:t>
      </w:r>
      <w:r w:rsidRPr="00684A62">
        <w:rPr>
          <w:rFonts w:cs="Times New Roman"/>
        </w:rPr>
        <w:t xml:space="preserve">becomes </w:t>
      </w:r>
      <w:r w:rsidRPr="00684A62">
        <w:rPr>
          <w:rFonts w:cs="Times New Roman"/>
          <w:i/>
        </w:rPr>
        <w:t xml:space="preserve">the event </w:t>
      </w:r>
      <w:r w:rsidRPr="00684A62">
        <w:rPr>
          <w:rFonts w:cs="Times New Roman"/>
        </w:rPr>
        <w:t xml:space="preserve">(A.F., at para. 40).  Rather, because s. 161(6)(d) must be fused with s. 161(1), the proceedings remain s. 161(1) proceedings — and “the events” must thus remain the underlying misconduct. </w:t>
      </w:r>
    </w:p>
    <w:p w:rsidR="00DC267F" w:rsidRPr="00684A62" w:rsidRDefault="00085039" w:rsidP="00085039">
      <w:pPr>
        <w:pStyle w:val="TitleTitre-AltT"/>
        <w:tabs>
          <w:tab w:val="clear" w:pos="360"/>
          <w:tab w:val="left" w:pos="1170"/>
          <w:tab w:val="left" w:pos="1800"/>
        </w:tabs>
        <w:ind w:left="1170" w:hanging="1170"/>
        <w:rPr>
          <w:rFonts w:cs="Times New Roman"/>
          <w:i/>
        </w:rPr>
      </w:pPr>
      <w:r>
        <w:rPr>
          <w:rFonts w:cs="Times New Roman"/>
        </w:rPr>
        <w:tab/>
      </w:r>
      <w:r w:rsidR="00DC267F" w:rsidRPr="00684A62">
        <w:rPr>
          <w:rFonts w:cs="Times New Roman"/>
        </w:rPr>
        <w:t>(b)</w:t>
      </w:r>
      <w:r w:rsidR="00DC267F" w:rsidRPr="00684A62">
        <w:rPr>
          <w:rFonts w:cs="Times New Roman"/>
        </w:rPr>
        <w:tab/>
      </w:r>
      <w:r w:rsidR="00DC267F" w:rsidRPr="00684A62">
        <w:rPr>
          <w:rFonts w:cs="Times New Roman"/>
          <w:i/>
        </w:rPr>
        <w:t>The Respondent’s Position</w:t>
      </w:r>
    </w:p>
    <w:p w:rsidR="00DC267F" w:rsidRPr="00684A62" w:rsidRDefault="00DC267F" w:rsidP="00DC267F">
      <w:pPr>
        <w:pStyle w:val="ParaNoNdepar-AltN"/>
        <w:tabs>
          <w:tab w:val="clear" w:pos="1152"/>
          <w:tab w:val="left" w:pos="1166"/>
        </w:tabs>
        <w:rPr>
          <w:rFonts w:cs="Times New Roman"/>
        </w:rPr>
      </w:pPr>
      <w:r w:rsidRPr="00684A62">
        <w:rPr>
          <w:rFonts w:cs="Times New Roman"/>
        </w:rPr>
        <w:t xml:space="preserve">The respondent says </w:t>
      </w:r>
      <w:r>
        <w:rPr>
          <w:rFonts w:cs="Times New Roman"/>
        </w:rPr>
        <w:t xml:space="preserve">that </w:t>
      </w:r>
      <w:r w:rsidRPr="00684A62">
        <w:rPr>
          <w:rFonts w:cs="Times New Roman"/>
        </w:rPr>
        <w:t>the appellant’s argument is untenable because the plain wording of s. 161(6) says nothing about decisions, orders, or settlement agreements being admissible as “evidence”.  Rather, “the provisions empower the Commission to make an order in specific circumstances (</w:t>
      </w:r>
      <w:r w:rsidRPr="00684A62">
        <w:rPr>
          <w:rFonts w:cs="Times New Roman"/>
          <w:i/>
        </w:rPr>
        <w:t>i.e.</w:t>
      </w:r>
      <w:r w:rsidRPr="00684A62">
        <w:rPr>
          <w:rFonts w:cs="Times New Roman"/>
        </w:rPr>
        <w:t xml:space="preserve">, if a person is subject to another regulator’s order or has agreed to be subject to sanctions)” (R.F., at para. 53).  Because securities investigations do not always conclude within the six-year window, </w:t>
      </w:r>
      <w:r w:rsidRPr="00684A62">
        <w:rPr>
          <w:rFonts w:cs="Times New Roman"/>
        </w:rPr>
        <w:lastRenderedPageBreak/>
        <w:t>the purpose of s. 161(6)(d) would be undermined if the Commission were “barred from making an order in any case where the extra-provincial proceeding concludes more than six years after the date of the wrongdoer’s misconduct” (R.F., at para. 84).  Put simply, on the appellant’s interpretation, the limitation period could expire before the event referred to in s. 161(6)(d) ever occurs — and that would all but defeat the purpose of the provision.</w:t>
      </w:r>
    </w:p>
    <w:p w:rsidR="00DC267F" w:rsidRPr="00684A62" w:rsidRDefault="00DC267F" w:rsidP="00085039">
      <w:pPr>
        <w:pStyle w:val="TitleTitre-AltT"/>
        <w:tabs>
          <w:tab w:val="clear" w:pos="360"/>
          <w:tab w:val="left" w:pos="1170"/>
          <w:tab w:val="left" w:pos="1800"/>
        </w:tabs>
        <w:ind w:left="1170" w:hanging="1170"/>
        <w:rPr>
          <w:rFonts w:cs="Times New Roman"/>
          <w:i/>
        </w:rPr>
      </w:pPr>
      <w:r w:rsidRPr="00684A62">
        <w:rPr>
          <w:rFonts w:cs="Times New Roman"/>
        </w:rPr>
        <w:tab/>
        <w:t>(c)</w:t>
      </w:r>
      <w:r w:rsidRPr="00684A62">
        <w:rPr>
          <w:rFonts w:cs="Times New Roman"/>
        </w:rPr>
        <w:tab/>
      </w:r>
      <w:r w:rsidRPr="00684A62">
        <w:rPr>
          <w:rFonts w:cs="Times New Roman"/>
          <w:i/>
        </w:rPr>
        <w:t>The Choice Between the Two Interpretations</w:t>
      </w:r>
    </w:p>
    <w:p w:rsidR="00DC267F" w:rsidRPr="00684A62" w:rsidRDefault="00DC267F" w:rsidP="00DC267F">
      <w:pPr>
        <w:pStyle w:val="ParaNoNdepar-AltN"/>
        <w:tabs>
          <w:tab w:val="clear" w:pos="1152"/>
          <w:tab w:val="left" w:pos="1166"/>
        </w:tabs>
        <w:rPr>
          <w:rFonts w:cs="Times New Roman"/>
        </w:rPr>
      </w:pPr>
      <w:r w:rsidRPr="00684A62">
        <w:rPr>
          <w:rFonts w:cs="Times New Roman"/>
        </w:rPr>
        <w:t>For the reasons that follow, I conclude that both interpretations are reasonable.</w:t>
      </w:r>
      <w:r w:rsidRPr="00684A62">
        <w:rPr>
          <w:rFonts w:cs="Times New Roman"/>
          <w:szCs w:val="24"/>
        </w:rPr>
        <w:t xml:space="preserve">  Here, the statutory language is less than crystal clear.  Or, as Professor Willis once put it, “the words are ambiguous enough to induce two people to spend good money in backing two opposing views as to their meaning” (J. Willis, “Statute Interpretation in a Nutshell” (1938), 16 </w:t>
      </w:r>
      <w:r w:rsidRPr="009958A6">
        <w:rPr>
          <w:rFonts w:cs="Times New Roman"/>
          <w:i/>
          <w:szCs w:val="24"/>
        </w:rPr>
        <w:t>Can. Bar Rev.</w:t>
      </w:r>
      <w:r w:rsidRPr="00684A62">
        <w:rPr>
          <w:rFonts w:cs="Times New Roman"/>
          <w:szCs w:val="24"/>
        </w:rPr>
        <w:t xml:space="preserve"> 1, at pp. 4-5, cited in </w:t>
      </w:r>
      <w:r w:rsidRPr="00684A62">
        <w:rPr>
          <w:rFonts w:cs="Times New Roman"/>
          <w:i/>
          <w:szCs w:val="24"/>
        </w:rPr>
        <w:t>Bell ExpressVu Limited Partnership v. Rex</w:t>
      </w:r>
      <w:r w:rsidRPr="00684A62">
        <w:rPr>
          <w:rFonts w:cs="Times New Roman"/>
          <w:szCs w:val="24"/>
        </w:rPr>
        <w:t xml:space="preserve">, 2002 SCC 42, </w:t>
      </w:r>
      <w:r>
        <w:rPr>
          <w:rFonts w:cs="Times New Roman"/>
          <w:szCs w:val="24"/>
        </w:rPr>
        <w:t xml:space="preserve">[2002] 2 S.C.R. 559, </w:t>
      </w:r>
      <w:r w:rsidRPr="00684A62">
        <w:rPr>
          <w:rFonts w:cs="Times New Roman"/>
          <w:szCs w:val="24"/>
        </w:rPr>
        <w:t>at para. 30).</w:t>
      </w:r>
    </w:p>
    <w:p w:rsidR="00DC267F" w:rsidRPr="00684A62" w:rsidRDefault="00DC267F" w:rsidP="00DC267F">
      <w:pPr>
        <w:pStyle w:val="ParaNoNdepar-AltN"/>
        <w:tabs>
          <w:tab w:val="clear" w:pos="1152"/>
          <w:tab w:val="left" w:pos="1166"/>
        </w:tabs>
        <w:rPr>
          <w:rFonts w:cs="Times New Roman"/>
        </w:rPr>
      </w:pPr>
      <w:r w:rsidRPr="00684A62">
        <w:rPr>
          <w:rFonts w:cs="Times New Roman"/>
        </w:rPr>
        <w:t xml:space="preserve">It will not always be the case that a particular provision permits multiple reasonable interpretations.  Where the ordinary tools of statutory interpretation lead to a single reasonable interpretation </w:t>
      </w:r>
      <w:r>
        <w:rPr>
          <w:rFonts w:cs="Times New Roman"/>
        </w:rPr>
        <w:t xml:space="preserve">and the administrative decision </w:t>
      </w:r>
      <w:r w:rsidRPr="00684A62">
        <w:rPr>
          <w:rFonts w:cs="Times New Roman"/>
        </w:rPr>
        <w:t>maker adopts a different interpretation, its interpretation will necessarily be unreasonable — no degree of deference can justify its acceptance</w:t>
      </w:r>
      <w:r>
        <w:rPr>
          <w:rFonts w:cs="Times New Roman"/>
        </w:rPr>
        <w:t>;</w:t>
      </w:r>
      <w:r w:rsidRPr="00684A62">
        <w:rPr>
          <w:rFonts w:cs="Times New Roman"/>
        </w:rPr>
        <w:t xml:space="preserve"> </w:t>
      </w:r>
      <w:r>
        <w:rPr>
          <w:rFonts w:cs="Times New Roman"/>
        </w:rPr>
        <w:t>s</w:t>
      </w:r>
      <w:r w:rsidRPr="00684A62">
        <w:rPr>
          <w:rFonts w:cs="Times New Roman"/>
        </w:rPr>
        <w:t xml:space="preserve">ee, e.g., </w:t>
      </w:r>
      <w:r w:rsidRPr="00684A62">
        <w:rPr>
          <w:rFonts w:cs="Times New Roman"/>
          <w:i/>
        </w:rPr>
        <w:t>Dunsmuir</w:t>
      </w:r>
      <w:r w:rsidRPr="00684A62">
        <w:rPr>
          <w:rFonts w:cs="Times New Roman"/>
        </w:rPr>
        <w:t xml:space="preserve">, at para. 75; </w:t>
      </w:r>
      <w:r w:rsidRPr="00684A62">
        <w:rPr>
          <w:rFonts w:cs="Times New Roman"/>
          <w:i/>
        </w:rPr>
        <w:t>Mowat</w:t>
      </w:r>
      <w:r w:rsidRPr="00684A62">
        <w:rPr>
          <w:rFonts w:cs="Times New Roman"/>
        </w:rPr>
        <w:t xml:space="preserve">, at para. 34.  In those cases, </w:t>
      </w:r>
      <w:r w:rsidRPr="00684A62">
        <w:rPr>
          <w:rFonts w:cs="Times New Roman"/>
          <w:szCs w:val="24"/>
        </w:rPr>
        <w:t>the “range of reasonable outcomes” (</w:t>
      </w:r>
      <w:r w:rsidRPr="00684A62">
        <w:rPr>
          <w:rFonts w:cs="Times New Roman"/>
          <w:i/>
          <w:szCs w:val="24"/>
        </w:rPr>
        <w:t>Canada (Citizenship and Immigration) v. Khosa</w:t>
      </w:r>
      <w:r w:rsidRPr="00684A62">
        <w:rPr>
          <w:rFonts w:cs="Times New Roman"/>
          <w:szCs w:val="24"/>
        </w:rPr>
        <w:t xml:space="preserve">, 2009 SCC 12, </w:t>
      </w:r>
      <w:r>
        <w:rPr>
          <w:rFonts w:cs="Times New Roman"/>
          <w:szCs w:val="24"/>
        </w:rPr>
        <w:t xml:space="preserve">[2009] 1 S.C.R. 339, </w:t>
      </w:r>
      <w:r w:rsidRPr="00684A62">
        <w:rPr>
          <w:rFonts w:cs="Times New Roman"/>
          <w:szCs w:val="24"/>
        </w:rPr>
        <w:t xml:space="preserve">at para. </w:t>
      </w:r>
      <w:r w:rsidRPr="00684A62">
        <w:rPr>
          <w:rFonts w:cs="Times New Roman"/>
          <w:szCs w:val="24"/>
        </w:rPr>
        <w:lastRenderedPageBreak/>
        <w:t>4) will necessarily be limited to a single reasonable interpretation — and the administrative decision</w:t>
      </w:r>
      <w:r>
        <w:rPr>
          <w:rFonts w:cs="Times New Roman"/>
          <w:szCs w:val="24"/>
        </w:rPr>
        <w:t xml:space="preserve"> </w:t>
      </w:r>
      <w:r w:rsidRPr="00684A62">
        <w:rPr>
          <w:rFonts w:cs="Times New Roman"/>
          <w:szCs w:val="24"/>
        </w:rPr>
        <w:t>maker must adopt it.</w:t>
      </w:r>
    </w:p>
    <w:p w:rsidR="00DC267F" w:rsidRPr="00684A62" w:rsidRDefault="00DC267F" w:rsidP="00DC267F">
      <w:pPr>
        <w:pStyle w:val="ParaNoNdepar-AltN"/>
        <w:tabs>
          <w:tab w:val="clear" w:pos="1152"/>
          <w:tab w:val="left" w:pos="1166"/>
        </w:tabs>
        <w:rPr>
          <w:rFonts w:cs="Times New Roman"/>
        </w:rPr>
      </w:pPr>
      <w:r w:rsidRPr="00684A62">
        <w:rPr>
          <w:rFonts w:cs="Times New Roman"/>
          <w:szCs w:val="24"/>
        </w:rPr>
        <w:t>But, as I say, this is not one of those clear cases.  As between the two possible interpretations put forward with respect to the meaning of s. 159 as it applies to s. 161(6)(d), both find some</w:t>
      </w:r>
      <w:r w:rsidRPr="00684A62">
        <w:rPr>
          <w:rFonts w:cs="Times New Roman"/>
          <w:i/>
          <w:szCs w:val="24"/>
        </w:rPr>
        <w:t xml:space="preserve"> </w:t>
      </w:r>
      <w:r w:rsidRPr="00684A62">
        <w:rPr>
          <w:rFonts w:cs="Times New Roman"/>
          <w:szCs w:val="24"/>
        </w:rPr>
        <w:t xml:space="preserve">support in the text, context, and purpose of the statute.  In a word, both interpretations are </w:t>
      </w:r>
      <w:r w:rsidRPr="00684A62">
        <w:rPr>
          <w:rFonts w:cs="Times New Roman"/>
          <w:i/>
          <w:szCs w:val="24"/>
        </w:rPr>
        <w:t xml:space="preserve">reasonable.  </w:t>
      </w:r>
      <w:r w:rsidRPr="00684A62">
        <w:rPr>
          <w:rFonts w:cs="Times New Roman"/>
          <w:szCs w:val="24"/>
        </w:rPr>
        <w:t>The litmus test, of course, is that if the Commission had adopted the other</w:t>
      </w:r>
      <w:r w:rsidRPr="00684A62">
        <w:rPr>
          <w:rFonts w:cs="Times New Roman"/>
          <w:i/>
          <w:szCs w:val="24"/>
        </w:rPr>
        <w:t xml:space="preserve"> </w:t>
      </w:r>
      <w:r w:rsidRPr="00684A62">
        <w:rPr>
          <w:rFonts w:cs="Times New Roman"/>
          <w:szCs w:val="24"/>
        </w:rPr>
        <w:t xml:space="preserve">interpretation — that is, if the Commission had agreed with the appellant — I am hard-pressed to conclude that we would have rejected its decision as unreasonable.  </w:t>
      </w:r>
    </w:p>
    <w:p w:rsidR="00DC267F" w:rsidRPr="00684A62" w:rsidRDefault="00DC267F" w:rsidP="00DC267F">
      <w:pPr>
        <w:pStyle w:val="ParaNoNdepar-AltN"/>
        <w:tabs>
          <w:tab w:val="clear" w:pos="1152"/>
          <w:tab w:val="left" w:pos="1166"/>
        </w:tabs>
        <w:rPr>
          <w:rFonts w:cs="Times New Roman"/>
        </w:rPr>
      </w:pPr>
      <w:r w:rsidRPr="00684A62">
        <w:rPr>
          <w:rFonts w:cs="Times New Roman"/>
        </w:rPr>
        <w:t xml:space="preserve">The bottom line here, then, is that the Commission holds the interpretative upper hand:  under reasonableness review, we defer to </w:t>
      </w:r>
      <w:r w:rsidRPr="00684A62">
        <w:rPr>
          <w:rFonts w:cs="Times New Roman"/>
          <w:i/>
        </w:rPr>
        <w:t>any</w:t>
      </w:r>
      <w:r w:rsidRPr="00684A62">
        <w:rPr>
          <w:rFonts w:cs="Times New Roman"/>
        </w:rPr>
        <w:t xml:space="preserve"> reasonable interpretation adopted by an administrative </w:t>
      </w:r>
      <w:r>
        <w:rPr>
          <w:rFonts w:cs="Times New Roman"/>
        </w:rPr>
        <w:t>decision maker</w:t>
      </w:r>
      <w:r w:rsidRPr="00684A62">
        <w:rPr>
          <w:rFonts w:cs="Times New Roman"/>
        </w:rPr>
        <w:t xml:space="preserve">, </w:t>
      </w:r>
      <w:r w:rsidRPr="00684A62">
        <w:rPr>
          <w:rFonts w:cs="Times New Roman"/>
          <w:i/>
        </w:rPr>
        <w:t>even if</w:t>
      </w:r>
      <w:r w:rsidRPr="00684A62">
        <w:rPr>
          <w:rFonts w:cs="Times New Roman"/>
        </w:rPr>
        <w:t xml:space="preserve"> other reasonable interpretations may exist.  Because the legislature charged the administrative </w:t>
      </w:r>
      <w:r>
        <w:rPr>
          <w:rFonts w:cs="Times New Roman"/>
        </w:rPr>
        <w:t>decision maker</w:t>
      </w:r>
      <w:r w:rsidRPr="00684A62">
        <w:rPr>
          <w:rFonts w:cs="Times New Roman"/>
        </w:rPr>
        <w:t xml:space="preserve"> rather than the courts</w:t>
      </w:r>
      <w:r w:rsidRPr="00684A62">
        <w:rPr>
          <w:rFonts w:cs="Times New Roman"/>
          <w:i/>
        </w:rPr>
        <w:t xml:space="preserve"> </w:t>
      </w:r>
      <w:r w:rsidRPr="00684A62">
        <w:rPr>
          <w:rFonts w:cs="Times New Roman"/>
        </w:rPr>
        <w:t>with “administer[ing] and apply[ing]” its home statute (</w:t>
      </w:r>
      <w:r w:rsidRPr="00684A62">
        <w:rPr>
          <w:rFonts w:cs="Times New Roman"/>
          <w:i/>
        </w:rPr>
        <w:t>Pezim</w:t>
      </w:r>
      <w:r w:rsidRPr="00684A62">
        <w:rPr>
          <w:rFonts w:cs="Times New Roman"/>
        </w:rPr>
        <w:t>, at p</w:t>
      </w:r>
      <w:r>
        <w:rPr>
          <w:rFonts w:cs="Times New Roman"/>
        </w:rPr>
        <w:t>. 596</w:t>
      </w:r>
      <w:r w:rsidRPr="00684A62">
        <w:rPr>
          <w:rFonts w:cs="Times New Roman"/>
        </w:rPr>
        <w:t xml:space="preserve">), it is the </w:t>
      </w:r>
      <w:r>
        <w:rPr>
          <w:rFonts w:cs="Times New Roman"/>
        </w:rPr>
        <w:t>decision maker</w:t>
      </w:r>
      <w:r w:rsidRPr="00684A62">
        <w:rPr>
          <w:rFonts w:cs="Times New Roman"/>
        </w:rPr>
        <w:t xml:space="preserve">, first and foremost, that has the discretion to resolve a statutory uncertainty by adopting any interpretation that the statutory language can reasonably bear.  Judicial deference in such instances is itself a principle of modern statutory interpretation.  </w:t>
      </w:r>
    </w:p>
    <w:p w:rsidR="00DC267F" w:rsidRPr="00684A62" w:rsidRDefault="00DC267F" w:rsidP="00DC267F">
      <w:pPr>
        <w:pStyle w:val="ParaNoNdepar-AltN"/>
        <w:tabs>
          <w:tab w:val="clear" w:pos="1152"/>
          <w:tab w:val="left" w:pos="1166"/>
        </w:tabs>
        <w:rPr>
          <w:rFonts w:cs="Times New Roman"/>
        </w:rPr>
      </w:pPr>
      <w:r w:rsidRPr="00684A62">
        <w:rPr>
          <w:rFonts w:cs="Times New Roman"/>
        </w:rPr>
        <w:t xml:space="preserve">Accordingly, the appellant’s burden here is not only to show that her competing interpretation is reasonable, but also that the Commission’s interpretation is </w:t>
      </w:r>
      <w:r w:rsidRPr="00684A62">
        <w:rPr>
          <w:rFonts w:cs="Times New Roman"/>
          <w:i/>
        </w:rPr>
        <w:t xml:space="preserve">unreasonable.  </w:t>
      </w:r>
      <w:r w:rsidRPr="00684A62">
        <w:rPr>
          <w:rFonts w:cs="Times New Roman"/>
        </w:rPr>
        <w:t xml:space="preserve">And that she has not done.  </w:t>
      </w:r>
      <w:r w:rsidRPr="00684A62">
        <w:rPr>
          <w:rFonts w:cs="Times New Roman"/>
          <w:szCs w:val="24"/>
        </w:rPr>
        <w:t xml:space="preserve">Here, the Commission, with the benefit </w:t>
      </w:r>
      <w:r w:rsidRPr="00684A62">
        <w:rPr>
          <w:rFonts w:cs="Times New Roman"/>
          <w:szCs w:val="24"/>
        </w:rPr>
        <w:lastRenderedPageBreak/>
        <w:t>of its expertise, chose the interpretation it did.  And because that interpretation has not been shown to be an unreasonable one, there is no basis for us to interfere on judicial review — even in the face of a competing reasonable interpretation.</w:t>
      </w:r>
    </w:p>
    <w:p w:rsidR="00DC267F" w:rsidRPr="00684A62" w:rsidRDefault="00085039" w:rsidP="00085039">
      <w:pPr>
        <w:pStyle w:val="TitleTitre-AltT"/>
        <w:tabs>
          <w:tab w:val="clear" w:pos="360"/>
          <w:tab w:val="left" w:pos="1170"/>
          <w:tab w:val="left" w:pos="1800"/>
        </w:tabs>
        <w:ind w:left="1170" w:hanging="1170"/>
        <w:rPr>
          <w:rFonts w:cs="Times New Roman"/>
          <w:i/>
        </w:rPr>
      </w:pPr>
      <w:r>
        <w:rPr>
          <w:rFonts w:cs="Times New Roman"/>
        </w:rPr>
        <w:tab/>
      </w:r>
      <w:r w:rsidR="00DC267F" w:rsidRPr="00684A62">
        <w:rPr>
          <w:rFonts w:cs="Times New Roman"/>
        </w:rPr>
        <w:t>(2)</w:t>
      </w:r>
      <w:r w:rsidR="00DC267F" w:rsidRPr="00684A62">
        <w:rPr>
          <w:rFonts w:cs="Times New Roman"/>
        </w:rPr>
        <w:tab/>
      </w:r>
      <w:r w:rsidR="00DC267F" w:rsidRPr="00684A62">
        <w:rPr>
          <w:rFonts w:cs="Times New Roman"/>
          <w:u w:val="single"/>
        </w:rPr>
        <w:t>Ordinary Meaning</w:t>
      </w:r>
    </w:p>
    <w:p w:rsidR="00DC267F" w:rsidRPr="00684A62" w:rsidRDefault="00DC267F" w:rsidP="00DC267F">
      <w:pPr>
        <w:pStyle w:val="ParaNoNdepar-AltN"/>
        <w:tabs>
          <w:tab w:val="clear" w:pos="1152"/>
          <w:tab w:val="left" w:pos="1166"/>
        </w:tabs>
        <w:rPr>
          <w:rFonts w:cs="Times New Roman"/>
        </w:rPr>
      </w:pPr>
      <w:r w:rsidRPr="00684A62">
        <w:rPr>
          <w:rFonts w:cs="Times New Roman"/>
        </w:rPr>
        <w:t>Beginning with the ordinary meaning of “the events”, on the surface it would appear that “the even</w:t>
      </w:r>
      <w:r>
        <w:rPr>
          <w:rFonts w:cs="Times New Roman"/>
        </w:rPr>
        <w:t>[</w:t>
      </w:r>
      <w:r w:rsidRPr="00684A62">
        <w:rPr>
          <w:rFonts w:cs="Times New Roman"/>
        </w:rPr>
        <w:t>t]” giving rise to a proceeding under s. 161(6)(d) is the fact of “ha[ving] agreed with a securities regulatory authority” to be subject to regulatory action.  By ordinary meaning, I refer simply to the “natural meaning which appears when the provision is simply read through” (</w:t>
      </w:r>
      <w:r w:rsidRPr="00684A62">
        <w:rPr>
          <w:rFonts w:cs="Times New Roman"/>
          <w:i/>
        </w:rPr>
        <w:t>Canadian Pacific Air Lines Ltd. v. Canadian Air Line Pilots Assn.</w:t>
      </w:r>
      <w:r w:rsidRPr="00684A62">
        <w:rPr>
          <w:rFonts w:cs="Times New Roman"/>
        </w:rPr>
        <w:t>, [1993] 3 S.C.R. 724, at p. 735).  The ordinary meaning would thus appear to support the Commission’s interpretation.</w:t>
      </w:r>
    </w:p>
    <w:p w:rsidR="00DC267F" w:rsidRPr="00684A62" w:rsidRDefault="00DC267F" w:rsidP="00DC267F">
      <w:pPr>
        <w:pStyle w:val="ParaNoNdepar-AltN"/>
        <w:tabs>
          <w:tab w:val="clear" w:pos="1152"/>
          <w:tab w:val="left" w:pos="1166"/>
        </w:tabs>
        <w:rPr>
          <w:rFonts w:cs="Times New Roman"/>
        </w:rPr>
      </w:pPr>
      <w:r w:rsidRPr="00684A62">
        <w:rPr>
          <w:rFonts w:cs="Times New Roman"/>
        </w:rPr>
        <w:t>However, satisfying oneself as to the ordinary meaning of the phrase “is not determinative and does not constitute the end of the inquiry” (</w:t>
      </w:r>
      <w:r w:rsidRPr="00684A62">
        <w:rPr>
          <w:rFonts w:cs="Times New Roman"/>
          <w:i/>
        </w:rPr>
        <w:t>ATCO Gas and Pipelines Ltd. v. Alberta (Energy and Utilities Board)</w:t>
      </w:r>
      <w:r w:rsidRPr="00684A62">
        <w:rPr>
          <w:rFonts w:cs="Times New Roman"/>
        </w:rPr>
        <w:t>, 2006 SCC 4,</w:t>
      </w:r>
      <w:r>
        <w:rPr>
          <w:rFonts w:cs="Times New Roman"/>
        </w:rPr>
        <w:t xml:space="preserve"> [2006] 1 S.C.R. 140,</w:t>
      </w:r>
      <w:r w:rsidRPr="00684A62">
        <w:rPr>
          <w:rFonts w:cs="Times New Roman"/>
        </w:rPr>
        <w:t xml:space="preserve"> at para. 48).  Although it is presumed that the ordinary meaning is the one intended by the legislature, courts are obliged to look at other indicators of legislative meaning as part of their work of interpretation.  That is so because</w:t>
      </w:r>
    </w:p>
    <w:p w:rsidR="00DC267F" w:rsidRPr="00684A62" w:rsidRDefault="00DC267F" w:rsidP="00DC267F">
      <w:pPr>
        <w:pStyle w:val="Citation-AltC"/>
        <w:ind w:firstLine="454"/>
      </w:pPr>
      <w:r w:rsidRPr="00684A62">
        <w:t>[w]ords that appear clear and unambiguous may in fact prove to be ambiguous once placed in their context. The possibility of the context revealing a latent ambiguity such as this is a logical result of the modern approach to interpretation.</w:t>
      </w:r>
    </w:p>
    <w:p w:rsidR="00DC267F" w:rsidRPr="00684A62" w:rsidRDefault="00DC267F" w:rsidP="00DC267F">
      <w:pPr>
        <w:pStyle w:val="Citation-AltC"/>
      </w:pPr>
    </w:p>
    <w:p w:rsidR="00DC267F" w:rsidRPr="00684A62" w:rsidRDefault="00DC267F" w:rsidP="00085039">
      <w:pPr>
        <w:pStyle w:val="ContinueParaSuitedupar-AltP"/>
        <w:spacing w:after="720" w:line="240" w:lineRule="auto"/>
      </w:pPr>
      <w:r w:rsidRPr="00684A62">
        <w:lastRenderedPageBreak/>
        <w:t>(</w:t>
      </w:r>
      <w:r w:rsidRPr="00684A62">
        <w:rPr>
          <w:i/>
        </w:rPr>
        <w:t>Montréal (City) v. 2952-1366 Québec Inc.</w:t>
      </w:r>
      <w:r w:rsidRPr="00684A62">
        <w:t xml:space="preserve">, 2005 SCC 62, </w:t>
      </w:r>
      <w:r>
        <w:t xml:space="preserve">[2005] 3 S.C.R. 141, </w:t>
      </w:r>
      <w:r w:rsidRPr="00684A62">
        <w:t>at para. 10)</w:t>
      </w:r>
    </w:p>
    <w:p w:rsidR="00DC267F" w:rsidRPr="00684A62" w:rsidRDefault="00DC267F" w:rsidP="00DC267F">
      <w:pPr>
        <w:pStyle w:val="ParaNoNdepar-AltN"/>
        <w:tabs>
          <w:tab w:val="clear" w:pos="1152"/>
          <w:tab w:val="left" w:pos="1166"/>
        </w:tabs>
        <w:rPr>
          <w:rFonts w:cs="Times New Roman"/>
        </w:rPr>
      </w:pPr>
      <w:r w:rsidRPr="00684A62">
        <w:rPr>
          <w:rFonts w:cs="Times New Roman"/>
        </w:rPr>
        <w:t>That possibility is realized here.  Though the ordinary meaning seems apparent enough, digging deeper into the context and purpose of the provision casts some doubt on that conclusion — and introduces the possibility of another reasonable interpretation.</w:t>
      </w:r>
    </w:p>
    <w:p w:rsidR="00DC267F" w:rsidRPr="00684A62" w:rsidRDefault="00085039" w:rsidP="00085039">
      <w:pPr>
        <w:pStyle w:val="TitleTitre-AltT"/>
        <w:tabs>
          <w:tab w:val="clear" w:pos="360"/>
          <w:tab w:val="left" w:pos="1170"/>
          <w:tab w:val="left" w:pos="1800"/>
        </w:tabs>
        <w:ind w:left="1170" w:hanging="1170"/>
        <w:rPr>
          <w:rFonts w:cs="Times New Roman"/>
          <w:u w:val="single"/>
        </w:rPr>
      </w:pPr>
      <w:r>
        <w:rPr>
          <w:rFonts w:cs="Times New Roman"/>
        </w:rPr>
        <w:tab/>
      </w:r>
      <w:r w:rsidR="00DC267F" w:rsidRPr="00684A62">
        <w:rPr>
          <w:rFonts w:cs="Times New Roman"/>
        </w:rPr>
        <w:t>(3)</w:t>
      </w:r>
      <w:r w:rsidR="00DC267F" w:rsidRPr="00684A62">
        <w:rPr>
          <w:rFonts w:cs="Times New Roman"/>
        </w:rPr>
        <w:tab/>
      </w:r>
      <w:r w:rsidR="00DC267F" w:rsidRPr="00684A62">
        <w:rPr>
          <w:rFonts w:cs="Times New Roman"/>
          <w:u w:val="single"/>
        </w:rPr>
        <w:t>Drafting History</w:t>
      </w:r>
    </w:p>
    <w:p w:rsidR="00DC267F" w:rsidRPr="00684A62" w:rsidRDefault="00DC267F" w:rsidP="00DC267F">
      <w:pPr>
        <w:pStyle w:val="ParaNoNdepar-AltN"/>
        <w:tabs>
          <w:tab w:val="clear" w:pos="1152"/>
          <w:tab w:val="left" w:pos="1166"/>
        </w:tabs>
        <w:rPr>
          <w:rFonts w:cs="Times New Roman"/>
        </w:rPr>
      </w:pPr>
      <w:r w:rsidRPr="00684A62">
        <w:rPr>
          <w:rFonts w:cs="Times New Roman"/>
        </w:rPr>
        <w:t xml:space="preserve">The limitation period in s. 159 predates the addition of s. 161(6) by roughly a decade.  Before s. 161(6) was introduced by the </w:t>
      </w:r>
      <w:r w:rsidRPr="00684A62">
        <w:rPr>
          <w:rFonts w:eastAsiaTheme="minorHAnsi" w:cs="Times New Roman"/>
          <w:i/>
        </w:rPr>
        <w:t>Securities Amendment Act, 2006</w:t>
      </w:r>
      <w:r w:rsidRPr="00684A62">
        <w:rPr>
          <w:rFonts w:cs="Times New Roman"/>
        </w:rPr>
        <w:t xml:space="preserve">, </w:t>
      </w:r>
      <w:r>
        <w:rPr>
          <w:rFonts w:cs="Times New Roman"/>
        </w:rPr>
        <w:t xml:space="preserve">S.B.C. 2006, c. 32, </w:t>
      </w:r>
      <w:r w:rsidRPr="00684A62">
        <w:rPr>
          <w:rFonts w:cs="Times New Roman"/>
        </w:rPr>
        <w:t>it was clear that s. 159 ran from the date of the underlying misconduct</w:t>
      </w:r>
      <w:r>
        <w:rPr>
          <w:rFonts w:cs="Times New Roman"/>
        </w:rPr>
        <w:t>;</w:t>
      </w:r>
      <w:r w:rsidRPr="00684A62">
        <w:rPr>
          <w:rFonts w:cs="Times New Roman"/>
        </w:rPr>
        <w:t xml:space="preserve"> </w:t>
      </w:r>
      <w:r>
        <w:rPr>
          <w:rFonts w:cs="Times New Roman"/>
        </w:rPr>
        <w:t>s</w:t>
      </w:r>
      <w:r w:rsidRPr="00684A62">
        <w:rPr>
          <w:rFonts w:cs="Times New Roman"/>
        </w:rPr>
        <w:t xml:space="preserve">ee, e.g., </w:t>
      </w:r>
      <w:r w:rsidRPr="00684A62">
        <w:rPr>
          <w:rFonts w:cs="Times New Roman"/>
          <w:i/>
        </w:rPr>
        <w:t>Dennis</w:t>
      </w:r>
      <w:r>
        <w:rPr>
          <w:rFonts w:cs="Times New Roman"/>
          <w:i/>
        </w:rPr>
        <w:t xml:space="preserve"> (Re)</w:t>
      </w:r>
      <w:r w:rsidRPr="00684A62">
        <w:rPr>
          <w:rFonts w:cs="Times New Roman"/>
        </w:rPr>
        <w:t xml:space="preserve">, 2005 BCSECCOM 65, </w:t>
      </w:r>
      <w:r>
        <w:rPr>
          <w:rFonts w:cs="Times New Roman"/>
        </w:rPr>
        <w:t xml:space="preserve">2004 LNBCSC 705 (QL), </w:t>
      </w:r>
      <w:r w:rsidRPr="00684A62">
        <w:rPr>
          <w:rFonts w:cs="Times New Roman"/>
        </w:rPr>
        <w:t xml:space="preserve">at para. 38; </w:t>
      </w:r>
      <w:r w:rsidRPr="00684A62">
        <w:rPr>
          <w:rFonts w:cs="Times New Roman"/>
          <w:i/>
        </w:rPr>
        <w:t>Bapty</w:t>
      </w:r>
      <w:r w:rsidRPr="00684A62">
        <w:rPr>
          <w:rFonts w:cs="Times New Roman"/>
        </w:rPr>
        <w:t>, at para. 28.  As mentioned, the parties do not contend otherwise.</w:t>
      </w:r>
    </w:p>
    <w:p w:rsidR="00DC267F" w:rsidRPr="00684A62" w:rsidRDefault="00DC267F" w:rsidP="00DC267F">
      <w:pPr>
        <w:pStyle w:val="ParaNoNdepar-AltN"/>
        <w:tabs>
          <w:tab w:val="clear" w:pos="1152"/>
          <w:tab w:val="left" w:pos="1166"/>
        </w:tabs>
        <w:rPr>
          <w:rFonts w:cs="Times New Roman"/>
        </w:rPr>
      </w:pPr>
      <w:r w:rsidRPr="00684A62">
        <w:rPr>
          <w:rFonts w:cs="Times New Roman"/>
        </w:rPr>
        <w:t>It was only with the addition of s. 161(6) that the start</w:t>
      </w:r>
      <w:r>
        <w:rPr>
          <w:rFonts w:cs="Times New Roman"/>
        </w:rPr>
        <w:t xml:space="preserve"> </w:t>
      </w:r>
      <w:r w:rsidRPr="00684A62">
        <w:rPr>
          <w:rFonts w:cs="Times New Roman"/>
        </w:rPr>
        <w:t>date for the limitations clock became unclear.  Given that the legislature chose not to change the wording of s. 159 after it added s. 161(6), it stands to reason that the legislature intended “the events” in s. 159 to continue to refer to the misconduct at issue, regardless of the addition of s. 161(6).  In other words, the original meaning of “the events” did not change overnight.  And as Dickson J. (as he then was) observed, “words must be given the meanings they had at the time of enactment” (</w:t>
      </w:r>
      <w:r w:rsidRPr="00684A62">
        <w:rPr>
          <w:rFonts w:cs="Times New Roman"/>
          <w:i/>
        </w:rPr>
        <w:t xml:space="preserve">Perka v. </w:t>
      </w:r>
      <w:r>
        <w:rPr>
          <w:rFonts w:cs="Times New Roman"/>
          <w:i/>
        </w:rPr>
        <w:t>The Queen</w:t>
      </w:r>
      <w:r w:rsidRPr="00684A62">
        <w:rPr>
          <w:rFonts w:cs="Times New Roman"/>
        </w:rPr>
        <w:t xml:space="preserve">, [1984] 2 S.C.R. 232, at p. 265, citing </w:t>
      </w:r>
      <w:r>
        <w:rPr>
          <w:rFonts w:cs="Times New Roman"/>
        </w:rPr>
        <w:t xml:space="preserve">E. A. Driedger, </w:t>
      </w:r>
      <w:r>
        <w:rPr>
          <w:rFonts w:cs="Times New Roman"/>
          <w:i/>
        </w:rPr>
        <w:t xml:space="preserve">Construction of Statutes </w:t>
      </w:r>
      <w:r>
        <w:rPr>
          <w:rFonts w:cs="Times New Roman"/>
        </w:rPr>
        <w:lastRenderedPageBreak/>
        <w:t>(2</w:t>
      </w:r>
      <w:r w:rsidRPr="00010297">
        <w:rPr>
          <w:rFonts w:cs="Times New Roman"/>
        </w:rPr>
        <w:t>nd</w:t>
      </w:r>
      <w:r>
        <w:rPr>
          <w:rFonts w:cs="Times New Roman"/>
        </w:rPr>
        <w:t xml:space="preserve"> ed. 1983), at p. 163).</w:t>
      </w:r>
      <w:r w:rsidRPr="00684A62">
        <w:rPr>
          <w:rFonts w:cs="Times New Roman"/>
        </w:rPr>
        <w:t xml:space="preserve">  If one accepts this line of reasoning, it lends support to the appellant’s interpretation.</w:t>
      </w:r>
    </w:p>
    <w:p w:rsidR="00DC267F" w:rsidRPr="00684A62" w:rsidRDefault="00DC267F" w:rsidP="00DC267F">
      <w:pPr>
        <w:pStyle w:val="ParaNoNdepar-AltN"/>
        <w:tabs>
          <w:tab w:val="clear" w:pos="1152"/>
          <w:tab w:val="left" w:pos="1166"/>
        </w:tabs>
        <w:rPr>
          <w:rFonts w:cs="Times New Roman"/>
        </w:rPr>
      </w:pPr>
      <w:r w:rsidRPr="00684A62">
        <w:rPr>
          <w:rFonts w:cs="Times New Roman"/>
        </w:rPr>
        <w:t>On the other hand, one could argue that the original meaning of “the events” never changed — all that did was what qualified as an “event” in a particular context.  It is important to distinguish between these two concepts.  As Professor Sullivan has explained, “even though the meaning</w:t>
      </w:r>
      <w:r w:rsidRPr="00684A62">
        <w:rPr>
          <w:rFonts w:cs="Times New Roman"/>
          <w:i/>
        </w:rPr>
        <w:t xml:space="preserve"> </w:t>
      </w:r>
      <w:r w:rsidRPr="00684A62">
        <w:rPr>
          <w:rFonts w:cs="Times New Roman"/>
        </w:rPr>
        <w:t>of a word remains constant, the things</w:t>
      </w:r>
      <w:r w:rsidRPr="00684A62">
        <w:rPr>
          <w:rFonts w:cs="Times New Roman"/>
          <w:i/>
        </w:rPr>
        <w:t xml:space="preserve"> </w:t>
      </w:r>
      <w:r w:rsidRPr="00684A62">
        <w:rPr>
          <w:rFonts w:cs="Times New Roman"/>
        </w:rPr>
        <w:t>or events</w:t>
      </w:r>
      <w:r w:rsidRPr="00684A62">
        <w:rPr>
          <w:rFonts w:cs="Times New Roman"/>
          <w:i/>
        </w:rPr>
        <w:t xml:space="preserve"> </w:t>
      </w:r>
      <w:r w:rsidRPr="00684A62">
        <w:rPr>
          <w:rFonts w:cs="Times New Roman"/>
        </w:rPr>
        <w:t>that fall within its ambit may change dramatically over time” (R</w:t>
      </w:r>
      <w:r>
        <w:rPr>
          <w:rFonts w:cs="Times New Roman"/>
        </w:rPr>
        <w:t>. Sullivan,</w:t>
      </w:r>
      <w:r w:rsidRPr="00684A62">
        <w:rPr>
          <w:rFonts w:cs="Times New Roman"/>
        </w:rPr>
        <w:t xml:space="preserve"> </w:t>
      </w:r>
      <w:r w:rsidRPr="00684A62">
        <w:rPr>
          <w:rFonts w:cs="Times New Roman"/>
          <w:i/>
        </w:rPr>
        <w:t>Sullivan on the Construction of Statutes</w:t>
      </w:r>
      <w:r w:rsidRPr="00684A62">
        <w:rPr>
          <w:rFonts w:cs="Times New Roman"/>
        </w:rPr>
        <w:t xml:space="preserve"> (5th ed. 2008), at p.</w:t>
      </w:r>
      <w:r>
        <w:rPr>
          <w:rFonts w:cs="Times New Roman"/>
        </w:rPr>
        <w:t> 149</w:t>
      </w:r>
      <w:r w:rsidRPr="00684A62">
        <w:rPr>
          <w:rFonts w:cs="Times New Roman"/>
        </w:rPr>
        <w:t>; see also P.</w:t>
      </w:r>
      <w:r>
        <w:rPr>
          <w:rFonts w:cs="Times New Roman"/>
        </w:rPr>
        <w:t>-</w:t>
      </w:r>
      <w:r w:rsidRPr="00684A62">
        <w:rPr>
          <w:rFonts w:cs="Times New Roman"/>
        </w:rPr>
        <w:t>A. Côté,</w:t>
      </w:r>
      <w:r>
        <w:rPr>
          <w:rFonts w:cs="Times New Roman"/>
        </w:rPr>
        <w:t xml:space="preserve"> in collaboration with S. Beaulac and M. Devinat, </w:t>
      </w:r>
      <w:r w:rsidRPr="00684A62">
        <w:rPr>
          <w:rFonts w:cs="Times New Roman"/>
          <w:i/>
        </w:rPr>
        <w:t>The Interpretation of Legislation in Canada</w:t>
      </w:r>
      <w:r w:rsidRPr="00684A62">
        <w:rPr>
          <w:rFonts w:cs="Times New Roman"/>
        </w:rPr>
        <w:t xml:space="preserve"> (</w:t>
      </w:r>
      <w:r>
        <w:rPr>
          <w:rFonts w:cs="Times New Roman"/>
        </w:rPr>
        <w:t>4th</w:t>
      </w:r>
      <w:r w:rsidRPr="00684A62">
        <w:rPr>
          <w:rFonts w:cs="Times New Roman"/>
        </w:rPr>
        <w:t xml:space="preserve"> ed. 20</w:t>
      </w:r>
      <w:r>
        <w:rPr>
          <w:rFonts w:cs="Times New Roman"/>
        </w:rPr>
        <w:t>11</w:t>
      </w:r>
      <w:r w:rsidRPr="00684A62">
        <w:rPr>
          <w:rFonts w:cs="Times New Roman"/>
        </w:rPr>
        <w:t>), at p</w:t>
      </w:r>
      <w:r>
        <w:rPr>
          <w:rFonts w:cs="Times New Roman"/>
        </w:rPr>
        <w:t>p</w:t>
      </w:r>
      <w:r w:rsidRPr="00684A62">
        <w:rPr>
          <w:rFonts w:cs="Times New Roman"/>
        </w:rPr>
        <w:t>. 2</w:t>
      </w:r>
      <w:r>
        <w:rPr>
          <w:rFonts w:cs="Times New Roman"/>
        </w:rPr>
        <w:t>87-88</w:t>
      </w:r>
      <w:r w:rsidRPr="00684A62">
        <w:rPr>
          <w:rFonts w:cs="Times New Roman"/>
        </w:rPr>
        <w:t>).  This argument, which lends support to the Commission’s interpretation, is best illustrated by a contextual reading of s. 159, to which I now turn.</w:t>
      </w:r>
    </w:p>
    <w:p w:rsidR="00DC267F" w:rsidRPr="00684A62" w:rsidRDefault="00085039" w:rsidP="00085039">
      <w:pPr>
        <w:pStyle w:val="TitleTitre-AltT"/>
        <w:tabs>
          <w:tab w:val="clear" w:pos="360"/>
          <w:tab w:val="left" w:pos="1170"/>
          <w:tab w:val="left" w:pos="1800"/>
        </w:tabs>
        <w:ind w:left="1170" w:hanging="1170"/>
        <w:rPr>
          <w:rFonts w:cs="Times New Roman"/>
          <w:i/>
        </w:rPr>
      </w:pPr>
      <w:r>
        <w:rPr>
          <w:rFonts w:cs="Times New Roman"/>
        </w:rPr>
        <w:tab/>
      </w:r>
      <w:r w:rsidR="00DC267F" w:rsidRPr="00684A62">
        <w:rPr>
          <w:rFonts w:cs="Times New Roman"/>
        </w:rPr>
        <w:t>(4)</w:t>
      </w:r>
      <w:r w:rsidR="00DC267F" w:rsidRPr="00684A62">
        <w:rPr>
          <w:rFonts w:cs="Times New Roman"/>
        </w:rPr>
        <w:tab/>
      </w:r>
      <w:r w:rsidR="00DC267F" w:rsidRPr="00684A62">
        <w:rPr>
          <w:rFonts w:cs="Times New Roman"/>
          <w:u w:val="single"/>
        </w:rPr>
        <w:t>The Provision Read in Context</w:t>
      </w:r>
    </w:p>
    <w:p w:rsidR="00DC267F" w:rsidRPr="00684A62" w:rsidRDefault="00DC267F" w:rsidP="00DC267F">
      <w:pPr>
        <w:pStyle w:val="ParaNoNdepar-AltN"/>
        <w:tabs>
          <w:tab w:val="clear" w:pos="1152"/>
          <w:tab w:val="left" w:pos="1166"/>
        </w:tabs>
        <w:rPr>
          <w:rFonts w:cs="Times New Roman"/>
        </w:rPr>
      </w:pPr>
      <w:r w:rsidRPr="00684A62">
        <w:rPr>
          <w:rFonts w:eastAsiaTheme="minorHAnsi" w:cs="Times New Roman"/>
        </w:rPr>
        <w:t>The use of the phrase “the events that give rise to the proceedings” in s.</w:t>
      </w:r>
      <w:r>
        <w:rPr>
          <w:rFonts w:eastAsiaTheme="minorHAnsi" w:cs="Times New Roman"/>
        </w:rPr>
        <w:t> </w:t>
      </w:r>
      <w:r w:rsidRPr="00684A62">
        <w:rPr>
          <w:rFonts w:eastAsiaTheme="minorHAnsi" w:cs="Times New Roman"/>
        </w:rPr>
        <w:t xml:space="preserve">159 is relatively open-ended, as can be seen when contrasted with the language used in other limitations provisions in the </w:t>
      </w:r>
      <w:r w:rsidRPr="00684A62">
        <w:rPr>
          <w:rFonts w:eastAsiaTheme="minorHAnsi" w:cs="Times New Roman"/>
          <w:i/>
        </w:rPr>
        <w:t>Act</w:t>
      </w:r>
      <w:r w:rsidRPr="00684A62">
        <w:rPr>
          <w:rFonts w:eastAsiaTheme="minorHAnsi" w:cs="Times New Roman"/>
        </w:rPr>
        <w:t xml:space="preserve">.  For example, s. 140(a), which provides for limitation periods for </w:t>
      </w:r>
      <w:r>
        <w:rPr>
          <w:rFonts w:eastAsiaTheme="minorHAnsi" w:cs="Times New Roman"/>
        </w:rPr>
        <w:t>actions for rescission</w:t>
      </w:r>
      <w:r w:rsidRPr="00684A62">
        <w:rPr>
          <w:rFonts w:eastAsiaTheme="minorHAnsi" w:cs="Times New Roman"/>
        </w:rPr>
        <w:t xml:space="preserve">, speaks of “180 days after the date of </w:t>
      </w:r>
      <w:r w:rsidRPr="00684A62">
        <w:rPr>
          <w:rFonts w:eastAsiaTheme="minorHAnsi" w:cs="Times New Roman"/>
          <w:u w:val="single"/>
        </w:rPr>
        <w:t>the transaction</w:t>
      </w:r>
      <w:r w:rsidRPr="00684A62">
        <w:rPr>
          <w:rFonts w:eastAsiaTheme="minorHAnsi" w:cs="Times New Roman"/>
        </w:rPr>
        <w:t xml:space="preserve"> that gave rise to the cause of action”.  Section 140.94, which concerns actions related to secondary market disclosure, speaks of “3 years after the date on which </w:t>
      </w:r>
      <w:r w:rsidRPr="00684A62">
        <w:rPr>
          <w:rFonts w:eastAsiaTheme="minorHAnsi" w:cs="Times New Roman"/>
          <w:u w:val="single"/>
        </w:rPr>
        <w:t>the document containing the misrepresentation</w:t>
      </w:r>
      <w:r w:rsidRPr="00684A62">
        <w:rPr>
          <w:rFonts w:eastAsiaTheme="minorHAnsi" w:cs="Times New Roman"/>
        </w:rPr>
        <w:t xml:space="preserve"> was first released”.</w:t>
      </w:r>
    </w:p>
    <w:p w:rsidR="00DC267F" w:rsidRPr="00684A62" w:rsidRDefault="00DC267F" w:rsidP="00DC267F">
      <w:pPr>
        <w:pStyle w:val="ParaNoNdepar-AltN"/>
        <w:tabs>
          <w:tab w:val="clear" w:pos="1152"/>
          <w:tab w:val="left" w:pos="1166"/>
        </w:tabs>
        <w:rPr>
          <w:rFonts w:cs="Times New Roman"/>
        </w:rPr>
      </w:pPr>
      <w:r w:rsidRPr="00684A62">
        <w:rPr>
          <w:rFonts w:eastAsiaTheme="minorHAnsi" w:cs="Times New Roman"/>
        </w:rPr>
        <w:lastRenderedPageBreak/>
        <w:t xml:space="preserve">The distinctive diction of s. 159 arguably makes sense in context.  Unlike ss. 140 and 140.94, which refer to specific proceedings in the </w:t>
      </w:r>
      <w:r w:rsidRPr="00684A62">
        <w:rPr>
          <w:rFonts w:eastAsiaTheme="minorHAnsi" w:cs="Times New Roman"/>
          <w:i/>
        </w:rPr>
        <w:t>Act</w:t>
      </w:r>
      <w:r w:rsidRPr="00684A62">
        <w:rPr>
          <w:rFonts w:eastAsiaTheme="minorHAnsi" w:cs="Times New Roman"/>
        </w:rPr>
        <w:t xml:space="preserve">, s. 159 is a residual limitation provision applicable to </w:t>
      </w:r>
      <w:r w:rsidRPr="00684A62">
        <w:rPr>
          <w:rFonts w:eastAsiaTheme="minorHAnsi" w:cs="Times New Roman"/>
          <w:i/>
        </w:rPr>
        <w:t>all</w:t>
      </w:r>
      <w:r w:rsidRPr="00684A62">
        <w:rPr>
          <w:rFonts w:eastAsiaTheme="minorHAnsi" w:cs="Times New Roman"/>
        </w:rPr>
        <w:t xml:space="preserve"> other proceedings.  Thus, it stands to reason that “the events” is a deliberately open-ended phrase because it must be capable of applying to a variety of different contexts.  As applied to s. 161(1)(a)(i), “the events” read in its ordinary sense means the date of the misconduct whereby a person was “contravening . . . a provision of [the] Act”.  That, of course, was the interpretation as understood prior to the introduction of s. 161(6).  But it is also easy to see how</w:t>
      </w:r>
      <w:r>
        <w:rPr>
          <w:rFonts w:eastAsiaTheme="minorHAnsi" w:cs="Times New Roman"/>
        </w:rPr>
        <w:t>,</w:t>
      </w:r>
      <w:r w:rsidRPr="00684A62">
        <w:rPr>
          <w:rFonts w:eastAsiaTheme="minorHAnsi" w:cs="Times New Roman"/>
        </w:rPr>
        <w:t xml:space="preserve"> as applied to s. 161(6)(a), “the events” can mean the date the person “has been convicted . . . of an offence”.  And as applied to s. 161(6)(d), the provision at issue here, “the events” can mean the date the person “has agreed with a securities regulatory authority</w:t>
      </w:r>
      <w:r>
        <w:rPr>
          <w:rFonts w:eastAsiaTheme="minorHAnsi" w:cs="Times New Roman"/>
        </w:rPr>
        <w:t xml:space="preserve"> [. . </w:t>
      </w:r>
      <w:r w:rsidRPr="00684A62">
        <w:rPr>
          <w:rFonts w:eastAsiaTheme="minorHAnsi" w:cs="Times New Roman"/>
        </w:rPr>
        <w:t>.</w:t>
      </w:r>
      <w:r>
        <w:rPr>
          <w:rFonts w:eastAsiaTheme="minorHAnsi" w:cs="Times New Roman"/>
        </w:rPr>
        <w:t>]</w:t>
      </w:r>
      <w:r w:rsidRPr="00684A62">
        <w:rPr>
          <w:rFonts w:eastAsiaTheme="minorHAnsi" w:cs="Times New Roman"/>
        </w:rPr>
        <w:t xml:space="preserve"> </w:t>
      </w:r>
      <w:r>
        <w:rPr>
          <w:rFonts w:eastAsiaTheme="minorHAnsi" w:cs="Times New Roman"/>
        </w:rPr>
        <w:t>to be subject to sanctions, conditions, restrictions or requirements”</w:t>
      </w:r>
      <w:r w:rsidR="00A00D73">
        <w:rPr>
          <w:rFonts w:eastAsiaTheme="minorHAnsi" w:cs="Times New Roman"/>
        </w:rPr>
        <w:t>.</w:t>
      </w:r>
    </w:p>
    <w:p w:rsidR="00DC267F" w:rsidRPr="00684A62" w:rsidRDefault="00DC267F" w:rsidP="00DC267F">
      <w:pPr>
        <w:pStyle w:val="ParaNoNdepar-AltN"/>
        <w:tabs>
          <w:tab w:val="clear" w:pos="1152"/>
          <w:tab w:val="left" w:pos="1166"/>
        </w:tabs>
        <w:rPr>
          <w:rFonts w:cs="Times New Roman"/>
        </w:rPr>
      </w:pPr>
      <w:r w:rsidRPr="00684A62">
        <w:rPr>
          <w:rFonts w:eastAsiaTheme="minorHAnsi" w:cs="Times New Roman"/>
        </w:rPr>
        <w:t xml:space="preserve">What the appellant asks the Commission to do is to interpret “the events that give rise to the proceedings” restrictively as “the </w:t>
      </w:r>
      <w:r w:rsidRPr="00684A62">
        <w:rPr>
          <w:rFonts w:eastAsiaTheme="minorHAnsi" w:cs="Times New Roman"/>
          <w:i/>
        </w:rPr>
        <w:t>misconduct</w:t>
      </w:r>
      <w:r w:rsidRPr="00684A62">
        <w:rPr>
          <w:rFonts w:eastAsiaTheme="minorHAnsi" w:cs="Times New Roman"/>
        </w:rPr>
        <w:t xml:space="preserve"> that gives rise to the proceedings”.  Indeed, that is essentially how Manitoba’s general limitation provision reads</w:t>
      </w:r>
      <w:r>
        <w:rPr>
          <w:rFonts w:eastAsiaTheme="minorHAnsi" w:cs="Times New Roman"/>
        </w:rPr>
        <w:t>;</w:t>
      </w:r>
      <w:r w:rsidRPr="00684A62">
        <w:rPr>
          <w:rFonts w:eastAsiaTheme="minorHAnsi" w:cs="Times New Roman"/>
        </w:rPr>
        <w:t xml:space="preserve"> </w:t>
      </w:r>
      <w:r>
        <w:rPr>
          <w:rFonts w:eastAsiaTheme="minorHAnsi" w:cs="Times New Roman"/>
        </w:rPr>
        <w:t>s</w:t>
      </w:r>
      <w:r w:rsidRPr="00684A62">
        <w:rPr>
          <w:rFonts w:eastAsiaTheme="minorHAnsi" w:cs="Times New Roman"/>
        </w:rPr>
        <w:t xml:space="preserve">ee </w:t>
      </w:r>
      <w:r w:rsidRPr="00684A62">
        <w:rPr>
          <w:rFonts w:eastAsiaTheme="minorHAnsi" w:cs="Times New Roman"/>
          <w:i/>
        </w:rPr>
        <w:t>Securities Act</w:t>
      </w:r>
      <w:r w:rsidRPr="00684A62">
        <w:rPr>
          <w:rFonts w:eastAsiaTheme="minorHAnsi" w:cs="Times New Roman"/>
        </w:rPr>
        <w:t>, s. 137 (“</w:t>
      </w:r>
      <w:r w:rsidR="001F17B0">
        <w:rPr>
          <w:rFonts w:eastAsiaTheme="minorHAnsi" w:cs="Times New Roman"/>
        </w:rPr>
        <w:t>t</w:t>
      </w:r>
      <w:r w:rsidRPr="00684A62">
        <w:rPr>
          <w:rFonts w:eastAsiaTheme="minorHAnsi" w:cs="Times New Roman"/>
        </w:rPr>
        <w:t xml:space="preserve">he proceedings to prosecute a person or company </w:t>
      </w:r>
      <w:r>
        <w:rPr>
          <w:rFonts w:eastAsiaTheme="minorHAnsi" w:cs="Times New Roman"/>
        </w:rPr>
        <w:t xml:space="preserve">for an offence </w:t>
      </w:r>
      <w:r w:rsidRPr="00684A62">
        <w:rPr>
          <w:rFonts w:eastAsiaTheme="minorHAnsi" w:cs="Times New Roman"/>
        </w:rPr>
        <w:t xml:space="preserve">under this Act shall not be commenced after eight years after the date on which </w:t>
      </w:r>
      <w:r w:rsidRPr="00684A62">
        <w:rPr>
          <w:rFonts w:eastAsiaTheme="minorHAnsi" w:cs="Times New Roman"/>
          <w:u w:val="single"/>
        </w:rPr>
        <w:t>the offence was committed</w:t>
      </w:r>
      <w:r w:rsidRPr="00684A62">
        <w:rPr>
          <w:rFonts w:eastAsiaTheme="minorHAnsi" w:cs="Times New Roman"/>
        </w:rPr>
        <w:t xml:space="preserve">”).  It cannot be said, however, that a contextual reading of s. 159 points toward such a restrictive interpretation.  Rather, a flexible reading of “the events” — capable of adapting to the various provisions to which it is applied, including new provisions added over time, such as s. 161(6)(d) itself — makes more sense in context.  Accordingly, and setting aside whatever quibbles one </w:t>
      </w:r>
      <w:r w:rsidRPr="00684A62">
        <w:rPr>
          <w:rFonts w:eastAsiaTheme="minorHAnsi" w:cs="Times New Roman"/>
        </w:rPr>
        <w:lastRenderedPageBreak/>
        <w:t>might have with the significance of the provision’s drafting history, a contextual reading of s. 159 supports the Commission’s interpretation.</w:t>
      </w:r>
    </w:p>
    <w:p w:rsidR="00DC267F" w:rsidRPr="00684A62" w:rsidRDefault="00A00D73" w:rsidP="00A00D73">
      <w:pPr>
        <w:pStyle w:val="TitleTitre-AltT"/>
        <w:tabs>
          <w:tab w:val="clear" w:pos="360"/>
          <w:tab w:val="left" w:pos="1170"/>
          <w:tab w:val="left" w:pos="1800"/>
        </w:tabs>
        <w:ind w:left="1170" w:hanging="1170"/>
        <w:rPr>
          <w:rFonts w:cs="Times New Roman"/>
          <w:i/>
        </w:rPr>
      </w:pPr>
      <w:r>
        <w:rPr>
          <w:rFonts w:cs="Times New Roman"/>
        </w:rPr>
        <w:tab/>
      </w:r>
      <w:r w:rsidR="00DC267F" w:rsidRPr="00684A62">
        <w:rPr>
          <w:rFonts w:cs="Times New Roman"/>
        </w:rPr>
        <w:t>(5)</w:t>
      </w:r>
      <w:r w:rsidR="00DC267F" w:rsidRPr="00684A62">
        <w:rPr>
          <w:rFonts w:cs="Times New Roman"/>
        </w:rPr>
        <w:tab/>
      </w:r>
      <w:r w:rsidR="00DC267F" w:rsidRPr="00684A62">
        <w:rPr>
          <w:rFonts w:cs="Times New Roman"/>
          <w:u w:val="single"/>
        </w:rPr>
        <w:t xml:space="preserve">The Nature of Secondary Proceedings </w:t>
      </w:r>
    </w:p>
    <w:p w:rsidR="00DC267F" w:rsidRPr="00684A62" w:rsidRDefault="00DC267F" w:rsidP="00DC267F">
      <w:pPr>
        <w:pStyle w:val="ParaNoNdepar-AltN"/>
        <w:tabs>
          <w:tab w:val="clear" w:pos="1152"/>
          <w:tab w:val="left" w:pos="1166"/>
        </w:tabs>
        <w:rPr>
          <w:rFonts w:eastAsiaTheme="minorHAnsi" w:cs="Times New Roman"/>
        </w:rPr>
      </w:pPr>
      <w:r w:rsidRPr="00684A62">
        <w:rPr>
          <w:rFonts w:eastAsiaTheme="minorHAnsi" w:cs="Times New Roman"/>
        </w:rPr>
        <w:t>For better or worse, securities regulation in Canada remains largely a matter of provincial and territorial jurisdiction.  However, given the reality of interprovincial, if not international, capital markets, “[t]here can be no disputing the indispensable nature of interjurisdictional co-operation among securities regulators today” (</w:t>
      </w:r>
      <w:r w:rsidRPr="00684A62">
        <w:rPr>
          <w:rFonts w:eastAsiaTheme="minorHAnsi" w:cs="Times New Roman"/>
          <w:i/>
        </w:rPr>
        <w:t>Global Securities Corp. v. British Columbia (Securities Commission)</w:t>
      </w:r>
      <w:r w:rsidRPr="00684A62">
        <w:rPr>
          <w:rFonts w:eastAsiaTheme="minorHAnsi" w:cs="Times New Roman"/>
        </w:rPr>
        <w:t>, 2000 SCC 21,</w:t>
      </w:r>
      <w:r>
        <w:rPr>
          <w:rFonts w:eastAsiaTheme="minorHAnsi" w:cs="Times New Roman"/>
        </w:rPr>
        <w:t xml:space="preserve"> [2000] 1 S.C.R. 494,</w:t>
      </w:r>
      <w:r w:rsidRPr="00684A62">
        <w:rPr>
          <w:rFonts w:eastAsiaTheme="minorHAnsi" w:cs="Times New Roman"/>
        </w:rPr>
        <w:t xml:space="preserve"> at para. 27).  That is where provisions such as s. 161(6)(d) come in.</w:t>
      </w:r>
    </w:p>
    <w:p w:rsidR="00DC267F" w:rsidRPr="00684A62" w:rsidRDefault="00DC267F" w:rsidP="00DC267F">
      <w:pPr>
        <w:pStyle w:val="ParaNoNdepar-AltN"/>
        <w:tabs>
          <w:tab w:val="clear" w:pos="1152"/>
          <w:tab w:val="left" w:pos="1166"/>
        </w:tabs>
        <w:rPr>
          <w:rFonts w:cs="Times New Roman"/>
        </w:rPr>
      </w:pPr>
      <w:r w:rsidRPr="00684A62">
        <w:rPr>
          <w:rFonts w:cs="Times New Roman"/>
        </w:rPr>
        <w:t xml:space="preserve">In 2004, recognizing the inefficiencies of the existing framework, all the provinces </w:t>
      </w:r>
      <w:r>
        <w:rPr>
          <w:rFonts w:cs="Times New Roman"/>
        </w:rPr>
        <w:t xml:space="preserve">and territories </w:t>
      </w:r>
      <w:r w:rsidRPr="00684A62">
        <w:rPr>
          <w:rFonts w:cs="Times New Roman"/>
        </w:rPr>
        <w:t>(except Ontario, for reasons that are not relevant here) signed a memorandum of understanding (“MOU”)</w:t>
      </w:r>
      <w:r>
        <w:rPr>
          <w:rFonts w:cs="Times New Roman"/>
        </w:rPr>
        <w:t>;</w:t>
      </w:r>
      <w:r w:rsidRPr="00684A62">
        <w:rPr>
          <w:rFonts w:cs="Times New Roman"/>
        </w:rPr>
        <w:t xml:space="preserve"> </w:t>
      </w:r>
      <w:r>
        <w:rPr>
          <w:rFonts w:cs="Times New Roman"/>
        </w:rPr>
        <w:t>s</w:t>
      </w:r>
      <w:r w:rsidRPr="00684A62">
        <w:rPr>
          <w:rFonts w:cs="Times New Roman"/>
        </w:rPr>
        <w:t xml:space="preserve">ee </w:t>
      </w:r>
      <w:r w:rsidRPr="00684A62">
        <w:rPr>
          <w:rFonts w:cs="Times New Roman"/>
          <w:i/>
        </w:rPr>
        <w:t>A Provincial/Territorial Memorandum of Understanding Regarding Securities Regulation</w:t>
      </w:r>
      <w:r>
        <w:rPr>
          <w:rFonts w:cs="Times New Roman"/>
          <w:i/>
        </w:rPr>
        <w:t xml:space="preserve"> </w:t>
      </w:r>
      <w:r>
        <w:rPr>
          <w:rFonts w:cs="Times New Roman"/>
        </w:rPr>
        <w:t>(online)</w:t>
      </w:r>
      <w:r w:rsidRPr="00684A62">
        <w:rPr>
          <w:rFonts w:cs="Times New Roman"/>
        </w:rPr>
        <w:t xml:space="preserve">.  The MOU set up a “passport system” for securities regulation, which provides a single window of access to market participants.  Under this passport system, </w:t>
      </w:r>
    </w:p>
    <w:p w:rsidR="00DC267F" w:rsidRPr="00684A62" w:rsidRDefault="00DC267F" w:rsidP="00DC267F">
      <w:pPr>
        <w:pStyle w:val="Citation-AltC"/>
      </w:pPr>
      <w:r w:rsidRPr="00684A62">
        <w:rPr>
          <w:u w:val="single"/>
        </w:rPr>
        <w:t>[h]ost jurisdictions will rely on the securities regulator in the primary jurisdiction of a market participant</w:t>
      </w:r>
      <w:r w:rsidRPr="00684A62">
        <w:t xml:space="preserve"> for the enforcement of the requirements of securities laws applicable to those areas covered by the passport system.</w:t>
      </w:r>
    </w:p>
    <w:p w:rsidR="00DC267F" w:rsidRPr="00684A62" w:rsidRDefault="00DC267F" w:rsidP="00DC267F">
      <w:pPr>
        <w:pStyle w:val="Citation-AltC"/>
      </w:pPr>
    </w:p>
    <w:p w:rsidR="00DC267F" w:rsidRPr="00684A62" w:rsidRDefault="00DC267F" w:rsidP="00A00D73">
      <w:pPr>
        <w:pStyle w:val="Citation-AltC"/>
        <w:tabs>
          <w:tab w:val="left" w:pos="1530"/>
        </w:tabs>
        <w:ind w:left="1530" w:hanging="360"/>
      </w:pPr>
      <w:r w:rsidRPr="00684A62">
        <w:t>•</w:t>
      </w:r>
      <w:r w:rsidRPr="00684A62">
        <w:tab/>
        <w:t xml:space="preserve">The securities regulator in a host jurisdiction that receives a complaint about a market participant will conduct a preliminary assessment of </w:t>
      </w:r>
      <w:r w:rsidRPr="00684A62">
        <w:lastRenderedPageBreak/>
        <w:t xml:space="preserve">the complaint and </w:t>
      </w:r>
      <w:r w:rsidRPr="00684A62">
        <w:rPr>
          <w:u w:val="single"/>
        </w:rPr>
        <w:t>refer the complaint</w:t>
      </w:r>
      <w:r w:rsidRPr="00684A62">
        <w:t xml:space="preserve"> along with their findings and the documents compiled </w:t>
      </w:r>
      <w:r w:rsidRPr="00684A62">
        <w:rPr>
          <w:u w:val="single"/>
        </w:rPr>
        <w:t>to the primary jurisdiction for further investigation and, if appropriate, enforcement action</w:t>
      </w:r>
      <w:r w:rsidRPr="00684A62">
        <w:t>.</w:t>
      </w:r>
    </w:p>
    <w:p w:rsidR="00DC267F" w:rsidRPr="00684A62" w:rsidRDefault="00DC267F" w:rsidP="00DC267F">
      <w:pPr>
        <w:pStyle w:val="Citation-AltC"/>
      </w:pPr>
    </w:p>
    <w:p w:rsidR="00DC267F" w:rsidRPr="00684A62" w:rsidRDefault="00DC267F" w:rsidP="00A00D73">
      <w:pPr>
        <w:pStyle w:val="Citation-AltC"/>
        <w:tabs>
          <w:tab w:val="left" w:pos="1530"/>
        </w:tabs>
        <w:ind w:left="1530" w:hanging="360"/>
      </w:pPr>
      <w:r w:rsidRPr="00684A62">
        <w:t>•</w:t>
      </w:r>
      <w:r w:rsidRPr="00684A62">
        <w:tab/>
      </w:r>
      <w:r w:rsidRPr="00684A62">
        <w:rPr>
          <w:u w:val="single"/>
        </w:rPr>
        <w:t>The host securities regulator will await the outcome of the primary securities regulator’s investigation</w:t>
      </w:r>
      <w:r w:rsidRPr="00684A62">
        <w:t xml:space="preserve"> and will undertake its own investigation and, if appropriate, enforcement action if it is in the public interest to do so or if the primary securities regulator has referred the matter back to the host securities regulator for further action. [Emphasis added; </w:t>
      </w:r>
      <w:r>
        <w:t xml:space="preserve">para. </w:t>
      </w:r>
      <w:r w:rsidRPr="00684A62">
        <w:t>5.6</w:t>
      </w:r>
      <w:r>
        <w:t>.</w:t>
      </w:r>
      <w:r w:rsidRPr="00684A62">
        <w:t>]</w:t>
      </w:r>
    </w:p>
    <w:p w:rsidR="00DC267F" w:rsidRPr="00684A62" w:rsidRDefault="00DC267F" w:rsidP="00DC267F">
      <w:pPr>
        <w:pStyle w:val="ParaNoNdepar-AltN"/>
        <w:tabs>
          <w:tab w:val="clear" w:pos="1152"/>
          <w:tab w:val="left" w:pos="1166"/>
        </w:tabs>
        <w:rPr>
          <w:rFonts w:eastAsiaTheme="minorHAnsi" w:cs="Times New Roman"/>
        </w:rPr>
      </w:pPr>
      <w:r w:rsidRPr="00684A62">
        <w:rPr>
          <w:rFonts w:eastAsiaTheme="minorHAnsi" w:cs="Times New Roman"/>
        </w:rPr>
        <w:t>Not long after the MOU was signed, the B.C. legislature introduced legislation to implement its provisions, including the secondary proceeding powers now found in s. 161(6)</w:t>
      </w:r>
      <w:r>
        <w:rPr>
          <w:rFonts w:eastAsiaTheme="minorHAnsi" w:cs="Times New Roman"/>
        </w:rPr>
        <w:t>;</w:t>
      </w:r>
      <w:r w:rsidRPr="00684A62">
        <w:rPr>
          <w:rFonts w:eastAsiaTheme="minorHAnsi" w:cs="Times New Roman"/>
        </w:rPr>
        <w:t xml:space="preserve"> </w:t>
      </w:r>
      <w:r>
        <w:rPr>
          <w:rFonts w:eastAsiaTheme="minorHAnsi" w:cs="Times New Roman"/>
        </w:rPr>
        <w:t>s</w:t>
      </w:r>
      <w:r w:rsidRPr="00684A62">
        <w:rPr>
          <w:rFonts w:eastAsiaTheme="minorHAnsi" w:cs="Times New Roman"/>
        </w:rPr>
        <w:t xml:space="preserve">ee Bill 20, </w:t>
      </w:r>
      <w:r w:rsidRPr="00684A62">
        <w:rPr>
          <w:rFonts w:eastAsiaTheme="minorHAnsi" w:cs="Times New Roman"/>
          <w:i/>
        </w:rPr>
        <w:t>Securities Amendment Act, 2006</w:t>
      </w:r>
      <w:r w:rsidRPr="00684A62">
        <w:rPr>
          <w:rFonts w:eastAsiaTheme="minorHAnsi" w:cs="Times New Roman"/>
        </w:rPr>
        <w:t xml:space="preserve">; Bill 28, </w:t>
      </w:r>
      <w:r w:rsidRPr="00684A62">
        <w:rPr>
          <w:rFonts w:eastAsiaTheme="minorHAnsi" w:cs="Times New Roman"/>
          <w:i/>
        </w:rPr>
        <w:t>Securities Amendment Act, 2007</w:t>
      </w:r>
      <w:r w:rsidRPr="00684A62">
        <w:rPr>
          <w:rFonts w:eastAsiaTheme="minorHAnsi" w:cs="Times New Roman"/>
        </w:rPr>
        <w:t>.  Section 161(6)(d), of course, recognizes settlement agreements in other jurisdictions; other provisions speak to convictions for securities-related offences (s. 161(6)(a)), judicial findings as to securities laws (s. 161(6)(b)), and regulatory orders (s. 161(6)(c)).</w:t>
      </w:r>
    </w:p>
    <w:p w:rsidR="00DC267F" w:rsidRPr="00684A62" w:rsidRDefault="00DC267F" w:rsidP="00DC267F">
      <w:pPr>
        <w:pStyle w:val="ParaNoNdepar-AltN"/>
        <w:tabs>
          <w:tab w:val="clear" w:pos="1152"/>
          <w:tab w:val="left" w:pos="1166"/>
        </w:tabs>
        <w:rPr>
          <w:rFonts w:cs="Times New Roman"/>
        </w:rPr>
      </w:pPr>
      <w:r w:rsidRPr="00684A62">
        <w:rPr>
          <w:rFonts w:cs="Times New Roman"/>
        </w:rPr>
        <w:t xml:space="preserve">As a consequence of these legislative amendments, while the Commission cannot abrogate its responsibility to make its own determination as to whether an order is in the public interest, one could argue, as the respondent does, that s. 161(6) obviates the need for inefficient parallel and duplicative proceedings in British Columbia by expressly providing a new basis on which to initiate proceedings.  In other words, s. 161(6) achieves the legislative goal of facilitating interprovincial cooperation by providing a triggering “event” </w:t>
      </w:r>
      <w:r w:rsidRPr="00684A62">
        <w:rPr>
          <w:rFonts w:cs="Times New Roman"/>
          <w:i/>
        </w:rPr>
        <w:t>other than the underlying misconduct</w:t>
      </w:r>
      <w:r w:rsidRPr="00684A62">
        <w:rPr>
          <w:rFonts w:cs="Times New Roman"/>
        </w:rPr>
        <w:t>.  The corollary to this point must be the ability to actually rely on that triggering event — that is, the other jurisdiction’s settlement agreement</w:t>
      </w:r>
      <w:r w:rsidRPr="00684A62">
        <w:rPr>
          <w:rFonts w:cs="Times New Roman"/>
          <w:i/>
        </w:rPr>
        <w:t xml:space="preserve"> </w:t>
      </w:r>
      <w:r w:rsidRPr="00684A62">
        <w:rPr>
          <w:rFonts w:cs="Times New Roman"/>
        </w:rPr>
        <w:t xml:space="preserve">(or </w:t>
      </w:r>
      <w:r w:rsidRPr="00684A62">
        <w:rPr>
          <w:rFonts w:cs="Times New Roman"/>
        </w:rPr>
        <w:lastRenderedPageBreak/>
        <w:t xml:space="preserve">conviction or judicial finding or order, as the case may be) — in commencing a secondary proceeding.  But the appellant’s reading of s. 159 as it applies to s. 161(6) leads to the troublesome conclusion that the Commission could be time-barred from proceeding under this provision </w:t>
      </w:r>
      <w:r w:rsidRPr="00684A62">
        <w:rPr>
          <w:rFonts w:cs="Times New Roman"/>
          <w:i/>
        </w:rPr>
        <w:t>before the triggering event even exists</w:t>
      </w:r>
      <w:r w:rsidRPr="00684A62">
        <w:rPr>
          <w:rFonts w:cs="Times New Roman"/>
        </w:rPr>
        <w:t>.</w:t>
      </w:r>
    </w:p>
    <w:p w:rsidR="00DC267F" w:rsidRPr="00684A62" w:rsidRDefault="00DC267F" w:rsidP="00DC267F">
      <w:pPr>
        <w:pStyle w:val="ParaNoNdepar-AltN"/>
        <w:tabs>
          <w:tab w:val="clear" w:pos="1152"/>
          <w:tab w:val="left" w:pos="1166"/>
        </w:tabs>
        <w:rPr>
          <w:rFonts w:cs="Times New Roman"/>
        </w:rPr>
      </w:pPr>
      <w:r w:rsidRPr="00684A62">
        <w:rPr>
          <w:rFonts w:cs="Times New Roman"/>
        </w:rPr>
        <w:t>The appellant’s response is that where there is a risk that the six-year limitation window could expire before the primary jurisdiction has completed its proceeding, British Columbia and every other secondary province</w:t>
      </w:r>
      <w:r>
        <w:rPr>
          <w:rFonts w:cs="Times New Roman"/>
        </w:rPr>
        <w:t xml:space="preserve"> and territory</w:t>
      </w:r>
      <w:r w:rsidRPr="00684A62">
        <w:rPr>
          <w:rFonts w:cs="Times New Roman"/>
        </w:rPr>
        <w:t xml:space="preserve"> should initiate their own</w:t>
      </w:r>
      <w:r w:rsidRPr="00684A62">
        <w:rPr>
          <w:rFonts w:cs="Times New Roman"/>
          <w:i/>
        </w:rPr>
        <w:t xml:space="preserve"> </w:t>
      </w:r>
      <w:r w:rsidRPr="00684A62">
        <w:rPr>
          <w:rFonts w:cs="Times New Roman"/>
        </w:rPr>
        <w:t>proceedings in reliance on s. 161(1) alone</w:t>
      </w:r>
      <w:r>
        <w:rPr>
          <w:rFonts w:cs="Times New Roman"/>
        </w:rPr>
        <w:t xml:space="preserve"> — or, in the case of another province or territory</w:t>
      </w:r>
      <w:r w:rsidRPr="00684A62">
        <w:rPr>
          <w:rFonts w:cs="Times New Roman"/>
        </w:rPr>
        <w:t xml:space="preserve">, </w:t>
      </w:r>
      <w:r>
        <w:rPr>
          <w:rFonts w:cs="Times New Roman"/>
        </w:rPr>
        <w:t xml:space="preserve">their provincial or territorial equivalent of that section — </w:t>
      </w:r>
      <w:r w:rsidRPr="00684A62">
        <w:rPr>
          <w:rFonts w:cs="Times New Roman"/>
        </w:rPr>
        <w:t>with the possibility that s. 161(6)</w:t>
      </w:r>
      <w:r>
        <w:rPr>
          <w:rFonts w:cs="Times New Roman"/>
        </w:rPr>
        <w:t xml:space="preserve"> or its equivalent</w:t>
      </w:r>
      <w:r w:rsidRPr="00684A62">
        <w:rPr>
          <w:rFonts w:cs="Times New Roman"/>
        </w:rPr>
        <w:t xml:space="preserve"> could be invoked later on.  Of course, the implication of this approach is clear:  the appellant says that s.</w:t>
      </w:r>
      <w:r>
        <w:rPr>
          <w:rFonts w:cs="Times New Roman"/>
        </w:rPr>
        <w:t> </w:t>
      </w:r>
      <w:r w:rsidRPr="00684A62">
        <w:rPr>
          <w:rFonts w:cs="Times New Roman"/>
        </w:rPr>
        <w:t>161(6) does not change anything with respect to the timing of when a secondary proceeding must begin.</w:t>
      </w:r>
    </w:p>
    <w:p w:rsidR="00DC267F" w:rsidRPr="00684A62" w:rsidRDefault="00DC267F" w:rsidP="00DC267F">
      <w:pPr>
        <w:pStyle w:val="ParaNoNdepar-AltN"/>
        <w:tabs>
          <w:tab w:val="clear" w:pos="1152"/>
          <w:tab w:val="left" w:pos="1166"/>
        </w:tabs>
        <w:rPr>
          <w:rFonts w:cs="Times New Roman"/>
        </w:rPr>
      </w:pPr>
      <w:r w:rsidRPr="00684A62">
        <w:rPr>
          <w:rFonts w:cs="Times New Roman"/>
        </w:rPr>
        <w:t xml:space="preserve">The facts of this case, however, illustrate how problematic the appellant’s interpretation can prove in practice.  Though the OSC was first alerted to the issues at Hucamp in 2001, it did not commence formal proceedings until 2005 (four years later).  A settlement agreement was not reached until 2008 (a further three years later, and a full seven years after the last event of misconduct).  No one suggests this lengthy period reflects any foot-dragging on the OSC’s part.  And yet, on the appellant’s view, as the calendar turned to 2007, the B.C. Commission should have commenced its own proceeding under s. 161(1) so as to preserve its ultimate authority </w:t>
      </w:r>
      <w:r w:rsidRPr="00684A62">
        <w:rPr>
          <w:rFonts w:cs="Times New Roman"/>
        </w:rPr>
        <w:lastRenderedPageBreak/>
        <w:t>to make an order using both ss. 161(1) and 161(6)(d).  If that had been done, the appellant seems to accept that the Commission could then have waited until the conclusion of the OSC’s proceeding to make its actual order.</w:t>
      </w:r>
    </w:p>
    <w:p w:rsidR="00DC267F" w:rsidRPr="00684A62" w:rsidRDefault="00DC267F" w:rsidP="00DC267F">
      <w:pPr>
        <w:pStyle w:val="ParaNoNdepar-AltN"/>
        <w:tabs>
          <w:tab w:val="clear" w:pos="1152"/>
          <w:tab w:val="left" w:pos="1166"/>
        </w:tabs>
        <w:rPr>
          <w:rFonts w:cs="Times New Roman"/>
        </w:rPr>
      </w:pPr>
      <w:r w:rsidRPr="00684A62">
        <w:rPr>
          <w:rFonts w:cs="Times New Roman"/>
        </w:rPr>
        <w:t xml:space="preserve">The difficulty with the appellant’s approach is that if each province </w:t>
      </w:r>
      <w:r>
        <w:rPr>
          <w:rFonts w:cs="Times New Roman"/>
        </w:rPr>
        <w:t xml:space="preserve">and territory </w:t>
      </w:r>
      <w:r w:rsidRPr="00684A62">
        <w:rPr>
          <w:rFonts w:cs="Times New Roman"/>
        </w:rPr>
        <w:t xml:space="preserve">has to initiate proceedings before its limitations clock runs out — instead of relying on the outcome of the proceedings in the primary jurisdiction — overlapping cases would clog up the legal system and overburden the securities commissions.  A multiplicity of simultaneous proceedings would also place a high burden on the target of the proceedings, who could well face multiple proceedings all across the country, all needing to be defended simultaneously. </w:t>
      </w:r>
    </w:p>
    <w:p w:rsidR="00DC267F" w:rsidRPr="00684A62" w:rsidRDefault="00DC267F" w:rsidP="00DC267F">
      <w:pPr>
        <w:pStyle w:val="ParaNoNdepar-AltN"/>
        <w:tabs>
          <w:tab w:val="clear" w:pos="1152"/>
          <w:tab w:val="left" w:pos="1166"/>
        </w:tabs>
        <w:rPr>
          <w:rFonts w:cs="Times New Roman"/>
        </w:rPr>
      </w:pPr>
      <w:r w:rsidRPr="00684A62">
        <w:rPr>
          <w:rFonts w:cs="Times New Roman"/>
        </w:rPr>
        <w:t xml:space="preserve">On the other hand, allowing secondary jurisdictions to use s. 161(6) such that they can wait until the </w:t>
      </w:r>
      <w:r w:rsidRPr="00684A62">
        <w:rPr>
          <w:rFonts w:cs="Times New Roman"/>
          <w:i/>
        </w:rPr>
        <w:t xml:space="preserve">conclusion </w:t>
      </w:r>
      <w:r w:rsidRPr="00684A62">
        <w:rPr>
          <w:rFonts w:cs="Times New Roman"/>
        </w:rPr>
        <w:t xml:space="preserve">of the primary proceeding avoids some of these complications.  That can happen only if the secondary jurisdictions are allowed to begin their work (and their limitation clocks start ticking) once the original proceeding has actually concluded — and no earlier.  As such, it can be said that </w:t>
      </w:r>
      <w:r w:rsidRPr="00684A62">
        <w:rPr>
          <w:rFonts w:cs="Times New Roman"/>
          <w:i/>
        </w:rPr>
        <w:t>the very purpose of s. 161(6) is to provide a new limitation clock</w:t>
      </w:r>
      <w:r w:rsidRPr="00684A62">
        <w:rPr>
          <w:rFonts w:cs="Times New Roman"/>
        </w:rPr>
        <w:t xml:space="preserve">.  Unless it is interpreted in this manner, s. 161(6) is no solution to the challenges inherent in the decentralized structure of securities regulation in Canada. </w:t>
      </w:r>
    </w:p>
    <w:p w:rsidR="00DC267F" w:rsidRPr="00684A62" w:rsidRDefault="00DC267F" w:rsidP="00DC267F">
      <w:pPr>
        <w:pStyle w:val="ParaNoNdepar-AltN"/>
        <w:tabs>
          <w:tab w:val="clear" w:pos="1152"/>
          <w:tab w:val="left" w:pos="1166"/>
        </w:tabs>
        <w:rPr>
          <w:rFonts w:cs="Times New Roman"/>
        </w:rPr>
      </w:pPr>
      <w:r w:rsidRPr="00684A62">
        <w:rPr>
          <w:rFonts w:cs="Times New Roman"/>
        </w:rPr>
        <w:t xml:space="preserve">In the end, the Commission’s interpretation is a reasonable one because it furthers the legislature’s manifest goal of improving interprovincial cooperation.  The appellant’s interpretation, by contrast, fits uneasily with the broader indicators of </w:t>
      </w:r>
      <w:r w:rsidRPr="00684A62">
        <w:rPr>
          <w:rFonts w:cs="Times New Roman"/>
        </w:rPr>
        <w:lastRenderedPageBreak/>
        <w:t>legislative intent available to us.  In reducing s. 161(6) to a belts-and-suspenders codification of what is already common practice, her interpretation does little to improve interprovincial cooperation.  I do not say that the appellant’s interpretation is inconsistent with such efforts — only that it does not further them to the same extent as the Commission’s interpretation.</w:t>
      </w:r>
    </w:p>
    <w:p w:rsidR="00DC267F" w:rsidRPr="00684A62" w:rsidRDefault="00165597" w:rsidP="00165597">
      <w:pPr>
        <w:pStyle w:val="TitleTitre-AltT"/>
        <w:tabs>
          <w:tab w:val="clear" w:pos="360"/>
          <w:tab w:val="left" w:pos="1170"/>
          <w:tab w:val="left" w:pos="1800"/>
        </w:tabs>
        <w:ind w:left="1170" w:hanging="1170"/>
        <w:rPr>
          <w:rFonts w:cs="Times New Roman"/>
          <w:i/>
        </w:rPr>
      </w:pPr>
      <w:r>
        <w:rPr>
          <w:rFonts w:cs="Times New Roman"/>
        </w:rPr>
        <w:tab/>
      </w:r>
      <w:r w:rsidR="00DC267F" w:rsidRPr="00684A62">
        <w:rPr>
          <w:rFonts w:cs="Times New Roman"/>
        </w:rPr>
        <w:t>(6)</w:t>
      </w:r>
      <w:r w:rsidR="00DC267F" w:rsidRPr="00684A62">
        <w:rPr>
          <w:rFonts w:cs="Times New Roman"/>
        </w:rPr>
        <w:tab/>
      </w:r>
      <w:r w:rsidR="00DC267F" w:rsidRPr="00684A62">
        <w:rPr>
          <w:rFonts w:cs="Times New Roman"/>
          <w:u w:val="single"/>
        </w:rPr>
        <w:t>The Purpose of Limitation Periods</w:t>
      </w:r>
    </w:p>
    <w:p w:rsidR="00DC267F" w:rsidRPr="00684A62" w:rsidRDefault="00DC267F" w:rsidP="00DC267F">
      <w:pPr>
        <w:pStyle w:val="ParaNoNdepar-AltN"/>
        <w:tabs>
          <w:tab w:val="clear" w:pos="1152"/>
          <w:tab w:val="left" w:pos="1166"/>
        </w:tabs>
        <w:rPr>
          <w:rFonts w:cs="Times New Roman"/>
        </w:rPr>
      </w:pPr>
      <w:r w:rsidRPr="00684A62">
        <w:rPr>
          <w:rFonts w:cs="Times New Roman"/>
        </w:rPr>
        <w:t xml:space="preserve">I would be wary of focussing only on the legislative purpose of secondary provisions while overlooking the legislative purpose of limitation periods.  Instead, regard must also be had for the legislative purpose of both s. 161(6)(d) </w:t>
      </w:r>
      <w:r w:rsidRPr="00684A62">
        <w:rPr>
          <w:rFonts w:cs="Times New Roman"/>
          <w:i/>
        </w:rPr>
        <w:t xml:space="preserve">and </w:t>
      </w:r>
      <w:r w:rsidRPr="00684A62">
        <w:rPr>
          <w:rFonts w:cs="Times New Roman"/>
        </w:rPr>
        <w:t>s.</w:t>
      </w:r>
      <w:r>
        <w:rPr>
          <w:rFonts w:cs="Times New Roman"/>
        </w:rPr>
        <w:t> </w:t>
      </w:r>
      <w:r w:rsidRPr="00684A62">
        <w:rPr>
          <w:rFonts w:cs="Times New Roman"/>
        </w:rPr>
        <w:t xml:space="preserve">159.  </w:t>
      </w:r>
    </w:p>
    <w:p w:rsidR="00DC267F" w:rsidRPr="00684A62" w:rsidRDefault="00DC267F" w:rsidP="00DC267F">
      <w:pPr>
        <w:pStyle w:val="ParaNoNdepar-AltN"/>
        <w:tabs>
          <w:tab w:val="clear" w:pos="1152"/>
          <w:tab w:val="left" w:pos="1166"/>
        </w:tabs>
        <w:rPr>
          <w:rFonts w:cs="Times New Roman"/>
        </w:rPr>
      </w:pPr>
      <w:r w:rsidRPr="00684A62">
        <w:rPr>
          <w:rFonts w:cs="Times New Roman"/>
        </w:rPr>
        <w:t>The appellant fears that the Commission’s interpretation undermines two of the three purposes of limitation periods, namely, allowing for repose and encouraging diligence (</w:t>
      </w:r>
      <w:r w:rsidRPr="00684A62">
        <w:rPr>
          <w:rFonts w:cs="Times New Roman"/>
          <w:i/>
        </w:rPr>
        <w:t>Novak v. Bond</w:t>
      </w:r>
      <w:r w:rsidRPr="00684A62">
        <w:rPr>
          <w:rFonts w:cs="Times New Roman"/>
        </w:rPr>
        <w:t xml:space="preserve">, [1999] 1 S.C.R. 808, at para. 67).  Most notable is the possibility that allowing the limitations clock to start with each new proceeding would allow a string of secondary proceedings, piggy-backing on each other, which could stretch for decades.  We are told that “[w]ith twelve jurisdictions having such provisions, a person could be subject to serial proceedings for </w:t>
      </w:r>
      <w:r w:rsidRPr="00684A62">
        <w:rPr>
          <w:rFonts w:cs="Times New Roman"/>
          <w:i/>
        </w:rPr>
        <w:t>seventy-four years</w:t>
      </w:r>
      <w:r w:rsidRPr="00684A62">
        <w:rPr>
          <w:rFonts w:cs="Times New Roman"/>
        </w:rPr>
        <w:t xml:space="preserve">” (A.F., at para. 54 (emphasis in original)).  </w:t>
      </w:r>
    </w:p>
    <w:p w:rsidR="00DC267F" w:rsidRPr="00684A62" w:rsidRDefault="00DC267F" w:rsidP="00DC267F">
      <w:pPr>
        <w:pStyle w:val="ParaNoNdepar-AltN"/>
        <w:tabs>
          <w:tab w:val="clear" w:pos="1152"/>
          <w:tab w:val="left" w:pos="1166"/>
        </w:tabs>
        <w:rPr>
          <w:rFonts w:cs="Times New Roman"/>
        </w:rPr>
      </w:pPr>
      <w:r w:rsidRPr="00684A62">
        <w:rPr>
          <w:rFonts w:cs="Times New Roman"/>
        </w:rPr>
        <w:t>There is also a related concern with respect to s. 161(6)(c), which provides that the Commission may commence a proceeding so long as a person is “</w:t>
      </w:r>
      <w:r w:rsidRPr="00684A62">
        <w:rPr>
          <w:rFonts w:cs="Times New Roman"/>
          <w:u w:val="single"/>
        </w:rPr>
        <w:t>subject to</w:t>
      </w:r>
      <w:r w:rsidRPr="00684A62">
        <w:rPr>
          <w:rFonts w:cs="Times New Roman"/>
        </w:rPr>
        <w:t xml:space="preserve"> an order” by another regulator.  Public interest orders may last 20 years or </w:t>
      </w:r>
      <w:r w:rsidRPr="00684A62">
        <w:rPr>
          <w:rFonts w:cs="Times New Roman"/>
        </w:rPr>
        <w:lastRenderedPageBreak/>
        <w:t>more</w:t>
      </w:r>
      <w:r>
        <w:rPr>
          <w:rFonts w:cs="Times New Roman"/>
        </w:rPr>
        <w:t>;</w:t>
      </w:r>
      <w:r w:rsidRPr="00684A62">
        <w:rPr>
          <w:rFonts w:cs="Times New Roman"/>
        </w:rPr>
        <w:t xml:space="preserve"> </w:t>
      </w:r>
      <w:r>
        <w:rPr>
          <w:rFonts w:cs="Times New Roman"/>
        </w:rPr>
        <w:t>s</w:t>
      </w:r>
      <w:r w:rsidRPr="00684A62">
        <w:rPr>
          <w:rFonts w:cs="Times New Roman"/>
        </w:rPr>
        <w:t xml:space="preserve">ee, e.g., </w:t>
      </w:r>
      <w:r w:rsidRPr="00684A62">
        <w:rPr>
          <w:rFonts w:cs="Times New Roman"/>
          <w:i/>
        </w:rPr>
        <w:t>Friedland</w:t>
      </w:r>
      <w:r>
        <w:rPr>
          <w:rFonts w:cs="Times New Roman"/>
          <w:i/>
        </w:rPr>
        <w:t xml:space="preserve"> (Re)</w:t>
      </w:r>
      <w:r w:rsidRPr="00684A62">
        <w:rPr>
          <w:rFonts w:cs="Times New Roman"/>
        </w:rPr>
        <w:t>, 2010 BCSECCOM 654</w:t>
      </w:r>
      <w:r>
        <w:rPr>
          <w:rFonts w:cs="Times New Roman"/>
        </w:rPr>
        <w:t xml:space="preserve"> (CanLII)</w:t>
      </w:r>
      <w:r w:rsidRPr="00684A62">
        <w:rPr>
          <w:rFonts w:cs="Times New Roman"/>
        </w:rPr>
        <w:t xml:space="preserve"> (20 years); </w:t>
      </w:r>
      <w:r w:rsidRPr="00684A62">
        <w:rPr>
          <w:rFonts w:cs="Times New Roman"/>
          <w:i/>
        </w:rPr>
        <w:t>N</w:t>
      </w:r>
      <w:r>
        <w:rPr>
          <w:rFonts w:cs="Times New Roman"/>
          <w:i/>
        </w:rPr>
        <w:t>ie</w:t>
      </w:r>
      <w:r w:rsidRPr="00684A62">
        <w:rPr>
          <w:rFonts w:cs="Times New Roman"/>
          <w:i/>
        </w:rPr>
        <w:t>lse</w:t>
      </w:r>
      <w:r>
        <w:rPr>
          <w:rFonts w:cs="Times New Roman"/>
          <w:i/>
        </w:rPr>
        <w:t>n (Re)</w:t>
      </w:r>
      <w:r>
        <w:rPr>
          <w:rFonts w:cs="Times New Roman"/>
        </w:rPr>
        <w:t>, 2013 LNONOSC 254,</w:t>
      </w:r>
      <w:r w:rsidRPr="00684A62">
        <w:rPr>
          <w:rFonts w:cs="Times New Roman"/>
        </w:rPr>
        <w:t xml:space="preserve"> 36 O</w:t>
      </w:r>
      <w:r>
        <w:rPr>
          <w:rFonts w:cs="Times New Roman"/>
        </w:rPr>
        <w:t>.</w:t>
      </w:r>
      <w:r w:rsidRPr="00684A62">
        <w:rPr>
          <w:rFonts w:cs="Times New Roman"/>
        </w:rPr>
        <w:t>S</w:t>
      </w:r>
      <w:r>
        <w:rPr>
          <w:rFonts w:cs="Times New Roman"/>
        </w:rPr>
        <w:t>.</w:t>
      </w:r>
      <w:r w:rsidR="00283E73" w:rsidRPr="00684A62">
        <w:rPr>
          <w:rFonts w:cs="Times New Roman"/>
        </w:rPr>
        <w:t>C</w:t>
      </w:r>
      <w:r w:rsidR="00283E73">
        <w:rPr>
          <w:rFonts w:cs="Times New Roman"/>
        </w:rPr>
        <w:t>.</w:t>
      </w:r>
      <w:r w:rsidRPr="00684A62">
        <w:rPr>
          <w:rFonts w:cs="Times New Roman"/>
        </w:rPr>
        <w:t>B</w:t>
      </w:r>
      <w:r>
        <w:rPr>
          <w:rFonts w:cs="Times New Roman"/>
        </w:rPr>
        <w:t>.</w:t>
      </w:r>
      <w:r w:rsidRPr="00684A62">
        <w:rPr>
          <w:rFonts w:cs="Times New Roman"/>
        </w:rPr>
        <w:t xml:space="preserve"> 3478 (25 years); </w:t>
      </w:r>
      <w:r w:rsidRPr="00684A62">
        <w:rPr>
          <w:rFonts w:cs="Times New Roman"/>
          <w:i/>
        </w:rPr>
        <w:t>Robinson</w:t>
      </w:r>
      <w:r>
        <w:rPr>
          <w:rFonts w:cs="Times New Roman"/>
          <w:i/>
        </w:rPr>
        <w:t xml:space="preserve"> (Re)</w:t>
      </w:r>
      <w:r w:rsidRPr="00684A62">
        <w:rPr>
          <w:rFonts w:cs="Times New Roman"/>
        </w:rPr>
        <w:t xml:space="preserve">, 2013 </w:t>
      </w:r>
      <w:r>
        <w:rPr>
          <w:rFonts w:cs="Times New Roman"/>
        </w:rPr>
        <w:t xml:space="preserve">LNABASC 295, 2013 </w:t>
      </w:r>
      <w:r w:rsidRPr="00684A62">
        <w:rPr>
          <w:rFonts w:cs="Times New Roman"/>
        </w:rPr>
        <w:t>ABASC 317</w:t>
      </w:r>
      <w:r>
        <w:rPr>
          <w:rFonts w:cs="Times New Roman"/>
        </w:rPr>
        <w:t xml:space="preserve"> (CanLII)</w:t>
      </w:r>
      <w:r w:rsidRPr="00684A62">
        <w:rPr>
          <w:rFonts w:cs="Times New Roman"/>
        </w:rPr>
        <w:t xml:space="preserve"> (permanent); </w:t>
      </w:r>
      <w:r w:rsidRPr="00684A62">
        <w:rPr>
          <w:rFonts w:cs="Times New Roman"/>
          <w:i/>
        </w:rPr>
        <w:t>Maitland Capital Ltd.</w:t>
      </w:r>
      <w:r>
        <w:rPr>
          <w:rFonts w:cs="Times New Roman"/>
          <w:i/>
        </w:rPr>
        <w:t xml:space="preserve"> (Re)</w:t>
      </w:r>
      <w:r>
        <w:rPr>
          <w:rFonts w:cs="Times New Roman"/>
        </w:rPr>
        <w:t>,</w:t>
      </w:r>
      <w:r w:rsidRPr="00684A62">
        <w:rPr>
          <w:rFonts w:cs="Times New Roman"/>
        </w:rPr>
        <w:t xml:space="preserve"> 2012</w:t>
      </w:r>
      <w:r>
        <w:rPr>
          <w:rFonts w:cs="Times New Roman"/>
        </w:rPr>
        <w:t xml:space="preserve"> LNONOSC 95,</w:t>
      </w:r>
      <w:r w:rsidRPr="00684A62">
        <w:rPr>
          <w:rFonts w:cs="Times New Roman"/>
        </w:rPr>
        <w:t xml:space="preserve"> 35 O</w:t>
      </w:r>
      <w:r>
        <w:rPr>
          <w:rFonts w:cs="Times New Roman"/>
        </w:rPr>
        <w:t>.</w:t>
      </w:r>
      <w:r w:rsidRPr="00684A62">
        <w:rPr>
          <w:rFonts w:cs="Times New Roman"/>
        </w:rPr>
        <w:t>S</w:t>
      </w:r>
      <w:r>
        <w:rPr>
          <w:rFonts w:cs="Times New Roman"/>
        </w:rPr>
        <w:t>.</w:t>
      </w:r>
      <w:r w:rsidR="00283E73" w:rsidRPr="00684A62">
        <w:rPr>
          <w:rFonts w:cs="Times New Roman"/>
        </w:rPr>
        <w:t>C</w:t>
      </w:r>
      <w:r w:rsidR="00283E73">
        <w:rPr>
          <w:rFonts w:cs="Times New Roman"/>
        </w:rPr>
        <w:t>.</w:t>
      </w:r>
      <w:r w:rsidRPr="00684A62">
        <w:rPr>
          <w:rFonts w:cs="Times New Roman"/>
        </w:rPr>
        <w:t>B</w:t>
      </w:r>
      <w:r>
        <w:rPr>
          <w:rFonts w:cs="Times New Roman"/>
        </w:rPr>
        <w:t>.</w:t>
      </w:r>
      <w:r w:rsidRPr="00684A62">
        <w:rPr>
          <w:rFonts w:cs="Times New Roman"/>
        </w:rPr>
        <w:t xml:space="preserve"> 1729 (permanent).  Were the Commission able to commence a secondary proceeding six years </w:t>
      </w:r>
      <w:r w:rsidRPr="00684A62">
        <w:rPr>
          <w:rFonts w:cs="Times New Roman"/>
          <w:i/>
        </w:rPr>
        <w:t>after</w:t>
      </w:r>
      <w:r w:rsidRPr="00684A62">
        <w:rPr>
          <w:rFonts w:cs="Times New Roman"/>
        </w:rPr>
        <w:t xml:space="preserve"> a person is no longer “subject to” such a primary order, that approach could radically expand the length of the limitation period — even beyond 74 years.</w:t>
      </w:r>
    </w:p>
    <w:p w:rsidR="00DC267F" w:rsidRPr="00684A62" w:rsidRDefault="00DC267F" w:rsidP="00DC267F">
      <w:pPr>
        <w:pStyle w:val="ParaNoNdepar-AltN"/>
        <w:tabs>
          <w:tab w:val="clear" w:pos="1152"/>
          <w:tab w:val="left" w:pos="1166"/>
        </w:tabs>
        <w:rPr>
          <w:rFonts w:cs="Times New Roman"/>
        </w:rPr>
      </w:pPr>
      <w:r w:rsidRPr="00684A62">
        <w:rPr>
          <w:rFonts w:cs="Times New Roman"/>
        </w:rPr>
        <w:t>Such concerns, in my view, are not idle.  Limitations periods exist for good reasons, two of which deserve mention here.  First, “[t]here comes a time . . . when a potential defendant should be secure in his reasonable expectation that he will not be held to account for ancient obligations” (</w:t>
      </w:r>
      <w:r w:rsidRPr="00684A62">
        <w:rPr>
          <w:rFonts w:cs="Times New Roman"/>
          <w:i/>
        </w:rPr>
        <w:t>M.</w:t>
      </w:r>
      <w:r>
        <w:rPr>
          <w:rFonts w:cs="Times New Roman"/>
          <w:i/>
        </w:rPr>
        <w:t xml:space="preserve"> </w:t>
      </w:r>
      <w:r w:rsidRPr="00684A62">
        <w:rPr>
          <w:rFonts w:cs="Times New Roman"/>
          <w:i/>
        </w:rPr>
        <w:t>(K.) v. M</w:t>
      </w:r>
      <w:r>
        <w:rPr>
          <w:rFonts w:cs="Times New Roman"/>
          <w:i/>
        </w:rPr>
        <w:t xml:space="preserve">. </w:t>
      </w:r>
      <w:r w:rsidRPr="00684A62">
        <w:rPr>
          <w:rFonts w:cs="Times New Roman"/>
          <w:i/>
        </w:rPr>
        <w:t>(H.)</w:t>
      </w:r>
      <w:r w:rsidRPr="00684A62">
        <w:rPr>
          <w:rFonts w:cs="Times New Roman"/>
        </w:rPr>
        <w:t>, [1992] 3 S.C.R. 6, at p. 29).  Second, at some point “[i]t is better that the negligent [plaintiff], who has omitted to assert his right within the prescribed period, should lose his right, than that an opening should be given to interminable litigation” (</w:t>
      </w:r>
      <w:r w:rsidRPr="00684A62">
        <w:rPr>
          <w:rFonts w:cs="Times New Roman"/>
          <w:i/>
        </w:rPr>
        <w:t>Cholmondeley v. Clinton</w:t>
      </w:r>
      <w:r w:rsidRPr="00684A62">
        <w:rPr>
          <w:rFonts w:cs="Times New Roman"/>
        </w:rPr>
        <w:t xml:space="preserve"> (1820), </w:t>
      </w:r>
      <w:r>
        <w:rPr>
          <w:rFonts w:cs="Times New Roman"/>
        </w:rPr>
        <w:t xml:space="preserve">2 Jac. &amp; W. 1, </w:t>
      </w:r>
      <w:r w:rsidRPr="00684A62">
        <w:rPr>
          <w:rFonts w:cs="Times New Roman"/>
        </w:rPr>
        <w:t>37 E.R. 527, at p. 577</w:t>
      </w:r>
      <w:r>
        <w:rPr>
          <w:rFonts w:cs="Times New Roman"/>
        </w:rPr>
        <w:t>; see also </w:t>
      </w:r>
      <w:r w:rsidRPr="00684A62">
        <w:rPr>
          <w:rFonts w:cs="Times New Roman"/>
          <w:i/>
        </w:rPr>
        <w:t>M.</w:t>
      </w:r>
      <w:r>
        <w:rPr>
          <w:rFonts w:cs="Times New Roman"/>
          <w:i/>
        </w:rPr>
        <w:t> </w:t>
      </w:r>
      <w:r w:rsidRPr="00684A62">
        <w:rPr>
          <w:rFonts w:cs="Times New Roman"/>
          <w:i/>
        </w:rPr>
        <w:t>(K.)</w:t>
      </w:r>
      <w:r w:rsidRPr="00684A62">
        <w:rPr>
          <w:rFonts w:cs="Times New Roman"/>
        </w:rPr>
        <w:t>, at p. 30).</w:t>
      </w:r>
    </w:p>
    <w:p w:rsidR="00DC267F" w:rsidRPr="00684A62" w:rsidRDefault="00DC267F" w:rsidP="00DC267F">
      <w:pPr>
        <w:pStyle w:val="ParaNoNdepar-AltN"/>
        <w:tabs>
          <w:tab w:val="clear" w:pos="1152"/>
          <w:tab w:val="left" w:pos="1166"/>
        </w:tabs>
        <w:rPr>
          <w:rFonts w:cs="Times New Roman"/>
        </w:rPr>
      </w:pPr>
      <w:r w:rsidRPr="00684A62">
        <w:rPr>
          <w:rFonts w:cs="Times New Roman"/>
        </w:rPr>
        <w:t xml:space="preserve">Against those rationales, the appellant’s interpretation has something to it.  Manifestly, the Commission’s reading significantly extends </w:t>
      </w:r>
      <w:r>
        <w:rPr>
          <w:rFonts w:cs="Times New Roman"/>
        </w:rPr>
        <w:t xml:space="preserve">the </w:t>
      </w:r>
      <w:r w:rsidRPr="00684A62">
        <w:rPr>
          <w:rFonts w:cs="Times New Roman"/>
        </w:rPr>
        <w:t>duration of time for which a person may be subject to regulatory action.  Common sense suggests that the authorities will always want more time to go after law-breakers, but fairness demands their chase eventually come to an end.  Absent more, regard for the purpose of limitation periods thus counsels in favour of the appellant’s interpretation.</w:t>
      </w:r>
    </w:p>
    <w:p w:rsidR="00DC267F" w:rsidRPr="00684A62" w:rsidRDefault="00DC267F" w:rsidP="00DC267F">
      <w:pPr>
        <w:pStyle w:val="ParaNoNdepar-AltN"/>
        <w:tabs>
          <w:tab w:val="clear" w:pos="1152"/>
          <w:tab w:val="left" w:pos="1166"/>
        </w:tabs>
        <w:rPr>
          <w:rFonts w:cs="Times New Roman"/>
        </w:rPr>
      </w:pPr>
      <w:r w:rsidRPr="00684A62">
        <w:rPr>
          <w:rFonts w:cs="Times New Roman"/>
        </w:rPr>
        <w:lastRenderedPageBreak/>
        <w:t>There is, however, a simple answer to the disquieting hypotheticals raised by the appellant.  Although securities commissions are conferred with broad discretion to make orders in the public interest, their authority “is not unlimited” (</w:t>
      </w:r>
      <w:r w:rsidRPr="00684A62">
        <w:rPr>
          <w:rFonts w:cs="Times New Roman"/>
          <w:i/>
        </w:rPr>
        <w:t>Asbestos Minority Shareholders</w:t>
      </w:r>
      <w:r w:rsidRPr="00684A62">
        <w:rPr>
          <w:rFonts w:cs="Times New Roman"/>
        </w:rPr>
        <w:t>, at para. 41).  Accordingly, no order — secondary or otherwise — is immune from appellate review for its reasonableness</w:t>
      </w:r>
      <w:r>
        <w:rPr>
          <w:rFonts w:cs="Times New Roman"/>
        </w:rPr>
        <w:t>;</w:t>
      </w:r>
      <w:r w:rsidRPr="00684A62">
        <w:rPr>
          <w:rFonts w:cs="Times New Roman"/>
          <w:szCs w:val="24"/>
        </w:rPr>
        <w:t xml:space="preserve"> </w:t>
      </w:r>
      <w:r>
        <w:rPr>
          <w:rFonts w:cs="Times New Roman"/>
          <w:szCs w:val="24"/>
        </w:rPr>
        <w:t>s</w:t>
      </w:r>
      <w:r w:rsidRPr="00684A62">
        <w:rPr>
          <w:rFonts w:cs="Times New Roman"/>
          <w:szCs w:val="24"/>
        </w:rPr>
        <w:t xml:space="preserve">ee, e.g., </w:t>
      </w:r>
      <w:r w:rsidRPr="00684A62">
        <w:rPr>
          <w:rFonts w:cs="Times New Roman"/>
          <w:i/>
          <w:szCs w:val="24"/>
        </w:rPr>
        <w:t>Lines v. British Columbia (Securities Commission)</w:t>
      </w:r>
      <w:r w:rsidRPr="00684A62">
        <w:rPr>
          <w:rFonts w:cs="Times New Roman"/>
          <w:szCs w:val="24"/>
        </w:rPr>
        <w:t>, 2012 BCCA 316</w:t>
      </w:r>
      <w:r>
        <w:rPr>
          <w:rFonts w:cs="Times New Roman"/>
          <w:szCs w:val="24"/>
        </w:rPr>
        <w:t>, 35 B.C.L.R. (5</w:t>
      </w:r>
      <w:r w:rsidRPr="00634BFD">
        <w:rPr>
          <w:rFonts w:cs="Times New Roman"/>
          <w:szCs w:val="24"/>
        </w:rPr>
        <w:t>th)</w:t>
      </w:r>
      <w:r>
        <w:rPr>
          <w:rFonts w:cs="Times New Roman"/>
          <w:szCs w:val="24"/>
        </w:rPr>
        <w:t xml:space="preserve"> 281</w:t>
      </w:r>
      <w:r w:rsidRPr="00684A62">
        <w:rPr>
          <w:rFonts w:cs="Times New Roman"/>
          <w:szCs w:val="24"/>
        </w:rPr>
        <w:t xml:space="preserve"> (where the court found the Commission’s order under s. 161(6)(d) unreasonable because it imposed a severe sanction in sole reliance on another jurisdiction’s settlement agreement in which no wrongdoing was admitted).</w:t>
      </w:r>
    </w:p>
    <w:p w:rsidR="00DC267F" w:rsidRPr="00684A62" w:rsidRDefault="00DC267F" w:rsidP="00DC267F">
      <w:pPr>
        <w:pStyle w:val="ParaNoNdepar-AltN"/>
        <w:tabs>
          <w:tab w:val="clear" w:pos="1152"/>
          <w:tab w:val="left" w:pos="1166"/>
        </w:tabs>
        <w:rPr>
          <w:rFonts w:cs="Times New Roman"/>
        </w:rPr>
      </w:pPr>
      <w:r w:rsidRPr="00684A62">
        <w:rPr>
          <w:rFonts w:cs="Times New Roman"/>
          <w:szCs w:val="24"/>
        </w:rPr>
        <w:t>“</w:t>
      </w:r>
      <w:r w:rsidRPr="00684A62">
        <w:rPr>
          <w:rFonts w:cs="Times New Roman"/>
        </w:rPr>
        <w:t>[T]here is always a perspective within which a statute is intended to operate” (</w:t>
      </w:r>
      <w:r w:rsidRPr="00684A62">
        <w:rPr>
          <w:rFonts w:cs="Times New Roman"/>
          <w:i/>
        </w:rPr>
        <w:t>Roncarelli v. Duplessis</w:t>
      </w:r>
      <w:r w:rsidRPr="00684A62">
        <w:rPr>
          <w:rFonts w:cs="Times New Roman"/>
        </w:rPr>
        <w:t>, [1959] S.C.R. 121, at p. 140).  And keeping the appellant’s concerns in mind, it seems to me that a regulator that sought to act on these scenarios would run afoul of the legislative purpose of limitation periods and distort the purpose of secondary proceeding provisions.</w:t>
      </w:r>
    </w:p>
    <w:p w:rsidR="00DC267F" w:rsidRPr="00684A62" w:rsidRDefault="00DC267F" w:rsidP="00DC267F">
      <w:pPr>
        <w:pStyle w:val="ParaNoNdepar-AltN"/>
        <w:tabs>
          <w:tab w:val="clear" w:pos="1152"/>
          <w:tab w:val="left" w:pos="1166"/>
        </w:tabs>
        <w:rPr>
          <w:rFonts w:cs="Times New Roman"/>
        </w:rPr>
      </w:pPr>
      <w:r w:rsidRPr="00684A62">
        <w:rPr>
          <w:rFonts w:cs="Times New Roman"/>
        </w:rPr>
        <w:t>To his credit, the respondent acknowledges as much in his oral and written submissions (see transcript, at p. 5</w:t>
      </w:r>
      <w:r>
        <w:rPr>
          <w:rFonts w:cs="Times New Roman"/>
        </w:rPr>
        <w:t>5</w:t>
      </w:r>
      <w:r w:rsidRPr="00684A62">
        <w:rPr>
          <w:rFonts w:cs="Times New Roman"/>
        </w:rPr>
        <w:t>; R.F., at para. 90).  In what I believe is a reasonable and responsible approach, he accepts the following three propositions:</w:t>
      </w:r>
    </w:p>
    <w:p w:rsidR="00DC267F" w:rsidRPr="00684A62" w:rsidRDefault="00DC267F" w:rsidP="00165597">
      <w:pPr>
        <w:pStyle w:val="Citation-AltC"/>
        <w:tabs>
          <w:tab w:val="left" w:pos="720"/>
        </w:tabs>
        <w:spacing w:line="480" w:lineRule="auto"/>
        <w:ind w:left="720" w:hanging="720"/>
      </w:pPr>
      <w:r>
        <w:t>1.</w:t>
      </w:r>
      <w:r>
        <w:tab/>
      </w:r>
      <w:r w:rsidRPr="00684A62">
        <w:t>Regardless of which of the four secondary proceeding clauses in s.</w:t>
      </w:r>
      <w:r>
        <w:t> </w:t>
      </w:r>
      <w:r w:rsidRPr="00684A62">
        <w:t xml:space="preserve">161(6) is at issue, “the events” refers to the date the relevant action first occurred.  Accordingly, if a settlement agreement is entered into on January 1, 2013 and </w:t>
      </w:r>
      <w:r w:rsidRPr="00684A62">
        <w:lastRenderedPageBreak/>
        <w:t xml:space="preserve">terminates on January 1, 2015, it is the </w:t>
      </w:r>
      <w:r w:rsidRPr="00684A62">
        <w:rPr>
          <w:i/>
        </w:rPr>
        <w:t xml:space="preserve">first </w:t>
      </w:r>
      <w:r w:rsidRPr="00684A62">
        <w:t xml:space="preserve">date, not the second, which starts the clock.  </w:t>
      </w:r>
    </w:p>
    <w:p w:rsidR="00DC267F" w:rsidRPr="00684A62" w:rsidRDefault="00DC267F" w:rsidP="00DC267F">
      <w:pPr>
        <w:pStyle w:val="Citation-AltC"/>
        <w:spacing w:line="480" w:lineRule="auto"/>
      </w:pPr>
    </w:p>
    <w:p w:rsidR="00DC267F" w:rsidRPr="00684A62" w:rsidRDefault="00DC267F" w:rsidP="00165597">
      <w:pPr>
        <w:pStyle w:val="Citation-AltC"/>
        <w:tabs>
          <w:tab w:val="left" w:pos="720"/>
        </w:tabs>
        <w:spacing w:line="480" w:lineRule="auto"/>
        <w:ind w:left="720" w:hanging="720"/>
      </w:pPr>
      <w:r w:rsidRPr="00684A62">
        <w:t>2.</w:t>
      </w:r>
      <w:r w:rsidRPr="00684A62">
        <w:tab/>
        <w:t xml:space="preserve">A secondary proceeding may not be commenced under s. 161(6) if the period of the original </w:t>
      </w:r>
      <w:r>
        <w:t>order</w:t>
      </w:r>
      <w:r w:rsidRPr="00684A62">
        <w:t xml:space="preserve"> has already lapsed.  In other words, using the same example, the Commission could not commence a secondary proceeding on February 1, 2015, because the original order would no longer be in place at that time.  </w:t>
      </w:r>
    </w:p>
    <w:p w:rsidR="00DC267F" w:rsidRPr="00684A62" w:rsidRDefault="00DC267F" w:rsidP="00DC267F">
      <w:pPr>
        <w:pStyle w:val="Citation-AltC"/>
        <w:spacing w:line="480" w:lineRule="auto"/>
      </w:pPr>
    </w:p>
    <w:p w:rsidR="00DC267F" w:rsidRPr="00684A62" w:rsidRDefault="00DC267F" w:rsidP="00165597">
      <w:pPr>
        <w:pStyle w:val="Citation-AltC"/>
        <w:tabs>
          <w:tab w:val="left" w:pos="720"/>
        </w:tabs>
        <w:spacing w:line="480" w:lineRule="auto"/>
        <w:ind w:left="720" w:hanging="720"/>
      </w:pPr>
      <w:r w:rsidRPr="00684A62">
        <w:t>3.</w:t>
      </w:r>
      <w:r w:rsidRPr="00684A62">
        <w:tab/>
        <w:t xml:space="preserve">Any order initiated using s. 161(6) must be based on an </w:t>
      </w:r>
      <w:r w:rsidRPr="00684A62">
        <w:rPr>
          <w:i/>
        </w:rPr>
        <w:t xml:space="preserve">original </w:t>
      </w:r>
      <w:r w:rsidRPr="00684A62">
        <w:t>proceeding in the primary jurisdiction.  Secondary proceedings cannot be “stacked” on top of one another in the manner feared by the appellant.</w:t>
      </w:r>
    </w:p>
    <w:p w:rsidR="00DC267F" w:rsidRPr="00684A62" w:rsidRDefault="00DC267F" w:rsidP="00DC267F">
      <w:pPr>
        <w:pStyle w:val="ContinueParaSuitedupar-AltP"/>
        <w:rPr>
          <w:rFonts w:cs="Times New Roman"/>
        </w:rPr>
      </w:pPr>
      <w:r w:rsidRPr="00684A62">
        <w:rPr>
          <w:rFonts w:cs="Times New Roman"/>
        </w:rPr>
        <w:t>Although this is not the case to put our stamp of approval on these concessions, to my mind, they make eminent good sense.  Thus, to the extent</w:t>
      </w:r>
      <w:r>
        <w:rPr>
          <w:rFonts w:cs="Times New Roman"/>
        </w:rPr>
        <w:t xml:space="preserve"> that</w:t>
      </w:r>
      <w:r w:rsidRPr="00684A62">
        <w:rPr>
          <w:rFonts w:cs="Times New Roman"/>
        </w:rPr>
        <w:t xml:space="preserve"> regulators commence secondary proceedings in these situations, they must, as always, be prepared to defend the reasonableness of their decisions on appellate review.</w:t>
      </w:r>
    </w:p>
    <w:p w:rsidR="00DC267F" w:rsidRPr="00684A62" w:rsidRDefault="00DC267F" w:rsidP="00DC267F">
      <w:pPr>
        <w:pStyle w:val="ParaNoNdepar-AltN"/>
        <w:tabs>
          <w:tab w:val="clear" w:pos="1152"/>
          <w:tab w:val="left" w:pos="1166"/>
        </w:tabs>
        <w:rPr>
          <w:rFonts w:cs="Times New Roman"/>
        </w:rPr>
      </w:pPr>
      <w:r w:rsidRPr="00684A62">
        <w:rPr>
          <w:rFonts w:cs="Times New Roman"/>
          <w:szCs w:val="24"/>
        </w:rPr>
        <w:t xml:space="preserve">While it is true that the application of s. 159 to the secondary proceeding provisions such as s. 161(6)(d) will have the effect, as a practical matter, of extending the period under which the cloud of potential regulatory action hangs over a person, that, of itself, is not offensive to the legislative purpose of limitation provisions.  Limitations periods are always “driven by specific policy choices of the legislatures” </w:t>
      </w:r>
      <w:r w:rsidRPr="00684A62">
        <w:rPr>
          <w:rFonts w:cs="Times New Roman"/>
          <w:szCs w:val="24"/>
        </w:rPr>
        <w:lastRenderedPageBreak/>
        <w:t>(</w:t>
      </w:r>
      <w:r w:rsidRPr="00684A62">
        <w:rPr>
          <w:rFonts w:cs="Times New Roman"/>
          <w:i/>
          <w:szCs w:val="24"/>
        </w:rPr>
        <w:t>Manitoba Metis Federation Inc. v. Canada (Attorney General)</w:t>
      </w:r>
      <w:r w:rsidRPr="00684A62">
        <w:rPr>
          <w:rFonts w:cs="Times New Roman"/>
          <w:szCs w:val="24"/>
        </w:rPr>
        <w:t xml:space="preserve">, 2013 SCC 14, </w:t>
      </w:r>
      <w:r>
        <w:rPr>
          <w:rFonts w:cs="Times New Roman"/>
          <w:szCs w:val="24"/>
        </w:rPr>
        <w:t>[2013] 1 S.C.R. 623</w:t>
      </w:r>
      <w:r w:rsidR="00283E73">
        <w:rPr>
          <w:rFonts w:cs="Times New Roman"/>
          <w:szCs w:val="24"/>
        </w:rPr>
        <w:t>, at para. 230</w:t>
      </w:r>
      <w:r>
        <w:rPr>
          <w:rFonts w:cs="Times New Roman"/>
          <w:szCs w:val="24"/>
        </w:rPr>
        <w:t xml:space="preserve">, </w:t>
      </w:r>
      <w:r w:rsidRPr="00684A62">
        <w:rPr>
          <w:rFonts w:cs="Times New Roman"/>
          <w:i/>
          <w:szCs w:val="24"/>
        </w:rPr>
        <w:t xml:space="preserve">per </w:t>
      </w:r>
      <w:r w:rsidRPr="00684A62">
        <w:rPr>
          <w:rFonts w:cs="Times New Roman"/>
          <w:szCs w:val="24"/>
        </w:rPr>
        <w:t>Rothstein J., dissenting)</w:t>
      </w:r>
      <w:r>
        <w:rPr>
          <w:rFonts w:cs="Times New Roman"/>
          <w:szCs w:val="24"/>
        </w:rPr>
        <w:t>,</w:t>
      </w:r>
      <w:r w:rsidRPr="00684A62">
        <w:rPr>
          <w:rFonts w:cs="Times New Roman"/>
          <w:szCs w:val="24"/>
        </w:rPr>
        <w:t xml:space="preserve"> as they attempt to “balance the interests of both sides” (</w:t>
      </w:r>
      <w:r w:rsidRPr="00684A62">
        <w:rPr>
          <w:rFonts w:cs="Times New Roman"/>
          <w:i/>
          <w:szCs w:val="24"/>
        </w:rPr>
        <w:t>Murphy v. Welsh</w:t>
      </w:r>
      <w:r w:rsidRPr="00684A62">
        <w:rPr>
          <w:rFonts w:cs="Times New Roman"/>
          <w:szCs w:val="24"/>
        </w:rPr>
        <w:t xml:space="preserve">, [1993] 2 S.C.R. 1069, at p. 1080).  </w:t>
      </w:r>
    </w:p>
    <w:p w:rsidR="00DC267F" w:rsidRPr="00684A62" w:rsidRDefault="00DC267F" w:rsidP="00DC267F">
      <w:pPr>
        <w:pStyle w:val="ParaNoNdepar-AltN"/>
        <w:tabs>
          <w:tab w:val="clear" w:pos="1152"/>
          <w:tab w:val="left" w:pos="1166"/>
        </w:tabs>
        <w:rPr>
          <w:rFonts w:cs="Times New Roman"/>
        </w:rPr>
      </w:pPr>
      <w:r w:rsidRPr="00684A62">
        <w:rPr>
          <w:rFonts w:cs="Times New Roman"/>
          <w:szCs w:val="24"/>
        </w:rPr>
        <w:t>The Commission’s interpretation strikes a reasonable balance between facilitation of interprovincial cooperation and the underlying purposes of limitation periods.  Thus, notwithstanding the appellant’s reasonable concerns, I am unable to conclude that the Commission’s interpretation is rendered unreasonable in light of the purpose of limitation periods.</w:t>
      </w:r>
    </w:p>
    <w:p w:rsidR="00DC267F" w:rsidRPr="00684A62" w:rsidRDefault="00DC267F" w:rsidP="00165597">
      <w:pPr>
        <w:pStyle w:val="TitleTitre-AltT"/>
        <w:tabs>
          <w:tab w:val="clear" w:pos="360"/>
          <w:tab w:val="left" w:pos="1170"/>
          <w:tab w:val="left" w:pos="1800"/>
        </w:tabs>
        <w:ind w:left="1170" w:hanging="1170"/>
        <w:rPr>
          <w:rFonts w:cs="Times New Roman"/>
          <w:i/>
        </w:rPr>
      </w:pPr>
      <w:r w:rsidRPr="00684A62">
        <w:rPr>
          <w:rFonts w:cs="Times New Roman"/>
        </w:rPr>
        <w:tab/>
        <w:t>(7)</w:t>
      </w:r>
      <w:r w:rsidRPr="00684A62">
        <w:rPr>
          <w:rFonts w:cs="Times New Roman"/>
        </w:rPr>
        <w:tab/>
      </w:r>
      <w:r w:rsidRPr="00684A62">
        <w:rPr>
          <w:rFonts w:cs="Times New Roman"/>
          <w:u w:val="single"/>
        </w:rPr>
        <w:t>Conclusion on the Commission’s Interpretation</w:t>
      </w:r>
    </w:p>
    <w:p w:rsidR="00DC267F" w:rsidRPr="00684A62" w:rsidRDefault="00DC267F" w:rsidP="00DC267F">
      <w:pPr>
        <w:pStyle w:val="ParaNoNdepar-AltN"/>
        <w:tabs>
          <w:tab w:val="clear" w:pos="1152"/>
          <w:tab w:val="left" w:pos="1166"/>
        </w:tabs>
        <w:rPr>
          <w:rFonts w:cs="Times New Roman"/>
        </w:rPr>
      </w:pPr>
      <w:r w:rsidRPr="00684A62">
        <w:rPr>
          <w:rFonts w:cs="Times New Roman"/>
          <w:szCs w:val="24"/>
        </w:rPr>
        <w:t xml:space="preserve">A review of the ordinary meaning, the context, and the purpose of both ss. 159 and 161(6) reasonably supports the conclusion that </w:t>
      </w:r>
      <w:r w:rsidRPr="00684A62">
        <w:rPr>
          <w:rFonts w:cs="Times New Roman"/>
        </w:rPr>
        <w:t>“the even</w:t>
      </w:r>
      <w:r>
        <w:rPr>
          <w:rFonts w:cs="Times New Roman"/>
        </w:rPr>
        <w:t>[</w:t>
      </w:r>
      <w:r w:rsidRPr="00684A62">
        <w:rPr>
          <w:rFonts w:cs="Times New Roman"/>
        </w:rPr>
        <w:t xml:space="preserve">t]” giving rise to a proceeding under s. 161(6)(d) is the fact of “ha[ving] agreed with a securities regulatory authority” to be subject to regulatory action.  That is not to say that the appellant’s interpretation is not a reasonable alternative.  But as I have </w:t>
      </w:r>
      <w:r w:rsidRPr="00684A62">
        <w:rPr>
          <w:rFonts w:cs="Times New Roman"/>
          <w:szCs w:val="24"/>
        </w:rPr>
        <w:t>said, when faced with two competing reasonable interpretations that result from a lack of clarity in its home statute, the Commission, with the benefit of its expertise, is entitled to choose between them.  Courts must respect that choice.</w:t>
      </w:r>
    </w:p>
    <w:p w:rsidR="00DC267F" w:rsidRPr="00684A62" w:rsidRDefault="00165597" w:rsidP="00165597">
      <w:pPr>
        <w:pStyle w:val="TitleTitre-AltT"/>
        <w:tabs>
          <w:tab w:val="clear" w:pos="360"/>
          <w:tab w:val="left" w:pos="540"/>
        </w:tabs>
        <w:ind w:left="540" w:hanging="540"/>
        <w:rPr>
          <w:rFonts w:cs="Times New Roman"/>
          <w:i/>
        </w:rPr>
      </w:pPr>
      <w:r>
        <w:rPr>
          <w:rFonts w:cs="Times New Roman"/>
        </w:rPr>
        <w:t>C.</w:t>
      </w:r>
      <w:r>
        <w:rPr>
          <w:rFonts w:cs="Times New Roman"/>
        </w:rPr>
        <w:tab/>
      </w:r>
      <w:r w:rsidR="00DC267F" w:rsidRPr="00684A62">
        <w:rPr>
          <w:rFonts w:cs="Times New Roman"/>
          <w:i/>
        </w:rPr>
        <w:t>The Commission’s Failure to Give Reasons</w:t>
      </w:r>
    </w:p>
    <w:p w:rsidR="00DC267F" w:rsidRPr="00684A62" w:rsidRDefault="00DC267F" w:rsidP="00DC267F">
      <w:pPr>
        <w:pStyle w:val="ParaNoNdepar-AltN"/>
        <w:tabs>
          <w:tab w:val="clear" w:pos="1152"/>
          <w:tab w:val="left" w:pos="1166"/>
        </w:tabs>
        <w:rPr>
          <w:rFonts w:cs="Times New Roman"/>
        </w:rPr>
      </w:pPr>
      <w:r w:rsidRPr="00684A62">
        <w:rPr>
          <w:rFonts w:cs="Times New Roman"/>
        </w:rPr>
        <w:lastRenderedPageBreak/>
        <w:t xml:space="preserve">Briefly, I note that the Commission here failed to give reasons for its interpretation of s. 159.  Instead, the Commission issued its order and, in doing so, impliedly decided that the proceeding was not time-barred.  As noted in </w:t>
      </w:r>
      <w:r w:rsidRPr="00684A62">
        <w:rPr>
          <w:rFonts w:cs="Times New Roman"/>
          <w:i/>
        </w:rPr>
        <w:t>Alberta Teachers</w:t>
      </w:r>
      <w:r w:rsidRPr="00684A62">
        <w:rPr>
          <w:rFonts w:cs="Times New Roman"/>
        </w:rPr>
        <w:t xml:space="preserve">, “deference under the reasonableness standard is best given effect when administrative decision makers provide intelligible and transparent justification for their decisions” (at para. 54; see also </w:t>
      </w:r>
      <w:r w:rsidRPr="00684A62">
        <w:rPr>
          <w:rFonts w:cs="Times New Roman"/>
          <w:i/>
        </w:rPr>
        <w:t>Dunsmuir</w:t>
      </w:r>
      <w:r w:rsidRPr="00684A62">
        <w:rPr>
          <w:rFonts w:cs="Times New Roman"/>
        </w:rPr>
        <w:t xml:space="preserve">, at para. 47).  Nonetheless, “when a reasonable basis for the decision is apparent to the reviewing court, it will generally be unnecessary to remit the decision to the tribunal” (at para. 55; see also </w:t>
      </w:r>
      <w:r w:rsidRPr="00684A62">
        <w:rPr>
          <w:rFonts w:cs="Times New Roman"/>
          <w:i/>
        </w:rPr>
        <w:t>Agraira v. Canada (Public Safety and Emergency Preparedness)</w:t>
      </w:r>
      <w:r w:rsidRPr="00684A62">
        <w:rPr>
          <w:rFonts w:cs="Times New Roman"/>
        </w:rPr>
        <w:t>, 2013 SCC 36,</w:t>
      </w:r>
      <w:r w:rsidR="00165597">
        <w:rPr>
          <w:rFonts w:cs="Times New Roman"/>
        </w:rPr>
        <w:t xml:space="preserve"> [2013] 2 S.C.R. 559,</w:t>
      </w:r>
      <w:r w:rsidRPr="00684A62">
        <w:rPr>
          <w:rFonts w:cs="Times New Roman"/>
        </w:rPr>
        <w:t xml:space="preserve"> at para. 58).  </w:t>
      </w:r>
    </w:p>
    <w:p w:rsidR="00DC267F" w:rsidRPr="00684A62" w:rsidRDefault="00DC267F" w:rsidP="00DC267F">
      <w:pPr>
        <w:pStyle w:val="ParaNoNdepar-AltN"/>
        <w:tabs>
          <w:tab w:val="clear" w:pos="1152"/>
          <w:tab w:val="left" w:pos="1166"/>
        </w:tabs>
        <w:rPr>
          <w:rFonts w:cs="Times New Roman"/>
        </w:rPr>
      </w:pPr>
      <w:r w:rsidRPr="00684A62">
        <w:rPr>
          <w:rFonts w:cs="Times New Roman"/>
        </w:rPr>
        <w:t xml:space="preserve">Unlike </w:t>
      </w:r>
      <w:r w:rsidRPr="00684A62">
        <w:rPr>
          <w:rFonts w:cs="Times New Roman"/>
          <w:i/>
        </w:rPr>
        <w:t>Alberta Teachers</w:t>
      </w:r>
      <w:r w:rsidRPr="00684A62">
        <w:rPr>
          <w:rFonts w:cs="Times New Roman"/>
        </w:rPr>
        <w:t>, in the case at bar</w:t>
      </w:r>
      <w:r>
        <w:rPr>
          <w:rFonts w:cs="Times New Roman"/>
        </w:rPr>
        <w:t>,</w:t>
      </w:r>
      <w:r w:rsidRPr="00684A62">
        <w:rPr>
          <w:rFonts w:cs="Times New Roman"/>
        </w:rPr>
        <w:t xml:space="preserve"> we do not have the benefit of the Commission’s reasoning from its decisions in other cases involving the same issue (see paras. 56-57).  However, a basis for the Commission’s interpretation is apparent from the arguments advanced by the respondent, who is also empowered to make orders under (and thus to interpret) s. 161(1) and (6).  These arguments </w:t>
      </w:r>
      <w:r w:rsidRPr="00684A62">
        <w:rPr>
          <w:rFonts w:cs="Times New Roman"/>
          <w:lang w:val="en-US"/>
        </w:rPr>
        <w:t xml:space="preserve">follow from established </w:t>
      </w:r>
      <w:r w:rsidRPr="00684A62">
        <w:rPr>
          <w:rFonts w:cs="Times New Roman"/>
        </w:rPr>
        <w:t>principles of statutory interpretation.  Accordingly, though reasons would have been preferable, there is nothing to be gained here from requiring the Commission to explain on remand what is readily apparent now.</w:t>
      </w:r>
    </w:p>
    <w:p w:rsidR="00DC267F" w:rsidRPr="00684A62" w:rsidRDefault="00DC267F" w:rsidP="00DC267F">
      <w:pPr>
        <w:pStyle w:val="TitleTitre-AltT"/>
        <w:rPr>
          <w:rFonts w:cs="Times New Roman"/>
        </w:rPr>
      </w:pPr>
      <w:r w:rsidRPr="00684A62">
        <w:rPr>
          <w:rFonts w:cs="Times New Roman"/>
        </w:rPr>
        <w:t>VI.</w:t>
      </w:r>
      <w:r w:rsidRPr="00684A62">
        <w:rPr>
          <w:rFonts w:cs="Times New Roman"/>
        </w:rPr>
        <w:tab/>
      </w:r>
      <w:r w:rsidRPr="00684A62">
        <w:rPr>
          <w:rFonts w:cs="Times New Roman"/>
        </w:rPr>
        <w:tab/>
      </w:r>
      <w:r w:rsidRPr="00684A62">
        <w:rPr>
          <w:rFonts w:cs="Times New Roman"/>
          <w:u w:val="single"/>
        </w:rPr>
        <w:t>Disposition</w:t>
      </w:r>
    </w:p>
    <w:p w:rsidR="00DC267F" w:rsidRPr="00684A62" w:rsidRDefault="00DC267F" w:rsidP="00DC267F">
      <w:pPr>
        <w:pStyle w:val="ParaNoNdepar-AltN"/>
        <w:tabs>
          <w:tab w:val="clear" w:pos="1152"/>
          <w:tab w:val="left" w:pos="1166"/>
        </w:tabs>
        <w:rPr>
          <w:rFonts w:cs="Times New Roman"/>
        </w:rPr>
      </w:pPr>
      <w:r w:rsidRPr="00684A62">
        <w:rPr>
          <w:rFonts w:cs="Times New Roman"/>
        </w:rPr>
        <w:t>For these reasons, I would dismiss the appeal with costs.</w:t>
      </w:r>
    </w:p>
    <w:p w:rsidR="00DC267F" w:rsidRPr="00A36A65" w:rsidRDefault="00DC267F" w:rsidP="00DC267F">
      <w:pPr>
        <w:pStyle w:val="JudgeJuge"/>
        <w:rPr>
          <w:smallCaps w:val="0"/>
        </w:rPr>
      </w:pPr>
      <w:r w:rsidRPr="00A36A65">
        <w:rPr>
          <w:smallCaps w:val="0"/>
        </w:rPr>
        <w:lastRenderedPageBreak/>
        <w:tab/>
      </w:r>
      <w:r w:rsidR="00A36A65" w:rsidRPr="00A36A65">
        <w:rPr>
          <w:smallCaps w:val="0"/>
        </w:rPr>
        <w:t>The following are the reasons delivered by</w:t>
      </w:r>
    </w:p>
    <w:p w:rsidR="00DC267F" w:rsidRPr="00A069D5" w:rsidRDefault="00A36A65" w:rsidP="00DC267F">
      <w:pPr>
        <w:pStyle w:val="ParaNoNdepar-AltN"/>
      </w:pPr>
      <w:r w:rsidRPr="00A36A65">
        <w:rPr>
          <w:smallCaps/>
        </w:rPr>
        <w:t>Karakatsanis J.</w:t>
      </w:r>
      <w:r w:rsidRPr="00A069D5">
        <w:t xml:space="preserve"> — </w:t>
      </w:r>
      <w:r w:rsidR="00DC267F" w:rsidRPr="00A069D5">
        <w:t xml:space="preserve">I agree with Justice Moldaver’s proposed disposition of this appeal and with much of his analysis.  I accept his conclusion that the British Columbia Securities Commission was reasonable in interpreting the limitation period contained in s. 159 of the British Columbia </w:t>
      </w:r>
      <w:r w:rsidR="00DC267F" w:rsidRPr="00A069D5">
        <w:rPr>
          <w:i/>
        </w:rPr>
        <w:t>Securities Act</w:t>
      </w:r>
      <w:r w:rsidR="00DC267F" w:rsidRPr="00A069D5">
        <w:t>, R.S.B.C. 1996, c. 418, to require that secondary proceedings under s. 161(6) of the Act must be initiated within six years of a person being sanctioned in another jurisdiction, not within six years of the underlying misconduct.</w:t>
      </w:r>
    </w:p>
    <w:p w:rsidR="00DC267F" w:rsidRPr="00A069D5" w:rsidRDefault="00DC267F" w:rsidP="00DC267F">
      <w:pPr>
        <w:pStyle w:val="ParaNoNdepar-AltN"/>
        <w:rPr>
          <w:rFonts w:cs="Times New Roman"/>
        </w:rPr>
      </w:pPr>
      <w:r w:rsidRPr="00A069D5">
        <w:rPr>
          <w:rFonts w:cs="Times New Roman"/>
        </w:rPr>
        <w:t xml:space="preserve">However, I part company with my colleague when he suggests that the opposite interpretation urged by the appellant — that the limitation period runs from the time of the underlying misconduct, not the Ontario Securities Commission order — is also reasonable.  </w:t>
      </w:r>
      <w:r w:rsidRPr="00A069D5" w:rsidDel="007A2701">
        <w:rPr>
          <w:rFonts w:cs="Times New Roman"/>
        </w:rPr>
        <w:t>I do not agree.</w:t>
      </w:r>
    </w:p>
    <w:p w:rsidR="00DC267F" w:rsidRPr="00A069D5" w:rsidRDefault="00DC267F" w:rsidP="00DC267F">
      <w:pPr>
        <w:pStyle w:val="ParaNoNdepar-AltN"/>
        <w:rPr>
          <w:rFonts w:cs="Times New Roman"/>
        </w:rPr>
      </w:pPr>
      <w:r w:rsidRPr="00A069D5">
        <w:rPr>
          <w:rFonts w:cs="Times New Roman"/>
        </w:rPr>
        <w:t>While the text of the provision, or its drafting history, might bear different interpretations if considered in a vacuum, the legislative objective of facilitating interjurisdictional cooperation weighs heavily against the appellant’s interpretation.</w:t>
      </w:r>
    </w:p>
    <w:p w:rsidR="00DC267F" w:rsidRPr="00A069D5" w:rsidRDefault="00DC267F" w:rsidP="00DC267F">
      <w:pPr>
        <w:pStyle w:val="ParaNoNdepar-AltN"/>
        <w:rPr>
          <w:rFonts w:cs="Times New Roman"/>
        </w:rPr>
      </w:pPr>
      <w:r w:rsidRPr="00A069D5" w:rsidDel="004147F5">
        <w:rPr>
          <w:rFonts w:cs="Times New Roman"/>
        </w:rPr>
        <w:t>Here</w:t>
      </w:r>
      <w:r w:rsidRPr="00A069D5">
        <w:rPr>
          <w:rFonts w:cs="Times New Roman"/>
        </w:rPr>
        <w:t>,</w:t>
      </w:r>
      <w:r w:rsidRPr="00A069D5" w:rsidDel="004147F5">
        <w:rPr>
          <w:rFonts w:cs="Times New Roman"/>
        </w:rPr>
        <w:t xml:space="preserve"> legislatures across Canada have enacted </w:t>
      </w:r>
      <w:r w:rsidRPr="00A069D5">
        <w:rPr>
          <w:rFonts w:cs="Times New Roman"/>
        </w:rPr>
        <w:t>similar provisions to permit secondary</w:t>
      </w:r>
      <w:r w:rsidRPr="00A069D5" w:rsidDel="004147F5">
        <w:rPr>
          <w:rFonts w:cs="Times New Roman"/>
        </w:rPr>
        <w:t xml:space="preserve"> </w:t>
      </w:r>
      <w:r w:rsidRPr="00A069D5">
        <w:rPr>
          <w:rFonts w:cs="Times New Roman"/>
        </w:rPr>
        <w:t>proceedings in furtherance of</w:t>
      </w:r>
      <w:r w:rsidRPr="00A069D5" w:rsidDel="004147F5">
        <w:rPr>
          <w:rFonts w:cs="Times New Roman"/>
        </w:rPr>
        <w:t xml:space="preserve"> interjurisdictional cooperation and </w:t>
      </w:r>
      <w:r w:rsidRPr="00A069D5" w:rsidDel="004147F5">
        <w:rPr>
          <w:rFonts w:cs="Times New Roman"/>
        </w:rPr>
        <w:lastRenderedPageBreak/>
        <w:t xml:space="preserve">consistency in </w:t>
      </w:r>
      <w:r w:rsidRPr="00A069D5">
        <w:rPr>
          <w:rFonts w:cs="Times New Roman"/>
        </w:rPr>
        <w:t xml:space="preserve">securities </w:t>
      </w:r>
      <w:r w:rsidRPr="00A069D5" w:rsidDel="004147F5">
        <w:rPr>
          <w:rFonts w:cs="Times New Roman"/>
        </w:rPr>
        <w:t>regulation and enforcement across the country.</w:t>
      </w:r>
      <w:r w:rsidRPr="00A069D5">
        <w:rPr>
          <w:rStyle w:val="FootnoteReference"/>
          <w:rFonts w:cs="Times New Roman"/>
        </w:rPr>
        <w:footnoteReference w:id="4"/>
      </w:r>
      <w:r w:rsidRPr="00A069D5" w:rsidDel="004147F5">
        <w:rPr>
          <w:rFonts w:cs="Times New Roman"/>
        </w:rPr>
        <w:t xml:space="preserve"> </w:t>
      </w:r>
      <w:r w:rsidRPr="00A069D5">
        <w:rPr>
          <w:rFonts w:cs="Times New Roman"/>
        </w:rPr>
        <w:t xml:space="preserve"> These objectives are also reflected in the </w:t>
      </w:r>
      <w:r w:rsidRPr="00A069D5">
        <w:rPr>
          <w:rFonts w:cs="Times New Roman"/>
          <w:i/>
        </w:rPr>
        <w:t>Provincial/Territorial Memorandum of Understanding Regarding Securities Regulation</w:t>
      </w:r>
      <w:r w:rsidRPr="00A069D5">
        <w:rPr>
          <w:rFonts w:cs="Times New Roman"/>
        </w:rPr>
        <w:t>.</w:t>
      </w:r>
      <w:r w:rsidRPr="00A069D5">
        <w:rPr>
          <w:rFonts w:cs="Times New Roman"/>
          <w:i/>
        </w:rPr>
        <w:t xml:space="preserve">  </w:t>
      </w:r>
      <w:r w:rsidRPr="00A069D5">
        <w:rPr>
          <w:rFonts w:cs="Times New Roman"/>
        </w:rPr>
        <w:t xml:space="preserve">As my colleague notes, this Court has recognized that interjurisdictional cooperation is “indispensable” to securities regulation: </w:t>
      </w:r>
      <w:r w:rsidRPr="00A069D5">
        <w:rPr>
          <w:rFonts w:cs="Times New Roman"/>
          <w:i/>
        </w:rPr>
        <w:t>Global Securities Corp. v. British Columbia (Securities Commission)</w:t>
      </w:r>
      <w:r w:rsidRPr="00A069D5">
        <w:rPr>
          <w:rFonts w:cs="Times New Roman"/>
        </w:rPr>
        <w:t>, 2000 SCC 21, [2000] 1 S.C.R. 494, at para. 27.  It</w:t>
      </w:r>
      <w:r w:rsidRPr="00A069D5">
        <w:rPr>
          <w:rFonts w:cs="Times New Roman"/>
          <w:i/>
        </w:rPr>
        <w:t xml:space="preserve"> </w:t>
      </w:r>
      <w:r w:rsidRPr="00A069D5">
        <w:rPr>
          <w:rFonts w:cs="Times New Roman"/>
        </w:rPr>
        <w:t xml:space="preserve">is particularly important in light of </w:t>
      </w:r>
      <w:r w:rsidRPr="00A069D5">
        <w:rPr>
          <w:rFonts w:cs="Times New Roman"/>
          <w:i/>
        </w:rPr>
        <w:t>Reference re Securities Act</w:t>
      </w:r>
      <w:r w:rsidRPr="00A069D5">
        <w:rPr>
          <w:rFonts w:cs="Times New Roman"/>
        </w:rPr>
        <w:t>, 2011 SCC 66, [2011] 3 S.C.R. 837.</w:t>
      </w:r>
    </w:p>
    <w:p w:rsidR="00DC267F" w:rsidRPr="00A069D5" w:rsidRDefault="00DC267F" w:rsidP="00DC267F">
      <w:pPr>
        <w:pStyle w:val="ParaNoNdepar-AltN"/>
        <w:rPr>
          <w:rFonts w:cs="Times New Roman"/>
        </w:rPr>
      </w:pPr>
      <w:r w:rsidRPr="00A069D5">
        <w:rPr>
          <w:rFonts w:cs="Times New Roman"/>
        </w:rPr>
        <w:t>On the appellant’s reading, the British Columbia Securities Commission may only initiate secondary proceedings against a person if it does so within six years of the underlying misconduct.</w:t>
      </w:r>
      <w:r>
        <w:rPr>
          <w:rFonts w:cs="Times New Roman"/>
        </w:rPr>
        <w:t xml:space="preserve"> </w:t>
      </w:r>
      <w:r w:rsidRPr="00A069D5">
        <w:rPr>
          <w:rFonts w:cs="Times New Roman"/>
        </w:rPr>
        <w:t xml:space="preserve"> This would mean that in cases — like this one — where an investigation in another jurisdiction does not conclude in an order or settlement within six years of the underlying misconduct, the Commission could not use its secondary proceedings power unless it had already started proceedings before the six year clock had elapsed.  The appellant’s solution, that the Commission could instead initiate its own primary proceedings before the other jurisdiction’s had concluded, strikes me as duplication that is inconsistent with the objectives of the secondary proceedings regime.</w:t>
      </w:r>
    </w:p>
    <w:p w:rsidR="00DC267F" w:rsidRPr="00A069D5" w:rsidRDefault="00DC267F" w:rsidP="00DC267F">
      <w:pPr>
        <w:pStyle w:val="ParaNoNdepar-AltN"/>
        <w:rPr>
          <w:rFonts w:cs="Times New Roman"/>
        </w:rPr>
      </w:pPr>
      <w:r w:rsidRPr="00A069D5">
        <w:rPr>
          <w:rFonts w:cs="Times New Roman"/>
        </w:rPr>
        <w:lastRenderedPageBreak/>
        <w:t>In this context, I am not persuaded that it would have been open to the Commission to reasonably interpret the limitation period as the appellant urges.  It is at odds with a purposive interpretation.</w:t>
      </w:r>
    </w:p>
    <w:p w:rsidR="00DC267F" w:rsidRPr="00A069D5" w:rsidRDefault="00DC267F" w:rsidP="00DC267F">
      <w:pPr>
        <w:pStyle w:val="ParaNoNdepar-AltN"/>
        <w:rPr>
          <w:rFonts w:cs="Times New Roman"/>
        </w:rPr>
      </w:pPr>
      <w:r w:rsidRPr="00A069D5">
        <w:rPr>
          <w:rFonts w:cs="Times New Roman"/>
        </w:rPr>
        <w:t>My colleague’s conclusion that both interpretations are reasonable would permit securities commissions in different jurisdictions across the country to come to completely opposite conclusions about the application of essentially equivalent statutory provisions enacted for the same purposes.  Such a result has the potential to thwart the legislative objectives of consistency and cooperation that underlie the secondary proceedings regime.</w:t>
      </w:r>
    </w:p>
    <w:p w:rsidR="00DC267F" w:rsidRPr="00A069D5" w:rsidDel="00E15B50" w:rsidRDefault="00DC267F" w:rsidP="00DC267F">
      <w:pPr>
        <w:pStyle w:val="ParaNoNdepar-AltN"/>
        <w:rPr>
          <w:rFonts w:cs="Times New Roman"/>
        </w:rPr>
      </w:pPr>
      <w:r w:rsidRPr="00A069D5" w:rsidDel="00E15B50">
        <w:rPr>
          <w:rFonts w:cs="Times New Roman"/>
        </w:rPr>
        <w:t>As my colleague notes, the disposition of this appeal</w:t>
      </w:r>
      <w:r w:rsidRPr="00A069D5">
        <w:rPr>
          <w:rFonts w:cs="Times New Roman"/>
        </w:rPr>
        <w:t xml:space="preserve"> does not require us to decide whether the appellant’s alternative interpretation is reasonable</w:t>
      </w:r>
      <w:r w:rsidRPr="00A069D5" w:rsidDel="00E15B50">
        <w:rPr>
          <w:rFonts w:cs="Times New Roman"/>
        </w:rPr>
        <w:t>.</w:t>
      </w:r>
    </w:p>
    <w:p w:rsidR="00DC267F" w:rsidRPr="00A069D5" w:rsidRDefault="00DC267F" w:rsidP="00DC267F">
      <w:pPr>
        <w:pStyle w:val="ParaNoNdepar-AltN"/>
        <w:rPr>
          <w:rFonts w:cs="Times New Roman"/>
        </w:rPr>
      </w:pPr>
      <w:r w:rsidRPr="00A069D5">
        <w:rPr>
          <w:rFonts w:cs="Times New Roman"/>
        </w:rPr>
        <w:t>Accordingly, with this reservation regarding my colleague’s reasons, I too would dismiss the appeal.</w:t>
      </w:r>
    </w:p>
    <w:p w:rsidR="009B57B3" w:rsidRPr="00930536" w:rsidRDefault="009B57B3" w:rsidP="00D57F17">
      <w:pPr>
        <w:pStyle w:val="SCCNormalDoubleSpacing"/>
        <w:spacing w:after="480"/>
      </w:pPr>
      <w:r w:rsidRPr="00930536">
        <w:tab/>
      </w:r>
      <w:r w:rsidR="00656313" w:rsidRPr="00930536">
        <w:rPr>
          <w:i/>
        </w:rPr>
        <w:t>Appeal</w:t>
      </w:r>
      <w:r w:rsidR="00EE0062" w:rsidRPr="00930536">
        <w:rPr>
          <w:i/>
        </w:rPr>
        <w:t xml:space="preserve"> dismissed with costs.</w:t>
      </w:r>
    </w:p>
    <w:p w:rsidR="00EE0062" w:rsidRPr="00930536" w:rsidRDefault="00EE0062" w:rsidP="00D57F17">
      <w:pPr>
        <w:pStyle w:val="SCCLawFirm"/>
        <w:spacing w:after="480"/>
      </w:pPr>
      <w:r w:rsidRPr="00930536">
        <w:tab/>
        <w:t>Solicitors for the appellant</w:t>
      </w:r>
      <w:r w:rsidR="00D57F17" w:rsidRPr="00930536">
        <w:t>:  </w:t>
      </w:r>
      <w:r w:rsidRPr="00930536">
        <w:t>Stockwoods, Toronto.</w:t>
      </w:r>
    </w:p>
    <w:p w:rsidR="00EE0062" w:rsidRPr="00930536" w:rsidRDefault="00EE0062" w:rsidP="00D57F17">
      <w:pPr>
        <w:pStyle w:val="SCCLawFirm"/>
        <w:spacing w:after="480"/>
      </w:pPr>
      <w:r w:rsidRPr="00930536">
        <w:tab/>
        <w:t>Solicit</w:t>
      </w:r>
      <w:r w:rsidR="00D57F17" w:rsidRPr="00930536">
        <w:t>or for the respondent:  British </w:t>
      </w:r>
      <w:r w:rsidRPr="00930536">
        <w:t>Columbia Securities Commission, Vancouver.</w:t>
      </w:r>
    </w:p>
    <w:p w:rsidR="00EE0062" w:rsidRPr="00930536" w:rsidRDefault="00EE0062" w:rsidP="00D57F17">
      <w:pPr>
        <w:pStyle w:val="SCCLawFirm"/>
        <w:spacing w:after="480"/>
      </w:pPr>
      <w:r w:rsidRPr="00930536">
        <w:lastRenderedPageBreak/>
        <w:tab/>
        <w:t>Solicitors for the intervener the Financial Advisors Association of Canada</w:t>
      </w:r>
      <w:r w:rsidR="00D57F17" w:rsidRPr="00930536">
        <w:t>:  </w:t>
      </w:r>
      <w:r w:rsidRPr="00930536">
        <w:t>Blaney McMurtry, Toronto.</w:t>
      </w:r>
    </w:p>
    <w:p w:rsidR="006A3FE0" w:rsidRPr="00930536" w:rsidRDefault="00EE0062" w:rsidP="00D57F17">
      <w:pPr>
        <w:pStyle w:val="SCCLawFirm"/>
      </w:pPr>
      <w:r w:rsidRPr="00930536">
        <w:tab/>
        <w:t>Solicitor for the intervener the Ontario Securities Commission</w:t>
      </w:r>
      <w:r w:rsidR="00D57F17" w:rsidRPr="00930536">
        <w:t>:  </w:t>
      </w:r>
      <w:r w:rsidRPr="00930536">
        <w:t>Ontario Securities Commission, Toronto.</w:t>
      </w:r>
    </w:p>
    <w:sectPr w:rsidR="006A3FE0" w:rsidRPr="00930536" w:rsidSect="00201244">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7B0" w:rsidRDefault="001F17B0">
      <w:r>
        <w:separator/>
      </w:r>
    </w:p>
  </w:endnote>
  <w:endnote w:type="continuationSeparator" w:id="0">
    <w:p w:rsidR="001F17B0" w:rsidRDefault="001F17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7B0" w:rsidRDefault="001F17B0">
      <w:r>
        <w:separator/>
      </w:r>
    </w:p>
  </w:footnote>
  <w:footnote w:type="continuationSeparator" w:id="0">
    <w:p w:rsidR="001F17B0" w:rsidRDefault="001F17B0">
      <w:r>
        <w:continuationSeparator/>
      </w:r>
    </w:p>
  </w:footnote>
  <w:footnote w:id="1">
    <w:p w:rsidR="001F17B0" w:rsidRPr="00B86817" w:rsidRDefault="001F17B0" w:rsidP="001F17B0">
      <w:pPr>
        <w:pStyle w:val="FootnoteText"/>
        <w:ind w:left="187" w:hanging="187"/>
        <w:jc w:val="both"/>
      </w:pPr>
      <w:r w:rsidRPr="00B86817">
        <w:rPr>
          <w:rStyle w:val="FootnoteReference"/>
        </w:rPr>
        <w:footnoteRef/>
      </w:r>
      <w:r w:rsidRPr="00B86817">
        <w:t xml:space="preserve"> </w:t>
      </w:r>
      <w:r>
        <w:tab/>
      </w:r>
      <w:r w:rsidRPr="00B86817">
        <w:t xml:space="preserve">For a </w:t>
      </w:r>
      <w:r w:rsidRPr="005A7C56">
        <w:t>c</w:t>
      </w:r>
      <w:r w:rsidRPr="00B86817">
        <w:t>ritique of the present framework, see M</w:t>
      </w:r>
      <w:r>
        <w:t>.</w:t>
      </w:r>
      <w:r w:rsidRPr="00B86817">
        <w:t xml:space="preserve"> Teplitsky</w:t>
      </w:r>
      <w:r>
        <w:t xml:space="preserve">, </w:t>
      </w:r>
      <w:r w:rsidRPr="00B86817">
        <w:t xml:space="preserve"> </w:t>
      </w:r>
      <w:r>
        <w:t>“</w:t>
      </w:r>
      <w:r w:rsidRPr="006B7A1C">
        <w:t xml:space="preserve">Standard of review of administrative adjudication: </w:t>
      </w:r>
      <w:r>
        <w:t xml:space="preserve"> ‘</w:t>
      </w:r>
      <w:r w:rsidRPr="006B7A1C">
        <w:t>What a tangled web we weave . . .</w:t>
      </w:r>
      <w:r>
        <w:t>’</w:t>
      </w:r>
      <w:r w:rsidRPr="006B7A1C">
        <w:t>”</w:t>
      </w:r>
      <w:r>
        <w:t xml:space="preserve"> (</w:t>
      </w:r>
      <w:r w:rsidRPr="00B86817">
        <w:t>2013</w:t>
      </w:r>
      <w:r>
        <w:t xml:space="preserve">), </w:t>
      </w:r>
      <w:r>
        <w:rPr>
          <w:i/>
        </w:rPr>
        <w:t xml:space="preserve">Advocates’ Soc. J. </w:t>
      </w:r>
      <w:r>
        <w:t>3.</w:t>
      </w:r>
    </w:p>
  </w:footnote>
  <w:footnote w:id="2">
    <w:p w:rsidR="001F17B0" w:rsidRPr="00FF4F18" w:rsidRDefault="001F17B0" w:rsidP="00844CF0">
      <w:pPr>
        <w:pStyle w:val="FootnoteText"/>
        <w:ind w:left="180" w:hanging="180"/>
        <w:jc w:val="both"/>
      </w:pPr>
      <w:r w:rsidRPr="00FF4F18">
        <w:rPr>
          <w:rStyle w:val="FootnoteReference"/>
        </w:rPr>
        <w:footnoteRef/>
      </w:r>
      <w:r>
        <w:t xml:space="preserve"> </w:t>
      </w:r>
      <w:r>
        <w:tab/>
      </w:r>
      <w:r w:rsidRPr="00FF4F18">
        <w:t>Although technically a statutory appeal and not an application for judicial review, general administrative law principles still apply (</w:t>
      </w:r>
      <w:r w:rsidRPr="00FF4F18">
        <w:rPr>
          <w:i/>
        </w:rPr>
        <w:t>Pezim v. British Columbia (Superintendent of Brokers)</w:t>
      </w:r>
      <w:r w:rsidRPr="00FF4F18">
        <w:t>, [1994] 2 S.C.R. 557, at p</w:t>
      </w:r>
      <w:r>
        <w:t>p. 591-92 and 598-99;</w:t>
      </w:r>
      <w:r w:rsidRPr="00FF4F18">
        <w:t xml:space="preserve"> </w:t>
      </w:r>
      <w:r w:rsidRPr="00FF4F18">
        <w:rPr>
          <w:i/>
        </w:rPr>
        <w:t>Dr. Q v. College of Physicians and Surgeons of British Columbia</w:t>
      </w:r>
      <w:r w:rsidRPr="00FF4F18">
        <w:t xml:space="preserve">, 2003 SCC 19, </w:t>
      </w:r>
      <w:r>
        <w:t xml:space="preserve">[2003] 1 S.C.R. 226, </w:t>
      </w:r>
      <w:r w:rsidRPr="00FF4F18">
        <w:t>at para. 21).</w:t>
      </w:r>
    </w:p>
  </w:footnote>
  <w:footnote w:id="3">
    <w:p w:rsidR="001F17B0" w:rsidRPr="009F21BF" w:rsidRDefault="001F17B0" w:rsidP="00692F37">
      <w:pPr>
        <w:pStyle w:val="FootnoteText"/>
        <w:tabs>
          <w:tab w:val="left" w:pos="180"/>
        </w:tabs>
        <w:ind w:left="180" w:hanging="180"/>
        <w:jc w:val="both"/>
      </w:pPr>
      <w:r>
        <w:rPr>
          <w:rStyle w:val="FootnoteReference"/>
        </w:rPr>
        <w:footnoteRef/>
      </w:r>
      <w:r>
        <w:t xml:space="preserve"> </w:t>
      </w:r>
      <w:r>
        <w:tab/>
      </w:r>
      <w:r w:rsidRPr="009F21BF">
        <w:t>I note that the U.S. Supreme Court has recently shut this door</w:t>
      </w:r>
      <w:r>
        <w:t>;</w:t>
      </w:r>
      <w:r w:rsidRPr="009F21BF">
        <w:t xml:space="preserve"> </w:t>
      </w:r>
      <w:r>
        <w:t>s</w:t>
      </w:r>
      <w:r w:rsidRPr="009F21BF">
        <w:t xml:space="preserve">ee </w:t>
      </w:r>
      <w:r w:rsidRPr="009F21BF">
        <w:rPr>
          <w:i/>
        </w:rPr>
        <w:t>City of Arlington</w:t>
      </w:r>
      <w:r>
        <w:rPr>
          <w:i/>
        </w:rPr>
        <w:t>, Texas</w:t>
      </w:r>
      <w:r w:rsidRPr="009F21BF">
        <w:rPr>
          <w:i/>
        </w:rPr>
        <w:t xml:space="preserve"> v. Federal Communications Commission</w:t>
      </w:r>
      <w:r w:rsidRPr="009F21BF">
        <w:t xml:space="preserve">, </w:t>
      </w:r>
      <w:r w:rsidRPr="00017188">
        <w:t>133 S. Ct. 1863</w:t>
      </w:r>
      <w:r w:rsidRPr="007F727A">
        <w:t xml:space="preserve"> </w:t>
      </w:r>
      <w:r w:rsidRPr="009F21BF">
        <w:t>(2013) (“the distinction between ‘jurisdictional’ and ‘nonjurisdictional’ interpretations is a mirage” because “a separate category of ‘jurisdictional’ interpretations does not exist” (</w:t>
      </w:r>
      <w:r w:rsidRPr="00017188">
        <w:t>pp. 1868</w:t>
      </w:r>
      <w:r>
        <w:t xml:space="preserve"> and</w:t>
      </w:r>
      <w:r w:rsidRPr="00017188">
        <w:t xml:space="preserve"> 1874</w:t>
      </w:r>
      <w:r w:rsidRPr="009F21BF">
        <w:t>)).</w:t>
      </w:r>
    </w:p>
  </w:footnote>
  <w:footnote w:id="4">
    <w:p w:rsidR="001F17B0" w:rsidRPr="001F3244" w:rsidRDefault="001F17B0" w:rsidP="00A36A65">
      <w:pPr>
        <w:pStyle w:val="FootnoteText"/>
        <w:tabs>
          <w:tab w:val="left" w:pos="180"/>
        </w:tabs>
        <w:ind w:left="180" w:hanging="180"/>
        <w:jc w:val="both"/>
      </w:pPr>
      <w:r>
        <w:rPr>
          <w:rStyle w:val="FootnoteReference"/>
        </w:rPr>
        <w:footnoteRef/>
      </w:r>
      <w:r>
        <w:t xml:space="preserve"> </w:t>
      </w:r>
      <w:r>
        <w:tab/>
        <w:t xml:space="preserve">See </w:t>
      </w:r>
      <w:r>
        <w:rPr>
          <w:i/>
        </w:rPr>
        <w:t>Securities Act</w:t>
      </w:r>
      <w:r>
        <w:t xml:space="preserve">, R.S.A. 2000, c. S-4, s. 198(1.1); </w:t>
      </w:r>
      <w:r>
        <w:rPr>
          <w:i/>
        </w:rPr>
        <w:t>Securities Act</w:t>
      </w:r>
      <w:r>
        <w:t xml:space="preserve">, R.S.B.C. 1996, c. 418, s. 161(6); </w:t>
      </w:r>
      <w:r w:rsidRPr="00DC1977">
        <w:rPr>
          <w:i/>
        </w:rPr>
        <w:t>The</w:t>
      </w:r>
      <w:r>
        <w:t xml:space="preserve"> </w:t>
      </w:r>
      <w:r>
        <w:rPr>
          <w:i/>
        </w:rPr>
        <w:t>Securities Act</w:t>
      </w:r>
      <w:r>
        <w:t xml:space="preserve">, C.C.S.M., c. S50, s. 148.4(1); </w:t>
      </w:r>
      <w:r>
        <w:rPr>
          <w:i/>
        </w:rPr>
        <w:t>Securities Act</w:t>
      </w:r>
      <w:r>
        <w:t xml:space="preserve">, S.N.B. 2004, c. S-5.5, s. 184(1.1); </w:t>
      </w:r>
      <w:r>
        <w:rPr>
          <w:i/>
        </w:rPr>
        <w:t>Securities Act</w:t>
      </w:r>
      <w:r w:rsidRPr="00C82D95">
        <w:t xml:space="preserve">, </w:t>
      </w:r>
      <w:r>
        <w:t xml:space="preserve">R.S.N.L. 1990, c. S-13, s. 127(1.1); </w:t>
      </w:r>
      <w:r>
        <w:rPr>
          <w:i/>
        </w:rPr>
        <w:t>Securities Act</w:t>
      </w:r>
      <w:r>
        <w:t xml:space="preserve">, R.S.N.S. 1989, c. 418, s. 134(1A); </w:t>
      </w:r>
      <w:r>
        <w:rPr>
          <w:i/>
        </w:rPr>
        <w:t>Securities Act</w:t>
      </w:r>
      <w:r>
        <w:t xml:space="preserve">, S.N.W.T. 2008, c. 10, s. 60(3); </w:t>
      </w:r>
      <w:r>
        <w:rPr>
          <w:i/>
        </w:rPr>
        <w:t>Securities Act</w:t>
      </w:r>
      <w:r>
        <w:t xml:space="preserve">, S.Nu. 2008, c. 12, s. 60(3); </w:t>
      </w:r>
      <w:r>
        <w:rPr>
          <w:i/>
        </w:rPr>
        <w:t>Securities Act</w:t>
      </w:r>
      <w:r>
        <w:t xml:space="preserve">, R.S.O. 1990, c. S.5, s. 127(10); </w:t>
      </w:r>
      <w:r>
        <w:rPr>
          <w:i/>
        </w:rPr>
        <w:t>Securities Act</w:t>
      </w:r>
      <w:r>
        <w:t xml:space="preserve">, R.S.P.E.I. 1988, c. S-3.1, s. 60(3); </w:t>
      </w:r>
      <w:r w:rsidRPr="00DC1977">
        <w:rPr>
          <w:i/>
        </w:rPr>
        <w:t xml:space="preserve">The </w:t>
      </w:r>
      <w:r>
        <w:rPr>
          <w:i/>
        </w:rPr>
        <w:t>Securities Act, 1988</w:t>
      </w:r>
      <w:r>
        <w:t xml:space="preserve">, S.S. 1988-89, c. S-42.2, s. 134(1.1); </w:t>
      </w:r>
      <w:r>
        <w:rPr>
          <w:i/>
        </w:rPr>
        <w:t>Securities Act</w:t>
      </w:r>
      <w:r>
        <w:t>, S.Y. 2007, c. 16, s. 60(3).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4738"/>
      <w:docPartObj>
        <w:docPartGallery w:val="Page Numbers (Top of Page)"/>
        <w:docPartUnique/>
      </w:docPartObj>
    </w:sdtPr>
    <w:sdtContent>
      <w:p w:rsidR="001F17B0" w:rsidRDefault="001F17B0">
        <w:pPr>
          <w:pStyle w:val="Header"/>
          <w:jc w:val="center"/>
        </w:pPr>
        <w:r>
          <w:t xml:space="preserve">- </w:t>
        </w:r>
        <w:fldSimple w:instr=" PAGE   \* MERGEFORMAT ">
          <w:r w:rsidR="0029667D">
            <w:rPr>
              <w:noProof/>
            </w:rPr>
            <w:t>2</w:t>
          </w:r>
        </w:fldSimple>
        <w:r>
          <w:t xml:space="preserve"> -</w:t>
        </w:r>
      </w:p>
    </w:sdtContent>
  </w:sdt>
  <w:p w:rsidR="001F17B0" w:rsidRPr="00450352" w:rsidRDefault="001F17B0"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B1D6"/>
    <w:multiLevelType w:val="singleLevel"/>
    <w:tmpl w:val="00000000"/>
    <w:lvl w:ilvl="0">
      <w:start w:val="1"/>
      <w:numFmt w:val="decimal"/>
      <w:lvlText w:val=""/>
      <w:lvlJc w:val="left"/>
      <w:pPr>
        <w:tabs>
          <w:tab w:val="num" w:pos="600"/>
        </w:tabs>
        <w:ind w:left="1800" w:hanging="600"/>
      </w:pPr>
      <w:rPr>
        <w:rFonts w:ascii="Times New Roman" w:hAnsi="Times New Roman" w:cs="Times New Roman"/>
        <w:b w:val="0"/>
        <w:bCs w:val="0"/>
        <w:i w:val="0"/>
        <w:iCs w:val="0"/>
        <w:color w:val="auto"/>
        <w:sz w:val="24"/>
        <w:szCs w:val="24"/>
        <w:u w:val="none"/>
      </w:rPr>
    </w:lvl>
  </w:abstractNum>
  <w:abstractNum w:abstractNumId="1">
    <w:nsid w:val="FFFFFF7C"/>
    <w:multiLevelType w:val="singleLevel"/>
    <w:tmpl w:val="D2A6B610"/>
    <w:lvl w:ilvl="0">
      <w:start w:val="1"/>
      <w:numFmt w:val="decimal"/>
      <w:lvlText w:val="%1."/>
      <w:lvlJc w:val="left"/>
      <w:pPr>
        <w:tabs>
          <w:tab w:val="num" w:pos="1800"/>
        </w:tabs>
        <w:ind w:left="1800" w:hanging="360"/>
      </w:pPr>
    </w:lvl>
  </w:abstractNum>
  <w:abstractNum w:abstractNumId="2">
    <w:nsid w:val="FFFFFF7D"/>
    <w:multiLevelType w:val="singleLevel"/>
    <w:tmpl w:val="11BA7D4A"/>
    <w:lvl w:ilvl="0">
      <w:start w:val="1"/>
      <w:numFmt w:val="decimal"/>
      <w:lvlText w:val="%1."/>
      <w:lvlJc w:val="left"/>
      <w:pPr>
        <w:tabs>
          <w:tab w:val="num" w:pos="1440"/>
        </w:tabs>
        <w:ind w:left="1440" w:hanging="360"/>
      </w:pPr>
    </w:lvl>
  </w:abstractNum>
  <w:abstractNum w:abstractNumId="3">
    <w:nsid w:val="FFFFFF7E"/>
    <w:multiLevelType w:val="singleLevel"/>
    <w:tmpl w:val="CBC4DB68"/>
    <w:lvl w:ilvl="0">
      <w:start w:val="1"/>
      <w:numFmt w:val="decimal"/>
      <w:lvlText w:val="%1."/>
      <w:lvlJc w:val="left"/>
      <w:pPr>
        <w:tabs>
          <w:tab w:val="num" w:pos="1080"/>
        </w:tabs>
        <w:ind w:left="1080" w:hanging="360"/>
      </w:pPr>
    </w:lvl>
  </w:abstractNum>
  <w:abstractNum w:abstractNumId="4">
    <w:nsid w:val="FFFFFF7F"/>
    <w:multiLevelType w:val="singleLevel"/>
    <w:tmpl w:val="82A69C1C"/>
    <w:lvl w:ilvl="0">
      <w:start w:val="1"/>
      <w:numFmt w:val="decimal"/>
      <w:lvlText w:val="%1."/>
      <w:lvlJc w:val="left"/>
      <w:pPr>
        <w:tabs>
          <w:tab w:val="num" w:pos="720"/>
        </w:tabs>
        <w:ind w:left="720" w:hanging="360"/>
      </w:pPr>
    </w:lvl>
  </w:abstractNum>
  <w:abstractNum w:abstractNumId="5">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A326A72"/>
    <w:lvl w:ilvl="0">
      <w:start w:val="1"/>
      <w:numFmt w:val="decimal"/>
      <w:lvlText w:val="%1."/>
      <w:lvlJc w:val="left"/>
      <w:pPr>
        <w:tabs>
          <w:tab w:val="num" w:pos="360"/>
        </w:tabs>
        <w:ind w:left="360" w:hanging="360"/>
      </w:pPr>
    </w:lvl>
  </w:abstractNum>
  <w:abstractNum w:abstractNumId="1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603130A"/>
    <w:multiLevelType w:val="multilevel"/>
    <w:tmpl w:val="DE805AC2"/>
    <w:lvl w:ilvl="0">
      <w:start w:val="1"/>
      <w:numFmt w:val="upperRoman"/>
      <w:pStyle w:val="Title1LevelTitre1Niveau-AltL"/>
      <w:lvlText w:val="%1."/>
      <w:lvlJc w:val="left"/>
      <w:pPr>
        <w:tabs>
          <w:tab w:val="num" w:pos="432"/>
        </w:tabs>
        <w:ind w:left="432" w:hanging="432"/>
      </w:pPr>
      <w:rPr>
        <w:rFonts w:hint="default"/>
        <w:sz w:val="24"/>
      </w:rPr>
    </w:lvl>
    <w:lvl w:ilvl="1">
      <w:start w:val="1"/>
      <w:numFmt w:val="upperLetter"/>
      <w:pStyle w:val="Title2LevelTitre2Niveau"/>
      <w:lvlText w:val="%2."/>
      <w:lvlJc w:val="left"/>
      <w:pPr>
        <w:tabs>
          <w:tab w:val="num" w:pos="432"/>
        </w:tabs>
        <w:ind w:left="432" w:hanging="432"/>
      </w:pPr>
      <w:rPr>
        <w:rFonts w:ascii="Times New Roman" w:hAnsi="Times New Roman" w:hint="default"/>
        <w:b w:val="0"/>
        <w:i w:val="0"/>
        <w:sz w:val="24"/>
      </w:rPr>
    </w:lvl>
    <w:lvl w:ilvl="2">
      <w:start w:val="1"/>
      <w:numFmt w:val="decimal"/>
      <w:pStyle w:val="Title3LevelTitre3Niveau"/>
      <w:lvlText w:val="(%3)"/>
      <w:lvlJc w:val="left"/>
      <w:pPr>
        <w:tabs>
          <w:tab w:val="num" w:pos="864"/>
        </w:tabs>
        <w:ind w:left="864" w:hanging="432"/>
      </w:pPr>
      <w:rPr>
        <w:rFonts w:ascii="Times New Roman" w:hAnsi="Times New Roman" w:hint="default"/>
        <w:b w:val="0"/>
        <w:i w:val="0"/>
        <w:sz w:val="24"/>
      </w:rPr>
    </w:lvl>
    <w:lvl w:ilvl="3">
      <w:start w:val="1"/>
      <w:numFmt w:val="lowerLetter"/>
      <w:pStyle w:val="Title4LevelTitre4Niveau"/>
      <w:lvlText w:val="(%4)"/>
      <w:lvlJc w:val="left"/>
      <w:pPr>
        <w:tabs>
          <w:tab w:val="num" w:pos="1296"/>
        </w:tabs>
        <w:ind w:left="1296" w:hanging="432"/>
      </w:pPr>
      <w:rPr>
        <w:rFonts w:hint="default"/>
        <w:b w:val="0"/>
        <w:i w:val="0"/>
      </w:rPr>
    </w:lvl>
    <w:lvl w:ilvl="4">
      <w:start w:val="1"/>
      <w:numFmt w:val="lowerRoman"/>
      <w:pStyle w:val="Title5LevelTitre5Niveau"/>
      <w:lvlText w:val="(%5)"/>
      <w:lvlJc w:val="left"/>
      <w:pPr>
        <w:tabs>
          <w:tab w:val="num" w:pos="1728"/>
        </w:tabs>
        <w:ind w:left="1728"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15">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7">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19"/>
  </w:num>
  <w:num w:numId="3">
    <w:abstractNumId w:val="12"/>
  </w:num>
  <w:num w:numId="4">
    <w:abstractNumId w:val="11"/>
  </w:num>
  <w:num w:numId="5">
    <w:abstractNumId w:val="16"/>
  </w:num>
  <w:num w:numId="6">
    <w:abstractNumId w:val="17"/>
  </w:num>
  <w:num w:numId="7">
    <w:abstractNumId w:val="0"/>
  </w:num>
  <w:num w:numId="8">
    <w:abstractNumId w:val="15"/>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13"/>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attachedTemplate r:id="rId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53601"/>
  </w:hdrShapeDefaults>
  <w:footnotePr>
    <w:footnote w:id="-1"/>
    <w:footnote w:id="0"/>
  </w:footnotePr>
  <w:endnotePr>
    <w:endnote w:id="-1"/>
    <w:endnote w:id="0"/>
  </w:endnotePr>
  <w:compat/>
  <w:rsids>
    <w:rsidRoot w:val="0031414C"/>
    <w:rsid w:val="00000ED4"/>
    <w:rsid w:val="00010884"/>
    <w:rsid w:val="00025198"/>
    <w:rsid w:val="000256F2"/>
    <w:rsid w:val="0002676A"/>
    <w:rsid w:val="000578A3"/>
    <w:rsid w:val="000648CC"/>
    <w:rsid w:val="000728A6"/>
    <w:rsid w:val="00076613"/>
    <w:rsid w:val="00085039"/>
    <w:rsid w:val="000A5AC9"/>
    <w:rsid w:val="000C59B8"/>
    <w:rsid w:val="000C6AF0"/>
    <w:rsid w:val="000F33CD"/>
    <w:rsid w:val="000F340C"/>
    <w:rsid w:val="00104F33"/>
    <w:rsid w:val="00111DE2"/>
    <w:rsid w:val="00116B38"/>
    <w:rsid w:val="00134647"/>
    <w:rsid w:val="00135406"/>
    <w:rsid w:val="00135972"/>
    <w:rsid w:val="001426A9"/>
    <w:rsid w:val="00154D7C"/>
    <w:rsid w:val="001570B0"/>
    <w:rsid w:val="0015752C"/>
    <w:rsid w:val="00157737"/>
    <w:rsid w:val="00165277"/>
    <w:rsid w:val="00165597"/>
    <w:rsid w:val="001673E1"/>
    <w:rsid w:val="00170592"/>
    <w:rsid w:val="001800B6"/>
    <w:rsid w:val="00186351"/>
    <w:rsid w:val="00195D83"/>
    <w:rsid w:val="001A00C1"/>
    <w:rsid w:val="001B33E0"/>
    <w:rsid w:val="001B4573"/>
    <w:rsid w:val="001C779F"/>
    <w:rsid w:val="001D1244"/>
    <w:rsid w:val="001D2AC1"/>
    <w:rsid w:val="001D4E88"/>
    <w:rsid w:val="001E0D94"/>
    <w:rsid w:val="001F17B0"/>
    <w:rsid w:val="001F7F4F"/>
    <w:rsid w:val="00201244"/>
    <w:rsid w:val="00205BAE"/>
    <w:rsid w:val="002202A9"/>
    <w:rsid w:val="00220FC2"/>
    <w:rsid w:val="002222F4"/>
    <w:rsid w:val="00224FC0"/>
    <w:rsid w:val="00225EA4"/>
    <w:rsid w:val="00226EAF"/>
    <w:rsid w:val="00231F3A"/>
    <w:rsid w:val="00234199"/>
    <w:rsid w:val="002406EE"/>
    <w:rsid w:val="00243EC8"/>
    <w:rsid w:val="00252A6E"/>
    <w:rsid w:val="0025455A"/>
    <w:rsid w:val="00270D93"/>
    <w:rsid w:val="002745CC"/>
    <w:rsid w:val="00283E73"/>
    <w:rsid w:val="00292F63"/>
    <w:rsid w:val="00293637"/>
    <w:rsid w:val="0029667D"/>
    <w:rsid w:val="002B7924"/>
    <w:rsid w:val="002C23E2"/>
    <w:rsid w:val="002D28C3"/>
    <w:rsid w:val="002D39A4"/>
    <w:rsid w:val="002D4DD6"/>
    <w:rsid w:val="002E6705"/>
    <w:rsid w:val="00301D08"/>
    <w:rsid w:val="0030329A"/>
    <w:rsid w:val="0031086F"/>
    <w:rsid w:val="00311E21"/>
    <w:rsid w:val="0031414C"/>
    <w:rsid w:val="00314E01"/>
    <w:rsid w:val="0032089D"/>
    <w:rsid w:val="003310DE"/>
    <w:rsid w:val="003323B0"/>
    <w:rsid w:val="00334D2D"/>
    <w:rsid w:val="0035169A"/>
    <w:rsid w:val="0035259D"/>
    <w:rsid w:val="00353B4E"/>
    <w:rsid w:val="00364B18"/>
    <w:rsid w:val="00364BBE"/>
    <w:rsid w:val="00393431"/>
    <w:rsid w:val="003940FB"/>
    <w:rsid w:val="003958BF"/>
    <w:rsid w:val="003A125D"/>
    <w:rsid w:val="003A4C70"/>
    <w:rsid w:val="003B215F"/>
    <w:rsid w:val="003C74FF"/>
    <w:rsid w:val="003C799C"/>
    <w:rsid w:val="003D0399"/>
    <w:rsid w:val="003D414F"/>
    <w:rsid w:val="003D5664"/>
    <w:rsid w:val="003E1C71"/>
    <w:rsid w:val="003F1AE6"/>
    <w:rsid w:val="003F327B"/>
    <w:rsid w:val="00400B62"/>
    <w:rsid w:val="00406166"/>
    <w:rsid w:val="0040704B"/>
    <w:rsid w:val="00410A55"/>
    <w:rsid w:val="00411300"/>
    <w:rsid w:val="0041540C"/>
    <w:rsid w:val="00415417"/>
    <w:rsid w:val="0042173D"/>
    <w:rsid w:val="00426659"/>
    <w:rsid w:val="004457D2"/>
    <w:rsid w:val="00450352"/>
    <w:rsid w:val="0045082D"/>
    <w:rsid w:val="00453B98"/>
    <w:rsid w:val="00454BDB"/>
    <w:rsid w:val="00464800"/>
    <w:rsid w:val="00465132"/>
    <w:rsid w:val="00480C90"/>
    <w:rsid w:val="0048396F"/>
    <w:rsid w:val="00493C18"/>
    <w:rsid w:val="004A19DC"/>
    <w:rsid w:val="004A600C"/>
    <w:rsid w:val="004A6118"/>
    <w:rsid w:val="004B7825"/>
    <w:rsid w:val="004C478D"/>
    <w:rsid w:val="004D1D4C"/>
    <w:rsid w:val="004D35A2"/>
    <w:rsid w:val="004D7E30"/>
    <w:rsid w:val="004E0A4A"/>
    <w:rsid w:val="004E2C26"/>
    <w:rsid w:val="004F36FF"/>
    <w:rsid w:val="004F6C14"/>
    <w:rsid w:val="0050042A"/>
    <w:rsid w:val="005125A8"/>
    <w:rsid w:val="00521AE8"/>
    <w:rsid w:val="00527180"/>
    <w:rsid w:val="0054128B"/>
    <w:rsid w:val="0054201E"/>
    <w:rsid w:val="00555291"/>
    <w:rsid w:val="00556A8C"/>
    <w:rsid w:val="00557CF0"/>
    <w:rsid w:val="00566AD1"/>
    <w:rsid w:val="00583EDE"/>
    <w:rsid w:val="00585345"/>
    <w:rsid w:val="005A6079"/>
    <w:rsid w:val="005C6D29"/>
    <w:rsid w:val="005E4698"/>
    <w:rsid w:val="005F5FCF"/>
    <w:rsid w:val="00600987"/>
    <w:rsid w:val="0060625A"/>
    <w:rsid w:val="00610539"/>
    <w:rsid w:val="00613969"/>
    <w:rsid w:val="00625704"/>
    <w:rsid w:val="006258C7"/>
    <w:rsid w:val="00625C35"/>
    <w:rsid w:val="00646757"/>
    <w:rsid w:val="00656313"/>
    <w:rsid w:val="006565F4"/>
    <w:rsid w:val="00657779"/>
    <w:rsid w:val="006837CD"/>
    <w:rsid w:val="006838AE"/>
    <w:rsid w:val="00683FEE"/>
    <w:rsid w:val="00684EEA"/>
    <w:rsid w:val="00692F37"/>
    <w:rsid w:val="0069339F"/>
    <w:rsid w:val="0069689B"/>
    <w:rsid w:val="006A1551"/>
    <w:rsid w:val="006A3FE0"/>
    <w:rsid w:val="006A55B9"/>
    <w:rsid w:val="006B1518"/>
    <w:rsid w:val="006B5FF5"/>
    <w:rsid w:val="006F2655"/>
    <w:rsid w:val="006F30AF"/>
    <w:rsid w:val="006F79DE"/>
    <w:rsid w:val="00701759"/>
    <w:rsid w:val="00705C15"/>
    <w:rsid w:val="0071600E"/>
    <w:rsid w:val="007208D1"/>
    <w:rsid w:val="00726DC7"/>
    <w:rsid w:val="00732934"/>
    <w:rsid w:val="00747288"/>
    <w:rsid w:val="00747DD3"/>
    <w:rsid w:val="007549C8"/>
    <w:rsid w:val="00754A0B"/>
    <w:rsid w:val="00766D14"/>
    <w:rsid w:val="00767A0F"/>
    <w:rsid w:val="00776994"/>
    <w:rsid w:val="00777464"/>
    <w:rsid w:val="00790EBE"/>
    <w:rsid w:val="00796E81"/>
    <w:rsid w:val="007A05F6"/>
    <w:rsid w:val="007B55CB"/>
    <w:rsid w:val="007B6F4A"/>
    <w:rsid w:val="007E1C47"/>
    <w:rsid w:val="007E337A"/>
    <w:rsid w:val="007E5C70"/>
    <w:rsid w:val="007E6534"/>
    <w:rsid w:val="007F2FF5"/>
    <w:rsid w:val="007F3F08"/>
    <w:rsid w:val="00804CC6"/>
    <w:rsid w:val="00817190"/>
    <w:rsid w:val="00820EE5"/>
    <w:rsid w:val="008260E2"/>
    <w:rsid w:val="008322BD"/>
    <w:rsid w:val="00833E0A"/>
    <w:rsid w:val="00834F73"/>
    <w:rsid w:val="00844CF0"/>
    <w:rsid w:val="00864CF8"/>
    <w:rsid w:val="008664A9"/>
    <w:rsid w:val="00872819"/>
    <w:rsid w:val="00874914"/>
    <w:rsid w:val="00887788"/>
    <w:rsid w:val="00891422"/>
    <w:rsid w:val="00892E1A"/>
    <w:rsid w:val="00894027"/>
    <w:rsid w:val="008A3F29"/>
    <w:rsid w:val="008B5B5B"/>
    <w:rsid w:val="008B660A"/>
    <w:rsid w:val="008C01DA"/>
    <w:rsid w:val="008F78E9"/>
    <w:rsid w:val="00911989"/>
    <w:rsid w:val="00914EB7"/>
    <w:rsid w:val="009179F9"/>
    <w:rsid w:val="00923A10"/>
    <w:rsid w:val="00924B89"/>
    <w:rsid w:val="009300B4"/>
    <w:rsid w:val="00930536"/>
    <w:rsid w:val="00933E5E"/>
    <w:rsid w:val="00935218"/>
    <w:rsid w:val="0093775E"/>
    <w:rsid w:val="009403F3"/>
    <w:rsid w:val="009440ED"/>
    <w:rsid w:val="0094476F"/>
    <w:rsid w:val="009462B5"/>
    <w:rsid w:val="009555B7"/>
    <w:rsid w:val="009567AA"/>
    <w:rsid w:val="00966119"/>
    <w:rsid w:val="00967374"/>
    <w:rsid w:val="009A343A"/>
    <w:rsid w:val="009A5EA9"/>
    <w:rsid w:val="009B2F23"/>
    <w:rsid w:val="009B57B3"/>
    <w:rsid w:val="009C5B92"/>
    <w:rsid w:val="009D2920"/>
    <w:rsid w:val="009D3794"/>
    <w:rsid w:val="009D5AEB"/>
    <w:rsid w:val="009D7562"/>
    <w:rsid w:val="009F0E33"/>
    <w:rsid w:val="00A00D73"/>
    <w:rsid w:val="00A00F73"/>
    <w:rsid w:val="00A030CE"/>
    <w:rsid w:val="00A06717"/>
    <w:rsid w:val="00A149DF"/>
    <w:rsid w:val="00A1755C"/>
    <w:rsid w:val="00A21B90"/>
    <w:rsid w:val="00A36A65"/>
    <w:rsid w:val="00A41805"/>
    <w:rsid w:val="00A42DCD"/>
    <w:rsid w:val="00A52AFB"/>
    <w:rsid w:val="00A548CB"/>
    <w:rsid w:val="00A5521C"/>
    <w:rsid w:val="00A643E7"/>
    <w:rsid w:val="00A73C38"/>
    <w:rsid w:val="00A75024"/>
    <w:rsid w:val="00A9298F"/>
    <w:rsid w:val="00A960F8"/>
    <w:rsid w:val="00AB2192"/>
    <w:rsid w:val="00AB44AB"/>
    <w:rsid w:val="00AB670D"/>
    <w:rsid w:val="00AC5917"/>
    <w:rsid w:val="00AF03C5"/>
    <w:rsid w:val="00B000D8"/>
    <w:rsid w:val="00B00F75"/>
    <w:rsid w:val="00B145B6"/>
    <w:rsid w:val="00B279EB"/>
    <w:rsid w:val="00B37F3A"/>
    <w:rsid w:val="00B50C81"/>
    <w:rsid w:val="00B557F8"/>
    <w:rsid w:val="00B6493C"/>
    <w:rsid w:val="00B6700C"/>
    <w:rsid w:val="00B72705"/>
    <w:rsid w:val="00B815FC"/>
    <w:rsid w:val="00B827E3"/>
    <w:rsid w:val="00B93FBC"/>
    <w:rsid w:val="00B94098"/>
    <w:rsid w:val="00B94A0C"/>
    <w:rsid w:val="00BA7DA0"/>
    <w:rsid w:val="00BB2EE4"/>
    <w:rsid w:val="00BB67CE"/>
    <w:rsid w:val="00BC0351"/>
    <w:rsid w:val="00BC2108"/>
    <w:rsid w:val="00BC3050"/>
    <w:rsid w:val="00BD0E9E"/>
    <w:rsid w:val="00BD1BEC"/>
    <w:rsid w:val="00BD32FF"/>
    <w:rsid w:val="00BE2D0D"/>
    <w:rsid w:val="00BF1382"/>
    <w:rsid w:val="00BF361D"/>
    <w:rsid w:val="00C02092"/>
    <w:rsid w:val="00C1022D"/>
    <w:rsid w:val="00C2389A"/>
    <w:rsid w:val="00C24D91"/>
    <w:rsid w:val="00C43CF1"/>
    <w:rsid w:val="00C53F14"/>
    <w:rsid w:val="00C55072"/>
    <w:rsid w:val="00C57A0A"/>
    <w:rsid w:val="00C600CF"/>
    <w:rsid w:val="00C6084F"/>
    <w:rsid w:val="00C62A66"/>
    <w:rsid w:val="00C63749"/>
    <w:rsid w:val="00C71458"/>
    <w:rsid w:val="00C77613"/>
    <w:rsid w:val="00C828E7"/>
    <w:rsid w:val="00C86719"/>
    <w:rsid w:val="00C921DD"/>
    <w:rsid w:val="00CA1A88"/>
    <w:rsid w:val="00CA41C4"/>
    <w:rsid w:val="00CA6391"/>
    <w:rsid w:val="00CC16FB"/>
    <w:rsid w:val="00CC34BD"/>
    <w:rsid w:val="00CE161A"/>
    <w:rsid w:val="00CE3171"/>
    <w:rsid w:val="00CF1601"/>
    <w:rsid w:val="00CF23F7"/>
    <w:rsid w:val="00D0172F"/>
    <w:rsid w:val="00D0303F"/>
    <w:rsid w:val="00D068A7"/>
    <w:rsid w:val="00D17476"/>
    <w:rsid w:val="00D254B0"/>
    <w:rsid w:val="00D32086"/>
    <w:rsid w:val="00D37A3F"/>
    <w:rsid w:val="00D42B03"/>
    <w:rsid w:val="00D4431D"/>
    <w:rsid w:val="00D4667A"/>
    <w:rsid w:val="00D57F17"/>
    <w:rsid w:val="00D60492"/>
    <w:rsid w:val="00D63A1C"/>
    <w:rsid w:val="00D64256"/>
    <w:rsid w:val="00D67BB4"/>
    <w:rsid w:val="00D7516F"/>
    <w:rsid w:val="00D8579F"/>
    <w:rsid w:val="00D928AE"/>
    <w:rsid w:val="00D95F8E"/>
    <w:rsid w:val="00DA0590"/>
    <w:rsid w:val="00DB7BEA"/>
    <w:rsid w:val="00DC1739"/>
    <w:rsid w:val="00DC1788"/>
    <w:rsid w:val="00DC267F"/>
    <w:rsid w:val="00DE319C"/>
    <w:rsid w:val="00DF0CA8"/>
    <w:rsid w:val="00DF2B48"/>
    <w:rsid w:val="00DF49A7"/>
    <w:rsid w:val="00E07EE2"/>
    <w:rsid w:val="00E07FD1"/>
    <w:rsid w:val="00E230A9"/>
    <w:rsid w:val="00E23248"/>
    <w:rsid w:val="00E24573"/>
    <w:rsid w:val="00E25E1E"/>
    <w:rsid w:val="00E27EE7"/>
    <w:rsid w:val="00E35404"/>
    <w:rsid w:val="00E45109"/>
    <w:rsid w:val="00E45361"/>
    <w:rsid w:val="00E4703C"/>
    <w:rsid w:val="00E47B7A"/>
    <w:rsid w:val="00E56A44"/>
    <w:rsid w:val="00E60269"/>
    <w:rsid w:val="00E77932"/>
    <w:rsid w:val="00E97830"/>
    <w:rsid w:val="00EA48BE"/>
    <w:rsid w:val="00EC27CD"/>
    <w:rsid w:val="00EC5972"/>
    <w:rsid w:val="00EE0062"/>
    <w:rsid w:val="00EE643C"/>
    <w:rsid w:val="00EF0683"/>
    <w:rsid w:val="00EF162A"/>
    <w:rsid w:val="00EF69D2"/>
    <w:rsid w:val="00EF766E"/>
    <w:rsid w:val="00EF7717"/>
    <w:rsid w:val="00F0070C"/>
    <w:rsid w:val="00F00EB7"/>
    <w:rsid w:val="00F1081A"/>
    <w:rsid w:val="00F1093F"/>
    <w:rsid w:val="00F36AB6"/>
    <w:rsid w:val="00F37A09"/>
    <w:rsid w:val="00F409CE"/>
    <w:rsid w:val="00F4379D"/>
    <w:rsid w:val="00F50D2D"/>
    <w:rsid w:val="00F56C8B"/>
    <w:rsid w:val="00F63B60"/>
    <w:rsid w:val="00F664FF"/>
    <w:rsid w:val="00F66810"/>
    <w:rsid w:val="00F71F05"/>
    <w:rsid w:val="00F756C4"/>
    <w:rsid w:val="00F846D9"/>
    <w:rsid w:val="00F84DF4"/>
    <w:rsid w:val="00F85C97"/>
    <w:rsid w:val="00F96F2D"/>
    <w:rsid w:val="00FA49DC"/>
    <w:rsid w:val="00FB37D2"/>
    <w:rsid w:val="00FC15C5"/>
    <w:rsid w:val="00FC4EFB"/>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5"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5"/>
    <w:qFormat/>
    <w:rsid w:val="00DC267F"/>
    <w:rPr>
      <w:rFonts w:eastAsiaTheme="minorHAnsi" w:cstheme="minorBidi"/>
      <w:sz w:val="24"/>
      <w:szCs w:val="22"/>
      <w:lang w:val="en-US" w:eastAsia="en-US" w:bidi="en-US"/>
    </w:rPr>
  </w:style>
  <w:style w:type="paragraph" w:styleId="Heading1">
    <w:name w:val="heading 1"/>
    <w:basedOn w:val="Normal"/>
    <w:next w:val="Normal"/>
    <w:link w:val="Heading1Char"/>
    <w:uiPriority w:val="9"/>
    <w:rsid w:val="00DC26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C26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C267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C267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C267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C267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C267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C267F"/>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C267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C267F"/>
    <w:rPr>
      <w:rFonts w:asciiTheme="majorHAnsi" w:eastAsiaTheme="majorEastAsia" w:hAnsiTheme="majorHAnsi" w:cstheme="majorBidi"/>
      <w:b/>
      <w:bCs/>
      <w:color w:val="4F81BD" w:themeColor="accent1"/>
      <w:sz w:val="26"/>
      <w:szCs w:val="26"/>
      <w:lang w:val="en-US" w:eastAsia="en-US" w:bidi="en-US"/>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rsid w:val="00DC267F"/>
    <w:rPr>
      <w:b/>
      <w:bCs/>
    </w:rPr>
  </w:style>
  <w:style w:type="character" w:styleId="PlaceholderText">
    <w:name w:val="Placeholder Text"/>
    <w:basedOn w:val="DefaultParagraphFont"/>
    <w:uiPriority w:val="99"/>
    <w:semiHidden/>
    <w:rsid w:val="00DC267F"/>
    <w:rPr>
      <w:color w:val="808080"/>
    </w:rPr>
  </w:style>
  <w:style w:type="paragraph" w:styleId="BalloonText">
    <w:name w:val="Balloon Text"/>
    <w:basedOn w:val="Normal"/>
    <w:link w:val="BalloonTextChar"/>
    <w:uiPriority w:val="99"/>
    <w:semiHidden/>
    <w:unhideWhenUsed/>
    <w:rsid w:val="00DC267F"/>
    <w:rPr>
      <w:rFonts w:cs="Tahoma"/>
      <w:sz w:val="28"/>
      <w:szCs w:val="16"/>
    </w:rPr>
  </w:style>
  <w:style w:type="character" w:customStyle="1" w:styleId="BalloonTextChar">
    <w:name w:val="Balloon Text Char"/>
    <w:basedOn w:val="DefaultParagraphFont"/>
    <w:link w:val="BalloonText"/>
    <w:uiPriority w:val="99"/>
    <w:semiHidden/>
    <w:rsid w:val="00DC267F"/>
    <w:rPr>
      <w:rFonts w:eastAsiaTheme="minorHAnsi" w:cs="Tahoma"/>
      <w:sz w:val="28"/>
      <w:szCs w:val="16"/>
      <w:lang w:val="en-US" w:eastAsia="en-US" w:bidi="en-US"/>
    </w:rPr>
  </w:style>
  <w:style w:type="paragraph" w:styleId="Header">
    <w:name w:val="header"/>
    <w:basedOn w:val="Normal"/>
    <w:link w:val="HeaderChar"/>
    <w:uiPriority w:val="99"/>
    <w:unhideWhenUsed/>
    <w:rsid w:val="00DC267F"/>
    <w:pPr>
      <w:tabs>
        <w:tab w:val="center" w:pos="4680"/>
        <w:tab w:val="right" w:pos="9360"/>
      </w:tabs>
    </w:pPr>
  </w:style>
  <w:style w:type="character" w:customStyle="1" w:styleId="HeaderChar">
    <w:name w:val="Header Char"/>
    <w:basedOn w:val="DefaultParagraphFont"/>
    <w:link w:val="Header"/>
    <w:uiPriority w:val="99"/>
    <w:rsid w:val="00DC267F"/>
    <w:rPr>
      <w:rFonts w:eastAsiaTheme="minorHAnsi" w:cstheme="minorBidi"/>
      <w:sz w:val="24"/>
      <w:szCs w:val="22"/>
      <w:lang w:val="en-US" w:eastAsia="en-US" w:bidi="en-US"/>
    </w:rPr>
  </w:style>
  <w:style w:type="paragraph" w:styleId="Footer">
    <w:name w:val="footer"/>
    <w:basedOn w:val="Normal"/>
    <w:link w:val="FooterChar"/>
    <w:uiPriority w:val="99"/>
    <w:semiHidden/>
    <w:unhideWhenUsed/>
    <w:rsid w:val="00DC267F"/>
    <w:pPr>
      <w:tabs>
        <w:tab w:val="center" w:pos="4680"/>
        <w:tab w:val="right" w:pos="9360"/>
      </w:tabs>
    </w:pPr>
  </w:style>
  <w:style w:type="character" w:customStyle="1" w:styleId="FooterChar">
    <w:name w:val="Footer Char"/>
    <w:basedOn w:val="DefaultParagraphFont"/>
    <w:link w:val="Footer"/>
    <w:uiPriority w:val="99"/>
    <w:semiHidden/>
    <w:rsid w:val="00DC267F"/>
    <w:rPr>
      <w:rFonts w:eastAsiaTheme="minorHAnsi" w:cstheme="minorBidi"/>
      <w:sz w:val="24"/>
      <w:szCs w:val="22"/>
      <w:lang w:val="en-US" w:eastAsia="en-US" w:bidi="en-US"/>
    </w:rPr>
  </w:style>
  <w:style w:type="paragraph" w:customStyle="1" w:styleId="SCCLsocParty">
    <w:name w:val="SCC.Lsoc.Party"/>
    <w:basedOn w:val="Normal"/>
    <w:next w:val="Normal"/>
    <w:link w:val="SCCLsocPartyChar"/>
    <w:rsid w:val="00DC267F"/>
    <w:pPr>
      <w:spacing w:after="480"/>
      <w:jc w:val="both"/>
    </w:pPr>
  </w:style>
  <w:style w:type="character" w:customStyle="1" w:styleId="SCCLsocPartyChar">
    <w:name w:val="SCC.Lsoc.Party Char"/>
    <w:basedOn w:val="DefaultParagraphFont"/>
    <w:link w:val="SCCLsocParty"/>
    <w:rsid w:val="00DC267F"/>
    <w:rPr>
      <w:rFonts w:eastAsiaTheme="minorHAnsi" w:cstheme="minorBidi"/>
      <w:sz w:val="24"/>
      <w:szCs w:val="22"/>
      <w:lang w:val="en-US" w:eastAsia="en-US" w:bidi="en-US"/>
    </w:rPr>
  </w:style>
  <w:style w:type="paragraph" w:customStyle="1" w:styleId="SCCLsocVersus">
    <w:name w:val="SCC.Lsoc.Versus"/>
    <w:basedOn w:val="Normal"/>
    <w:next w:val="Normal"/>
    <w:link w:val="SCCLsocVersusChar"/>
    <w:rsid w:val="00DC267F"/>
    <w:pPr>
      <w:spacing w:after="480"/>
    </w:pPr>
  </w:style>
  <w:style w:type="character" w:customStyle="1" w:styleId="SCCLsocVersusChar">
    <w:name w:val="SCC.Lsoc.Versus Char"/>
    <w:basedOn w:val="DefaultParagraphFont"/>
    <w:link w:val="SCCLsocVersus"/>
    <w:rsid w:val="00DC267F"/>
    <w:rPr>
      <w:rFonts w:eastAsiaTheme="minorHAnsi" w:cstheme="minorBidi"/>
      <w:sz w:val="24"/>
      <w:szCs w:val="22"/>
      <w:lang w:val="en-US" w:eastAsia="en-US" w:bidi="en-US"/>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DC267F"/>
    <w:pPr>
      <w:spacing w:after="480"/>
    </w:pPr>
  </w:style>
  <w:style w:type="character" w:customStyle="1" w:styleId="SCCLsocSubfileSeparatorChar">
    <w:name w:val="SCC.Lsoc.SubfileSeparator Char"/>
    <w:basedOn w:val="DefaultParagraphFont"/>
    <w:link w:val="SCCLsocSubfileSeparator"/>
    <w:rsid w:val="00DC267F"/>
    <w:rPr>
      <w:rFonts w:eastAsiaTheme="minorHAnsi" w:cstheme="minorBidi"/>
      <w:sz w:val="24"/>
      <w:szCs w:val="22"/>
      <w:lang w:val="en-US" w:eastAsia="en-US" w:bidi="en-US"/>
    </w:rPr>
  </w:style>
  <w:style w:type="paragraph" w:customStyle="1" w:styleId="SCCLsocOtherPartySeparator">
    <w:name w:val="SCC.Lsoc.OtherPartySeparator"/>
    <w:basedOn w:val="Normal"/>
    <w:next w:val="Normal"/>
    <w:link w:val="SCCLsocOtherPartySeparatorChar"/>
    <w:rsid w:val="00DC267F"/>
    <w:pPr>
      <w:spacing w:after="480"/>
    </w:pPr>
  </w:style>
  <w:style w:type="character" w:customStyle="1" w:styleId="SCCLsocOtherPartySeparatorChar">
    <w:name w:val="SCC.Lsoc.OtherPartySeparator Char"/>
    <w:basedOn w:val="DefaultParagraphFont"/>
    <w:link w:val="SCCLsocOtherPartySeparator"/>
    <w:rsid w:val="00DC267F"/>
    <w:rPr>
      <w:rFonts w:eastAsiaTheme="minorHAnsi" w:cstheme="minorBidi"/>
      <w:sz w:val="24"/>
      <w:szCs w:val="22"/>
      <w:lang w:val="en-US" w:eastAsia="en-US" w:bidi="en-US"/>
    </w:rPr>
  </w:style>
  <w:style w:type="character" w:customStyle="1" w:styleId="Heading1Char">
    <w:name w:val="Heading 1 Char"/>
    <w:basedOn w:val="DefaultParagraphFont"/>
    <w:link w:val="Heading1"/>
    <w:uiPriority w:val="9"/>
    <w:rsid w:val="00DC267F"/>
    <w:rPr>
      <w:rFonts w:asciiTheme="majorHAnsi" w:eastAsiaTheme="majorEastAsia" w:hAnsiTheme="majorHAnsi" w:cstheme="majorBidi"/>
      <w:b/>
      <w:bCs/>
      <w:color w:val="365F91" w:themeColor="accent1" w:themeShade="BF"/>
      <w:sz w:val="28"/>
      <w:szCs w:val="28"/>
      <w:lang w:val="en-US" w:eastAsia="en-US" w:bidi="en-US"/>
    </w:rPr>
  </w:style>
  <w:style w:type="paragraph" w:customStyle="1" w:styleId="SCCBanSummary">
    <w:name w:val="SCC.BanSummary"/>
    <w:basedOn w:val="Normal"/>
    <w:next w:val="Normal"/>
    <w:link w:val="SCCBanSummaryChar"/>
    <w:rsid w:val="00DC267F"/>
    <w:pPr>
      <w:jc w:val="right"/>
    </w:pPr>
    <w:rPr>
      <w:rFonts w:eastAsiaTheme="minorEastAsia"/>
      <w:b/>
      <w:szCs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styleId="FootnoteText">
    <w:name w:val="footnote text"/>
    <w:basedOn w:val="Normal"/>
    <w:link w:val="FootnoteTextChar"/>
    <w:uiPriority w:val="99"/>
    <w:unhideWhenUsed/>
    <w:rsid w:val="00B6493C"/>
    <w:rPr>
      <w:sz w:val="20"/>
    </w:rPr>
  </w:style>
  <w:style w:type="character" w:customStyle="1" w:styleId="FootnoteTextChar">
    <w:name w:val="Footnote Text Char"/>
    <w:basedOn w:val="DefaultParagraphFont"/>
    <w:link w:val="FootnoteText"/>
    <w:uiPriority w:val="99"/>
    <w:rsid w:val="00B6493C"/>
  </w:style>
  <w:style w:type="character" w:styleId="FootnoteReference">
    <w:name w:val="footnote reference"/>
    <w:basedOn w:val="DefaultParagraphFont"/>
    <w:uiPriority w:val="99"/>
    <w:semiHidden/>
    <w:unhideWhenUsed/>
    <w:rsid w:val="00B6493C"/>
    <w:rPr>
      <w:vertAlign w:val="superscript"/>
    </w:rPr>
  </w:style>
  <w:style w:type="paragraph" w:styleId="NoSpacing">
    <w:name w:val="No Spacing"/>
    <w:link w:val="NoSpacingChar"/>
    <w:uiPriority w:val="1"/>
    <w:rsid w:val="00DC267F"/>
    <w:rPr>
      <w:rFonts w:eastAsiaTheme="minorHAnsi" w:cstheme="minorBidi"/>
      <w:sz w:val="24"/>
      <w:szCs w:val="22"/>
      <w:lang w:val="en-US" w:eastAsia="en-US" w:bidi="en-US"/>
    </w:rPr>
  </w:style>
  <w:style w:type="character" w:customStyle="1" w:styleId="NoSpacingChar">
    <w:name w:val="No Spacing Char"/>
    <w:basedOn w:val="DefaultParagraphFont"/>
    <w:link w:val="NoSpacing"/>
    <w:uiPriority w:val="1"/>
    <w:rsid w:val="00252A6E"/>
    <w:rPr>
      <w:rFonts w:eastAsiaTheme="minorHAnsi" w:cstheme="minorBidi"/>
      <w:sz w:val="24"/>
      <w:szCs w:val="22"/>
      <w:lang w:val="en-US" w:eastAsia="en-US" w:bidi="en-US"/>
    </w:rPr>
  </w:style>
  <w:style w:type="character" w:styleId="Hyperlink">
    <w:name w:val="Hyperlink"/>
    <w:basedOn w:val="DefaultParagraphFont"/>
    <w:uiPriority w:val="99"/>
    <w:unhideWhenUsed/>
    <w:rsid w:val="00DC267F"/>
    <w:rPr>
      <w:color w:val="0000FF" w:themeColor="hyperlink"/>
      <w:u w:val="single"/>
    </w:rPr>
  </w:style>
  <w:style w:type="paragraph" w:customStyle="1" w:styleId="ParaNoNdepar-AltN">
    <w:name w:val="Para. No. / Nº de par. - Alt N"/>
    <w:qFormat/>
    <w:rsid w:val="00DC267F"/>
    <w:pPr>
      <w:numPr>
        <w:numId w:val="1"/>
      </w:numPr>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DC267F"/>
    <w:pPr>
      <w:tabs>
        <w:tab w:val="left" w:pos="360"/>
      </w:tabs>
      <w:spacing w:before="480" w:after="720"/>
      <w:ind w:left="360" w:hanging="360"/>
      <w:jc w:val="both"/>
    </w:pPr>
    <w:rPr>
      <w:rFonts w:eastAsiaTheme="minorHAnsi"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DC267F"/>
    <w:pPr>
      <w:spacing w:after="480"/>
    </w:pPr>
  </w:style>
  <w:style w:type="paragraph" w:customStyle="1" w:styleId="SCCCoram">
    <w:name w:val="SCC.Coram"/>
    <w:basedOn w:val="Normal"/>
    <w:next w:val="Normal"/>
    <w:link w:val="SCCCoramChar"/>
    <w:rsid w:val="00DC267F"/>
    <w:pPr>
      <w:pBdr>
        <w:bottom w:val="single" w:sz="4" w:space="1" w:color="auto"/>
      </w:pBdr>
    </w:pPr>
  </w:style>
  <w:style w:type="character" w:customStyle="1" w:styleId="SCCCoramChar">
    <w:name w:val="SCC.Coram Char"/>
    <w:basedOn w:val="DefaultParagraphFont"/>
    <w:link w:val="SCCCoram"/>
    <w:rsid w:val="00DC267F"/>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DC267F"/>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DC267F"/>
    <w:rPr>
      <w:rFonts w:eastAsiaTheme="minorEastAsia" w:cstheme="minorBidi"/>
      <w:b/>
      <w:sz w:val="24"/>
      <w:szCs w:val="24"/>
      <w:lang w:val="en-US" w:eastAsia="en-US" w:bidi="en-US"/>
    </w:rPr>
  </w:style>
  <w:style w:type="table" w:styleId="TableGrid">
    <w:name w:val="Table Grid"/>
    <w:basedOn w:val="TableNormal"/>
    <w:uiPriority w:val="59"/>
    <w:rsid w:val="00DC267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DC267F"/>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DC267F"/>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DC267F"/>
    <w:pPr>
      <w:tabs>
        <w:tab w:val="left" w:pos="1260"/>
      </w:tabs>
      <w:spacing w:after="480" w:line="480" w:lineRule="auto"/>
    </w:pPr>
    <w:rPr>
      <w:smallCaps/>
      <w:sz w:val="24"/>
    </w:rPr>
  </w:style>
  <w:style w:type="paragraph" w:customStyle="1" w:styleId="para">
    <w:name w:val="para"/>
    <w:basedOn w:val="Normal"/>
    <w:rsid w:val="00DC267F"/>
    <w:pPr>
      <w:spacing w:before="120" w:line="360" w:lineRule="atLeast"/>
      <w:ind w:left="2640"/>
    </w:pPr>
    <w:rPr>
      <w:rFonts w:ascii="Verdana" w:hAnsi="Verdana"/>
      <w:color w:val="000000"/>
      <w:szCs w:val="24"/>
    </w:rPr>
  </w:style>
  <w:style w:type="paragraph" w:customStyle="1" w:styleId="subpara">
    <w:name w:val="subpara"/>
    <w:basedOn w:val="Normal"/>
    <w:rsid w:val="00DC267F"/>
    <w:pPr>
      <w:spacing w:before="72" w:line="360" w:lineRule="atLeast"/>
      <w:ind w:left="3360"/>
    </w:pPr>
    <w:rPr>
      <w:rFonts w:ascii="Verdana" w:hAnsi="Verdana"/>
      <w:color w:val="000000"/>
      <w:szCs w:val="24"/>
    </w:rPr>
  </w:style>
  <w:style w:type="paragraph" w:customStyle="1" w:styleId="sec3">
    <w:name w:val="sec3"/>
    <w:basedOn w:val="Normal"/>
    <w:rsid w:val="00DC267F"/>
    <w:pPr>
      <w:spacing w:before="168" w:after="168" w:line="360" w:lineRule="atLeast"/>
      <w:ind w:left="1440" w:hanging="720"/>
    </w:pPr>
    <w:rPr>
      <w:rFonts w:ascii="Verdana" w:hAnsi="Verdana"/>
      <w:color w:val="000000"/>
      <w:szCs w:val="24"/>
    </w:rPr>
  </w:style>
  <w:style w:type="character" w:customStyle="1" w:styleId="JudgeJugeChar">
    <w:name w:val="Judge / Juge Char"/>
    <w:basedOn w:val="DefaultParagraphFont"/>
    <w:link w:val="JudgeJuge"/>
    <w:uiPriority w:val="3"/>
    <w:rsid w:val="00DC267F"/>
    <w:rPr>
      <w:smallCaps/>
      <w:sz w:val="24"/>
    </w:rPr>
  </w:style>
  <w:style w:type="character" w:customStyle="1" w:styleId="Heading3Char">
    <w:name w:val="Heading 3 Char"/>
    <w:basedOn w:val="DefaultParagraphFont"/>
    <w:link w:val="Heading3"/>
    <w:uiPriority w:val="9"/>
    <w:semiHidden/>
    <w:rsid w:val="00DC267F"/>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DC267F"/>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DC267F"/>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DC267F"/>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DC267F"/>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DC267F"/>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DC267F"/>
    <w:rPr>
      <w:rFonts w:asciiTheme="majorHAnsi" w:eastAsiaTheme="majorEastAsia" w:hAnsiTheme="majorHAnsi" w:cstheme="majorBidi"/>
      <w:i/>
      <w:iCs/>
      <w:color w:val="404040" w:themeColor="text1" w:themeTint="BF"/>
      <w:lang w:val="en-US" w:eastAsia="en-US" w:bidi="en-US"/>
    </w:rPr>
  </w:style>
  <w:style w:type="character" w:styleId="CommentReference">
    <w:name w:val="annotation reference"/>
    <w:basedOn w:val="DefaultParagraphFont"/>
    <w:uiPriority w:val="99"/>
    <w:semiHidden/>
    <w:unhideWhenUsed/>
    <w:rsid w:val="00DC267F"/>
    <w:rPr>
      <w:sz w:val="16"/>
      <w:szCs w:val="16"/>
    </w:rPr>
  </w:style>
  <w:style w:type="paragraph" w:styleId="CommentText">
    <w:name w:val="annotation text"/>
    <w:basedOn w:val="Normal"/>
    <w:link w:val="CommentTextChar"/>
    <w:uiPriority w:val="99"/>
    <w:semiHidden/>
    <w:unhideWhenUsed/>
    <w:rsid w:val="00DC267F"/>
    <w:rPr>
      <w:sz w:val="20"/>
    </w:rPr>
  </w:style>
  <w:style w:type="character" w:customStyle="1" w:styleId="CommentTextChar">
    <w:name w:val="Comment Text Char"/>
    <w:basedOn w:val="DefaultParagraphFont"/>
    <w:link w:val="CommentText"/>
    <w:uiPriority w:val="99"/>
    <w:semiHidden/>
    <w:rsid w:val="00DC267F"/>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DC267F"/>
    <w:rPr>
      <w:b/>
      <w:bCs/>
    </w:rPr>
  </w:style>
  <w:style w:type="character" w:customStyle="1" w:styleId="CommentSubjectChar">
    <w:name w:val="Comment Subject Char"/>
    <w:basedOn w:val="CommentTextChar"/>
    <w:link w:val="CommentSubject"/>
    <w:uiPriority w:val="99"/>
    <w:semiHidden/>
    <w:rsid w:val="00DC267F"/>
    <w:rPr>
      <w:b/>
      <w:bCs/>
    </w:rPr>
  </w:style>
  <w:style w:type="paragraph" w:customStyle="1" w:styleId="HeadingTitre-AltH">
    <w:name w:val="Heading / Titre - Alt H"/>
    <w:next w:val="Normal"/>
    <w:uiPriority w:val="3"/>
    <w:rsid w:val="00DC267F"/>
    <w:pPr>
      <w:tabs>
        <w:tab w:val="left" w:pos="360"/>
      </w:tabs>
      <w:spacing w:before="480" w:after="480"/>
      <w:ind w:left="360" w:hanging="360"/>
      <w:jc w:val="both"/>
    </w:pPr>
    <w:rPr>
      <w:rFonts w:eastAsiaTheme="minorHAnsi" w:cstheme="minorBidi"/>
      <w:sz w:val="24"/>
      <w:szCs w:val="22"/>
      <w:lang w:eastAsia="en-US"/>
    </w:rPr>
  </w:style>
  <w:style w:type="paragraph" w:customStyle="1" w:styleId="Title1LevelTitre1Niveau-AltL">
    <w:name w:val="Title 1 Level / Titre 1 Niveau - Alt L"/>
    <w:next w:val="ParaNoNdepar-AltN"/>
    <w:uiPriority w:val="4"/>
    <w:qFormat/>
    <w:rsid w:val="00DC267F"/>
    <w:pPr>
      <w:numPr>
        <w:numId w:val="20"/>
      </w:numPr>
      <w:tabs>
        <w:tab w:val="left" w:pos="432"/>
      </w:tabs>
      <w:spacing w:before="480" w:after="720"/>
    </w:pPr>
    <w:rPr>
      <w:rFonts w:eastAsiaTheme="minorHAnsi" w:cstheme="minorBidi"/>
      <w:sz w:val="24"/>
      <w:szCs w:val="22"/>
      <w:u w:val="single"/>
      <w:lang w:eastAsia="en-US"/>
    </w:rPr>
  </w:style>
  <w:style w:type="paragraph" w:styleId="TOCHeading">
    <w:name w:val="TOC Heading"/>
    <w:basedOn w:val="Heading1"/>
    <w:next w:val="Normal"/>
    <w:uiPriority w:val="39"/>
    <w:semiHidden/>
    <w:unhideWhenUsed/>
    <w:qFormat/>
    <w:rsid w:val="00DC267F"/>
    <w:pPr>
      <w:outlineLvl w:val="9"/>
    </w:pPr>
  </w:style>
  <w:style w:type="paragraph" w:styleId="Caption">
    <w:name w:val="caption"/>
    <w:basedOn w:val="Normal"/>
    <w:next w:val="Normal"/>
    <w:uiPriority w:val="35"/>
    <w:semiHidden/>
    <w:unhideWhenUsed/>
    <w:qFormat/>
    <w:rsid w:val="00DC267F"/>
    <w:rPr>
      <w:b/>
      <w:bCs/>
      <w:color w:val="4F81BD" w:themeColor="accent1"/>
      <w:sz w:val="18"/>
      <w:szCs w:val="18"/>
    </w:rPr>
  </w:style>
  <w:style w:type="paragraph" w:styleId="Title">
    <w:name w:val="Title"/>
    <w:basedOn w:val="Normal"/>
    <w:next w:val="Normal"/>
    <w:link w:val="TitleChar"/>
    <w:uiPriority w:val="10"/>
    <w:rsid w:val="00DC26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267F"/>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DC267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DC267F"/>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DC267F"/>
    <w:rPr>
      <w:i/>
      <w:iCs/>
    </w:rPr>
  </w:style>
  <w:style w:type="paragraph" w:styleId="ListParagraph">
    <w:name w:val="List Paragraph"/>
    <w:basedOn w:val="Normal"/>
    <w:uiPriority w:val="34"/>
    <w:rsid w:val="00DC267F"/>
    <w:pPr>
      <w:ind w:left="720"/>
      <w:contextualSpacing/>
    </w:pPr>
  </w:style>
  <w:style w:type="paragraph" w:styleId="Quote">
    <w:name w:val="Quote"/>
    <w:basedOn w:val="Normal"/>
    <w:next w:val="Normal"/>
    <w:link w:val="QuoteChar"/>
    <w:uiPriority w:val="29"/>
    <w:rsid w:val="00DC267F"/>
    <w:rPr>
      <w:i/>
      <w:iCs/>
      <w:color w:val="000000" w:themeColor="text1"/>
    </w:rPr>
  </w:style>
  <w:style w:type="character" w:customStyle="1" w:styleId="QuoteChar">
    <w:name w:val="Quote Char"/>
    <w:basedOn w:val="DefaultParagraphFont"/>
    <w:link w:val="Quote"/>
    <w:uiPriority w:val="29"/>
    <w:rsid w:val="00DC267F"/>
    <w:rPr>
      <w:rFonts w:eastAsiaTheme="minorHAnsi" w:cstheme="minorBidi"/>
      <w:i/>
      <w:iCs/>
      <w:color w:val="000000" w:themeColor="text1"/>
      <w:sz w:val="24"/>
      <w:szCs w:val="22"/>
      <w:lang w:val="en-US" w:eastAsia="en-US" w:bidi="en-US"/>
    </w:rPr>
  </w:style>
  <w:style w:type="paragraph" w:styleId="IntenseQuote">
    <w:name w:val="Intense Quote"/>
    <w:basedOn w:val="Normal"/>
    <w:next w:val="Normal"/>
    <w:link w:val="IntenseQuoteChar"/>
    <w:uiPriority w:val="30"/>
    <w:rsid w:val="00DC267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C267F"/>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DC267F"/>
    <w:rPr>
      <w:i/>
      <w:iCs/>
      <w:color w:val="808080" w:themeColor="text1" w:themeTint="7F"/>
    </w:rPr>
  </w:style>
  <w:style w:type="character" w:styleId="IntenseEmphasis">
    <w:name w:val="Intense Emphasis"/>
    <w:basedOn w:val="DefaultParagraphFont"/>
    <w:uiPriority w:val="21"/>
    <w:rsid w:val="00DC267F"/>
    <w:rPr>
      <w:b/>
      <w:bCs/>
      <w:i/>
      <w:iCs/>
      <w:color w:val="4F81BD" w:themeColor="accent1"/>
    </w:rPr>
  </w:style>
  <w:style w:type="character" w:styleId="SubtleReference">
    <w:name w:val="Subtle Reference"/>
    <w:basedOn w:val="DefaultParagraphFont"/>
    <w:uiPriority w:val="31"/>
    <w:rsid w:val="00DC267F"/>
    <w:rPr>
      <w:smallCaps/>
      <w:color w:val="C0504D" w:themeColor="accent2"/>
      <w:u w:val="single"/>
    </w:rPr>
  </w:style>
  <w:style w:type="character" w:styleId="IntenseReference">
    <w:name w:val="Intense Reference"/>
    <w:basedOn w:val="DefaultParagraphFont"/>
    <w:uiPriority w:val="32"/>
    <w:rsid w:val="00DC267F"/>
    <w:rPr>
      <w:b/>
      <w:bCs/>
      <w:smallCaps/>
      <w:color w:val="C0504D" w:themeColor="accent2"/>
      <w:spacing w:val="5"/>
      <w:u w:val="single"/>
    </w:rPr>
  </w:style>
  <w:style w:type="character" w:styleId="BookTitle">
    <w:name w:val="Book Title"/>
    <w:basedOn w:val="DefaultParagraphFont"/>
    <w:uiPriority w:val="33"/>
    <w:rsid w:val="00DC267F"/>
    <w:rPr>
      <w:b/>
      <w:bCs/>
      <w:smallCaps/>
      <w:spacing w:val="5"/>
    </w:rPr>
  </w:style>
  <w:style w:type="paragraph" w:styleId="Revision">
    <w:name w:val="Revision"/>
    <w:hidden/>
    <w:uiPriority w:val="99"/>
    <w:semiHidden/>
    <w:rsid w:val="00DC267F"/>
    <w:rPr>
      <w:rFonts w:eastAsiaTheme="minorHAnsi" w:cstheme="minorBidi"/>
      <w:sz w:val="24"/>
      <w:szCs w:val="22"/>
      <w:lang w:val="en-US" w:eastAsia="en-US" w:bidi="en-US"/>
    </w:rPr>
  </w:style>
  <w:style w:type="paragraph" w:customStyle="1" w:styleId="Title2LevelTitre2Niveau">
    <w:name w:val="Title 2 Level / Titre 2 Niveau"/>
    <w:basedOn w:val="Title1LevelTitre1Niveau-AltL"/>
    <w:next w:val="ParaNoNdepar-AltN"/>
    <w:uiPriority w:val="4"/>
    <w:qFormat/>
    <w:rsid w:val="00DC267F"/>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DC267F"/>
    <w:pPr>
      <w:numPr>
        <w:ilvl w:val="2"/>
      </w:numPr>
      <w:tabs>
        <w:tab w:val="clear" w:pos="432"/>
      </w:tabs>
    </w:pPr>
  </w:style>
  <w:style w:type="paragraph" w:customStyle="1" w:styleId="Title4LevelTitre4Niveau">
    <w:name w:val="Title 4 Level / Titre 4 Niveau"/>
    <w:basedOn w:val="Title3LevelTitre3Niveau"/>
    <w:next w:val="ParaNoNdepar-AltN"/>
    <w:uiPriority w:val="4"/>
    <w:qFormat/>
    <w:rsid w:val="00DC267F"/>
    <w:pPr>
      <w:numPr>
        <w:ilvl w:val="3"/>
      </w:numPr>
      <w:tabs>
        <w:tab w:val="clear" w:pos="1296"/>
        <w:tab w:val="num" w:pos="900"/>
      </w:tabs>
      <w:ind w:left="900" w:hanging="450"/>
    </w:pPr>
    <w:rPr>
      <w:i/>
      <w:u w:val="none"/>
    </w:rPr>
  </w:style>
  <w:style w:type="paragraph" w:customStyle="1" w:styleId="Title5LevelTitre5Niveau">
    <w:name w:val="Title 5 Level / Titre 5 Niveau"/>
    <w:basedOn w:val="Title1LevelTitre1Niveau-AltL"/>
    <w:next w:val="ParaNoNdepar-AltN"/>
    <w:uiPriority w:val="4"/>
    <w:qFormat/>
    <w:rsid w:val="00DC267F"/>
    <w:pPr>
      <w:numPr>
        <w:ilvl w:val="4"/>
      </w:numPr>
      <w:tabs>
        <w:tab w:val="clear" w:pos="432"/>
        <w:tab w:val="clear" w:pos="1728"/>
        <w:tab w:val="num" w:pos="1440"/>
      </w:tabs>
      <w:ind w:left="1440" w:hanging="540"/>
    </w:pPr>
  </w:style>
  <w:style w:type="table" w:customStyle="1" w:styleId="TableGrid1">
    <w:name w:val="Table Grid1"/>
    <w:basedOn w:val="TableNormal"/>
    <w:next w:val="TableGrid"/>
    <w:uiPriority w:val="59"/>
    <w:rsid w:val="0029667D"/>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CCMACROS\Manual%20Track%20Changes%20Add%20Marking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Manual Track Changes Add Markings.dotm</Template>
  <TotalTime>0</TotalTime>
  <Pages>47</Pages>
  <Words>10437</Words>
  <Characters>56585</Characters>
  <Application>Microsoft Office Word</Application>
  <DocSecurity>0</DocSecurity>
  <Lines>471</Lines>
  <Paragraphs>133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2014-04-03T16:16:00Z</dcterms:created>
  <dcterms:modified xsi:type="dcterms:W3CDTF">2014-04-03T16:16:00Z</dcterms:modified>
</cp:coreProperties>
</file>