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646" w:rsidRPr="0098750A" w:rsidRDefault="00A04646" w:rsidP="00A04646">
      <w:pPr>
        <w:tabs>
          <w:tab w:val="center" w:pos="4680"/>
          <w:tab w:val="right" w:pos="9360"/>
        </w:tabs>
        <w:jc w:val="center"/>
        <w:rPr>
          <w:rFonts w:eastAsiaTheme="minorHAnsi" w:cstheme="minorBidi"/>
          <w:szCs w:val="24"/>
          <w:lang w:eastAsia="en-US"/>
        </w:rPr>
      </w:pPr>
      <w:r w:rsidRPr="0098750A">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5pt" o:ole="">
            <v:imagedata r:id="rId7" o:title=""/>
          </v:shape>
          <o:OLEObject Type="Embed" ProgID="Presentations.Drawing.13" ShapeID="_x0000_i1025" DrawAspect="Content" ObjectID="_1458032984" r:id="rId8"/>
        </w:object>
      </w:r>
    </w:p>
    <w:p w:rsidR="00A04646" w:rsidRPr="0098750A" w:rsidRDefault="00A04646" w:rsidP="00A04646">
      <w:pPr>
        <w:tabs>
          <w:tab w:val="center" w:pos="4680"/>
          <w:tab w:val="right" w:pos="9360"/>
        </w:tabs>
        <w:rPr>
          <w:rFonts w:eastAsiaTheme="minorHAnsi" w:cstheme="minorBidi"/>
          <w:szCs w:val="24"/>
          <w:lang w:eastAsia="en-US"/>
        </w:rPr>
      </w:pPr>
    </w:p>
    <w:p w:rsidR="00A04646" w:rsidRPr="0098750A" w:rsidRDefault="00A04646" w:rsidP="00A04646">
      <w:pPr>
        <w:jc w:val="center"/>
        <w:rPr>
          <w:rFonts w:eastAsiaTheme="minorHAnsi" w:cstheme="minorBidi"/>
          <w:b/>
          <w:szCs w:val="24"/>
          <w:lang w:eastAsia="en-US"/>
        </w:rPr>
      </w:pPr>
      <w:r w:rsidRPr="0098750A">
        <w:rPr>
          <w:rFonts w:eastAsiaTheme="minorHAnsi" w:cstheme="minorBidi"/>
          <w:b/>
          <w:szCs w:val="24"/>
          <w:lang w:eastAsia="en-US"/>
        </w:rPr>
        <w:t>SUPREME COURT OF CANADA</w:t>
      </w:r>
    </w:p>
    <w:p w:rsidR="00A04646" w:rsidRPr="0098750A" w:rsidRDefault="00A04646" w:rsidP="00A04646">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04646" w:rsidRPr="0098750A" w:rsidTr="00A91E19">
        <w:trPr>
          <w:cantSplit/>
        </w:trPr>
        <w:tc>
          <w:tcPr>
            <w:tcW w:w="6768" w:type="dxa"/>
          </w:tcPr>
          <w:p w:rsidR="00A04646" w:rsidRPr="0098750A" w:rsidRDefault="00A04646" w:rsidP="00A91E19">
            <w:pPr>
              <w:rPr>
                <w:lang w:val="fr-CA"/>
              </w:rPr>
            </w:pPr>
            <w:r w:rsidRPr="0098750A">
              <w:rPr>
                <w:b/>
                <w:smallCaps/>
                <w:lang w:val="fr-CA"/>
              </w:rPr>
              <w:t>Citation:</w:t>
            </w:r>
            <w:r w:rsidRPr="0098750A">
              <w:rPr>
                <w:lang w:val="fr-CA"/>
              </w:rPr>
              <w:t xml:space="preserve"> R. </w:t>
            </w:r>
            <w:r w:rsidRPr="0098750A">
              <w:rPr>
                <w:i/>
                <w:lang w:val="fr-CA"/>
              </w:rPr>
              <w:t>v.</w:t>
            </w:r>
            <w:r w:rsidRPr="0098750A">
              <w:rPr>
                <w:lang w:val="fr-CA"/>
              </w:rPr>
              <w:t xml:space="preserve"> McRae, 2013 SCC 68</w:t>
            </w:r>
            <w:r>
              <w:rPr>
                <w:lang w:val="fr-CA"/>
              </w:rPr>
              <w:t xml:space="preserve">, </w:t>
            </w:r>
            <w:r>
              <w:t>[2013] 3 S.C.R. 931</w:t>
            </w:r>
          </w:p>
        </w:tc>
        <w:tc>
          <w:tcPr>
            <w:tcW w:w="2808" w:type="dxa"/>
          </w:tcPr>
          <w:p w:rsidR="00A04646" w:rsidRPr="0098750A" w:rsidRDefault="00A04646" w:rsidP="00A91E19">
            <w:r w:rsidRPr="0098750A">
              <w:rPr>
                <w:b/>
                <w:smallCaps/>
              </w:rPr>
              <w:t>Date:</w:t>
            </w:r>
            <w:r w:rsidRPr="0098750A">
              <w:t xml:space="preserve"> 20131206</w:t>
            </w:r>
          </w:p>
          <w:p w:rsidR="00A04646" w:rsidRPr="0098750A" w:rsidRDefault="00A04646" w:rsidP="00A91E19">
            <w:r w:rsidRPr="0098750A">
              <w:rPr>
                <w:b/>
                <w:smallCaps/>
              </w:rPr>
              <w:t>Docket:</w:t>
            </w:r>
            <w:r w:rsidRPr="0098750A">
              <w:t xml:space="preserve"> 34743</w:t>
            </w:r>
          </w:p>
        </w:tc>
      </w:tr>
    </w:tbl>
    <w:p w:rsidR="00A04646" w:rsidRPr="0098750A" w:rsidRDefault="00A04646" w:rsidP="00A04646">
      <w:pPr>
        <w:rPr>
          <w:rFonts w:eastAsiaTheme="minorHAnsi" w:cstheme="minorBidi"/>
          <w:szCs w:val="24"/>
          <w:lang w:eastAsia="en-US"/>
        </w:rPr>
      </w:pPr>
    </w:p>
    <w:p w:rsidR="00A04646" w:rsidRPr="0098750A" w:rsidRDefault="00A04646" w:rsidP="00A04646">
      <w:pPr>
        <w:rPr>
          <w:rFonts w:eastAsiaTheme="minorHAnsi" w:cstheme="minorBidi"/>
          <w:b/>
          <w:smallCaps/>
          <w:szCs w:val="24"/>
          <w:lang w:eastAsia="en-US"/>
        </w:rPr>
      </w:pPr>
      <w:r w:rsidRPr="0098750A">
        <w:rPr>
          <w:rFonts w:eastAsiaTheme="minorHAnsi" w:cstheme="minorBidi"/>
          <w:b/>
          <w:smallCaps/>
          <w:szCs w:val="24"/>
          <w:lang w:eastAsia="en-US"/>
        </w:rPr>
        <w:t>Between:</w:t>
      </w:r>
    </w:p>
    <w:p w:rsidR="00A04646" w:rsidRPr="0098750A" w:rsidRDefault="00A04646" w:rsidP="00A04646">
      <w:pPr>
        <w:jc w:val="center"/>
        <w:rPr>
          <w:rFonts w:eastAsiaTheme="minorHAnsi" w:cstheme="minorBidi"/>
          <w:b/>
          <w:szCs w:val="24"/>
          <w:lang w:eastAsia="en-US"/>
        </w:rPr>
      </w:pPr>
      <w:r w:rsidRPr="0098750A">
        <w:rPr>
          <w:rFonts w:eastAsiaTheme="minorHAnsi" w:cstheme="minorBidi"/>
          <w:b/>
          <w:szCs w:val="24"/>
          <w:lang w:eastAsia="en-US"/>
        </w:rPr>
        <w:t>Her Majesty The Queen</w:t>
      </w:r>
    </w:p>
    <w:p w:rsidR="00A04646" w:rsidRPr="0098750A" w:rsidRDefault="00A04646" w:rsidP="00A04646">
      <w:pPr>
        <w:jc w:val="center"/>
        <w:rPr>
          <w:rFonts w:eastAsiaTheme="minorHAnsi" w:cstheme="minorBidi"/>
          <w:szCs w:val="24"/>
          <w:lang w:eastAsia="en-US"/>
        </w:rPr>
      </w:pPr>
      <w:r w:rsidRPr="0098750A">
        <w:rPr>
          <w:rFonts w:eastAsiaTheme="minorHAnsi" w:cstheme="minorBidi"/>
          <w:szCs w:val="24"/>
          <w:lang w:eastAsia="en-US"/>
        </w:rPr>
        <w:t>Appellant</w:t>
      </w:r>
    </w:p>
    <w:p w:rsidR="00A04646" w:rsidRPr="0098750A" w:rsidRDefault="00A04646" w:rsidP="00A04646">
      <w:pPr>
        <w:jc w:val="center"/>
        <w:rPr>
          <w:rFonts w:eastAsiaTheme="minorHAnsi" w:cstheme="minorBidi"/>
          <w:szCs w:val="24"/>
          <w:lang w:eastAsia="en-US"/>
        </w:rPr>
      </w:pPr>
      <w:r w:rsidRPr="0098750A">
        <w:rPr>
          <w:rFonts w:eastAsiaTheme="minorHAnsi" w:cstheme="minorBidi"/>
          <w:szCs w:val="24"/>
          <w:lang w:eastAsia="en-US"/>
        </w:rPr>
        <w:t>and</w:t>
      </w:r>
    </w:p>
    <w:p w:rsidR="00A04646" w:rsidRPr="0098750A" w:rsidRDefault="00A04646" w:rsidP="00A04646">
      <w:pPr>
        <w:jc w:val="center"/>
        <w:rPr>
          <w:rFonts w:eastAsiaTheme="minorHAnsi" w:cstheme="minorBidi"/>
          <w:b/>
          <w:szCs w:val="24"/>
          <w:lang w:eastAsia="en-US"/>
        </w:rPr>
      </w:pPr>
      <w:r w:rsidRPr="0098750A">
        <w:rPr>
          <w:rFonts w:eastAsiaTheme="minorHAnsi" w:cstheme="minorBidi"/>
          <w:b/>
          <w:szCs w:val="24"/>
          <w:lang w:eastAsia="en-US"/>
        </w:rPr>
        <w:t>Stéphane McRae</w:t>
      </w:r>
    </w:p>
    <w:p w:rsidR="00A04646" w:rsidRPr="0098750A" w:rsidRDefault="00A04646" w:rsidP="00A04646">
      <w:pPr>
        <w:jc w:val="center"/>
        <w:rPr>
          <w:rFonts w:eastAsiaTheme="minorHAnsi" w:cstheme="minorBidi"/>
          <w:szCs w:val="24"/>
          <w:lang w:eastAsia="en-US"/>
        </w:rPr>
      </w:pPr>
      <w:r w:rsidRPr="0098750A">
        <w:rPr>
          <w:rFonts w:eastAsiaTheme="minorHAnsi" w:cstheme="minorBidi"/>
          <w:szCs w:val="24"/>
          <w:lang w:eastAsia="en-US"/>
        </w:rPr>
        <w:t>Respondent</w:t>
      </w:r>
    </w:p>
    <w:p w:rsidR="00A04646" w:rsidRPr="0098750A" w:rsidRDefault="00A04646" w:rsidP="00A04646">
      <w:pPr>
        <w:rPr>
          <w:rFonts w:eastAsiaTheme="minorHAnsi" w:cstheme="minorBidi"/>
          <w:szCs w:val="24"/>
          <w:lang w:eastAsia="en-US"/>
        </w:rPr>
      </w:pPr>
    </w:p>
    <w:p w:rsidR="00A04646" w:rsidRPr="0098750A" w:rsidRDefault="00A04646" w:rsidP="00A04646">
      <w:pPr>
        <w:rPr>
          <w:rFonts w:eastAsiaTheme="minorHAnsi" w:cstheme="minorBidi"/>
          <w:szCs w:val="24"/>
          <w:lang w:eastAsia="en-US"/>
        </w:rPr>
      </w:pPr>
    </w:p>
    <w:p w:rsidR="00A04646" w:rsidRPr="0098750A" w:rsidRDefault="00A04646" w:rsidP="00A04646">
      <w:pPr>
        <w:rPr>
          <w:rFonts w:eastAsiaTheme="minorHAnsi" w:cstheme="minorBidi"/>
          <w:szCs w:val="24"/>
          <w:lang w:eastAsia="en-US"/>
        </w:rPr>
      </w:pPr>
    </w:p>
    <w:p w:rsidR="00A04646" w:rsidRPr="0098750A" w:rsidRDefault="00A04646" w:rsidP="00A04646">
      <w:pPr>
        <w:rPr>
          <w:rFonts w:eastAsiaTheme="minorHAnsi" w:cstheme="minorBidi"/>
          <w:szCs w:val="24"/>
          <w:lang w:eastAsia="en-US"/>
        </w:rPr>
      </w:pPr>
      <w:r w:rsidRPr="0098750A">
        <w:rPr>
          <w:rFonts w:eastAsiaTheme="minorHAnsi" w:cstheme="minorBidi"/>
          <w:b/>
          <w:smallCaps/>
          <w:szCs w:val="24"/>
          <w:lang w:eastAsia="en-US"/>
        </w:rPr>
        <w:t>Coram:</w:t>
      </w:r>
      <w:r w:rsidRPr="0098750A">
        <w:rPr>
          <w:rFonts w:eastAsiaTheme="minorHAnsi" w:cstheme="minorBidi"/>
          <w:szCs w:val="24"/>
          <w:lang w:eastAsia="en-US"/>
        </w:rPr>
        <w:t xml:space="preserve"> LeBel, Fish, Abella, Cromwell, Moldaver, Karakatsanis and Wagner JJ.</w:t>
      </w:r>
    </w:p>
    <w:p w:rsidR="00A04646" w:rsidRPr="0098750A" w:rsidRDefault="00A04646" w:rsidP="00A04646">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04646" w:rsidRPr="0098750A" w:rsidTr="00A91E19">
        <w:trPr>
          <w:cantSplit/>
        </w:trPr>
        <w:tc>
          <w:tcPr>
            <w:tcW w:w="3618" w:type="dxa"/>
          </w:tcPr>
          <w:p w:rsidR="00A04646" w:rsidRPr="0098750A" w:rsidRDefault="00A04646" w:rsidP="00A91E19">
            <w:pPr>
              <w:rPr>
                <w:b/>
                <w:smallCaps/>
              </w:rPr>
            </w:pPr>
            <w:r w:rsidRPr="0098750A">
              <w:rPr>
                <w:b/>
                <w:smallCaps/>
              </w:rPr>
              <w:t>Joint Reasons for Judgment:</w:t>
            </w:r>
          </w:p>
          <w:p w:rsidR="00A04646" w:rsidRPr="0098750A" w:rsidRDefault="00A04646" w:rsidP="00A91E19">
            <w:r w:rsidRPr="0098750A">
              <w:t>(paras. 1 to 41)</w:t>
            </w:r>
          </w:p>
        </w:tc>
        <w:tc>
          <w:tcPr>
            <w:tcW w:w="5958" w:type="dxa"/>
          </w:tcPr>
          <w:p w:rsidR="00A04646" w:rsidRPr="0098750A" w:rsidRDefault="00A04646" w:rsidP="00A91E19">
            <w:r w:rsidRPr="0098750A">
              <w:t>Cromwell and Karakatsanis JJ. (LeBel, Fish, Abella, Moldaver and Wagner JJ. concurring)</w:t>
            </w:r>
          </w:p>
        </w:tc>
      </w:tr>
    </w:tbl>
    <w:p w:rsidR="00A04646" w:rsidRPr="0098750A" w:rsidRDefault="00A04646" w:rsidP="00A04646">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A04646" w:rsidRDefault="00A04646" w:rsidP="00A04646">
      <w:pPr>
        <w:rPr>
          <w:rStyle w:val="SCCAppellantForRunningHeadChar"/>
        </w:rPr>
      </w:pPr>
      <w:r>
        <w:rPr>
          <w:rStyle w:val="SCCAppellantForRunningHeadChar"/>
        </w:rPr>
        <w:br w:type="page"/>
      </w:r>
    </w:p>
    <w:p w:rsidR="008322BD" w:rsidRPr="00D775FC" w:rsidRDefault="00D775FC" w:rsidP="00422811">
      <w:pPr>
        <w:spacing w:after="720"/>
        <w:jc w:val="both"/>
        <w:rPr>
          <w:b/>
        </w:rPr>
      </w:pPr>
      <w:r w:rsidRPr="00D775FC">
        <w:rPr>
          <w:rStyle w:val="SCCAppellantForIndexChar"/>
          <w:b w:val="0"/>
        </w:rPr>
        <w:lastRenderedPageBreak/>
        <w:t>R.</w:t>
      </w:r>
      <w:r w:rsidRPr="00D775FC">
        <w:rPr>
          <w:b/>
        </w:rPr>
        <w:t xml:space="preserve"> </w:t>
      </w:r>
      <w:r w:rsidRPr="00D775FC">
        <w:rPr>
          <w:b/>
          <w:i/>
        </w:rPr>
        <w:t>v.</w:t>
      </w:r>
      <w:r w:rsidRPr="00D775FC">
        <w:rPr>
          <w:b/>
        </w:rPr>
        <w:t xml:space="preserve"> </w:t>
      </w:r>
      <w:r w:rsidRPr="00D775FC">
        <w:rPr>
          <w:rStyle w:val="SCCRespondentForIndexChar"/>
          <w:b w:val="0"/>
        </w:rPr>
        <w:t>McRae</w:t>
      </w:r>
      <w:r>
        <w:rPr>
          <w:rStyle w:val="SCCRespondentForIndexChar"/>
          <w:b w:val="0"/>
        </w:rPr>
        <w:t xml:space="preserve">, </w:t>
      </w:r>
      <w:r w:rsidRPr="003E71C3">
        <w:t>2013 SCC 68</w:t>
      </w:r>
      <w:r>
        <w:t xml:space="preserve">, [2013] 3 S.C.R. </w:t>
      </w:r>
      <w:r w:rsidR="00E20424">
        <w:t>931</w:t>
      </w:r>
    </w:p>
    <w:p w:rsidR="00684247" w:rsidRPr="003E71C3" w:rsidRDefault="00156671" w:rsidP="00422811">
      <w:pPr>
        <w:pStyle w:val="SCCLsocLastPartyInRole"/>
      </w:pPr>
      <w:r w:rsidRPr="003E71C3">
        <w:t>Her Majesty T</w:t>
      </w:r>
      <w:r w:rsidR="00603590" w:rsidRPr="003E71C3">
        <w:t>he Queen</w:t>
      </w:r>
      <w:r w:rsidR="00603590" w:rsidRPr="003E71C3">
        <w:rPr>
          <w:rStyle w:val="SCCLsocPartyRole"/>
        </w:rPr>
        <w:tab/>
        <w:t>Appellant</w:t>
      </w:r>
    </w:p>
    <w:p w:rsidR="00684247" w:rsidRPr="003E71C3" w:rsidRDefault="00603590" w:rsidP="00422811">
      <w:pPr>
        <w:pStyle w:val="SCCLsocVersus"/>
      </w:pPr>
      <w:r w:rsidRPr="003E71C3">
        <w:t>v.</w:t>
      </w:r>
    </w:p>
    <w:p w:rsidR="00684247" w:rsidRPr="003E71C3" w:rsidRDefault="00603590" w:rsidP="00422811">
      <w:pPr>
        <w:pStyle w:val="SCCLsocLastPartyInRole"/>
      </w:pPr>
      <w:r w:rsidRPr="003E71C3">
        <w:t>Stéphane McRae</w:t>
      </w:r>
      <w:r w:rsidRPr="003E71C3">
        <w:rPr>
          <w:rStyle w:val="SCCLsocPartyRole"/>
        </w:rPr>
        <w:tab/>
        <w:t>Respondent</w:t>
      </w:r>
    </w:p>
    <w:p w:rsidR="00426659" w:rsidRPr="003E71C3" w:rsidRDefault="00426659" w:rsidP="00422811">
      <w:pPr>
        <w:spacing w:after="720"/>
        <w:jc w:val="both"/>
        <w:rPr>
          <w:b/>
        </w:rPr>
      </w:pPr>
      <w:r w:rsidRPr="003E71C3">
        <w:rPr>
          <w:b/>
        </w:rPr>
        <w:t xml:space="preserve">Indexed as:  </w:t>
      </w:r>
      <w:r w:rsidRPr="003E71C3">
        <w:rPr>
          <w:rStyle w:val="SCCAppellantForIndexChar"/>
        </w:rPr>
        <w:t>R.</w:t>
      </w:r>
      <w:r w:rsidRPr="003E71C3">
        <w:rPr>
          <w:b/>
        </w:rPr>
        <w:t xml:space="preserve"> </w:t>
      </w:r>
      <w:r w:rsidRPr="003E71C3">
        <w:rPr>
          <w:b/>
          <w:i/>
        </w:rPr>
        <w:t>v.</w:t>
      </w:r>
      <w:r w:rsidRPr="003E71C3">
        <w:rPr>
          <w:b/>
        </w:rPr>
        <w:t xml:space="preserve"> </w:t>
      </w:r>
      <w:r w:rsidRPr="003E71C3">
        <w:rPr>
          <w:rStyle w:val="SCCRespondentForIndexChar"/>
        </w:rPr>
        <w:t>McRae</w:t>
      </w:r>
    </w:p>
    <w:p w:rsidR="00426659" w:rsidRPr="003E71C3" w:rsidRDefault="004F36FF" w:rsidP="00422811">
      <w:pPr>
        <w:pStyle w:val="SCCSystemYear"/>
        <w:spacing w:after="720"/>
        <w:jc w:val="both"/>
      </w:pPr>
      <w:r w:rsidRPr="003E71C3">
        <w:t>2013</w:t>
      </w:r>
      <w:r w:rsidR="003D0399" w:rsidRPr="003E71C3">
        <w:t xml:space="preserve"> </w:t>
      </w:r>
      <w:r w:rsidR="008D1615" w:rsidRPr="003E71C3">
        <w:t>SCC 68</w:t>
      </w:r>
    </w:p>
    <w:p w:rsidR="008322BD" w:rsidRPr="003E71C3" w:rsidRDefault="009B57B3" w:rsidP="00422811">
      <w:pPr>
        <w:spacing w:after="720"/>
        <w:jc w:val="both"/>
      </w:pPr>
      <w:r w:rsidRPr="003E71C3">
        <w:t>File No.:  34743.</w:t>
      </w:r>
    </w:p>
    <w:p w:rsidR="008322BD" w:rsidRPr="003E71C3" w:rsidRDefault="008D1615" w:rsidP="00422811">
      <w:pPr>
        <w:spacing w:after="720"/>
        <w:jc w:val="both"/>
      </w:pPr>
      <w:r w:rsidRPr="003E71C3">
        <w:t>2013:  May </w:t>
      </w:r>
      <w:r w:rsidR="004F36FF" w:rsidRPr="003E71C3">
        <w:t>21</w:t>
      </w:r>
      <w:r w:rsidRPr="003E71C3">
        <w:t>; 2013:  December 6</w:t>
      </w:r>
      <w:r w:rsidR="009B57B3" w:rsidRPr="003E71C3">
        <w:t>.</w:t>
      </w:r>
    </w:p>
    <w:p w:rsidR="008322BD" w:rsidRPr="003E71C3" w:rsidRDefault="009B57B3" w:rsidP="00422811">
      <w:pPr>
        <w:spacing w:after="720"/>
        <w:jc w:val="both"/>
      </w:pPr>
      <w:r w:rsidRPr="003E71C3">
        <w:t>Present:  LeBel, Fish, Abella, Cromwell, Moldaver, Karakatsanis and Wagner JJ.</w:t>
      </w:r>
    </w:p>
    <w:p w:rsidR="008322BD" w:rsidRPr="003E71C3" w:rsidRDefault="00656313" w:rsidP="00422811">
      <w:pPr>
        <w:pStyle w:val="SCCLowerCourtNameLowercase"/>
        <w:spacing w:after="720" w:line="240" w:lineRule="auto"/>
      </w:pPr>
      <w:r w:rsidRPr="003E71C3">
        <w:t>o</w:t>
      </w:r>
      <w:r w:rsidR="00170592" w:rsidRPr="003E71C3">
        <w:t>n</w:t>
      </w:r>
      <w:r w:rsidR="00224FC0" w:rsidRPr="003E71C3">
        <w:t xml:space="preserve"> </w:t>
      </w:r>
      <w:r w:rsidRPr="003E71C3">
        <w:t>a</w:t>
      </w:r>
      <w:r w:rsidR="00170592" w:rsidRPr="003E71C3">
        <w:t>ppeal</w:t>
      </w:r>
      <w:r w:rsidR="00224FC0" w:rsidRPr="003E71C3">
        <w:t xml:space="preserve"> </w:t>
      </w:r>
      <w:r w:rsidR="00170592" w:rsidRPr="003E71C3">
        <w:t>from</w:t>
      </w:r>
      <w:r w:rsidR="009567AA" w:rsidRPr="003E71C3">
        <w:t xml:space="preserve"> the</w:t>
      </w:r>
      <w:r w:rsidR="00224FC0" w:rsidRPr="003E71C3">
        <w:t xml:space="preserve"> </w:t>
      </w:r>
      <w:r w:rsidR="00156671" w:rsidRPr="003E71C3">
        <w:t xml:space="preserve">court of appeal </w:t>
      </w:r>
      <w:r w:rsidR="009B57B3" w:rsidRPr="003E71C3">
        <w:t>f</w:t>
      </w:r>
      <w:r w:rsidR="00156671" w:rsidRPr="003E71C3">
        <w:t>or</w:t>
      </w:r>
      <w:r w:rsidR="009B57B3" w:rsidRPr="003E71C3">
        <w:t xml:space="preserve"> quebec</w:t>
      </w:r>
    </w:p>
    <w:p w:rsidR="008322BD" w:rsidRPr="003E71C3" w:rsidRDefault="009B57B3" w:rsidP="00422811">
      <w:pPr>
        <w:pStyle w:val="SCCNormalDoubleSpacing"/>
        <w:spacing w:before="480" w:after="480"/>
      </w:pPr>
      <w:r w:rsidRPr="003E71C3">
        <w:tab/>
      </w:r>
      <w:r w:rsidR="00F439A0" w:rsidRPr="003E71C3">
        <w:rPr>
          <w:i/>
          <w:lang w:val="en-US"/>
        </w:rPr>
        <w:t xml:space="preserve">Criminal law </w:t>
      </w:r>
      <w:r w:rsidR="008D1615" w:rsidRPr="003E71C3">
        <w:rPr>
          <w:i/>
          <w:lang w:val="en-US"/>
        </w:rPr>
        <w:t>—</w:t>
      </w:r>
      <w:r w:rsidR="00F439A0" w:rsidRPr="003E71C3">
        <w:rPr>
          <w:i/>
          <w:lang w:val="en-US"/>
        </w:rPr>
        <w:t xml:space="preserve"> Offences </w:t>
      </w:r>
      <w:r w:rsidR="008D1615" w:rsidRPr="003E71C3">
        <w:rPr>
          <w:i/>
          <w:lang w:val="en-US"/>
        </w:rPr>
        <w:t xml:space="preserve">— </w:t>
      </w:r>
      <w:r w:rsidR="00F439A0" w:rsidRPr="003E71C3">
        <w:rPr>
          <w:i/>
          <w:lang w:val="en-US"/>
        </w:rPr>
        <w:t xml:space="preserve">Uttering threats </w:t>
      </w:r>
      <w:r w:rsidR="008D1615" w:rsidRPr="003E71C3">
        <w:rPr>
          <w:i/>
          <w:lang w:val="en-US"/>
        </w:rPr>
        <w:t xml:space="preserve">— </w:t>
      </w:r>
      <w:r w:rsidR="00F439A0" w:rsidRPr="003E71C3">
        <w:rPr>
          <w:i/>
          <w:lang w:val="en-US"/>
        </w:rPr>
        <w:t xml:space="preserve">Elements of offence </w:t>
      </w:r>
      <w:r w:rsidR="008D1615" w:rsidRPr="003E71C3">
        <w:rPr>
          <w:i/>
          <w:lang w:val="en-US"/>
        </w:rPr>
        <w:t xml:space="preserve">— </w:t>
      </w:r>
      <w:r w:rsidR="00F439A0" w:rsidRPr="003E71C3">
        <w:rPr>
          <w:i/>
          <w:lang w:val="en-US"/>
        </w:rPr>
        <w:t xml:space="preserve">Actus reus </w:t>
      </w:r>
      <w:r w:rsidR="008D1615" w:rsidRPr="003E71C3">
        <w:rPr>
          <w:i/>
          <w:lang w:val="en-US"/>
        </w:rPr>
        <w:t xml:space="preserve">— </w:t>
      </w:r>
      <w:r w:rsidR="00F439A0" w:rsidRPr="003E71C3">
        <w:rPr>
          <w:i/>
          <w:lang w:val="en-US"/>
        </w:rPr>
        <w:t xml:space="preserve">Mens rea </w:t>
      </w:r>
      <w:r w:rsidR="008D1615" w:rsidRPr="003E71C3">
        <w:rPr>
          <w:i/>
          <w:lang w:val="en-US"/>
        </w:rPr>
        <w:t xml:space="preserve">— </w:t>
      </w:r>
      <w:r w:rsidR="00F439A0" w:rsidRPr="003E71C3">
        <w:rPr>
          <w:i/>
          <w:lang w:val="en-US"/>
        </w:rPr>
        <w:t>Respondent stating to fellow detainees that he would kill and/or harm Crown prosecutor, officer</w:t>
      </w:r>
      <w:r w:rsidR="00422811" w:rsidRPr="003E71C3">
        <w:rPr>
          <w:i/>
          <w:lang w:val="en-US"/>
        </w:rPr>
        <w:noBreakHyphen/>
      </w:r>
      <w:r w:rsidR="00F439A0" w:rsidRPr="003E71C3">
        <w:rPr>
          <w:i/>
          <w:lang w:val="en-US"/>
        </w:rPr>
        <w:t xml:space="preserve">investigator and witnesses involved in his trial </w:t>
      </w:r>
      <w:r w:rsidR="008D1615" w:rsidRPr="003E71C3">
        <w:rPr>
          <w:i/>
          <w:lang w:val="en-US"/>
        </w:rPr>
        <w:t xml:space="preserve">— </w:t>
      </w:r>
      <w:r w:rsidR="00F439A0" w:rsidRPr="003E71C3">
        <w:rPr>
          <w:i/>
          <w:lang w:val="en-US"/>
        </w:rPr>
        <w:t xml:space="preserve">Whether it is necessary to prove threats were conveyed to their subjects and/or that accused intended they be so conveyed </w:t>
      </w:r>
      <w:r w:rsidR="008D1615" w:rsidRPr="003E71C3">
        <w:rPr>
          <w:i/>
          <w:lang w:val="en-US"/>
        </w:rPr>
        <w:t xml:space="preserve">— </w:t>
      </w:r>
      <w:r w:rsidR="00F439A0" w:rsidRPr="003E71C3">
        <w:rPr>
          <w:i/>
          <w:lang w:val="en-US"/>
        </w:rPr>
        <w:t xml:space="preserve">Whether lower courts erred in </w:t>
      </w:r>
      <w:r w:rsidR="00F439A0" w:rsidRPr="003E71C3">
        <w:rPr>
          <w:i/>
          <w:lang w:val="en-US"/>
        </w:rPr>
        <w:lastRenderedPageBreak/>
        <w:t xml:space="preserve">finding that elements of offence not made out </w:t>
      </w:r>
      <w:r w:rsidR="008D1615" w:rsidRPr="003E71C3">
        <w:rPr>
          <w:i/>
          <w:lang w:val="en-US"/>
        </w:rPr>
        <w:t xml:space="preserve">— </w:t>
      </w:r>
      <w:r w:rsidR="00422811" w:rsidRPr="003E71C3">
        <w:rPr>
          <w:i/>
          <w:lang w:val="en-US"/>
        </w:rPr>
        <w:t>Criminal Code, R.S.C. 1985, c. </w:t>
      </w:r>
      <w:r w:rsidR="00F439A0" w:rsidRPr="003E71C3">
        <w:rPr>
          <w:i/>
          <w:lang w:val="en-US"/>
        </w:rPr>
        <w:t>C</w:t>
      </w:r>
      <w:r w:rsidR="00422811" w:rsidRPr="003E71C3">
        <w:rPr>
          <w:i/>
          <w:lang w:val="en-US"/>
        </w:rPr>
        <w:noBreakHyphen/>
        <w:t>46, s. </w:t>
      </w:r>
      <w:r w:rsidR="00F439A0" w:rsidRPr="003E71C3">
        <w:rPr>
          <w:i/>
          <w:lang w:val="en-US"/>
        </w:rPr>
        <w:t>264.1(1)(a).</w:t>
      </w:r>
    </w:p>
    <w:p w:rsidR="00F439A0" w:rsidRPr="003E71C3" w:rsidRDefault="009B57B3" w:rsidP="00422811">
      <w:pPr>
        <w:pStyle w:val="SCCNormalDoubleSpacing"/>
        <w:spacing w:before="480" w:after="480"/>
      </w:pPr>
      <w:r w:rsidRPr="003E71C3">
        <w:tab/>
      </w:r>
      <w:r w:rsidR="00F439A0" w:rsidRPr="003E71C3">
        <w:t>While the accused</w:t>
      </w:r>
      <w:r w:rsidR="00DF0C0C" w:rsidRPr="003E71C3">
        <w:t xml:space="preserve"> </w:t>
      </w:r>
      <w:r w:rsidR="00F439A0" w:rsidRPr="003E71C3">
        <w:t>was detained awaiting trial</w:t>
      </w:r>
      <w:r w:rsidR="00DF0C0C" w:rsidRPr="003E71C3">
        <w:t xml:space="preserve">, </w:t>
      </w:r>
      <w:r w:rsidR="00F439A0" w:rsidRPr="003E71C3">
        <w:t>he stated to fel</w:t>
      </w:r>
      <w:r w:rsidR="00DF0C0C" w:rsidRPr="003E71C3">
        <w:t>low detainees that he would</w:t>
      </w:r>
      <w:r w:rsidR="00AE78FD" w:rsidRPr="003E71C3">
        <w:t xml:space="preserve"> </w:t>
      </w:r>
      <w:r w:rsidR="00F439A0" w:rsidRPr="003E71C3">
        <w:t>take down the guys at the top to rearrange the face of the pros</w:t>
      </w:r>
      <w:r w:rsidR="00AE78FD" w:rsidRPr="003E71C3">
        <w:t>ecutor and one of the witnesses</w:t>
      </w:r>
      <w:r w:rsidR="00F439A0" w:rsidRPr="003E71C3">
        <w:t xml:space="preserve"> because he thought that he was</w:t>
      </w:r>
      <w:r w:rsidR="00DF0C0C" w:rsidRPr="003E71C3">
        <w:t xml:space="preserve"> the one who snitched on him.  </w:t>
      </w:r>
      <w:r w:rsidR="00F439A0" w:rsidRPr="003E71C3">
        <w:t>The accu</w:t>
      </w:r>
      <w:r w:rsidR="00DF0C0C" w:rsidRPr="003E71C3">
        <w:t>sed also stated that he had</w:t>
      </w:r>
      <w:r w:rsidR="00F439A0" w:rsidRPr="003E71C3">
        <w:t xml:space="preserve"> hired a private detective to find the p</w:t>
      </w:r>
      <w:r w:rsidR="00DF0C0C" w:rsidRPr="003E71C3">
        <w:t>rosecutor</w:t>
      </w:r>
      <w:r w:rsidR="006C50F9" w:rsidRPr="003E71C3">
        <w:t>’</w:t>
      </w:r>
      <w:r w:rsidR="00DF0C0C" w:rsidRPr="003E71C3">
        <w:t xml:space="preserve">s address, and asked one of the detainees </w:t>
      </w:r>
      <w:r w:rsidR="00F439A0" w:rsidRPr="003E71C3">
        <w:t>to do what was necessary to find the address</w:t>
      </w:r>
      <w:r w:rsidR="00DF0C0C" w:rsidRPr="003E71C3">
        <w:t xml:space="preserve"> of the officer</w:t>
      </w:r>
      <w:r w:rsidR="00422811" w:rsidRPr="003E71C3">
        <w:noBreakHyphen/>
      </w:r>
      <w:r w:rsidR="00DF0C0C" w:rsidRPr="003E71C3">
        <w:t xml:space="preserve">investigator.  </w:t>
      </w:r>
      <w:r w:rsidR="00F439A0" w:rsidRPr="003E71C3">
        <w:t>Th</w:t>
      </w:r>
      <w:r w:rsidR="00DF0C0C" w:rsidRPr="003E71C3">
        <w:t>e accused further asserted that</w:t>
      </w:r>
      <w:r w:rsidR="00F439A0" w:rsidRPr="003E71C3">
        <w:t xml:space="preserve"> once his trial was over, he would kill the witnesses who had informed against him.</w:t>
      </w:r>
      <w:r w:rsidR="00DF0C0C" w:rsidRPr="003E71C3">
        <w:t xml:space="preserve">  </w:t>
      </w:r>
      <w:r w:rsidR="00F439A0" w:rsidRPr="003E71C3">
        <w:t>The accused was</w:t>
      </w:r>
      <w:r w:rsidR="00DF0C0C" w:rsidRPr="003E71C3">
        <w:t xml:space="preserve"> acquitted of</w:t>
      </w:r>
      <w:r w:rsidR="00F439A0" w:rsidRPr="003E71C3">
        <w:t xml:space="preserve"> f</w:t>
      </w:r>
      <w:r w:rsidR="00DF0C0C" w:rsidRPr="003E71C3">
        <w:t>ive counts of uttering threats on the basis that</w:t>
      </w:r>
      <w:r w:rsidR="00F439A0" w:rsidRPr="003E71C3">
        <w:t xml:space="preserve"> the </w:t>
      </w:r>
      <w:r w:rsidR="00F439A0" w:rsidRPr="003E71C3">
        <w:rPr>
          <w:i/>
        </w:rPr>
        <w:t>mens rea</w:t>
      </w:r>
      <w:r w:rsidR="00F439A0" w:rsidRPr="003E71C3">
        <w:t xml:space="preserve"> of the offence had not been established because the words were not conveyed by the accused with the intent that they be transmitted to the subjects of the threats in an attempt to influence their actions.</w:t>
      </w:r>
      <w:r w:rsidR="00DF0C0C" w:rsidRPr="003E71C3">
        <w:t xml:space="preserve">  </w:t>
      </w:r>
      <w:r w:rsidR="00F439A0" w:rsidRPr="003E71C3">
        <w:t>The Court of Appea</w:t>
      </w:r>
      <w:r w:rsidR="00DF0C0C" w:rsidRPr="003E71C3">
        <w:t>l dismissed the Crown</w:t>
      </w:r>
      <w:r w:rsidR="006C50F9" w:rsidRPr="003E71C3">
        <w:t>’</w:t>
      </w:r>
      <w:r w:rsidR="00DF0C0C" w:rsidRPr="003E71C3">
        <w:t>s appeal.</w:t>
      </w:r>
    </w:p>
    <w:p w:rsidR="008322BD" w:rsidRPr="003E71C3" w:rsidRDefault="009B57B3" w:rsidP="00422811">
      <w:pPr>
        <w:pStyle w:val="SCCNormalDoubleSpacing"/>
        <w:spacing w:before="480" w:after="480"/>
      </w:pPr>
      <w:r w:rsidRPr="003E71C3">
        <w:tab/>
      </w:r>
      <w:r w:rsidRPr="003E71C3">
        <w:rPr>
          <w:rStyle w:val="QuoteChar"/>
          <w:color w:val="auto"/>
          <w:lang w:val="en-CA"/>
        </w:rPr>
        <w:t>Held</w:t>
      </w:r>
      <w:r w:rsidRPr="003E71C3">
        <w:rPr>
          <w:rStyle w:val="QuoteChar"/>
          <w:i w:val="0"/>
          <w:color w:val="auto"/>
          <w:lang w:val="en-CA"/>
        </w:rPr>
        <w:t>:</w:t>
      </w:r>
      <w:r w:rsidRPr="003E71C3">
        <w:t xml:space="preserve">  </w:t>
      </w:r>
      <w:r w:rsidR="00F439A0" w:rsidRPr="003E71C3">
        <w:rPr>
          <w:lang w:val="en-US"/>
        </w:rPr>
        <w:t>The appeal should be allowed and a new trial ordered.</w:t>
      </w:r>
    </w:p>
    <w:p w:rsidR="00A15951" w:rsidRPr="003E71C3" w:rsidRDefault="009B57B3" w:rsidP="00422811">
      <w:pPr>
        <w:pStyle w:val="SCCNormalDoubleSpacing"/>
        <w:spacing w:before="480" w:after="480"/>
      </w:pPr>
      <w:r w:rsidRPr="003E71C3">
        <w:tab/>
      </w:r>
      <w:r w:rsidR="005B6E13" w:rsidRPr="003E71C3">
        <w:t xml:space="preserve">The </w:t>
      </w:r>
      <w:r w:rsidR="00422811" w:rsidRPr="003E71C3">
        <w:rPr>
          <w:i/>
        </w:rPr>
        <w:t>actus </w:t>
      </w:r>
      <w:r w:rsidR="00A15951" w:rsidRPr="003E71C3">
        <w:rPr>
          <w:i/>
        </w:rPr>
        <w:t>reus</w:t>
      </w:r>
      <w:r w:rsidR="00A15951" w:rsidRPr="003E71C3">
        <w:t xml:space="preserve"> of the offence of uttering threats will be made out if a reasonable person fully aware of the circumstances in which the words were uttered or conveyed would have perceived them to be a t</w:t>
      </w:r>
      <w:r w:rsidR="005B6E13" w:rsidRPr="003E71C3">
        <w:t xml:space="preserve">hreat of death or bodily harm. </w:t>
      </w:r>
      <w:r w:rsidR="00A15951" w:rsidRPr="003E71C3">
        <w:t xml:space="preserve"> The Crown need not prove that the intended recipient of the threat was made aware of it, or if aware of it, that he or she was intimidate</w:t>
      </w:r>
      <w:r w:rsidR="005B6E13" w:rsidRPr="003E71C3">
        <w:t xml:space="preserve">d by it or took it seriously.  </w:t>
      </w:r>
      <w:r w:rsidR="00A15951" w:rsidRPr="003E71C3">
        <w:t xml:space="preserve">Nor must the </w:t>
      </w:r>
      <w:r w:rsidR="00A15951" w:rsidRPr="003E71C3">
        <w:lastRenderedPageBreak/>
        <w:t xml:space="preserve">words be directed toward a specific person; a threat against an ascertained group of people is sufficient.  </w:t>
      </w:r>
    </w:p>
    <w:p w:rsidR="00A15951" w:rsidRPr="003E71C3" w:rsidRDefault="00A15951" w:rsidP="00422811">
      <w:pPr>
        <w:pStyle w:val="SCCNormalDoubleSpacing"/>
        <w:spacing w:before="480" w:after="480"/>
      </w:pPr>
      <w:r w:rsidRPr="003E71C3">
        <w:tab/>
      </w:r>
      <w:r w:rsidR="005B6E13" w:rsidRPr="003E71C3">
        <w:t xml:space="preserve">The </w:t>
      </w:r>
      <w:r w:rsidRPr="003E71C3">
        <w:rPr>
          <w:i/>
        </w:rPr>
        <w:t>mens rea</w:t>
      </w:r>
      <w:r w:rsidRPr="003E71C3">
        <w:t xml:space="preserve"> of the offence is made out if the accused intended the words uttered or conveyed to intimidate </w:t>
      </w:r>
      <w:r w:rsidRPr="003E71C3">
        <w:rPr>
          <w:i/>
        </w:rPr>
        <w:t>or</w:t>
      </w:r>
      <w:r w:rsidRPr="003E71C3">
        <w:t xml:space="preserve"> to be taken seriously.  It is not necessary to prove an intent that the words be conveyed to the subject of the threat or that the accused intended to carry out the threat.  A subjective standard of fault applies.  However, in order to determine what was in the accused</w:t>
      </w:r>
      <w:r w:rsidR="006C50F9" w:rsidRPr="003E71C3">
        <w:t>’</w:t>
      </w:r>
      <w:r w:rsidRPr="003E71C3">
        <w:t xml:space="preserve">s mind, a court will often have to draw reasonable inferences from the words and the circumstances, including how the words were perceived by those hearing them.  </w:t>
      </w:r>
    </w:p>
    <w:p w:rsidR="00A15951" w:rsidRPr="003E71C3" w:rsidRDefault="00A15951" w:rsidP="00422811">
      <w:pPr>
        <w:pStyle w:val="SCCNormalDoubleSpacing"/>
        <w:spacing w:before="480" w:after="480"/>
      </w:pPr>
      <w:r w:rsidRPr="003E71C3">
        <w:tab/>
      </w:r>
      <w:r w:rsidR="005B6E13" w:rsidRPr="003E71C3">
        <w:t>In this case,</w:t>
      </w:r>
      <w:r w:rsidRPr="003E71C3">
        <w:t xml:space="preserve"> both the trial judge and the Court of Appeal erred in law in finding that the elements of the offence had not been made out.  With respect to the </w:t>
      </w:r>
      <w:r w:rsidR="00422811" w:rsidRPr="003E71C3">
        <w:rPr>
          <w:i/>
        </w:rPr>
        <w:t>actus </w:t>
      </w:r>
      <w:r w:rsidRPr="003E71C3">
        <w:rPr>
          <w:i/>
        </w:rPr>
        <w:t>reus</w:t>
      </w:r>
      <w:r w:rsidR="005B6E13" w:rsidRPr="003E71C3">
        <w:t xml:space="preserve"> of the offence,</w:t>
      </w:r>
      <w:r w:rsidRPr="003E71C3">
        <w:t xml:space="preserve"> the Court of Appeal erred in concluding that the words uttered by the accused did not amount to threats because they were not conveyed to their intended recipients and they did not cause anyone to be fearful or intimidated.  It is not necessary to prove that the threats were conveyed to their intended recipients or to prove that anyone was actually intimidated or made fearful as a result of the words uttered in order to make out the prohibited act of the offence.  As for the </w:t>
      </w:r>
      <w:r w:rsidRPr="003E71C3">
        <w:rPr>
          <w:i/>
        </w:rPr>
        <w:t>mens rea</w:t>
      </w:r>
      <w:r w:rsidRPr="003E71C3">
        <w:t xml:space="preserve"> of the offence, both the trial judge and the Court of Appeal erred in finding that in order to make out the fault element it was necessary to prove that the accused intended the words to be transmitted to their objects/recipients and specifically intended to intimidate the ultimate objects of the threats. </w:t>
      </w:r>
      <w:r w:rsidR="005B6E13" w:rsidRPr="003E71C3">
        <w:t xml:space="preserve"> In other words, each</w:t>
      </w:r>
      <w:r w:rsidRPr="003E71C3">
        <w:t xml:space="preserve"> failed to consider </w:t>
      </w:r>
      <w:r w:rsidRPr="003E71C3">
        <w:lastRenderedPageBreak/>
        <w:t>the disjunctive nature of the fault ele</w:t>
      </w:r>
      <w:r w:rsidR="005B6E13" w:rsidRPr="003E71C3">
        <w:t xml:space="preserve">ment required for the offence. </w:t>
      </w:r>
      <w:r w:rsidRPr="003E71C3">
        <w:t xml:space="preserve"> It would have been sufficient had the accused intended that the threats be taken seriously by those to whom the words were spoken.  </w:t>
      </w:r>
    </w:p>
    <w:p w:rsidR="00A15951" w:rsidRPr="003E71C3" w:rsidRDefault="00A15951" w:rsidP="00422811">
      <w:pPr>
        <w:pStyle w:val="SCCNormalDoubleSpacing"/>
        <w:spacing w:before="480" w:after="480"/>
      </w:pPr>
      <w:r w:rsidRPr="003E71C3">
        <w:tab/>
        <w:t>The Crown has met its burden to demonstrate that th</w:t>
      </w:r>
      <w:r w:rsidR="005B6E13" w:rsidRPr="003E71C3">
        <w:t>e trial judge</w:t>
      </w:r>
      <w:r w:rsidR="006C50F9" w:rsidRPr="003E71C3">
        <w:t>’</w:t>
      </w:r>
      <w:r w:rsidR="005B6E13" w:rsidRPr="003E71C3">
        <w:t>s legal error</w:t>
      </w:r>
      <w:r w:rsidRPr="003E71C3">
        <w:t xml:space="preserve"> with regard to the fault elemen</w:t>
      </w:r>
      <w:r w:rsidR="005B6E13" w:rsidRPr="003E71C3">
        <w:t xml:space="preserve">t might reasonably be thought, </w:t>
      </w:r>
      <w:r w:rsidRPr="003E71C3">
        <w:t>in</w:t>
      </w:r>
      <w:r w:rsidR="005B6E13" w:rsidRPr="003E71C3">
        <w:t xml:space="preserve"> the circumstances of this case</w:t>
      </w:r>
      <w:r w:rsidRPr="003E71C3">
        <w:t xml:space="preserve"> to have had a material bearing on the acquitt</w:t>
      </w:r>
      <w:r w:rsidR="00422811" w:rsidRPr="003E71C3">
        <w:t xml:space="preserve">al. </w:t>
      </w:r>
      <w:r w:rsidRPr="003E71C3">
        <w:t xml:space="preserve"> </w:t>
      </w:r>
      <w:r w:rsidR="005B6E13" w:rsidRPr="003E71C3">
        <w:t>Indeed,</w:t>
      </w:r>
      <w:r w:rsidRPr="003E71C3">
        <w:t xml:space="preserve"> had t</w:t>
      </w:r>
      <w:r w:rsidR="005B6E13" w:rsidRPr="003E71C3">
        <w:t>he trial judge not erred as to that element of the offence</w:t>
      </w:r>
      <w:r w:rsidRPr="003E71C3">
        <w:t>, he would have had to consider whether the accused intended his threatening words to be taken</w:t>
      </w:r>
      <w:r w:rsidR="005B6E13" w:rsidRPr="003E71C3">
        <w:t xml:space="preserve"> seriously and the evidence of two witnesses</w:t>
      </w:r>
      <w:r w:rsidRPr="003E71C3">
        <w:t xml:space="preserve"> provided some basis to conclude that he did.  </w:t>
      </w:r>
      <w:r w:rsidR="005B6E13" w:rsidRPr="003E71C3">
        <w:t>Accordingly,</w:t>
      </w:r>
      <w:r w:rsidRPr="003E71C3">
        <w:t xml:space="preserve"> the ac</w:t>
      </w:r>
      <w:r w:rsidR="005B6E13" w:rsidRPr="003E71C3">
        <w:t>quittals should be set aside.  However,</w:t>
      </w:r>
      <w:r w:rsidRPr="003E71C3">
        <w:t xml:space="preserve"> thi</w:t>
      </w:r>
      <w:r w:rsidR="005B6E13" w:rsidRPr="003E71C3">
        <w:t xml:space="preserve">s is not the clearest of cases </w:t>
      </w:r>
      <w:r w:rsidRPr="003E71C3">
        <w:t>where this Court</w:t>
      </w:r>
      <w:r w:rsidR="006C50F9" w:rsidRPr="003E71C3">
        <w:t>’</w:t>
      </w:r>
      <w:r w:rsidRPr="003E71C3">
        <w:t>s power to enter a conviction should be exercised</w:t>
      </w:r>
      <w:r w:rsidR="005B6E13" w:rsidRPr="003E71C3">
        <w:t xml:space="preserve">. </w:t>
      </w:r>
      <w:r w:rsidRPr="003E71C3">
        <w:t xml:space="preserve"> A new trial is</w:t>
      </w:r>
      <w:r w:rsidR="005B6E13" w:rsidRPr="003E71C3">
        <w:t xml:space="preserve"> therefore</w:t>
      </w:r>
      <w:r w:rsidRPr="003E71C3">
        <w:t xml:space="preserve"> required to determine whether the charges against the accused will be proved beyond a reasonable doubt.</w:t>
      </w:r>
    </w:p>
    <w:p w:rsidR="007E1C47" w:rsidRPr="003E71C3" w:rsidRDefault="002E6705" w:rsidP="00422811">
      <w:pPr>
        <w:pStyle w:val="SCCNormalDoubleSpacing"/>
        <w:keepNext/>
        <w:spacing w:after="720" w:line="240" w:lineRule="auto"/>
        <w:rPr>
          <w:b/>
        </w:rPr>
      </w:pPr>
      <w:r w:rsidRPr="003E71C3">
        <w:rPr>
          <w:b/>
        </w:rPr>
        <w:t>Cases Cited</w:t>
      </w:r>
    </w:p>
    <w:p w:rsidR="004E2C26" w:rsidRPr="003E71C3" w:rsidRDefault="002E6705" w:rsidP="00422811">
      <w:pPr>
        <w:pStyle w:val="SCCNormalDoubleSpacing"/>
        <w:spacing w:before="480" w:after="480"/>
      </w:pPr>
      <w:r w:rsidRPr="003E71C3">
        <w:tab/>
      </w:r>
      <w:r w:rsidRPr="003E71C3">
        <w:rPr>
          <w:b/>
        </w:rPr>
        <w:t>Referred to:</w:t>
      </w:r>
      <w:r w:rsidR="00BD0E9E" w:rsidRPr="003E71C3">
        <w:t xml:space="preserve"> </w:t>
      </w:r>
      <w:r w:rsidR="00603590" w:rsidRPr="003E71C3">
        <w:t xml:space="preserve"> </w:t>
      </w:r>
      <w:r w:rsidR="00446793" w:rsidRPr="003E71C3">
        <w:rPr>
          <w:i/>
        </w:rPr>
        <w:t>R. v. Comeau</w:t>
      </w:r>
      <w:r w:rsidR="00446793" w:rsidRPr="003E71C3">
        <w:t>, 2010 QCCQ 20939</w:t>
      </w:r>
      <w:r w:rsidR="00254C40" w:rsidRPr="003E71C3">
        <w:t xml:space="preserve"> (CanLII)</w:t>
      </w:r>
      <w:r w:rsidR="00446793" w:rsidRPr="003E71C3">
        <w:t xml:space="preserve">; </w:t>
      </w:r>
      <w:r w:rsidR="00446793" w:rsidRPr="003E71C3">
        <w:rPr>
          <w:i/>
        </w:rPr>
        <w:t>R. v. McCraw</w:t>
      </w:r>
      <w:r w:rsidR="00446793" w:rsidRPr="003E71C3">
        <w:t xml:space="preserve">, [1991] 3 S.C.R. 72; </w:t>
      </w:r>
      <w:r w:rsidR="00446793" w:rsidRPr="003E71C3">
        <w:rPr>
          <w:i/>
        </w:rPr>
        <w:t>R. v. Clemente</w:t>
      </w:r>
      <w:r w:rsidR="00446793" w:rsidRPr="003E71C3">
        <w:t xml:space="preserve">, [1994] 2 S.C.R. 758; </w:t>
      </w:r>
      <w:r w:rsidR="00446793" w:rsidRPr="003E71C3">
        <w:rPr>
          <w:i/>
        </w:rPr>
        <w:t>R. v. O</w:t>
      </w:r>
      <w:r w:rsidR="006C50F9" w:rsidRPr="003E71C3">
        <w:rPr>
          <w:i/>
        </w:rPr>
        <w:t>’</w:t>
      </w:r>
      <w:r w:rsidR="00446793" w:rsidRPr="003E71C3">
        <w:rPr>
          <w:i/>
        </w:rPr>
        <w:t>Brien</w:t>
      </w:r>
      <w:r w:rsidR="00446793" w:rsidRPr="003E71C3">
        <w:t>, 2013 SCC 2</w:t>
      </w:r>
      <w:r w:rsidR="00ED0647" w:rsidRPr="003E71C3">
        <w:t xml:space="preserve">, </w:t>
      </w:r>
      <w:r w:rsidR="00851200" w:rsidRPr="003E71C3">
        <w:t xml:space="preserve">[2013] 1 S.C.R. 7, </w:t>
      </w:r>
      <w:r w:rsidR="00ED0647" w:rsidRPr="003E71C3">
        <w:t>aff</w:t>
      </w:r>
      <w:r w:rsidR="006C50F9" w:rsidRPr="003E71C3">
        <w:t>’</w:t>
      </w:r>
      <w:r w:rsidR="00ED0647" w:rsidRPr="003E71C3">
        <w:t>g 2012 MBCA 6, 275 Man. R. (2d) 144</w:t>
      </w:r>
      <w:r w:rsidR="00446793" w:rsidRPr="003E71C3">
        <w:t xml:space="preserve">; </w:t>
      </w:r>
      <w:r w:rsidR="00446793" w:rsidRPr="003E71C3">
        <w:rPr>
          <w:i/>
        </w:rPr>
        <w:t>R. v. MacDonald</w:t>
      </w:r>
      <w:r w:rsidR="00446793" w:rsidRPr="003E71C3">
        <w:t xml:space="preserve"> (2002), 166 O.A.C. 121; </w:t>
      </w:r>
      <w:r w:rsidR="00446793" w:rsidRPr="003E71C3">
        <w:rPr>
          <w:i/>
        </w:rPr>
        <w:t>R. v. Felteau</w:t>
      </w:r>
      <w:r w:rsidR="00446793" w:rsidRPr="003E71C3">
        <w:t>, 2010 ONCA 821</w:t>
      </w:r>
      <w:r w:rsidR="00254C40" w:rsidRPr="003E71C3">
        <w:t xml:space="preserve"> (CanLII)</w:t>
      </w:r>
      <w:r w:rsidR="00446793" w:rsidRPr="003E71C3">
        <w:t xml:space="preserve">; </w:t>
      </w:r>
      <w:r w:rsidR="00446793" w:rsidRPr="003E71C3">
        <w:rPr>
          <w:i/>
        </w:rPr>
        <w:t>R. v. LeBlanc</w:t>
      </w:r>
      <w:r w:rsidR="00446793" w:rsidRPr="003E71C3">
        <w:t xml:space="preserve">, [1989] 1 S.C.R. 1583, </w:t>
      </w:r>
      <w:r w:rsidR="00254C40" w:rsidRPr="003E71C3">
        <w:t>rev</w:t>
      </w:r>
      <w:r w:rsidR="006C50F9" w:rsidRPr="003E71C3">
        <w:t>’</w:t>
      </w:r>
      <w:r w:rsidR="00254C40" w:rsidRPr="003E71C3">
        <w:t>g</w:t>
      </w:r>
      <w:r w:rsidR="00446793" w:rsidRPr="003E71C3">
        <w:t xml:space="preserve"> (1988), 90 N.B.R. (2d) 63; </w:t>
      </w:r>
      <w:r w:rsidR="00446793" w:rsidRPr="003E71C3">
        <w:rPr>
          <w:i/>
        </w:rPr>
        <w:t xml:space="preserve">R. </w:t>
      </w:r>
      <w:r w:rsidR="00254C40" w:rsidRPr="003E71C3">
        <w:rPr>
          <w:i/>
        </w:rPr>
        <w:t>v</w:t>
      </w:r>
      <w:r w:rsidR="00446793" w:rsidRPr="003E71C3">
        <w:rPr>
          <w:i/>
        </w:rPr>
        <w:t>. Rémy</w:t>
      </w:r>
      <w:r w:rsidR="00446793" w:rsidRPr="003E71C3">
        <w:t xml:space="preserve"> (1993), 82 C.C.C. (3d) 176, leave to appeal refused, </w:t>
      </w:r>
      <w:r w:rsidR="00254C40" w:rsidRPr="003E71C3">
        <w:t xml:space="preserve">[1993] 4 S.C.R. </w:t>
      </w:r>
      <w:r w:rsidR="00446793" w:rsidRPr="003E71C3">
        <w:t>v</w:t>
      </w:r>
      <w:r w:rsidR="00254C40" w:rsidRPr="003E71C3">
        <w:t>i</w:t>
      </w:r>
      <w:r w:rsidR="00446793" w:rsidRPr="003E71C3">
        <w:t xml:space="preserve">i; </w:t>
      </w:r>
      <w:r w:rsidR="00446793" w:rsidRPr="003E71C3">
        <w:rPr>
          <w:i/>
        </w:rPr>
        <w:t>R</w:t>
      </w:r>
      <w:r w:rsidR="00254C40" w:rsidRPr="003E71C3">
        <w:rPr>
          <w:i/>
        </w:rPr>
        <w:t>.</w:t>
      </w:r>
      <w:r w:rsidR="00446793" w:rsidRPr="003E71C3">
        <w:rPr>
          <w:i/>
        </w:rPr>
        <w:t xml:space="preserve"> v. Upson</w:t>
      </w:r>
      <w:r w:rsidR="00446793" w:rsidRPr="003E71C3">
        <w:t xml:space="preserve">, 2001 NSCA 89, 194 N.S.R. (2d) 87; </w:t>
      </w:r>
      <w:r w:rsidR="00446793" w:rsidRPr="003E71C3">
        <w:rPr>
          <w:i/>
        </w:rPr>
        <w:t>R. v. Batista</w:t>
      </w:r>
      <w:r w:rsidR="00446793" w:rsidRPr="003E71C3">
        <w:t xml:space="preserve">, 2008 ONCA 804, 62 C.R. (6th) 376; </w:t>
      </w:r>
      <w:r w:rsidR="00446793" w:rsidRPr="003E71C3">
        <w:rPr>
          <w:i/>
        </w:rPr>
        <w:t>R. v. Neve</w:t>
      </w:r>
      <w:r w:rsidR="00446793" w:rsidRPr="003E71C3">
        <w:t xml:space="preserve"> </w:t>
      </w:r>
      <w:r w:rsidR="00446793" w:rsidRPr="003E71C3">
        <w:lastRenderedPageBreak/>
        <w:t xml:space="preserve">(1993), 145 A.R. 311; </w:t>
      </w:r>
      <w:r w:rsidR="00446793" w:rsidRPr="003E71C3">
        <w:rPr>
          <w:i/>
        </w:rPr>
        <w:t>R. v. Hiscox</w:t>
      </w:r>
      <w:r w:rsidR="00446793" w:rsidRPr="003E71C3">
        <w:t>, 2002 BCCA 312</w:t>
      </w:r>
      <w:r w:rsidR="00CE6536" w:rsidRPr="003E71C3">
        <w:t>, 167 B.C.A.C. 315</w:t>
      </w:r>
      <w:r w:rsidR="00446793" w:rsidRPr="003E71C3">
        <w:t xml:space="preserve">; </w:t>
      </w:r>
      <w:r w:rsidR="00446793" w:rsidRPr="003E71C3">
        <w:rPr>
          <w:i/>
        </w:rPr>
        <w:t>R. v. Noble</w:t>
      </w:r>
      <w:r w:rsidR="00446793" w:rsidRPr="003E71C3">
        <w:t xml:space="preserve">, 2009 MBQB 98, </w:t>
      </w:r>
      <w:r w:rsidR="00CE6536" w:rsidRPr="003E71C3">
        <w:t xml:space="preserve">247 Man. R. (2d) 6, </w:t>
      </w:r>
      <w:r w:rsidR="00446793" w:rsidRPr="003E71C3">
        <w:t>aff</w:t>
      </w:r>
      <w:r w:rsidR="006C50F9" w:rsidRPr="003E71C3">
        <w:t>’</w:t>
      </w:r>
      <w:r w:rsidR="00446793" w:rsidRPr="003E71C3">
        <w:t>d 2010 MBCA 60</w:t>
      </w:r>
      <w:r w:rsidR="00CE6536" w:rsidRPr="003E71C3">
        <w:t>, 255 Man. R. (2d) 144</w:t>
      </w:r>
      <w:r w:rsidR="00446793" w:rsidRPr="003E71C3">
        <w:t xml:space="preserve">; </w:t>
      </w:r>
      <w:r w:rsidR="00446793" w:rsidRPr="003E71C3">
        <w:rPr>
          <w:i/>
        </w:rPr>
        <w:t>R. v. Heaney</w:t>
      </w:r>
      <w:r w:rsidR="00446793" w:rsidRPr="003E71C3">
        <w:t>, 2013 BCCA 177</w:t>
      </w:r>
      <w:r w:rsidR="00CE6536" w:rsidRPr="003E71C3">
        <w:t xml:space="preserve"> (CanLII)</w:t>
      </w:r>
      <w:r w:rsidR="00446793" w:rsidRPr="003E71C3">
        <w:t xml:space="preserve">; </w:t>
      </w:r>
      <w:r w:rsidR="00446793" w:rsidRPr="003E71C3">
        <w:rPr>
          <w:i/>
        </w:rPr>
        <w:t>R. v. Rudnicki</w:t>
      </w:r>
      <w:r w:rsidR="00446793" w:rsidRPr="003E71C3">
        <w:t xml:space="preserve">, [2004] R.J.Q. 2954; </w:t>
      </w:r>
      <w:r w:rsidR="00CE6536" w:rsidRPr="003E71C3">
        <w:rPr>
          <w:i/>
        </w:rPr>
        <w:t>R. v. Beyo</w:t>
      </w:r>
      <w:r w:rsidR="00446793" w:rsidRPr="003E71C3">
        <w:t xml:space="preserve"> </w:t>
      </w:r>
      <w:r w:rsidR="00CE6536" w:rsidRPr="003E71C3">
        <w:t>(</w:t>
      </w:r>
      <w:r w:rsidR="00446793" w:rsidRPr="003E71C3">
        <w:t>2000</w:t>
      </w:r>
      <w:r w:rsidR="00CE6536" w:rsidRPr="003E71C3">
        <w:t>),</w:t>
      </w:r>
      <w:r w:rsidR="00446793" w:rsidRPr="003E71C3">
        <w:t xml:space="preserve"> </w:t>
      </w:r>
      <w:r w:rsidR="00CE6536" w:rsidRPr="003E71C3">
        <w:t>47 O.R. (3d) 712</w:t>
      </w:r>
      <w:r w:rsidR="00446793" w:rsidRPr="003E71C3">
        <w:t xml:space="preserve">; </w:t>
      </w:r>
      <w:r w:rsidR="00446793" w:rsidRPr="003E71C3">
        <w:rPr>
          <w:i/>
        </w:rPr>
        <w:t>R. v. Hundal</w:t>
      </w:r>
      <w:r w:rsidR="00446793" w:rsidRPr="003E71C3">
        <w:t xml:space="preserve">, [1993] 1 S.C.R. 867; </w:t>
      </w:r>
      <w:r w:rsidR="00446793" w:rsidRPr="003E71C3">
        <w:rPr>
          <w:i/>
        </w:rPr>
        <w:t>R. v. Graveline</w:t>
      </w:r>
      <w:r w:rsidR="00446793" w:rsidRPr="003E71C3">
        <w:t xml:space="preserve">, 2006 SCC 16, [2006] 1 S.C.R. 609; </w:t>
      </w:r>
      <w:r w:rsidR="00446793" w:rsidRPr="003E71C3">
        <w:rPr>
          <w:i/>
        </w:rPr>
        <w:t>Lewis v. The Queen</w:t>
      </w:r>
      <w:r w:rsidR="00446793" w:rsidRPr="003E71C3">
        <w:t xml:space="preserve">, [1979] 2 S.C.R. 821; </w:t>
      </w:r>
      <w:r w:rsidR="00446793" w:rsidRPr="003E71C3">
        <w:rPr>
          <w:i/>
        </w:rPr>
        <w:t>R. v. Katigbak</w:t>
      </w:r>
      <w:r w:rsidR="00446793" w:rsidRPr="003E71C3">
        <w:t xml:space="preserve">, 2011 SCC 48, [2011] 3 S.C.R. 326; </w:t>
      </w:r>
      <w:r w:rsidR="00446793" w:rsidRPr="003E71C3">
        <w:rPr>
          <w:i/>
        </w:rPr>
        <w:t>R. v. Audet</w:t>
      </w:r>
      <w:r w:rsidR="00446793" w:rsidRPr="003E71C3">
        <w:t>, [1996] 2 S.C.R. 171.</w:t>
      </w:r>
    </w:p>
    <w:p w:rsidR="003B215F" w:rsidRPr="003E71C3" w:rsidRDefault="002E6705" w:rsidP="00422811">
      <w:pPr>
        <w:pStyle w:val="SCCNormalDoubleSpacing"/>
        <w:keepNext/>
        <w:spacing w:after="720" w:line="240" w:lineRule="auto"/>
      </w:pPr>
      <w:r w:rsidRPr="003E71C3">
        <w:rPr>
          <w:b/>
        </w:rPr>
        <w:t>Statutes and Regulations Cite</w:t>
      </w:r>
      <w:r w:rsidR="00A41805" w:rsidRPr="003E71C3">
        <w:rPr>
          <w:b/>
        </w:rPr>
        <w:t>d</w:t>
      </w:r>
    </w:p>
    <w:p w:rsidR="00A149DF" w:rsidRPr="003E71C3" w:rsidRDefault="00BD3CB6" w:rsidP="00422811">
      <w:pPr>
        <w:pStyle w:val="SCCNormalDoubleSpacing"/>
        <w:spacing w:after="720" w:line="240" w:lineRule="auto"/>
        <w:ind w:left="547" w:hanging="547"/>
        <w:rPr>
          <w:lang w:val="fr-CA"/>
        </w:rPr>
      </w:pPr>
      <w:r w:rsidRPr="003E71C3">
        <w:rPr>
          <w:i/>
          <w:lang w:val="fr-CA"/>
        </w:rPr>
        <w:t>Criminal Code</w:t>
      </w:r>
      <w:r w:rsidRPr="003E71C3">
        <w:rPr>
          <w:lang w:val="fr-CA"/>
        </w:rPr>
        <w:t>, R.S.C. 1985, c. C</w:t>
      </w:r>
      <w:r w:rsidR="00422811" w:rsidRPr="003E71C3">
        <w:rPr>
          <w:lang w:val="fr-CA"/>
        </w:rPr>
        <w:noBreakHyphen/>
      </w:r>
      <w:r w:rsidRPr="003E71C3">
        <w:rPr>
          <w:lang w:val="fr-CA"/>
        </w:rPr>
        <w:t xml:space="preserve">46, </w:t>
      </w:r>
      <w:r w:rsidR="00422811" w:rsidRPr="003E71C3">
        <w:rPr>
          <w:lang w:val="fr-CA"/>
        </w:rPr>
        <w:t>ss. </w:t>
      </w:r>
      <w:r w:rsidRPr="003E71C3">
        <w:rPr>
          <w:lang w:val="fr-CA"/>
        </w:rPr>
        <w:t>264.1(1)(</w:t>
      </w:r>
      <w:r w:rsidRPr="003E71C3">
        <w:rPr>
          <w:i/>
          <w:lang w:val="fr-CA"/>
        </w:rPr>
        <w:t>a</w:t>
      </w:r>
      <w:r w:rsidRPr="003E71C3">
        <w:rPr>
          <w:lang w:val="fr-CA"/>
        </w:rPr>
        <w:t>), 686(4).</w:t>
      </w:r>
    </w:p>
    <w:p w:rsidR="00656313" w:rsidRPr="003E71C3" w:rsidRDefault="00156671" w:rsidP="00422811">
      <w:pPr>
        <w:pStyle w:val="SCCNormalDoubleSpacing"/>
        <w:spacing w:before="480" w:after="480"/>
      </w:pPr>
      <w:r w:rsidRPr="00E470C8">
        <w:rPr>
          <w:lang w:val="fr-CA"/>
        </w:rPr>
        <w:tab/>
      </w:r>
      <w:r w:rsidR="009B57B3" w:rsidRPr="003E71C3">
        <w:t xml:space="preserve">APPEAL from a judgment of the </w:t>
      </w:r>
      <w:r w:rsidRPr="003E71C3">
        <w:t xml:space="preserve">Quebec </w:t>
      </w:r>
      <w:r w:rsidR="009B57B3" w:rsidRPr="003E71C3">
        <w:t>Court of Appeal</w:t>
      </w:r>
      <w:r w:rsidR="00603590" w:rsidRPr="003E71C3">
        <w:t xml:space="preserve"> (</w:t>
      </w:r>
      <w:r w:rsidR="00422811" w:rsidRPr="003E71C3">
        <w:t>Rochette and Giroux JJ.A. and Viens </w:t>
      </w:r>
      <w:r w:rsidR="0002058B" w:rsidRPr="003E71C3">
        <w:t>J. (</w:t>
      </w:r>
      <w:r w:rsidR="0002058B" w:rsidRPr="003E71C3">
        <w:rPr>
          <w:i/>
        </w:rPr>
        <w:t>ad hoc</w:t>
      </w:r>
      <w:r w:rsidR="0002058B" w:rsidRPr="003E71C3">
        <w:t>)), 2012 QCCA 236, [2012] J.Q. n</w:t>
      </w:r>
      <w:r w:rsidR="0002058B" w:rsidRPr="003E71C3">
        <w:rPr>
          <w:vertAlign w:val="superscript"/>
        </w:rPr>
        <w:t>o</w:t>
      </w:r>
      <w:r w:rsidR="00422811" w:rsidRPr="003E71C3">
        <w:t> </w:t>
      </w:r>
      <w:r w:rsidR="0002058B" w:rsidRPr="003E71C3">
        <w:t>757 (QL), 2012 CarswellQue 835, SOQUIJ AZ</w:t>
      </w:r>
      <w:r w:rsidR="00422811" w:rsidRPr="003E71C3">
        <w:noBreakHyphen/>
      </w:r>
      <w:r w:rsidR="0002058B" w:rsidRPr="003E71C3">
        <w:t xml:space="preserve">50828082, </w:t>
      </w:r>
      <w:r w:rsidR="00FF45F8" w:rsidRPr="003E71C3">
        <w:t>upholding</w:t>
      </w:r>
      <w:r w:rsidR="0002058B" w:rsidRPr="003E71C3">
        <w:t xml:space="preserve"> the </w:t>
      </w:r>
      <w:r w:rsidR="00FF45F8" w:rsidRPr="003E71C3">
        <w:t>accused</w:t>
      </w:r>
      <w:r w:rsidR="006C50F9" w:rsidRPr="003E71C3">
        <w:t>’</w:t>
      </w:r>
      <w:r w:rsidR="00FF45F8" w:rsidRPr="003E71C3">
        <w:t xml:space="preserve">s </w:t>
      </w:r>
      <w:r w:rsidR="0002058B" w:rsidRPr="003E71C3">
        <w:t>acquittals</w:t>
      </w:r>
      <w:r w:rsidR="00337EBB" w:rsidRPr="003E71C3">
        <w:t>.  Appeal allowed</w:t>
      </w:r>
      <w:r w:rsidRPr="003E71C3">
        <w:t>.</w:t>
      </w:r>
    </w:p>
    <w:p w:rsidR="00684247" w:rsidRPr="003E71C3" w:rsidRDefault="00603590" w:rsidP="00422811">
      <w:pPr>
        <w:pStyle w:val="SCCNormalDoubleSpacing"/>
        <w:spacing w:before="480" w:after="480"/>
      </w:pPr>
      <w:r w:rsidRPr="003E71C3">
        <w:rPr>
          <w:rStyle w:val="SCCCounselNameChar"/>
        </w:rPr>
        <w:tab/>
        <w:t>Sébastien Bergeron</w:t>
      </w:r>
      <w:r w:rsidR="00422811" w:rsidRPr="003E71C3">
        <w:rPr>
          <w:rStyle w:val="SCCCounselNameChar"/>
        </w:rPr>
        <w:noBreakHyphen/>
      </w:r>
      <w:r w:rsidRPr="003E71C3">
        <w:rPr>
          <w:rStyle w:val="SCCCounselNameChar"/>
        </w:rPr>
        <w:t>Guyard</w:t>
      </w:r>
      <w:r w:rsidRPr="003E71C3">
        <w:rPr>
          <w:rStyle w:val="SCCCounselSeparatorChar"/>
        </w:rPr>
        <w:t xml:space="preserve"> and </w:t>
      </w:r>
      <w:r w:rsidRPr="003E71C3">
        <w:rPr>
          <w:rStyle w:val="SCCCounselNameChar"/>
        </w:rPr>
        <w:t>Thomas Jacques</w:t>
      </w:r>
      <w:r w:rsidRPr="003E71C3">
        <w:rPr>
          <w:rStyle w:val="SCCCounselPartyRoleChar"/>
        </w:rPr>
        <w:t>, for the appellant.</w:t>
      </w:r>
    </w:p>
    <w:p w:rsidR="00684247" w:rsidRPr="003E71C3" w:rsidRDefault="00603590" w:rsidP="00422811">
      <w:pPr>
        <w:pStyle w:val="SCCNormalDoubleSpacing"/>
        <w:spacing w:before="480" w:after="480"/>
      </w:pPr>
      <w:r w:rsidRPr="003E71C3">
        <w:rPr>
          <w:rStyle w:val="SCCCounselNameChar"/>
        </w:rPr>
        <w:tab/>
        <w:t>Stéphanie Carrier</w:t>
      </w:r>
      <w:r w:rsidRPr="003E71C3">
        <w:rPr>
          <w:rStyle w:val="SCCCounselPartyRoleChar"/>
        </w:rPr>
        <w:t>, for the respondent.</w:t>
      </w:r>
    </w:p>
    <w:p w:rsidR="003001D4" w:rsidRPr="000F53F6" w:rsidRDefault="000F53F6" w:rsidP="003001D4">
      <w:pPr>
        <w:pStyle w:val="JudgeJuge"/>
        <w:rPr>
          <w:smallCaps w:val="0"/>
        </w:rPr>
      </w:pPr>
      <w:r w:rsidRPr="000F53F6">
        <w:rPr>
          <w:smallCaps w:val="0"/>
        </w:rPr>
        <w:tab/>
        <w:t>The judg</w:t>
      </w:r>
      <w:r w:rsidR="008A7297">
        <w:rPr>
          <w:smallCaps w:val="0"/>
        </w:rPr>
        <w:t>ment of the Court was delivered</w:t>
      </w:r>
      <w:r w:rsidRPr="000F53F6">
        <w:rPr>
          <w:smallCaps w:val="0"/>
        </w:rPr>
        <w:t xml:space="preserve"> by</w:t>
      </w:r>
    </w:p>
    <w:p w:rsidR="003001D4" w:rsidRPr="003D5D44" w:rsidRDefault="003001D4" w:rsidP="003001D4">
      <w:pPr>
        <w:pStyle w:val="JudgeJuge"/>
      </w:pPr>
      <w:r>
        <w:tab/>
      </w:r>
      <w:r w:rsidRPr="003D5D44">
        <w:t xml:space="preserve">Cromwell and Karakatsanis JJ. — </w:t>
      </w:r>
    </w:p>
    <w:p w:rsidR="003001D4" w:rsidRPr="003D5D44" w:rsidRDefault="003001D4" w:rsidP="008A7297">
      <w:pPr>
        <w:pStyle w:val="TitleTitre-AltT"/>
        <w:tabs>
          <w:tab w:val="clear" w:pos="360"/>
          <w:tab w:val="left" w:pos="540"/>
        </w:tabs>
        <w:ind w:left="540" w:hanging="540"/>
        <w:rPr>
          <w:rFonts w:cs="Times New Roman"/>
        </w:rPr>
      </w:pPr>
      <w:r w:rsidRPr="003D5D44">
        <w:rPr>
          <w:rFonts w:cs="Times New Roman"/>
        </w:rPr>
        <w:lastRenderedPageBreak/>
        <w:t xml:space="preserve">I. </w:t>
      </w:r>
      <w:r w:rsidR="008A7297">
        <w:rPr>
          <w:rFonts w:cs="Times New Roman"/>
        </w:rPr>
        <w:tab/>
      </w:r>
      <w:r w:rsidRPr="003D5D44">
        <w:rPr>
          <w:rFonts w:cs="Times New Roman"/>
          <w:u w:val="single"/>
        </w:rPr>
        <w:t xml:space="preserve">Introduction </w:t>
      </w:r>
    </w:p>
    <w:p w:rsidR="003001D4" w:rsidRPr="003D5D44" w:rsidRDefault="003001D4" w:rsidP="003001D4">
      <w:pPr>
        <w:pStyle w:val="ParaNoNdepar-AltN"/>
        <w:rPr>
          <w:rFonts w:cs="Times New Roman"/>
        </w:rPr>
      </w:pPr>
      <w:r w:rsidRPr="003D5D44">
        <w:rPr>
          <w:rFonts w:cs="Times New Roman"/>
        </w:rPr>
        <w:t>This appeal provides an opportunity to consolidate and clarify the elements of the offence of uttering threats. In particular, it raises two issues:</w:t>
      </w:r>
    </w:p>
    <w:p w:rsidR="003001D4" w:rsidRPr="003D5D44" w:rsidRDefault="003001D4" w:rsidP="000F53F6">
      <w:pPr>
        <w:pStyle w:val="Citation-AltC"/>
        <w:numPr>
          <w:ilvl w:val="0"/>
          <w:numId w:val="2"/>
        </w:numPr>
        <w:spacing w:line="480" w:lineRule="auto"/>
        <w:ind w:left="720" w:hanging="720"/>
      </w:pPr>
      <w:r w:rsidRPr="003D5D44">
        <w:t>In order for the offence to be made out, is it necessary to prove that the threats were conveyed to their subjects and/or that the accused intended that they be so conveyed?</w:t>
      </w:r>
    </w:p>
    <w:p w:rsidR="003001D4" w:rsidRPr="003D5D44" w:rsidRDefault="003001D4" w:rsidP="003001D4">
      <w:pPr>
        <w:pStyle w:val="Citation-AltC"/>
        <w:spacing w:line="480" w:lineRule="auto"/>
        <w:ind w:left="360"/>
      </w:pPr>
    </w:p>
    <w:p w:rsidR="003001D4" w:rsidRPr="003D5D44" w:rsidRDefault="003001D4" w:rsidP="000F53F6">
      <w:pPr>
        <w:pStyle w:val="Citation-AltC"/>
        <w:numPr>
          <w:ilvl w:val="0"/>
          <w:numId w:val="2"/>
        </w:numPr>
        <w:spacing w:line="480" w:lineRule="auto"/>
        <w:ind w:left="720" w:hanging="720"/>
      </w:pPr>
      <w:r w:rsidRPr="003D5D44">
        <w:t>If the trial judge erred in this respect, has the Crown discharged its burden to have the acquittals entered at trial set aside?</w:t>
      </w:r>
    </w:p>
    <w:p w:rsidR="003001D4" w:rsidRPr="003D5D44" w:rsidRDefault="003001D4" w:rsidP="003001D4">
      <w:pPr>
        <w:pStyle w:val="ParaNoNdepar-AltN"/>
        <w:rPr>
          <w:rFonts w:cs="Times New Roman"/>
        </w:rPr>
      </w:pPr>
      <w:r w:rsidRPr="003D5D44">
        <w:rPr>
          <w:rFonts w:cs="Times New Roman"/>
        </w:rPr>
        <w:t xml:space="preserve">We conclude that the offence does not require proof that the accused’s threats were conveyed to their subject or that someone was actually intimidated by them. Further, the Crown need not establish that the accused intended that the threats be conveyed to their subject or to intimidate anyone. In our view, and with respect to the contrary opinion of the Court of Appeal, the trial judge made legal errors in his analysis of the offence and the Crown has met its burden of showing that these errors might reasonably be thought to have had a material bearing on his decision to acquit. We would, therefore, allow the appeal and order a new trial. </w:t>
      </w:r>
    </w:p>
    <w:p w:rsidR="003001D4" w:rsidRPr="003D5D44" w:rsidRDefault="003001D4" w:rsidP="00D52464">
      <w:pPr>
        <w:pStyle w:val="TitleTitre-AltT"/>
        <w:tabs>
          <w:tab w:val="clear" w:pos="360"/>
          <w:tab w:val="left" w:pos="540"/>
        </w:tabs>
        <w:ind w:left="540" w:hanging="540"/>
        <w:rPr>
          <w:rFonts w:cs="Times New Roman"/>
        </w:rPr>
      </w:pPr>
      <w:r w:rsidRPr="003D5D44">
        <w:rPr>
          <w:rFonts w:cs="Times New Roman"/>
        </w:rPr>
        <w:t xml:space="preserve">II. </w:t>
      </w:r>
      <w:r w:rsidR="00D52464">
        <w:rPr>
          <w:rFonts w:cs="Times New Roman"/>
        </w:rPr>
        <w:tab/>
      </w:r>
      <w:r w:rsidRPr="003D5D44">
        <w:rPr>
          <w:rFonts w:cs="Times New Roman"/>
          <w:u w:val="single"/>
        </w:rPr>
        <w:t>Facts and Proceedings</w:t>
      </w:r>
    </w:p>
    <w:p w:rsidR="003001D4" w:rsidRPr="003D5D44" w:rsidRDefault="008A7297" w:rsidP="008A7297">
      <w:pPr>
        <w:pStyle w:val="TitleTitre-AltT"/>
        <w:tabs>
          <w:tab w:val="clear" w:pos="360"/>
          <w:tab w:val="left" w:pos="540"/>
        </w:tabs>
        <w:ind w:left="540" w:hanging="540"/>
        <w:rPr>
          <w:rFonts w:cs="Times New Roman"/>
          <w:i/>
        </w:rPr>
      </w:pPr>
      <w:r>
        <w:rPr>
          <w:rFonts w:cs="Times New Roman"/>
        </w:rPr>
        <w:lastRenderedPageBreak/>
        <w:t>A.</w:t>
      </w:r>
      <w:r>
        <w:rPr>
          <w:rFonts w:cs="Times New Roman"/>
        </w:rPr>
        <w:tab/>
      </w:r>
      <w:r w:rsidR="003001D4" w:rsidRPr="003D5D44">
        <w:rPr>
          <w:rFonts w:cs="Times New Roman"/>
          <w:i/>
        </w:rPr>
        <w:t>Overview of the Facts</w:t>
      </w:r>
    </w:p>
    <w:p w:rsidR="003001D4" w:rsidRPr="003D5D44" w:rsidRDefault="003001D4" w:rsidP="003001D4">
      <w:pPr>
        <w:pStyle w:val="ParaNoNdepar-AltN"/>
        <w:rPr>
          <w:rFonts w:cs="Times New Roman"/>
        </w:rPr>
      </w:pPr>
      <w:r w:rsidRPr="003D5D44">
        <w:rPr>
          <w:rFonts w:cs="Times New Roman"/>
        </w:rPr>
        <w:t>In June of 2009, the respondent Stéphane McRae was detained awaiting trial on several charges relating to trafficking in narcotics. For a time, Louis-Joseph Comeau, Édouard Collin, and Patrick Cloutier were also detained at the same detention centre.  The respondent introduced Mr. Comeau to Mr. Cloutier as his [</w:t>
      </w:r>
      <w:r>
        <w:rPr>
          <w:rFonts w:cs="Times New Roman"/>
          <w:smallCaps/>
        </w:rPr>
        <w:t>translation</w:t>
      </w:r>
      <w:r w:rsidRPr="003D5D44">
        <w:rPr>
          <w:rFonts w:cs="Times New Roman"/>
        </w:rPr>
        <w:t xml:space="preserve">] </w:t>
      </w:r>
      <w:r>
        <w:rPr>
          <w:rFonts w:cs="Times New Roman"/>
          <w:lang w:val="en-US"/>
        </w:rPr>
        <w:t>“</w:t>
      </w:r>
      <w:r>
        <w:rPr>
          <w:rFonts w:cs="Times New Roman"/>
        </w:rPr>
        <w:t>contract killer”</w:t>
      </w:r>
      <w:r w:rsidRPr="003D5D44">
        <w:rPr>
          <w:rFonts w:cs="Times New Roman"/>
        </w:rPr>
        <w:t>.  At times, Mr. Cloutier passed on messages from Mr. Comeau to the respondent.</w:t>
      </w:r>
    </w:p>
    <w:p w:rsidR="003001D4" w:rsidRPr="003D5D44" w:rsidRDefault="003001D4" w:rsidP="003001D4">
      <w:pPr>
        <w:pStyle w:val="ParaNoNdepar-AltN"/>
        <w:rPr>
          <w:rFonts w:cs="Times New Roman"/>
        </w:rPr>
      </w:pPr>
      <w:r w:rsidRPr="003D5D44">
        <w:rPr>
          <w:rFonts w:cs="Times New Roman"/>
        </w:rPr>
        <w:t>Based on the statements of Édouard Collin and Patrick Cloutier, various charges of uttering threats were laid against the respondent and Mr. Comeau. Mr. Comeau was convicted of uttering threats in a separate trial</w:t>
      </w:r>
      <w:r w:rsidR="001D1354">
        <w:rPr>
          <w:rFonts w:cs="Times New Roman"/>
        </w:rPr>
        <w:t xml:space="preserve"> (</w:t>
      </w:r>
      <w:r w:rsidRPr="003D5D44">
        <w:rPr>
          <w:rFonts w:cs="Times New Roman"/>
          <w:i/>
        </w:rPr>
        <w:t xml:space="preserve">R. </w:t>
      </w:r>
      <w:r>
        <w:rPr>
          <w:rFonts w:cs="Times New Roman"/>
          <w:i/>
        </w:rPr>
        <w:t>v</w:t>
      </w:r>
      <w:r w:rsidRPr="003D5D44">
        <w:rPr>
          <w:rFonts w:cs="Times New Roman"/>
          <w:i/>
        </w:rPr>
        <w:t>. Comeau</w:t>
      </w:r>
      <w:r w:rsidRPr="003D5D44">
        <w:rPr>
          <w:rFonts w:cs="Times New Roman"/>
        </w:rPr>
        <w:t>, 2010 QCCQ 20939</w:t>
      </w:r>
      <w:r>
        <w:rPr>
          <w:rFonts w:cs="Times New Roman"/>
        </w:rPr>
        <w:t xml:space="preserve"> (CanLII)</w:t>
      </w:r>
      <w:r w:rsidR="001D1354">
        <w:rPr>
          <w:rFonts w:cs="Times New Roman"/>
        </w:rPr>
        <w:t>)</w:t>
      </w:r>
      <w:r w:rsidRPr="003D5D44">
        <w:rPr>
          <w:rFonts w:cs="Times New Roman"/>
        </w:rPr>
        <w:t>. At issue on this appeal are five counts of knowingly conveying to Patrick Cloutier and Édouard Collin, at various times between June 1, 2009</w:t>
      </w:r>
      <w:r>
        <w:rPr>
          <w:rFonts w:cs="Times New Roman"/>
        </w:rPr>
        <w:t>,</w:t>
      </w:r>
      <w:r w:rsidRPr="003D5D44">
        <w:rPr>
          <w:rFonts w:cs="Times New Roman"/>
        </w:rPr>
        <w:t xml:space="preserve"> and September 5, 2009, threats to cause death or bodily harm, contrary to s. 264.1(1)(</w:t>
      </w:r>
      <w:r w:rsidRPr="007A2D60">
        <w:rPr>
          <w:rFonts w:cs="Times New Roman"/>
          <w:i/>
        </w:rPr>
        <w:t>a</w:t>
      </w:r>
      <w:r w:rsidRPr="003D5D44">
        <w:rPr>
          <w:rFonts w:cs="Times New Roman"/>
        </w:rPr>
        <w:t xml:space="preserve">) of the </w:t>
      </w:r>
      <w:r w:rsidRPr="003D5D44">
        <w:rPr>
          <w:rFonts w:cs="Times New Roman"/>
          <w:i/>
        </w:rPr>
        <w:t>Criminal Code</w:t>
      </w:r>
      <w:r w:rsidRPr="003D5D44">
        <w:rPr>
          <w:rFonts w:cs="Times New Roman"/>
        </w:rPr>
        <w:t xml:space="preserve">, </w:t>
      </w:r>
      <w:r>
        <w:rPr>
          <w:rFonts w:cs="Times New Roman"/>
        </w:rPr>
        <w:t xml:space="preserve">R.S.C. 1985, c. C-46, </w:t>
      </w:r>
      <w:r w:rsidRPr="003D5D44">
        <w:rPr>
          <w:rFonts w:cs="Times New Roman"/>
        </w:rPr>
        <w:t xml:space="preserve">to: the Crown prosecutor; an officer-investigator; and four witnesses involved in the case being brought against the respondent and Mr. Comeau for trafficking narcotics. </w:t>
      </w:r>
    </w:p>
    <w:p w:rsidR="003001D4" w:rsidRPr="003D5D44" w:rsidRDefault="003001D4" w:rsidP="003001D4">
      <w:pPr>
        <w:pStyle w:val="ParaNoNdepar-AltN"/>
        <w:rPr>
          <w:rFonts w:cs="Times New Roman"/>
        </w:rPr>
      </w:pPr>
      <w:r w:rsidRPr="003D5D44">
        <w:rPr>
          <w:rFonts w:cs="Times New Roman"/>
        </w:rPr>
        <w:t>At trial, it was established, among other things, that the respondent had: (1) told Mr. Collin that he would take down the guys at the top to rearrange the face of the Crown prosecutor and one of the witnesses</w:t>
      </w:r>
      <w:r>
        <w:rPr>
          <w:rFonts w:cs="Times New Roman"/>
        </w:rPr>
        <w:t xml:space="preserve"> </w:t>
      </w:r>
      <w:r w:rsidRPr="003D5D44">
        <w:rPr>
          <w:rFonts w:cs="Times New Roman"/>
        </w:rPr>
        <w:t xml:space="preserve">because he thought that he was the one who snitched on him; (2) informed Mr. Cloutier that he had hired a private detective to find the Crown prosecutor’s address; (3) asked Mr. Cloutier to do what </w:t>
      </w:r>
      <w:r w:rsidRPr="003D5D44">
        <w:rPr>
          <w:rFonts w:cs="Times New Roman"/>
        </w:rPr>
        <w:lastRenderedPageBreak/>
        <w:t xml:space="preserve">was necessary to find the address of the officer-investigator; and (4) told Mr. Cloutier that once his trial was over he would kill the witnesses </w:t>
      </w:r>
      <w:r>
        <w:rPr>
          <w:rFonts w:cs="Times New Roman"/>
        </w:rPr>
        <w:t>who</w:t>
      </w:r>
      <w:r w:rsidRPr="003D5D44">
        <w:rPr>
          <w:rFonts w:cs="Times New Roman"/>
        </w:rPr>
        <w:t xml:space="preserve"> had informed against him</w:t>
      </w:r>
      <w:r>
        <w:rPr>
          <w:rFonts w:cs="Times New Roman"/>
        </w:rPr>
        <w:t xml:space="preserve"> </w:t>
      </w:r>
      <w:r w:rsidR="00440739">
        <w:rPr>
          <w:rFonts w:cs="Times New Roman"/>
        </w:rPr>
        <w:t>(</w:t>
      </w:r>
      <w:r>
        <w:rPr>
          <w:rFonts w:cs="Times New Roman"/>
        </w:rPr>
        <w:t>2010 QCCQ 9043 (CanLII), at para. 6</w:t>
      </w:r>
      <w:r w:rsidR="00440739">
        <w:rPr>
          <w:rFonts w:cs="Times New Roman"/>
        </w:rPr>
        <w:t>)</w:t>
      </w:r>
      <w:r w:rsidRPr="003D5D44">
        <w:rPr>
          <w:rFonts w:cs="Times New Roman"/>
        </w:rPr>
        <w:t xml:space="preserve">. </w:t>
      </w:r>
    </w:p>
    <w:p w:rsidR="003001D4" w:rsidRPr="003D5D44" w:rsidRDefault="008A7297" w:rsidP="00B70BDF">
      <w:pPr>
        <w:pStyle w:val="TitleTitre-AltT"/>
        <w:tabs>
          <w:tab w:val="clear" w:pos="360"/>
          <w:tab w:val="left" w:pos="540"/>
        </w:tabs>
        <w:ind w:left="540" w:hanging="540"/>
        <w:rPr>
          <w:rFonts w:cs="Times New Roman"/>
          <w:i/>
        </w:rPr>
      </w:pPr>
      <w:r>
        <w:rPr>
          <w:rFonts w:cs="Times New Roman"/>
        </w:rPr>
        <w:t>B.</w:t>
      </w:r>
      <w:r w:rsidR="00B70BDF">
        <w:rPr>
          <w:rFonts w:cs="Times New Roman"/>
        </w:rPr>
        <w:tab/>
      </w:r>
      <w:r w:rsidR="003001D4" w:rsidRPr="003D5D44">
        <w:rPr>
          <w:rFonts w:cs="Times New Roman"/>
          <w:i/>
        </w:rPr>
        <w:t xml:space="preserve">Court of </w:t>
      </w:r>
      <w:r w:rsidR="003001D4">
        <w:rPr>
          <w:rFonts w:cs="Times New Roman"/>
          <w:i/>
        </w:rPr>
        <w:t>Québec, 2010 QCCQ 9043 (Decoste</w:t>
      </w:r>
      <w:r w:rsidR="003001D4" w:rsidRPr="003D5D44">
        <w:rPr>
          <w:rFonts w:cs="Times New Roman"/>
          <w:i/>
        </w:rPr>
        <w:t xml:space="preserve"> J.)</w:t>
      </w:r>
    </w:p>
    <w:p w:rsidR="003001D4" w:rsidRPr="003D5D44" w:rsidRDefault="003001D4" w:rsidP="003001D4">
      <w:pPr>
        <w:pStyle w:val="ParaNoNdepar-AltN"/>
        <w:rPr>
          <w:rFonts w:cs="Times New Roman"/>
        </w:rPr>
      </w:pPr>
      <w:r w:rsidRPr="003D5D44">
        <w:rPr>
          <w:rFonts w:eastAsiaTheme="minorHAnsi" w:cs="Times New Roman"/>
        </w:rPr>
        <w:t xml:space="preserve">The respondent did not testify at trial (appeal decision, </w:t>
      </w:r>
      <w:r>
        <w:rPr>
          <w:rFonts w:eastAsiaTheme="minorHAnsi" w:cs="Times New Roman"/>
        </w:rPr>
        <w:t xml:space="preserve">2012 QCCA 236 (CanLII), at </w:t>
      </w:r>
      <w:r w:rsidRPr="003D5D44">
        <w:rPr>
          <w:rFonts w:eastAsiaTheme="minorHAnsi" w:cs="Times New Roman"/>
        </w:rPr>
        <w:t>para. 18). The trial judge found that Messrs.</w:t>
      </w:r>
      <w:r w:rsidRPr="003D5D44">
        <w:rPr>
          <w:rFonts w:cs="Times New Roman"/>
        </w:rPr>
        <w:t xml:space="preserve"> Cloutier and Collin were credible witnesses (para. 12), but held that the fault element (the </w:t>
      </w:r>
      <w:r w:rsidRPr="003D5D44">
        <w:rPr>
          <w:rFonts w:cs="Times New Roman"/>
          <w:i/>
        </w:rPr>
        <w:t>mens rea</w:t>
      </w:r>
      <w:r w:rsidRPr="003D5D44">
        <w:rPr>
          <w:rFonts w:cs="Times New Roman"/>
        </w:rPr>
        <w:t>) of the offences had not been established because the words were not conveyed by the respondent with the intent that they would be transmitted to the subjects of the threats in an attempt to influence their actions (paras. 14-15). He found that the respondent rather intended to seek revenge once the trial was done, and that he had uttered the words out of anger and frustration (para</w:t>
      </w:r>
      <w:r>
        <w:rPr>
          <w:rFonts w:cs="Times New Roman"/>
        </w:rPr>
        <w:t>s. 14 and</w:t>
      </w:r>
      <w:r w:rsidRPr="003D5D44">
        <w:rPr>
          <w:rFonts w:cs="Times New Roman"/>
        </w:rPr>
        <w:t xml:space="preserve"> 16).</w:t>
      </w:r>
    </w:p>
    <w:p w:rsidR="003001D4" w:rsidRPr="003D5D44" w:rsidRDefault="003001D4" w:rsidP="008A7297">
      <w:pPr>
        <w:pStyle w:val="TitleTitre-AltT"/>
        <w:tabs>
          <w:tab w:val="clear" w:pos="360"/>
          <w:tab w:val="left" w:pos="540"/>
        </w:tabs>
        <w:ind w:left="540" w:hanging="540"/>
        <w:rPr>
          <w:rFonts w:cs="Times New Roman"/>
          <w:i/>
        </w:rPr>
      </w:pPr>
      <w:r w:rsidRPr="003D5D44">
        <w:rPr>
          <w:rFonts w:cs="Times New Roman"/>
        </w:rPr>
        <w:t xml:space="preserve">C. </w:t>
      </w:r>
      <w:r w:rsidR="008A7297">
        <w:rPr>
          <w:rFonts w:cs="Times New Roman"/>
        </w:rPr>
        <w:tab/>
      </w:r>
      <w:r w:rsidRPr="003D5D44">
        <w:rPr>
          <w:rFonts w:cs="Times New Roman"/>
          <w:i/>
        </w:rPr>
        <w:t>Court of Appeal, 2012 QCCA 23</w:t>
      </w:r>
      <w:r>
        <w:rPr>
          <w:rFonts w:cs="Times New Roman"/>
          <w:i/>
        </w:rPr>
        <w:t>6 (Rochette and</w:t>
      </w:r>
      <w:r w:rsidRPr="003D5D44">
        <w:rPr>
          <w:rFonts w:cs="Times New Roman"/>
          <w:i/>
        </w:rPr>
        <w:t xml:space="preserve"> Giroux</w:t>
      </w:r>
      <w:r>
        <w:rPr>
          <w:rFonts w:cs="Times New Roman"/>
          <w:i/>
        </w:rPr>
        <w:t xml:space="preserve"> JJ.A. and</w:t>
      </w:r>
      <w:r w:rsidRPr="003D5D44">
        <w:rPr>
          <w:rFonts w:cs="Times New Roman"/>
          <w:i/>
        </w:rPr>
        <w:t xml:space="preserve"> Viens</w:t>
      </w:r>
      <w:r>
        <w:rPr>
          <w:rFonts w:cs="Times New Roman"/>
          <w:i/>
        </w:rPr>
        <w:t xml:space="preserve"> J. (ad hoc)</w:t>
      </w:r>
      <w:r w:rsidRPr="003D5D44">
        <w:rPr>
          <w:rFonts w:cs="Times New Roman"/>
          <w:i/>
        </w:rPr>
        <w:t>)</w:t>
      </w:r>
    </w:p>
    <w:p w:rsidR="003001D4" w:rsidRPr="003D5D44" w:rsidRDefault="003001D4" w:rsidP="003001D4">
      <w:pPr>
        <w:pStyle w:val="ParaNoNdepar-AltN"/>
        <w:rPr>
          <w:rFonts w:cs="Times New Roman"/>
        </w:rPr>
      </w:pPr>
      <w:r w:rsidRPr="003D5D44">
        <w:rPr>
          <w:rFonts w:cs="Times New Roman"/>
        </w:rPr>
        <w:t xml:space="preserve">The Court of Appeal confirmed the trial judge’s decision with regard to the fault element (paras. 16-18), and added that the prohibited act (the </w:t>
      </w:r>
      <w:r w:rsidRPr="003D5D44">
        <w:rPr>
          <w:rFonts w:cs="Times New Roman"/>
          <w:i/>
        </w:rPr>
        <w:t>actus reus</w:t>
      </w:r>
      <w:r w:rsidRPr="003D5D44">
        <w:rPr>
          <w:rFonts w:cs="Times New Roman"/>
        </w:rPr>
        <w:t>)</w:t>
      </w:r>
      <w:r w:rsidRPr="003D5D44">
        <w:rPr>
          <w:rFonts w:cs="Times New Roman"/>
          <w:i/>
        </w:rPr>
        <w:t xml:space="preserve"> </w:t>
      </w:r>
      <w:r w:rsidRPr="003D5D44">
        <w:rPr>
          <w:rFonts w:cs="Times New Roman"/>
        </w:rPr>
        <w:t xml:space="preserve">had not been established because the words were uttered in a “closed circle” ― </w:t>
      </w:r>
      <w:r w:rsidRPr="007A2D60">
        <w:rPr>
          <w:rFonts w:cs="Times New Roman"/>
        </w:rPr>
        <w:t>i.e.</w:t>
      </w:r>
      <w:r w:rsidRPr="003D5D44">
        <w:rPr>
          <w:rFonts w:cs="Times New Roman"/>
        </w:rPr>
        <w:t xml:space="preserve"> with an expectation of confidentiality ― and thus they could not instill fear in the subjects of the threats (paras. 8-9). The </w:t>
      </w:r>
      <w:r>
        <w:rPr>
          <w:rFonts w:cs="Times New Roman"/>
        </w:rPr>
        <w:t>c</w:t>
      </w:r>
      <w:r w:rsidRPr="003D5D44">
        <w:rPr>
          <w:rFonts w:cs="Times New Roman"/>
        </w:rPr>
        <w:t xml:space="preserve">ourt confirmed the trial judge’s finding that the </w:t>
      </w:r>
      <w:r w:rsidRPr="003D5D44">
        <w:rPr>
          <w:rFonts w:cs="Times New Roman"/>
        </w:rPr>
        <w:lastRenderedPageBreak/>
        <w:t xml:space="preserve">respondent acted out of frustration and </w:t>
      </w:r>
      <w:r w:rsidR="00D901EF">
        <w:rPr>
          <w:rFonts w:cs="Times New Roman"/>
        </w:rPr>
        <w:t xml:space="preserve">with </w:t>
      </w:r>
      <w:r w:rsidRPr="003D5D44">
        <w:rPr>
          <w:rFonts w:cs="Times New Roman"/>
        </w:rPr>
        <w:t>an intention to seek revenge rather than an intention to intimidate (para. 16).</w:t>
      </w:r>
    </w:p>
    <w:p w:rsidR="003001D4" w:rsidRPr="003D5D44" w:rsidRDefault="008A7297" w:rsidP="008A7297">
      <w:pPr>
        <w:pStyle w:val="TitleTitre-AltT"/>
        <w:tabs>
          <w:tab w:val="clear" w:pos="360"/>
          <w:tab w:val="left" w:pos="540"/>
        </w:tabs>
        <w:ind w:left="540" w:hanging="540"/>
        <w:rPr>
          <w:rFonts w:cs="Times New Roman"/>
        </w:rPr>
      </w:pPr>
      <w:r>
        <w:rPr>
          <w:rFonts w:cs="Times New Roman"/>
        </w:rPr>
        <w:t>III.</w:t>
      </w:r>
      <w:r>
        <w:rPr>
          <w:rFonts w:cs="Times New Roman"/>
        </w:rPr>
        <w:tab/>
      </w:r>
      <w:r w:rsidR="003001D4" w:rsidRPr="003D5D44">
        <w:rPr>
          <w:rFonts w:cs="Times New Roman"/>
          <w:u w:val="single"/>
        </w:rPr>
        <w:t>Analysis</w:t>
      </w:r>
    </w:p>
    <w:p w:rsidR="003001D4" w:rsidRPr="003D5D44" w:rsidRDefault="008A7297" w:rsidP="008A7297">
      <w:pPr>
        <w:pStyle w:val="TitleTitre-AltT"/>
        <w:tabs>
          <w:tab w:val="clear" w:pos="360"/>
          <w:tab w:val="left" w:pos="540"/>
        </w:tabs>
        <w:ind w:left="540" w:hanging="540"/>
        <w:rPr>
          <w:rFonts w:cs="Times New Roman"/>
        </w:rPr>
      </w:pPr>
      <w:r>
        <w:rPr>
          <w:rFonts w:cs="Times New Roman"/>
        </w:rPr>
        <w:t>A.</w:t>
      </w:r>
      <w:r>
        <w:rPr>
          <w:rFonts w:cs="Times New Roman"/>
        </w:rPr>
        <w:tab/>
      </w:r>
      <w:r w:rsidR="003001D4" w:rsidRPr="003D5D44">
        <w:rPr>
          <w:rFonts w:cs="Times New Roman"/>
          <w:i/>
        </w:rPr>
        <w:t>The Applicable Law</w:t>
      </w:r>
    </w:p>
    <w:p w:rsidR="003001D4" w:rsidRDefault="003001D4" w:rsidP="003001D4">
      <w:pPr>
        <w:pStyle w:val="ParaNoNdepar-AltN"/>
      </w:pPr>
      <w:r w:rsidRPr="003D5D44">
        <w:rPr>
          <w:rFonts w:cs="Times New Roman"/>
        </w:rPr>
        <w:t>The respondent is charged with the offence of uttering threats, provided for in s. 264.1(1)(</w:t>
      </w:r>
      <w:r w:rsidRPr="00EF462B">
        <w:rPr>
          <w:rFonts w:cs="Times New Roman"/>
          <w:i/>
        </w:rPr>
        <w:t>a</w:t>
      </w:r>
      <w:r w:rsidRPr="003D5D44">
        <w:rPr>
          <w:rFonts w:cs="Times New Roman"/>
        </w:rPr>
        <w:t xml:space="preserve">) of the </w:t>
      </w:r>
      <w:r w:rsidRPr="00EF462B">
        <w:rPr>
          <w:rFonts w:cs="Times New Roman"/>
          <w:i/>
        </w:rPr>
        <w:t>Criminal Code</w:t>
      </w:r>
      <w:r w:rsidRPr="003D5D44">
        <w:rPr>
          <w:rFonts w:cs="Times New Roman"/>
        </w:rPr>
        <w:t xml:space="preserve">: </w:t>
      </w:r>
    </w:p>
    <w:p w:rsidR="003001D4" w:rsidRPr="003D5D44" w:rsidRDefault="003001D4" w:rsidP="003001D4">
      <w:pPr>
        <w:pStyle w:val="Citation-AltC"/>
      </w:pPr>
      <w:r>
        <w:rPr>
          <w:b/>
        </w:rPr>
        <w:tab/>
      </w:r>
      <w:r w:rsidRPr="00001BD8">
        <w:rPr>
          <w:b/>
        </w:rPr>
        <w:t xml:space="preserve">264.1 </w:t>
      </w:r>
      <w:r w:rsidRPr="00EF462B">
        <w:t>(1)</w:t>
      </w:r>
      <w:r w:rsidRPr="003D5D44">
        <w:t xml:space="preserve"> Every one commits an offence who, in any manner, knowingly </w:t>
      </w:r>
      <w:bookmarkStart w:id="0" w:name="_Hlk360684699"/>
      <w:r w:rsidRPr="003D5D44">
        <w:t xml:space="preserve">utters, conveys or causes any person to receive </w:t>
      </w:r>
      <w:bookmarkEnd w:id="0"/>
      <w:r w:rsidRPr="003D5D44">
        <w:t>a threat</w:t>
      </w:r>
    </w:p>
    <w:p w:rsidR="003001D4" w:rsidRPr="003D5D44" w:rsidRDefault="003001D4" w:rsidP="003001D4">
      <w:pPr>
        <w:pStyle w:val="Citation-AltC"/>
      </w:pPr>
    </w:p>
    <w:p w:rsidR="003001D4" w:rsidRPr="003D5D44" w:rsidRDefault="00B70BDF" w:rsidP="00B70BDF">
      <w:pPr>
        <w:pStyle w:val="Citation-AltC"/>
        <w:tabs>
          <w:tab w:val="left" w:pos="1440"/>
        </w:tabs>
        <w:ind w:left="1440" w:hanging="1980"/>
      </w:pPr>
      <w:r>
        <w:tab/>
      </w:r>
      <w:r w:rsidR="003001D4" w:rsidRPr="003D5D44">
        <w:t>(</w:t>
      </w:r>
      <w:r w:rsidR="003001D4" w:rsidRPr="003D5D44">
        <w:rPr>
          <w:i/>
        </w:rPr>
        <w:t>a</w:t>
      </w:r>
      <w:r w:rsidR="003001D4" w:rsidRPr="003D5D44">
        <w:t>) to cause death or bodily harm to any person</w:t>
      </w:r>
      <w:r w:rsidR="003001D4">
        <w:t>;</w:t>
      </w:r>
    </w:p>
    <w:p w:rsidR="003001D4" w:rsidRPr="003D5D44" w:rsidRDefault="003001D4" w:rsidP="003001D4">
      <w:pPr>
        <w:pStyle w:val="ParaNoNdepar-AltN"/>
        <w:rPr>
          <w:rFonts w:cs="Times New Roman"/>
        </w:rPr>
      </w:pPr>
      <w:r w:rsidRPr="003D5D44">
        <w:rPr>
          <w:rFonts w:cs="Times New Roman"/>
        </w:rPr>
        <w:t xml:space="preserve">This Court has previously considered this offence in </w:t>
      </w:r>
      <w:r w:rsidRPr="003D5D44">
        <w:rPr>
          <w:rFonts w:cs="Times New Roman"/>
          <w:i/>
        </w:rPr>
        <w:t>R. v. McCraw</w:t>
      </w:r>
      <w:r w:rsidRPr="003D5D44">
        <w:rPr>
          <w:rFonts w:cs="Times New Roman"/>
        </w:rPr>
        <w:t>, [1991] 3 S.C.R. 72</w:t>
      </w:r>
      <w:r w:rsidR="00E470C8">
        <w:rPr>
          <w:rFonts w:cs="Times New Roman"/>
        </w:rPr>
        <w:t>,</w:t>
      </w:r>
      <w:r w:rsidRPr="003D5D44">
        <w:rPr>
          <w:rFonts w:cs="Times New Roman"/>
        </w:rPr>
        <w:t xml:space="preserve"> </w:t>
      </w:r>
      <w:r w:rsidRPr="003D5D44">
        <w:rPr>
          <w:rFonts w:cs="Times New Roman"/>
          <w:i/>
        </w:rPr>
        <w:t>R. v. Clemente</w:t>
      </w:r>
      <w:r w:rsidRPr="003D5D44">
        <w:rPr>
          <w:rFonts w:cs="Times New Roman"/>
        </w:rPr>
        <w:t xml:space="preserve">, [1994] 2 S.C.R. 758, and more recently in </w:t>
      </w:r>
      <w:r w:rsidRPr="003D5D44">
        <w:rPr>
          <w:rFonts w:cs="Times New Roman"/>
          <w:i/>
        </w:rPr>
        <w:t>R. v. O’Brien</w:t>
      </w:r>
      <w:r w:rsidRPr="003D5D44">
        <w:rPr>
          <w:rFonts w:cs="Times New Roman"/>
        </w:rPr>
        <w:t>, 2013 SCC 2</w:t>
      </w:r>
      <w:r>
        <w:rPr>
          <w:rFonts w:cs="Times New Roman"/>
        </w:rPr>
        <w:t>, [2013] 1 S.C.R. 7</w:t>
      </w:r>
      <w:r w:rsidRPr="003D5D44">
        <w:rPr>
          <w:rFonts w:cs="Times New Roman"/>
        </w:rPr>
        <w:t>. The elements of the offence include: (1) the utterance or conveyance of a threat to cause death or bodily harm; and (2) an intent to threaten. We review here the law relating to each element.</w:t>
      </w:r>
    </w:p>
    <w:p w:rsidR="003001D4" w:rsidRPr="00001BD8" w:rsidRDefault="00535D41" w:rsidP="00535D41">
      <w:pPr>
        <w:pStyle w:val="TitleTitre-AltT"/>
        <w:tabs>
          <w:tab w:val="clear" w:pos="360"/>
          <w:tab w:val="left" w:pos="720"/>
        </w:tabs>
        <w:ind w:left="1170" w:hanging="1260"/>
        <w:rPr>
          <w:rFonts w:cs="Times New Roman"/>
          <w:u w:val="single"/>
        </w:rPr>
      </w:pPr>
      <w:r>
        <w:rPr>
          <w:rFonts w:cs="Times New Roman"/>
        </w:rPr>
        <w:tab/>
      </w:r>
      <w:r w:rsidR="003001D4" w:rsidRPr="003D5D44">
        <w:rPr>
          <w:rFonts w:cs="Times New Roman"/>
        </w:rPr>
        <w:t>(</w:t>
      </w:r>
      <w:r w:rsidR="003001D4">
        <w:rPr>
          <w:rFonts w:cs="Times New Roman"/>
        </w:rPr>
        <w:t>1</w:t>
      </w:r>
      <w:r>
        <w:rPr>
          <w:rFonts w:cs="Times New Roman"/>
        </w:rPr>
        <w:t>)</w:t>
      </w:r>
      <w:r>
        <w:rPr>
          <w:rFonts w:cs="Times New Roman"/>
        </w:rPr>
        <w:tab/>
      </w:r>
      <w:r w:rsidR="003001D4" w:rsidRPr="00001BD8">
        <w:rPr>
          <w:rFonts w:cs="Times New Roman"/>
          <w:u w:val="single"/>
        </w:rPr>
        <w:t>The Prohibited Act (</w:t>
      </w:r>
      <w:r w:rsidR="003001D4" w:rsidRPr="00001BD8">
        <w:rPr>
          <w:rFonts w:cs="Times New Roman"/>
          <w:i/>
          <w:u w:val="single"/>
        </w:rPr>
        <w:t>Actus Reus</w:t>
      </w:r>
      <w:r w:rsidR="003001D4" w:rsidRPr="00001BD8">
        <w:rPr>
          <w:rFonts w:cs="Times New Roman"/>
          <w:u w:val="single"/>
        </w:rPr>
        <w:t xml:space="preserve">) </w:t>
      </w:r>
    </w:p>
    <w:p w:rsidR="003001D4" w:rsidRPr="003D5D44" w:rsidRDefault="003001D4" w:rsidP="003001D4">
      <w:pPr>
        <w:pStyle w:val="ParaNoNdepar-AltN"/>
        <w:rPr>
          <w:rFonts w:cs="Times New Roman"/>
        </w:rPr>
      </w:pPr>
      <w:r w:rsidRPr="003D5D44">
        <w:rPr>
          <w:rFonts w:cs="Times New Roman"/>
        </w:rPr>
        <w:t>The prohibited act of the offence is “the uttering of threats of death or serious bodily harm” (</w:t>
      </w:r>
      <w:r w:rsidRPr="003D5D44">
        <w:rPr>
          <w:rFonts w:cs="Times New Roman"/>
          <w:i/>
        </w:rPr>
        <w:t>Clemente</w:t>
      </w:r>
      <w:r w:rsidRPr="003D5D44">
        <w:rPr>
          <w:rFonts w:cs="Times New Roman"/>
        </w:rPr>
        <w:t xml:space="preserve">, </w:t>
      </w:r>
      <w:r>
        <w:rPr>
          <w:rFonts w:cs="Times New Roman"/>
        </w:rPr>
        <w:t xml:space="preserve">at </w:t>
      </w:r>
      <w:r w:rsidRPr="003D5D44">
        <w:rPr>
          <w:rFonts w:cs="Times New Roman"/>
        </w:rPr>
        <w:t xml:space="preserve">p. 763). The threats can be uttered, conveyed, or in any way caused to be received by any person. The question of whether words </w:t>
      </w:r>
      <w:r w:rsidRPr="003D5D44">
        <w:rPr>
          <w:rFonts w:cs="Times New Roman"/>
        </w:rPr>
        <w:lastRenderedPageBreak/>
        <w:t xml:space="preserve">constitute a threat is a question of law to be decided on an objective standard. Justice Cory put it this way in </w:t>
      </w:r>
      <w:r w:rsidRPr="003D5D44">
        <w:rPr>
          <w:rFonts w:cs="Times New Roman"/>
          <w:i/>
        </w:rPr>
        <w:t>McCraw</w:t>
      </w:r>
      <w:r w:rsidRPr="003D5D44">
        <w:rPr>
          <w:rFonts w:cs="Times New Roman"/>
        </w:rPr>
        <w:t>:</w:t>
      </w:r>
    </w:p>
    <w:p w:rsidR="003001D4" w:rsidRDefault="003001D4" w:rsidP="003001D4">
      <w:pPr>
        <w:pStyle w:val="Citation-AltC"/>
      </w:pPr>
      <w:r w:rsidRPr="003D5D44">
        <w:t>The structure and wording of s. 264.1(1)(</w:t>
      </w:r>
      <w:r w:rsidRPr="003D5D44">
        <w:rPr>
          <w:i/>
        </w:rPr>
        <w:t>a</w:t>
      </w:r>
      <w:r w:rsidRPr="003D5D44">
        <w:t>) indicate that the nature of the threat must be looked at objectively; that is, as it would be by the or</w:t>
      </w:r>
      <w:r w:rsidR="00D52464">
        <w:t>dinary reasonable person. . . .</w:t>
      </w:r>
    </w:p>
    <w:p w:rsidR="003001D4" w:rsidRPr="003D5D44" w:rsidRDefault="003001D4" w:rsidP="003001D4">
      <w:pPr>
        <w:pStyle w:val="Citation-AltC"/>
      </w:pPr>
    </w:p>
    <w:p w:rsidR="003001D4" w:rsidRPr="003D5D44" w:rsidRDefault="003001D4" w:rsidP="003001D4">
      <w:pPr>
        <w:pStyle w:val="Citation-AltC"/>
      </w:pPr>
      <w:r>
        <w:tab/>
      </w:r>
      <w:r w:rsidRPr="003D5D44">
        <w:t>The question to be resolved may be put in the following way. Looked at objectively, in the context of all the words written or spoken and having regard to the person to whom they were directed, would the questioned words convey a threat of serious bodil</w:t>
      </w:r>
      <w:r>
        <w:t>y harm to a reasonable person? [pp. 82-83]</w:t>
      </w:r>
    </w:p>
    <w:p w:rsidR="003001D4" w:rsidRPr="003D5D44" w:rsidRDefault="003001D4" w:rsidP="003001D4">
      <w:pPr>
        <w:pStyle w:val="ParaNoNdepar-AltN"/>
        <w:rPr>
          <w:rFonts w:cs="Times New Roman"/>
        </w:rPr>
      </w:pPr>
      <w:r w:rsidRPr="003D5D44">
        <w:rPr>
          <w:rFonts w:cs="Times New Roman"/>
        </w:rPr>
        <w:t>The starting point of the analysis should always be the plain and ordinary meaning of the words uttered. Where the words clearly constitute a threat and there is no reason to believe that they had a secondary or less obvious meaning, the analysis is complete. However, in some cases, the context reveals that words that would on their face appear threatening may not constitute threats within the meaning of s. 264.1(1)(</w:t>
      </w:r>
      <w:r w:rsidRPr="003D5D44">
        <w:rPr>
          <w:rFonts w:cs="Times New Roman"/>
          <w:i/>
        </w:rPr>
        <w:t>a</w:t>
      </w:r>
      <w:r w:rsidRPr="003D5D44">
        <w:rPr>
          <w:rFonts w:cs="Times New Roman"/>
        </w:rPr>
        <w:t>) (see</w:t>
      </w:r>
      <w:r w:rsidR="00535D41">
        <w:rPr>
          <w:rFonts w:cs="Times New Roman"/>
        </w:rPr>
        <w:t>,</w:t>
      </w:r>
      <w:r w:rsidRPr="003D5D44">
        <w:rPr>
          <w:rFonts w:cs="Times New Roman"/>
        </w:rPr>
        <w:t xml:space="preserve"> </w:t>
      </w:r>
      <w:r w:rsidRPr="00B7041B">
        <w:rPr>
          <w:rFonts w:cs="Times New Roman"/>
        </w:rPr>
        <w:t>e.g.</w:t>
      </w:r>
      <w:r w:rsidR="00535D41">
        <w:rPr>
          <w:rFonts w:cs="Times New Roman"/>
        </w:rPr>
        <w:t>,</w:t>
      </w:r>
      <w:r w:rsidRPr="003D5D44">
        <w:rPr>
          <w:rFonts w:cs="Times New Roman"/>
        </w:rPr>
        <w:t xml:space="preserve"> </w:t>
      </w:r>
      <w:r w:rsidRPr="003D5D44">
        <w:rPr>
          <w:rFonts w:cs="Times New Roman"/>
          <w:i/>
        </w:rPr>
        <w:t>O’Brien</w:t>
      </w:r>
      <w:r w:rsidRPr="00B7041B">
        <w:rPr>
          <w:rFonts w:cs="Times New Roman"/>
        </w:rPr>
        <w:t>,</w:t>
      </w:r>
      <w:r w:rsidRPr="003D5D44">
        <w:rPr>
          <w:rFonts w:cs="Times New Roman"/>
        </w:rPr>
        <w:t xml:space="preserve"> at paras. 10-12). In other cases, contextual factors might have the effect of elevating to the level of threats words that would, on their face, appear relatively innocent (see</w:t>
      </w:r>
      <w:r w:rsidR="00535D41">
        <w:rPr>
          <w:rFonts w:cs="Times New Roman"/>
        </w:rPr>
        <w:t>,</w:t>
      </w:r>
      <w:r w:rsidRPr="003D5D44">
        <w:rPr>
          <w:rFonts w:cs="Times New Roman"/>
        </w:rPr>
        <w:t xml:space="preserve"> </w:t>
      </w:r>
      <w:r w:rsidRPr="00B7041B">
        <w:rPr>
          <w:rFonts w:cs="Times New Roman"/>
        </w:rPr>
        <w:t>e.g</w:t>
      </w:r>
      <w:r w:rsidRPr="003D5D44">
        <w:rPr>
          <w:rFonts w:cs="Times New Roman"/>
          <w:i/>
        </w:rPr>
        <w:t>.</w:t>
      </w:r>
      <w:r w:rsidR="00535D41" w:rsidRPr="00535D41">
        <w:rPr>
          <w:rFonts w:cs="Times New Roman"/>
        </w:rPr>
        <w:t>,</w:t>
      </w:r>
      <w:r w:rsidRPr="003D5D44">
        <w:rPr>
          <w:rFonts w:cs="Times New Roman"/>
          <w:i/>
        </w:rPr>
        <w:t xml:space="preserve"> R. v. MacDonald</w:t>
      </w:r>
      <w:r>
        <w:rPr>
          <w:rFonts w:cs="Times New Roman"/>
          <w:i/>
        </w:rPr>
        <w:t xml:space="preserve"> </w:t>
      </w:r>
      <w:r w:rsidRPr="00B7041B">
        <w:rPr>
          <w:rFonts w:cs="Times New Roman"/>
        </w:rPr>
        <w:t>(2002),</w:t>
      </w:r>
      <w:r w:rsidRPr="003D5D44">
        <w:rPr>
          <w:rFonts w:cs="Times New Roman"/>
        </w:rPr>
        <w:t xml:space="preserve"> 166 O.A.C. 121, where the </w:t>
      </w:r>
      <w:r>
        <w:rPr>
          <w:rFonts w:cs="Times New Roman"/>
        </w:rPr>
        <w:t>words uttered were “You’re next</w:t>
      </w:r>
      <w:r w:rsidRPr="003D5D44">
        <w:rPr>
          <w:rFonts w:cs="Times New Roman"/>
        </w:rPr>
        <w:t xml:space="preserve">”). </w:t>
      </w:r>
    </w:p>
    <w:p w:rsidR="003001D4" w:rsidRPr="003D5D44" w:rsidRDefault="003001D4" w:rsidP="003001D4">
      <w:pPr>
        <w:pStyle w:val="ParaNoNdepar-AltN"/>
        <w:rPr>
          <w:rFonts w:cs="Times New Roman"/>
        </w:rPr>
      </w:pPr>
      <w:r w:rsidRPr="003D5D44">
        <w:rPr>
          <w:rFonts w:cs="Times New Roman"/>
        </w:rPr>
        <w:t xml:space="preserve">For example, in </w:t>
      </w:r>
      <w:r w:rsidRPr="003D5D44">
        <w:rPr>
          <w:rFonts w:cs="Times New Roman"/>
          <w:i/>
        </w:rPr>
        <w:t>R. v. Felteau</w:t>
      </w:r>
      <w:r w:rsidRPr="003D5D44">
        <w:rPr>
          <w:rFonts w:cs="Times New Roman"/>
        </w:rPr>
        <w:t>, 2010 ONCA 821</w:t>
      </w:r>
      <w:r>
        <w:rPr>
          <w:rFonts w:cs="Times New Roman"/>
        </w:rPr>
        <w:t xml:space="preserve"> (CanLII)</w:t>
      </w:r>
      <w:r w:rsidRPr="003D5D44">
        <w:rPr>
          <w:rFonts w:cs="Times New Roman"/>
        </w:rPr>
        <w:t xml:space="preserve">, the accused had told a mental health care worker that he was going to follow Ms. G, his former probation officer, and “assault” her (paras. 1-2).   The trial judge found that the words did not constitute a threat because the threat must be of death or bodily harm and the accused’s reference to “assault” did not necessarily include bodily harm (para. 3). The </w:t>
      </w:r>
      <w:r w:rsidRPr="003D5D44">
        <w:rPr>
          <w:rFonts w:cs="Times New Roman"/>
        </w:rPr>
        <w:lastRenderedPageBreak/>
        <w:t>Court of Appeal for Ontario found that the trial judge had erred in looking at the word “assault” in isolation from th</w:t>
      </w:r>
      <w:r>
        <w:rPr>
          <w:rFonts w:cs="Times New Roman"/>
        </w:rPr>
        <w:t>e circumstances (para. 7). The c</w:t>
      </w:r>
      <w:r w:rsidRPr="003D5D44">
        <w:rPr>
          <w:rFonts w:cs="Times New Roman"/>
        </w:rPr>
        <w:t>ourt held that the factors relevant to the determination of the meaning of the words included the facts that: the accused was fixated upon Ms. G and had very recently been convicted of harassing her; he was angry with Ms. G when he uttered the words; he blamed her for his arrest and detention; and he was mentally unstable, had been consuming cocaine and had a known history of serious violence directed at women (para. 8). The Court of Appeal concluded that the accused’s words, viewed in these circumstances, would convey a threat of bodily harm to a reasonable person (para. 9).</w:t>
      </w:r>
    </w:p>
    <w:p w:rsidR="003001D4" w:rsidRDefault="003001D4" w:rsidP="003001D4">
      <w:pPr>
        <w:pStyle w:val="ParaNoNdepar-AltN"/>
        <w:rPr>
          <w:rFonts w:cs="Times New Roman"/>
        </w:rPr>
      </w:pPr>
      <w:r w:rsidRPr="003D5D44">
        <w:rPr>
          <w:rFonts w:cs="Times New Roman"/>
        </w:rPr>
        <w:t>Thus, the legal question of whether the accused uttered a threat of death or bodily harm turns solely on the meaning that a reasonable person would attach to the words viewed in the circumstances in which they were uttered or conveyed. The Crown need not prove that the intended recipient of the threat was made aware of it, or if aware of it, that he or she was intimidated by it or took it seriously</w:t>
      </w:r>
      <w:r w:rsidR="001D1354">
        <w:rPr>
          <w:rFonts w:cs="Times New Roman"/>
        </w:rPr>
        <w:t xml:space="preserve"> (</w:t>
      </w:r>
      <w:r w:rsidRPr="003D5D44">
        <w:rPr>
          <w:rFonts w:cs="Times New Roman"/>
          <w:i/>
        </w:rPr>
        <w:t>Clemente</w:t>
      </w:r>
      <w:r w:rsidRPr="003D5D44">
        <w:rPr>
          <w:rFonts w:cs="Times New Roman"/>
        </w:rPr>
        <w:t xml:space="preserve">, </w:t>
      </w:r>
      <w:r>
        <w:rPr>
          <w:rFonts w:cs="Times New Roman"/>
        </w:rPr>
        <w:t xml:space="preserve">at </w:t>
      </w:r>
      <w:r w:rsidRPr="003D5D44">
        <w:rPr>
          <w:rFonts w:cs="Times New Roman"/>
        </w:rPr>
        <w:t xml:space="preserve">p. 763; </w:t>
      </w:r>
      <w:r w:rsidRPr="003D5D44">
        <w:rPr>
          <w:rFonts w:cs="Times New Roman"/>
          <w:i/>
        </w:rPr>
        <w:t>O’Brien</w:t>
      </w:r>
      <w:r w:rsidRPr="003D5D44">
        <w:rPr>
          <w:rFonts w:cs="Times New Roman"/>
        </w:rPr>
        <w:t xml:space="preserve">, </w:t>
      </w:r>
      <w:r>
        <w:rPr>
          <w:rFonts w:cs="Times New Roman"/>
        </w:rPr>
        <w:t xml:space="preserve">at </w:t>
      </w:r>
      <w:r w:rsidRPr="003D5D44">
        <w:rPr>
          <w:rFonts w:cs="Times New Roman"/>
        </w:rPr>
        <w:t>para. 13;</w:t>
      </w:r>
      <w:r w:rsidRPr="003D5D44">
        <w:rPr>
          <w:rFonts w:cs="Times New Roman"/>
          <w:i/>
        </w:rPr>
        <w:t xml:space="preserve"> R. v. LeBlanc</w:t>
      </w:r>
      <w:r w:rsidRPr="003D5D44">
        <w:rPr>
          <w:rFonts w:cs="Times New Roman"/>
        </w:rPr>
        <w:t>, [1989] 1 S.C.R. 1583 (confirming the trial judge’s instruction that it was not necessary that “the person threatened be ever aware that the threat was made”: (198</w:t>
      </w:r>
      <w:r>
        <w:rPr>
          <w:rFonts w:cs="Times New Roman"/>
        </w:rPr>
        <w:t>8</w:t>
      </w:r>
      <w:r w:rsidRPr="003D5D44">
        <w:rPr>
          <w:rFonts w:cs="Times New Roman"/>
        </w:rPr>
        <w:t>), 90 N.B.R. (2d) 63 (C.A.)</w:t>
      </w:r>
      <w:r>
        <w:rPr>
          <w:rFonts w:cs="Times New Roman"/>
        </w:rPr>
        <w:t>,</w:t>
      </w:r>
      <w:r w:rsidRPr="003D5D44">
        <w:rPr>
          <w:rFonts w:cs="Times New Roman"/>
        </w:rPr>
        <w:t xml:space="preserve"> at para. 13)</w:t>
      </w:r>
      <w:r w:rsidR="001D1354">
        <w:rPr>
          <w:rFonts w:cs="Times New Roman"/>
        </w:rPr>
        <w:t>)</w:t>
      </w:r>
      <w:r w:rsidRPr="003D5D44">
        <w:rPr>
          <w:rFonts w:cs="Times New Roman"/>
        </w:rPr>
        <w:t>.  Further, the words do not have to be directed towards a specific person; a threat against an ascertained group of people is sufficient</w:t>
      </w:r>
      <w:r w:rsidR="001D1354">
        <w:rPr>
          <w:rFonts w:cs="Times New Roman"/>
        </w:rPr>
        <w:t xml:space="preserve"> (</w:t>
      </w:r>
      <w:r w:rsidRPr="003D5D44">
        <w:rPr>
          <w:rFonts w:cs="Times New Roman"/>
          <w:i/>
        </w:rPr>
        <w:t xml:space="preserve">R. </w:t>
      </w:r>
      <w:r>
        <w:rPr>
          <w:rFonts w:cs="Times New Roman"/>
          <w:i/>
        </w:rPr>
        <w:t>v</w:t>
      </w:r>
      <w:r w:rsidRPr="003D5D44">
        <w:rPr>
          <w:rFonts w:cs="Times New Roman"/>
          <w:i/>
        </w:rPr>
        <w:t>. Rémy</w:t>
      </w:r>
      <w:r w:rsidRPr="003D5D44">
        <w:rPr>
          <w:rFonts w:cs="Times New Roman"/>
        </w:rPr>
        <w:t xml:space="preserve"> (1993), 82 C.C.C. (3d) 176 (Que. C.A.), </w:t>
      </w:r>
      <w:r>
        <w:rPr>
          <w:rFonts w:cs="Times New Roman"/>
        </w:rPr>
        <w:t xml:space="preserve">at p. 185, </w:t>
      </w:r>
      <w:r w:rsidRPr="003D5D44">
        <w:rPr>
          <w:rFonts w:cs="Times New Roman"/>
        </w:rPr>
        <w:t xml:space="preserve">leave to appeal refused, </w:t>
      </w:r>
      <w:r>
        <w:rPr>
          <w:rFonts w:cs="Times New Roman"/>
        </w:rPr>
        <w:t>[1993] 4 S.C.R. vii</w:t>
      </w:r>
      <w:r w:rsidRPr="003D5D44">
        <w:rPr>
          <w:rFonts w:cs="Times New Roman"/>
        </w:rPr>
        <w:t xml:space="preserve"> (threat against “police officers” generally); </w:t>
      </w:r>
      <w:r w:rsidRPr="003D5D44">
        <w:rPr>
          <w:rFonts w:cs="Times New Roman"/>
          <w:i/>
        </w:rPr>
        <w:t>R</w:t>
      </w:r>
      <w:r>
        <w:rPr>
          <w:rFonts w:cs="Times New Roman"/>
          <w:i/>
        </w:rPr>
        <w:t>.</w:t>
      </w:r>
      <w:r w:rsidRPr="003D5D44">
        <w:rPr>
          <w:rFonts w:cs="Times New Roman"/>
          <w:i/>
        </w:rPr>
        <w:t xml:space="preserve"> v. Upson</w:t>
      </w:r>
      <w:r w:rsidRPr="003D5D44">
        <w:rPr>
          <w:rFonts w:cs="Times New Roman"/>
        </w:rPr>
        <w:t>, 2001 NSCA 89, 194 N.S.R. (2d) 87</w:t>
      </w:r>
      <w:r>
        <w:rPr>
          <w:rFonts w:cs="Times New Roman"/>
        </w:rPr>
        <w:t>,</w:t>
      </w:r>
      <w:r w:rsidRPr="003D5D44">
        <w:rPr>
          <w:rFonts w:cs="Times New Roman"/>
        </w:rPr>
        <w:t xml:space="preserve"> at para. 31 (threat against “members of the black race” generally)</w:t>
      </w:r>
      <w:r w:rsidR="001D1354">
        <w:rPr>
          <w:rFonts w:cs="Times New Roman"/>
        </w:rPr>
        <w:t>)</w:t>
      </w:r>
      <w:r w:rsidRPr="003D5D44">
        <w:rPr>
          <w:rFonts w:cs="Times New Roman"/>
        </w:rPr>
        <w:t>.</w:t>
      </w:r>
    </w:p>
    <w:p w:rsidR="003001D4" w:rsidRPr="009A6287" w:rsidRDefault="003001D4" w:rsidP="003001D4">
      <w:pPr>
        <w:pStyle w:val="ParaNoNdepar-AltN"/>
        <w:rPr>
          <w:rFonts w:cs="Times New Roman"/>
        </w:rPr>
      </w:pPr>
      <w:r w:rsidRPr="009A6287">
        <w:rPr>
          <w:rFonts w:cs="Times New Roman"/>
        </w:rPr>
        <w:lastRenderedPageBreak/>
        <w:t xml:space="preserve">The reasonable person standard must be applied in light of the particular circumstances of a case. As the Court of Appeal for Ontario explained in </w:t>
      </w:r>
      <w:r w:rsidRPr="009A6287">
        <w:rPr>
          <w:rFonts w:cs="Times New Roman"/>
          <w:i/>
        </w:rPr>
        <w:t>R. v. Batista</w:t>
      </w:r>
      <w:r w:rsidRPr="009A6287">
        <w:rPr>
          <w:rFonts w:cs="Times New Roman"/>
        </w:rPr>
        <w:t>, 2008 ONCA 804, 62 C.R. (6th) 376:</w:t>
      </w:r>
    </w:p>
    <w:p w:rsidR="003001D4" w:rsidRPr="003D5D44" w:rsidRDefault="003001D4" w:rsidP="003001D4">
      <w:pPr>
        <w:pStyle w:val="Citation-AltC"/>
      </w:pPr>
      <w:r>
        <w:tab/>
      </w:r>
      <w:r w:rsidRPr="003D5D44">
        <w:t xml:space="preserve">An ordinary reasonable person considering an alleged threat objectively would be one informed of all the circumstances relevant to his or her determination.  The characteristics of a reasonable person were considered by the Supreme Court of Canada in </w:t>
      </w:r>
      <w:r w:rsidRPr="003D5D44">
        <w:rPr>
          <w:i/>
        </w:rPr>
        <w:t>R. v. S. (R.D.)</w:t>
      </w:r>
      <w:r w:rsidRPr="003D5D44">
        <w:t>, [1997] 3 S.C.R. 484</w:t>
      </w:r>
      <w:r>
        <w:t xml:space="preserve"> (S.C.C</w:t>
      </w:r>
      <w:r w:rsidR="000252CB">
        <w:t>.</w:t>
      </w:r>
      <w:r>
        <w:t>)</w:t>
      </w:r>
      <w:r w:rsidRPr="003D5D44">
        <w:t>, in the context of the test for bias.  In that case, L’Heureux-Dubé and McLachlin JJ., at para. 36, described such a person as a:</w:t>
      </w:r>
    </w:p>
    <w:p w:rsidR="003001D4" w:rsidRPr="003D5D44" w:rsidRDefault="003001D4" w:rsidP="003001D4">
      <w:pPr>
        <w:pStyle w:val="Citation-AltC"/>
      </w:pPr>
    </w:p>
    <w:p w:rsidR="003001D4" w:rsidRPr="003D5D44" w:rsidRDefault="003001D4" w:rsidP="003001D4">
      <w:pPr>
        <w:pStyle w:val="Citation-AltC"/>
        <w:ind w:left="1440"/>
      </w:pPr>
      <w:r w:rsidRPr="003D5D44">
        <w:t>reasonable, informed, practical and realistic person who considers the matter in some detail.</w:t>
      </w:r>
      <w:r w:rsidR="00535D41">
        <w:t xml:space="preserve"> . . .  </w:t>
      </w:r>
      <w:r w:rsidRPr="003D5D44">
        <w:t>The person postulated is not a “very sensitive or scrupulous” person, but rather a right-minded person familiar with the circumstances of the case.</w:t>
      </w:r>
    </w:p>
    <w:p w:rsidR="003001D4" w:rsidRPr="003D5D44" w:rsidRDefault="003001D4" w:rsidP="003001D4">
      <w:pPr>
        <w:pStyle w:val="Citation-AltC"/>
      </w:pPr>
    </w:p>
    <w:p w:rsidR="003001D4" w:rsidRPr="003D5D44" w:rsidRDefault="003001D4" w:rsidP="003001D4">
      <w:pPr>
        <w:pStyle w:val="Citation-AltC"/>
      </w:pPr>
      <w:r w:rsidRPr="003D5D44">
        <w:t xml:space="preserve">Similarly, in </w:t>
      </w:r>
      <w:r w:rsidRPr="003D5D44">
        <w:rPr>
          <w:i/>
        </w:rPr>
        <w:t>R. v. Collins</w:t>
      </w:r>
      <w:r w:rsidRPr="003D5D44">
        <w:t>, [1987] 1 S.C.R. 265</w:t>
      </w:r>
      <w:r>
        <w:t xml:space="preserve"> (S.C.C.)</w:t>
      </w:r>
      <w:r w:rsidRPr="003D5D44">
        <w:t xml:space="preserve">, at p. 282, in the context of the test for bringing the administration of justice into disrepute, Lamer J. for the majority describes a reasonable person as “dispassionate and fully apprised of the circumstances of the case”: see also </w:t>
      </w:r>
      <w:r w:rsidRPr="003D5D44">
        <w:rPr>
          <w:i/>
        </w:rPr>
        <w:t>R. v. Burlingham</w:t>
      </w:r>
      <w:r w:rsidRPr="003D5D44">
        <w:t>, [1995] 2 S.C.R. 206</w:t>
      </w:r>
      <w:r>
        <w:t xml:space="preserve"> (S.C.C</w:t>
      </w:r>
      <w:r w:rsidR="000252CB">
        <w:t>.</w:t>
      </w:r>
      <w:r>
        <w:t>)</w:t>
      </w:r>
      <w:r w:rsidRPr="003D5D44">
        <w:t>, at para. 71.</w:t>
      </w:r>
    </w:p>
    <w:p w:rsidR="003001D4" w:rsidRPr="003D5D44" w:rsidRDefault="003001D4" w:rsidP="003001D4">
      <w:pPr>
        <w:pStyle w:val="Citation-AltC"/>
      </w:pPr>
    </w:p>
    <w:p w:rsidR="003001D4" w:rsidRPr="003D5D44" w:rsidRDefault="003001D4" w:rsidP="003001D4">
      <w:pPr>
        <w:pStyle w:val="Citation-AltC"/>
        <w:rPr>
          <w:u w:val="single"/>
        </w:rPr>
      </w:pPr>
      <w:r w:rsidRPr="0006284C">
        <w:tab/>
      </w:r>
      <w:r w:rsidRPr="003D5D44">
        <w:rPr>
          <w:u w:val="single"/>
        </w:rPr>
        <w:t>It follows that a reasonable person considering whether the impugned words amount to a threat at law is one who is objective, fully-informed, right-minded, dispassionate, practical and realistic.</w:t>
      </w:r>
      <w:r w:rsidRPr="00BE0344">
        <w:t xml:space="preserve"> [Emphasis added; paras. 23-24</w:t>
      </w:r>
      <w:r>
        <w:t>.</w:t>
      </w:r>
      <w:r w:rsidRPr="00BE0344">
        <w:t>]</w:t>
      </w:r>
    </w:p>
    <w:p w:rsidR="003001D4" w:rsidRPr="003D5D44" w:rsidRDefault="003001D4" w:rsidP="003001D4">
      <w:pPr>
        <w:pStyle w:val="ParaNoNdepar-AltN"/>
        <w:rPr>
          <w:rFonts w:cs="Times New Roman"/>
        </w:rPr>
      </w:pPr>
      <w:r w:rsidRPr="003D5D44">
        <w:rPr>
          <w:rFonts w:cs="Times New Roman"/>
        </w:rPr>
        <w:t xml:space="preserve">Thus, while testimony from persons who heard or were the object of the threat may be considered in applying this objective test, the question in relation to the prohibited act is not whether people in fact felt threatened. As the Court of Appeal for Ontario put it in </w:t>
      </w:r>
      <w:bookmarkStart w:id="1" w:name="OLE_LINK1"/>
      <w:bookmarkStart w:id="2" w:name="OLE_LINK2"/>
      <w:r w:rsidRPr="003D5D44">
        <w:rPr>
          <w:rFonts w:cs="Times New Roman"/>
          <w:i/>
        </w:rPr>
        <w:t>Batista</w:t>
      </w:r>
      <w:r w:rsidRPr="003D5D44">
        <w:rPr>
          <w:rFonts w:cs="Times New Roman"/>
        </w:rPr>
        <w:t xml:space="preserve">, witness opinions are relevant to the application of the reasonable person standard; however, they are not determinative, given that </w:t>
      </w:r>
      <w:r w:rsidRPr="003D5D44">
        <w:rPr>
          <w:rFonts w:cs="Times New Roman"/>
          <w:lang w:val="en-US"/>
        </w:rPr>
        <w:t xml:space="preserve">they </w:t>
      </w:r>
      <w:r w:rsidRPr="003D5D44">
        <w:rPr>
          <w:rFonts w:cs="Times New Roman"/>
          <w:lang w:val="en-US"/>
        </w:rPr>
        <w:lastRenderedPageBreak/>
        <w:t>amount to personal opinions and “d</w:t>
      </w:r>
      <w:r>
        <w:rPr>
          <w:rFonts w:cs="Times New Roman"/>
          <w:lang w:val="en-US"/>
        </w:rPr>
        <w:t>[</w:t>
      </w:r>
      <w:r w:rsidRPr="003D5D44">
        <w:rPr>
          <w:rFonts w:cs="Times New Roman"/>
          <w:lang w:val="en-US"/>
        </w:rPr>
        <w:t>o</w:t>
      </w:r>
      <w:r>
        <w:rPr>
          <w:rFonts w:cs="Times New Roman"/>
          <w:lang w:val="en-US"/>
        </w:rPr>
        <w:t>]</w:t>
      </w:r>
      <w:r w:rsidRPr="003D5D44">
        <w:rPr>
          <w:rFonts w:cs="Times New Roman"/>
          <w:lang w:val="en-US"/>
        </w:rPr>
        <w:t xml:space="preserve"> not necessarily satisfy the requirement</w:t>
      </w:r>
      <w:r>
        <w:rPr>
          <w:rFonts w:cs="Times New Roman"/>
          <w:lang w:val="en-US"/>
        </w:rPr>
        <w:t>s</w:t>
      </w:r>
      <w:r w:rsidRPr="003D5D44">
        <w:rPr>
          <w:rFonts w:cs="Times New Roman"/>
          <w:lang w:val="en-US"/>
        </w:rPr>
        <w:t xml:space="preserve"> of the legal test”</w:t>
      </w:r>
      <w:r>
        <w:rPr>
          <w:rFonts w:cs="Times New Roman"/>
        </w:rPr>
        <w:t xml:space="preserve"> (</w:t>
      </w:r>
      <w:r w:rsidRPr="003D5D44">
        <w:rPr>
          <w:rFonts w:cs="Times New Roman"/>
        </w:rPr>
        <w:t>para. 26).</w:t>
      </w:r>
      <w:bookmarkEnd w:id="1"/>
      <w:bookmarkEnd w:id="2"/>
    </w:p>
    <w:p w:rsidR="003001D4" w:rsidRPr="003D5D44" w:rsidRDefault="003001D4" w:rsidP="003001D4">
      <w:pPr>
        <w:pStyle w:val="ParaNoNdepar-AltN"/>
        <w:rPr>
          <w:rFonts w:cs="Times New Roman"/>
        </w:rPr>
      </w:pPr>
      <w:r w:rsidRPr="003D5D44">
        <w:rPr>
          <w:rFonts w:cs="Times New Roman"/>
        </w:rPr>
        <w:t xml:space="preserve">To conclude on this point, the prohibited act of the offence of uttering threats will be made out if a reasonable person fully aware of the circumstances in which the words were uttered or conveyed would have perceived them to be a threat of death or bodily harm. </w:t>
      </w:r>
    </w:p>
    <w:p w:rsidR="003001D4" w:rsidRPr="003F31B9" w:rsidRDefault="00305F10" w:rsidP="00305F10">
      <w:pPr>
        <w:pStyle w:val="TitleTitre-AltT"/>
        <w:tabs>
          <w:tab w:val="clear" w:pos="360"/>
          <w:tab w:val="left" w:pos="720"/>
        </w:tabs>
        <w:ind w:left="1170" w:hanging="1260"/>
        <w:rPr>
          <w:rFonts w:cs="Times New Roman"/>
          <w:u w:val="single"/>
        </w:rPr>
      </w:pPr>
      <w:r>
        <w:rPr>
          <w:rFonts w:cs="Times New Roman"/>
        </w:rPr>
        <w:tab/>
      </w:r>
      <w:r w:rsidR="003001D4">
        <w:rPr>
          <w:rFonts w:cs="Times New Roman"/>
        </w:rPr>
        <w:t>(2</w:t>
      </w:r>
      <w:r>
        <w:rPr>
          <w:rFonts w:cs="Times New Roman"/>
        </w:rPr>
        <w:t>)</w:t>
      </w:r>
      <w:r>
        <w:rPr>
          <w:rFonts w:cs="Times New Roman"/>
        </w:rPr>
        <w:tab/>
      </w:r>
      <w:r w:rsidR="003001D4" w:rsidRPr="003F31B9">
        <w:rPr>
          <w:rFonts w:cs="Times New Roman"/>
          <w:u w:val="single"/>
        </w:rPr>
        <w:t>The Fault Element (</w:t>
      </w:r>
      <w:r w:rsidR="003001D4" w:rsidRPr="003F31B9">
        <w:rPr>
          <w:rFonts w:cs="Times New Roman"/>
          <w:i/>
          <w:u w:val="single"/>
        </w:rPr>
        <w:t>Mens Rea</w:t>
      </w:r>
      <w:r w:rsidR="003001D4" w:rsidRPr="003F31B9">
        <w:rPr>
          <w:rFonts w:cs="Times New Roman"/>
          <w:u w:val="single"/>
        </w:rPr>
        <w:t>)</w:t>
      </w:r>
    </w:p>
    <w:p w:rsidR="003001D4" w:rsidRDefault="003001D4" w:rsidP="003001D4">
      <w:pPr>
        <w:pStyle w:val="ParaNoNdepar-AltN"/>
        <w:rPr>
          <w:rFonts w:cs="Times New Roman"/>
        </w:rPr>
      </w:pPr>
      <w:r w:rsidRPr="003D5D44">
        <w:rPr>
          <w:rFonts w:cs="Times New Roman"/>
        </w:rPr>
        <w:t>The fault element is made out if it is shown that threatening words uttered or conveyed “were meant to intimidate or to be taken seriously”</w:t>
      </w:r>
      <w:r w:rsidR="001D1354">
        <w:rPr>
          <w:rFonts w:cs="Times New Roman"/>
        </w:rPr>
        <w:t xml:space="preserve"> (</w:t>
      </w:r>
      <w:r w:rsidRPr="003D5D44">
        <w:rPr>
          <w:rFonts w:cs="Times New Roman"/>
          <w:i/>
        </w:rPr>
        <w:t>Clemente</w:t>
      </w:r>
      <w:r w:rsidRPr="003D5D44">
        <w:rPr>
          <w:rFonts w:cs="Times New Roman"/>
        </w:rPr>
        <w:t xml:space="preserve">, </w:t>
      </w:r>
      <w:r>
        <w:rPr>
          <w:rFonts w:cs="Times New Roman"/>
        </w:rPr>
        <w:t xml:space="preserve">at </w:t>
      </w:r>
      <w:r w:rsidRPr="003D5D44">
        <w:rPr>
          <w:rFonts w:cs="Times New Roman"/>
        </w:rPr>
        <w:t>p. 763</w:t>
      </w:r>
      <w:r w:rsidR="001D1354">
        <w:rPr>
          <w:rFonts w:cs="Times New Roman"/>
        </w:rPr>
        <w:t>)</w:t>
      </w:r>
      <w:r>
        <w:rPr>
          <w:rFonts w:cs="Times New Roman"/>
        </w:rPr>
        <w:t>.</w:t>
      </w:r>
    </w:p>
    <w:p w:rsidR="003001D4" w:rsidRPr="001845BB" w:rsidRDefault="003001D4" w:rsidP="003001D4">
      <w:pPr>
        <w:pStyle w:val="ParaNoNdepar-AltN"/>
        <w:rPr>
          <w:rFonts w:cs="Times New Roman"/>
        </w:rPr>
      </w:pPr>
      <w:r w:rsidRPr="001845BB">
        <w:rPr>
          <w:rFonts w:cs="Times New Roman"/>
        </w:rPr>
        <w:t>It is not necessary to prove that the threat was uttered with the intent that it be conveyed to its intended recipient (</w:t>
      </w:r>
      <w:r w:rsidRPr="001845BB">
        <w:rPr>
          <w:rFonts w:cs="Times New Roman"/>
          <w:i/>
        </w:rPr>
        <w:t>Clemente</w:t>
      </w:r>
      <w:r w:rsidRPr="001845BB">
        <w:rPr>
          <w:rFonts w:cs="Times New Roman"/>
        </w:rPr>
        <w:t xml:space="preserve">, </w:t>
      </w:r>
      <w:r>
        <w:rPr>
          <w:rFonts w:cs="Times New Roman"/>
        </w:rPr>
        <w:t xml:space="preserve">at </w:t>
      </w:r>
      <w:r w:rsidRPr="001845BB">
        <w:rPr>
          <w:rFonts w:cs="Times New Roman"/>
        </w:rPr>
        <w:t>p. 763) or that the accused intended to carry out the threat (</w:t>
      </w:r>
      <w:r w:rsidRPr="001845BB">
        <w:rPr>
          <w:rFonts w:cs="Times New Roman"/>
          <w:i/>
        </w:rPr>
        <w:t>McCraw</w:t>
      </w:r>
      <w:r w:rsidRPr="001845BB">
        <w:rPr>
          <w:rFonts w:cs="Times New Roman"/>
        </w:rPr>
        <w:t xml:space="preserve">, at p. 82). Further, the fault element is disjunctive: it can be established by showing either that the accused intended to intimidate </w:t>
      </w:r>
      <w:r w:rsidRPr="001845BB">
        <w:rPr>
          <w:rFonts w:cs="Times New Roman"/>
          <w:i/>
        </w:rPr>
        <w:t>or</w:t>
      </w:r>
      <w:r w:rsidRPr="001845BB">
        <w:rPr>
          <w:rFonts w:cs="Times New Roman"/>
        </w:rPr>
        <w:t xml:space="preserve"> intended that the threats be taken seriously</w:t>
      </w:r>
      <w:r w:rsidR="001D1354">
        <w:rPr>
          <w:rFonts w:cs="Times New Roman"/>
        </w:rPr>
        <w:t xml:space="preserve"> (</w:t>
      </w:r>
      <w:r w:rsidRPr="001845BB">
        <w:rPr>
          <w:rFonts w:cs="Times New Roman"/>
        </w:rPr>
        <w:t>see</w:t>
      </w:r>
      <w:r w:rsidR="00305F10">
        <w:rPr>
          <w:rFonts w:cs="Times New Roman"/>
        </w:rPr>
        <w:t>,</w:t>
      </w:r>
      <w:r w:rsidRPr="001845BB">
        <w:rPr>
          <w:rFonts w:cs="Times New Roman"/>
        </w:rPr>
        <w:t xml:space="preserve"> e.g.</w:t>
      </w:r>
      <w:r w:rsidR="00305F10">
        <w:rPr>
          <w:rFonts w:cs="Times New Roman"/>
        </w:rPr>
        <w:t>,</w:t>
      </w:r>
      <w:r w:rsidRPr="001845BB">
        <w:rPr>
          <w:rFonts w:cs="Times New Roman"/>
        </w:rPr>
        <w:t xml:space="preserve"> </w:t>
      </w:r>
      <w:r w:rsidRPr="001845BB">
        <w:rPr>
          <w:rFonts w:cs="Times New Roman"/>
          <w:i/>
        </w:rPr>
        <w:t>Clemente</w:t>
      </w:r>
      <w:r w:rsidRPr="001845BB">
        <w:rPr>
          <w:rFonts w:cs="Times New Roman"/>
        </w:rPr>
        <w:t xml:space="preserve">, at p. 763; </w:t>
      </w:r>
      <w:r w:rsidRPr="001845BB">
        <w:rPr>
          <w:rFonts w:cs="Times New Roman"/>
          <w:i/>
        </w:rPr>
        <w:t>O’Brien</w:t>
      </w:r>
      <w:r w:rsidRPr="001845BB">
        <w:rPr>
          <w:rFonts w:cs="Times New Roman"/>
        </w:rPr>
        <w:t xml:space="preserve">, at para. 7; </w:t>
      </w:r>
      <w:r w:rsidRPr="001845BB">
        <w:rPr>
          <w:rFonts w:cs="Times New Roman"/>
          <w:i/>
        </w:rPr>
        <w:t>R. v. Neve</w:t>
      </w:r>
      <w:r w:rsidRPr="001845BB">
        <w:rPr>
          <w:rFonts w:cs="Times New Roman"/>
        </w:rPr>
        <w:t xml:space="preserve"> (1993), 145 A.R. 311 (C.A.); </w:t>
      </w:r>
      <w:r w:rsidRPr="001845BB">
        <w:rPr>
          <w:rFonts w:cs="Times New Roman"/>
          <w:i/>
        </w:rPr>
        <w:t>R. v. Hiscox</w:t>
      </w:r>
      <w:r w:rsidRPr="001845BB">
        <w:rPr>
          <w:rFonts w:cs="Times New Roman"/>
        </w:rPr>
        <w:t xml:space="preserve">, 2002 BCCA 312, 167 B.C.A.C. 315, at paras. 18 and 20; </w:t>
      </w:r>
      <w:r w:rsidRPr="001845BB">
        <w:rPr>
          <w:rFonts w:cs="Times New Roman"/>
          <w:i/>
        </w:rPr>
        <w:t>R. v. Noble</w:t>
      </w:r>
      <w:r w:rsidRPr="001845BB">
        <w:rPr>
          <w:rFonts w:cs="Times New Roman"/>
        </w:rPr>
        <w:t>, 2009 MBQB 98, 247 Man. R. (2d) 6, at paras. 28 and 32-35, aff’</w:t>
      </w:r>
      <w:r w:rsidRPr="001845BB">
        <w:rPr>
          <w:rFonts w:cs="Times New Roman"/>
          <w:lang w:val="en-US"/>
        </w:rPr>
        <w:t>d</w:t>
      </w:r>
      <w:r w:rsidRPr="001845BB">
        <w:rPr>
          <w:rFonts w:cs="Times New Roman"/>
        </w:rPr>
        <w:t xml:space="preserve"> 2010 MBCA 60, 255 Man. R. (2d) 144, at paras. 16-17; </w:t>
      </w:r>
      <w:r w:rsidRPr="001845BB">
        <w:rPr>
          <w:rFonts w:cs="Times New Roman"/>
          <w:i/>
        </w:rPr>
        <w:t>R. v. Heaney</w:t>
      </w:r>
      <w:r w:rsidRPr="001845BB">
        <w:rPr>
          <w:rFonts w:cs="Times New Roman"/>
        </w:rPr>
        <w:t xml:space="preserve">, 2013 BCCA 177 (CanLII), at para. 40; </w:t>
      </w:r>
      <w:r w:rsidRPr="001845BB">
        <w:rPr>
          <w:rFonts w:cs="Times New Roman"/>
          <w:i/>
        </w:rPr>
        <w:t>R. v. Rudnicki</w:t>
      </w:r>
      <w:r w:rsidRPr="001845BB">
        <w:rPr>
          <w:rFonts w:cs="Times New Roman"/>
        </w:rPr>
        <w:t xml:space="preserve">, </w:t>
      </w:r>
      <w:r w:rsidRPr="001845BB">
        <w:rPr>
          <w:rFonts w:cs="Times New Roman"/>
        </w:rPr>
        <w:lastRenderedPageBreak/>
        <w:t>[2004] R.J.Q. 2954 (C.A.), at para. 41;</w:t>
      </w:r>
      <w:r w:rsidRPr="001845BB">
        <w:rPr>
          <w:rFonts w:cs="Times New Roman"/>
          <w:i/>
        </w:rPr>
        <w:t xml:space="preserve"> R. v. Beyo</w:t>
      </w:r>
      <w:r w:rsidRPr="001845BB">
        <w:rPr>
          <w:rFonts w:cs="Times New Roman"/>
        </w:rPr>
        <w:t xml:space="preserve"> (2000), 47 O.R. (3d)</w:t>
      </w:r>
      <w:r>
        <w:rPr>
          <w:rFonts w:cs="Times New Roman"/>
        </w:rPr>
        <w:t xml:space="preserve"> 712</w:t>
      </w:r>
      <w:r w:rsidRPr="001845BB">
        <w:rPr>
          <w:rFonts w:cs="Times New Roman"/>
        </w:rPr>
        <w:t xml:space="preserve"> (C.A.), at para. 46</w:t>
      </w:r>
      <w:r w:rsidR="001D1354">
        <w:rPr>
          <w:rFonts w:cs="Times New Roman"/>
        </w:rPr>
        <w:t>)</w:t>
      </w:r>
      <w:r w:rsidRPr="001845BB">
        <w:rPr>
          <w:rFonts w:cs="Times New Roman"/>
        </w:rPr>
        <w:t>.</w:t>
      </w:r>
    </w:p>
    <w:p w:rsidR="003001D4" w:rsidRPr="003D5D44" w:rsidRDefault="003001D4" w:rsidP="003001D4">
      <w:pPr>
        <w:pStyle w:val="ParaNoNdepar-AltN"/>
        <w:rPr>
          <w:rFonts w:cs="Times New Roman"/>
        </w:rPr>
      </w:pPr>
      <w:r w:rsidRPr="003D5D44">
        <w:rPr>
          <w:rFonts w:cs="Times New Roman"/>
        </w:rPr>
        <w:t>The fault element here is subjective; what matters is what the accused actually intended. However, as is generally the case, the decision about what the accused actually intended may depend on inferences drawn from all of the circumstances</w:t>
      </w:r>
      <w:r w:rsidR="001D1354">
        <w:rPr>
          <w:rFonts w:cs="Times New Roman"/>
        </w:rPr>
        <w:t xml:space="preserve"> (</w:t>
      </w:r>
      <w:r w:rsidRPr="003D5D44">
        <w:rPr>
          <w:rFonts w:cs="Times New Roman"/>
        </w:rPr>
        <w:t>see</w:t>
      </w:r>
      <w:r w:rsidR="00305F10">
        <w:rPr>
          <w:rFonts w:cs="Times New Roman"/>
        </w:rPr>
        <w:t>,</w:t>
      </w:r>
      <w:r w:rsidRPr="003D5D44">
        <w:rPr>
          <w:rFonts w:cs="Times New Roman"/>
        </w:rPr>
        <w:t xml:space="preserve"> </w:t>
      </w:r>
      <w:r w:rsidRPr="001E4CE5">
        <w:rPr>
          <w:rFonts w:cs="Times New Roman"/>
        </w:rPr>
        <w:t>e.g.</w:t>
      </w:r>
      <w:r w:rsidR="00305F10">
        <w:rPr>
          <w:rFonts w:cs="Times New Roman"/>
        </w:rPr>
        <w:t>,</w:t>
      </w:r>
      <w:r w:rsidRPr="003D5D44">
        <w:rPr>
          <w:rFonts w:cs="Times New Roman"/>
        </w:rPr>
        <w:t xml:space="preserve"> </w:t>
      </w:r>
      <w:r w:rsidRPr="003D5D44">
        <w:rPr>
          <w:rFonts w:cs="Times New Roman"/>
          <w:i/>
        </w:rPr>
        <w:t>McCraw</w:t>
      </w:r>
      <w:r w:rsidRPr="001E4CE5">
        <w:rPr>
          <w:rFonts w:cs="Times New Roman"/>
        </w:rPr>
        <w:t>,</w:t>
      </w:r>
      <w:r w:rsidRPr="003D5D44">
        <w:rPr>
          <w:rFonts w:cs="Times New Roman"/>
        </w:rPr>
        <w:t xml:space="preserve"> at p. 82</w:t>
      </w:r>
      <w:r w:rsidR="001D1354">
        <w:rPr>
          <w:rFonts w:cs="Times New Roman"/>
        </w:rPr>
        <w:t>)</w:t>
      </w:r>
      <w:r w:rsidRPr="003D5D44">
        <w:rPr>
          <w:rFonts w:cs="Times New Roman"/>
        </w:rPr>
        <w:t xml:space="preserve">. Drawing these inferences is not a departure from the subjective standard of fault. In </w:t>
      </w:r>
      <w:r w:rsidRPr="003D5D44">
        <w:rPr>
          <w:rFonts w:cs="Times New Roman"/>
          <w:i/>
        </w:rPr>
        <w:t>R. v. Hundal</w:t>
      </w:r>
      <w:r w:rsidRPr="003D5D44">
        <w:rPr>
          <w:rFonts w:cs="Times New Roman"/>
        </w:rPr>
        <w:t>, [1993] 1 S.C.R. 867, Justice Cory cites the following words from Professor Stuart which explain this point:</w:t>
      </w:r>
    </w:p>
    <w:p w:rsidR="003001D4" w:rsidRPr="003D5D44" w:rsidRDefault="003001D4" w:rsidP="003001D4">
      <w:pPr>
        <w:pStyle w:val="Citation-AltC"/>
      </w:pPr>
      <w:r w:rsidRPr="003D5D44">
        <w:rPr>
          <w:u w:val="single"/>
        </w:rPr>
        <w:t>In trying to ascertain w</w:t>
      </w:r>
      <w:r>
        <w:rPr>
          <w:u w:val="single"/>
        </w:rPr>
        <w:t>hat was going on in the accused’</w:t>
      </w:r>
      <w:r w:rsidRPr="003D5D44">
        <w:rPr>
          <w:u w:val="single"/>
        </w:rPr>
        <w:t>s mind, as the subjective approach demands, the trier of fact may draw reasona</w:t>
      </w:r>
      <w:r>
        <w:rPr>
          <w:u w:val="single"/>
        </w:rPr>
        <w:t>ble inferences from the accused’</w:t>
      </w:r>
      <w:r w:rsidRPr="003D5D44">
        <w:rPr>
          <w:u w:val="single"/>
        </w:rPr>
        <w:t>s actions or words at the time of his act or in the witness box.</w:t>
      </w:r>
      <w:r w:rsidRPr="001E4CE5">
        <w:t xml:space="preserve"> </w:t>
      </w:r>
      <w:r w:rsidRPr="003D5D44">
        <w:t xml:space="preserve"> The accused may or may not be believed.  To conclude that, considering all the evidence, the Crown has proved beyond a reason</w:t>
      </w:r>
      <w:r>
        <w:t>able doubt that the accused “must”</w:t>
      </w:r>
      <w:r w:rsidRPr="003D5D44">
        <w:t xml:space="preserve"> have thought in the penalized way is no departure from the subjective substantive standard.  Resort to an objective substantive standard would only occur if the rea</w:t>
      </w:r>
      <w:r>
        <w:t>soning became that the accused “</w:t>
      </w:r>
      <w:r w:rsidRPr="003D5D44">
        <w:t xml:space="preserve">must have realized it if </w:t>
      </w:r>
      <w:r>
        <w:t>he had thought about it”. [Emphasis added: p. 883.]</w:t>
      </w:r>
    </w:p>
    <w:p w:rsidR="003001D4" w:rsidRPr="003D5D44" w:rsidRDefault="003001D4" w:rsidP="003001D4">
      <w:pPr>
        <w:pStyle w:val="ParaNoNdepar-AltN"/>
        <w:rPr>
          <w:rFonts w:cs="Times New Roman"/>
        </w:rPr>
      </w:pPr>
      <w:r w:rsidRPr="003D5D44">
        <w:rPr>
          <w:rFonts w:cs="Times New Roman"/>
          <w:i/>
        </w:rPr>
        <w:t xml:space="preserve">O’Brien </w:t>
      </w:r>
      <w:r w:rsidRPr="003D5D44">
        <w:rPr>
          <w:rFonts w:cs="Times New Roman"/>
        </w:rPr>
        <w:t>is an example. The person targeted by the threat ― the accused’s ex-girlfriend ― had testified that she had not been frightened by the accused’s words. The trial judge strongly relied on this evidence to conclude that, despite the fact that the words on their own appeared threatening, she was left with a reasonable doubt as to whether the accused had the necessary intent to threaten (2012 MBCA 6</w:t>
      </w:r>
      <w:r>
        <w:rPr>
          <w:rFonts w:cs="Times New Roman"/>
        </w:rPr>
        <w:t xml:space="preserve">, 275 Man. R. (2d) 144, </w:t>
      </w:r>
      <w:r w:rsidRPr="003D5D44">
        <w:rPr>
          <w:rFonts w:cs="Times New Roman"/>
        </w:rPr>
        <w:t>at para. 34). The perception of the alleged victim was not directly in issue, but was relevant evidence of the accused’s intent.</w:t>
      </w:r>
    </w:p>
    <w:p w:rsidR="003001D4" w:rsidRPr="003D5D44" w:rsidRDefault="003001D4" w:rsidP="003001D4">
      <w:pPr>
        <w:pStyle w:val="ParaNoNdepar-AltN"/>
        <w:rPr>
          <w:rFonts w:cs="Times New Roman"/>
        </w:rPr>
      </w:pPr>
      <w:r w:rsidRPr="003D5D44">
        <w:rPr>
          <w:rFonts w:cs="Times New Roman"/>
        </w:rPr>
        <w:lastRenderedPageBreak/>
        <w:t xml:space="preserve">Similarly, in </w:t>
      </w:r>
      <w:r w:rsidRPr="003D5D44">
        <w:rPr>
          <w:rFonts w:cs="Times New Roman"/>
          <w:i/>
        </w:rPr>
        <w:t>Noble</w:t>
      </w:r>
      <w:r w:rsidRPr="003D5D44">
        <w:rPr>
          <w:rFonts w:cs="Times New Roman"/>
        </w:rPr>
        <w:t xml:space="preserve">, the </w:t>
      </w:r>
      <w:r>
        <w:rPr>
          <w:rFonts w:cs="Times New Roman"/>
        </w:rPr>
        <w:t>c</w:t>
      </w:r>
      <w:r w:rsidRPr="003D5D44">
        <w:rPr>
          <w:rFonts w:cs="Times New Roman"/>
        </w:rPr>
        <w:t xml:space="preserve">ourt had to determine if the </w:t>
      </w:r>
      <w:r>
        <w:rPr>
          <w:rFonts w:cs="Times New Roman"/>
        </w:rPr>
        <w:t xml:space="preserve">accused intended to be taken seriously when he uttered the </w:t>
      </w:r>
      <w:r w:rsidRPr="003D5D44">
        <w:rPr>
          <w:rFonts w:cs="Times New Roman"/>
        </w:rPr>
        <w:t>words “I guess we know whose house is going to burn down”, immediately followed</w:t>
      </w:r>
      <w:r>
        <w:rPr>
          <w:rFonts w:cs="Times New Roman"/>
        </w:rPr>
        <w:t xml:space="preserve"> by “just kidding” and laughter (trial decision, at para. 1).</w:t>
      </w:r>
      <w:r w:rsidRPr="003D5D44">
        <w:rPr>
          <w:rFonts w:cs="Times New Roman"/>
        </w:rPr>
        <w:t xml:space="preserve">  The accused had uttered the words to a sheriff’s officer as he was returning to prison from court after having been sentenced for threatening to kill the Crown attorney who had successfully prosecuted him for robbery.  The trial judge found that in spite of the remark’s off-the-cuff nature and the absence of any indication that the accused was angry or upset when he uttered the words, when viewed in the larger context, the accused was aware that his words, which were very specific, would be taken seriously as a threat against that same Crown attorney (paras. 33-35).  After the first time the accused had threatened the Crown attorney, she had been the victim of an attempted home invasion. Although it was not alleged that the accused was involved, he told the media that the Crown attorney had gotten what she deserved. After she was made aware of the accused’s reference to a house burning, the Crown attorney took the comment seriously and was very frightened by it. As a result, she and her partner sold their house (trial decision, </w:t>
      </w:r>
      <w:r>
        <w:rPr>
          <w:rFonts w:cs="Times New Roman"/>
        </w:rPr>
        <w:t xml:space="preserve">at </w:t>
      </w:r>
      <w:r w:rsidRPr="003D5D44">
        <w:rPr>
          <w:rFonts w:cs="Times New Roman"/>
        </w:rPr>
        <w:t>paras. 2-19).  In addition to the Crown attorney’s reaction to the threats, the fact that the accused knew that criminal sanctions flowed from threatening language, as a result of having just been sentenced to two years</w:t>
      </w:r>
      <w:r>
        <w:rPr>
          <w:rFonts w:cs="Times New Roman"/>
        </w:rPr>
        <w:t>’</w:t>
      </w:r>
      <w:r w:rsidRPr="003D5D44">
        <w:rPr>
          <w:rFonts w:cs="Times New Roman"/>
        </w:rPr>
        <w:t xml:space="preserve"> imprisonment for uttering threats, was also an important factor with regard to the fault element in this case (para. 34). The trial judge concluded that the words might “have been blurted out on the spur of the moment, or driven by bravado, but given all the circumstances</w:t>
      </w:r>
      <w:r w:rsidR="00305F10">
        <w:rPr>
          <w:rFonts w:cs="Times New Roman"/>
        </w:rPr>
        <w:t xml:space="preserve"> </w:t>
      </w:r>
      <w:r w:rsidRPr="003D5D44">
        <w:rPr>
          <w:rFonts w:cs="Times New Roman"/>
        </w:rPr>
        <w:t>.</w:t>
      </w:r>
      <w:r>
        <w:rPr>
          <w:rFonts w:cs="Times New Roman"/>
        </w:rPr>
        <w:t xml:space="preserve"> </w:t>
      </w:r>
      <w:r w:rsidRPr="003D5D44">
        <w:rPr>
          <w:rFonts w:cs="Times New Roman"/>
        </w:rPr>
        <w:t>.</w:t>
      </w:r>
      <w:r>
        <w:rPr>
          <w:rFonts w:cs="Times New Roman"/>
        </w:rPr>
        <w:t xml:space="preserve"> </w:t>
      </w:r>
      <w:r w:rsidRPr="003D5D44">
        <w:rPr>
          <w:rFonts w:cs="Times New Roman"/>
        </w:rPr>
        <w:t>. the evidence demonstrate[d] that the accused was aware that it would be taken seriously” (para. 35).</w:t>
      </w:r>
    </w:p>
    <w:p w:rsidR="003001D4" w:rsidRPr="003D5D44" w:rsidRDefault="003001D4" w:rsidP="003001D4">
      <w:pPr>
        <w:pStyle w:val="ParaNoNdepar-AltN"/>
        <w:rPr>
          <w:rFonts w:cs="Times New Roman"/>
        </w:rPr>
      </w:pPr>
      <w:r w:rsidRPr="003D5D44">
        <w:rPr>
          <w:rFonts w:cs="Times New Roman"/>
        </w:rPr>
        <w:lastRenderedPageBreak/>
        <w:t>The Court of Appeal</w:t>
      </w:r>
      <w:r>
        <w:rPr>
          <w:rFonts w:cs="Times New Roman"/>
        </w:rPr>
        <w:t xml:space="preserve"> </w:t>
      </w:r>
      <w:r w:rsidRPr="003D5D44">
        <w:rPr>
          <w:rFonts w:cs="Times New Roman"/>
        </w:rPr>
        <w:t>f</w:t>
      </w:r>
      <w:r>
        <w:rPr>
          <w:rFonts w:cs="Times New Roman"/>
        </w:rPr>
        <w:t>or</w:t>
      </w:r>
      <w:r w:rsidRPr="003D5D44">
        <w:rPr>
          <w:rFonts w:cs="Times New Roman"/>
        </w:rPr>
        <w:t xml:space="preserve"> Manitoba confirmed the factual findings of the trial judge, specifically the contextual analysis she undertook with regard to the fault element (</w:t>
      </w:r>
      <w:r w:rsidRPr="00DF3073">
        <w:rPr>
          <w:rFonts w:cs="Times New Roman"/>
          <w:i/>
        </w:rPr>
        <w:t>Noble</w:t>
      </w:r>
      <w:r>
        <w:rPr>
          <w:rFonts w:cs="Times New Roman"/>
        </w:rPr>
        <w:t xml:space="preserve">, at </w:t>
      </w:r>
      <w:r w:rsidRPr="003D5D44">
        <w:rPr>
          <w:rFonts w:cs="Times New Roman"/>
        </w:rPr>
        <w:t>para. 17).</w:t>
      </w:r>
    </w:p>
    <w:p w:rsidR="003001D4" w:rsidRPr="003D5D44" w:rsidRDefault="003001D4" w:rsidP="003001D4">
      <w:pPr>
        <w:pStyle w:val="ParaNoNdepar-AltN"/>
        <w:rPr>
          <w:rFonts w:cs="Times New Roman"/>
        </w:rPr>
      </w:pPr>
      <w:r w:rsidRPr="003D5D44">
        <w:rPr>
          <w:rFonts w:cs="Times New Roman"/>
        </w:rPr>
        <w:t xml:space="preserve">To sum up, the fault element of the offence is made out if the accused intended the words uttered or conveyed to intimidate </w:t>
      </w:r>
      <w:r w:rsidRPr="003D5D44">
        <w:rPr>
          <w:rFonts w:cs="Times New Roman"/>
          <w:i/>
        </w:rPr>
        <w:t xml:space="preserve">or </w:t>
      </w:r>
      <w:r w:rsidRPr="003D5D44">
        <w:rPr>
          <w:rFonts w:cs="Times New Roman"/>
        </w:rPr>
        <w:t xml:space="preserve">to be taken seriously. It is not necessary to prove an intent that the words be conveyed to the subject of the threat. A subjective standard of fault applies. However, in order to determine what was in the accused’s mind, a court will often have to draw reasonable inferences from the words and the circumstances, including how the words were perceived by those hearing them. </w:t>
      </w:r>
    </w:p>
    <w:p w:rsidR="003001D4" w:rsidRPr="003D5D44" w:rsidRDefault="003001D4" w:rsidP="008A7297">
      <w:pPr>
        <w:pStyle w:val="TitleTitre-AltT"/>
        <w:tabs>
          <w:tab w:val="clear" w:pos="360"/>
          <w:tab w:val="left" w:pos="540"/>
        </w:tabs>
        <w:ind w:left="540" w:hanging="540"/>
        <w:rPr>
          <w:rFonts w:cs="Times New Roman"/>
        </w:rPr>
      </w:pPr>
      <w:r w:rsidRPr="003D5D44">
        <w:rPr>
          <w:rFonts w:cs="Times New Roman"/>
        </w:rPr>
        <w:t xml:space="preserve">B. </w:t>
      </w:r>
      <w:r w:rsidR="008A7297">
        <w:rPr>
          <w:rFonts w:cs="Times New Roman"/>
        </w:rPr>
        <w:tab/>
      </w:r>
      <w:r w:rsidRPr="003D5D44">
        <w:rPr>
          <w:rFonts w:cs="Times New Roman"/>
          <w:i/>
        </w:rPr>
        <w:t>First Issue:</w:t>
      </w:r>
      <w:r w:rsidRPr="003D5D44">
        <w:rPr>
          <w:rFonts w:cs="Times New Roman"/>
        </w:rPr>
        <w:t xml:space="preserve"> </w:t>
      </w:r>
      <w:r w:rsidRPr="003D5D44">
        <w:rPr>
          <w:rFonts w:cs="Times New Roman"/>
          <w:i/>
        </w:rPr>
        <w:t>Is the Confidential Nature of a Threat Relevant to the Analysis?</w:t>
      </w:r>
    </w:p>
    <w:p w:rsidR="003001D4" w:rsidRPr="003D5D44" w:rsidRDefault="003001D4" w:rsidP="003001D4">
      <w:pPr>
        <w:pStyle w:val="ParaNoNdepar-AltN"/>
        <w:rPr>
          <w:rFonts w:cs="Times New Roman"/>
          <w:lang w:val="en-US"/>
        </w:rPr>
      </w:pPr>
      <w:r w:rsidRPr="003D5D44">
        <w:rPr>
          <w:rFonts w:cs="Times New Roman"/>
          <w:lang w:val="en-US"/>
        </w:rPr>
        <w:t xml:space="preserve">In our view, both the trial judge and the Court of Appeal erred in law in finding that the elements of the offence had not been made out because the threats were conveyed in a so-called “closed circle”. Even if it is true that the respondent could have expected his words to remain confidential, a conclusion we would not necessarily be ready to confirm, this does not preclude a finding that both the prohibited act and the fault element of the offence had been made out. This is so because, as explained above, it is not necessary to prove that the threats were conveyed to their intended recipients (prohibited act) or that the accused intended the threats to be so conveyed (fault element). Further, it is not necessary to prove that anyone was actually intimidated by the threats (prohibited act) or that the accused </w:t>
      </w:r>
      <w:r w:rsidRPr="003D5D44">
        <w:rPr>
          <w:rFonts w:cs="Times New Roman"/>
          <w:lang w:val="en-US"/>
        </w:rPr>
        <w:lastRenderedPageBreak/>
        <w:t>specifically intended to intimidate anyone (fault element). The concept of the “closed circle” is therefore legally wrong.  Threats are tools of intimidation and violence.  As such, in any circumstance where threats are spoken with the intent that they be taken seriously, even to third parties, the elements of the offence will be made out.  As we explain below, the</w:t>
      </w:r>
      <w:r>
        <w:rPr>
          <w:rFonts w:cs="Times New Roman"/>
          <w:lang w:val="en-US"/>
        </w:rPr>
        <w:t xml:space="preserve"> </w:t>
      </w:r>
      <w:r w:rsidRPr="003D5D44">
        <w:rPr>
          <w:rFonts w:cs="Times New Roman"/>
          <w:lang w:val="en-US"/>
        </w:rPr>
        <w:t xml:space="preserve">trial judge erred in both respects with regard to the fault element, and the Court of Appeal erred in both respects with regard to the </w:t>
      </w:r>
      <w:r w:rsidRPr="003D5D44">
        <w:rPr>
          <w:rFonts w:cs="Times New Roman"/>
        </w:rPr>
        <w:t>prohibited act</w:t>
      </w:r>
      <w:r w:rsidRPr="003D5D44">
        <w:rPr>
          <w:rFonts w:cs="Times New Roman"/>
          <w:lang w:val="en-US"/>
        </w:rPr>
        <w:t xml:space="preserve"> and the fault element. </w:t>
      </w:r>
    </w:p>
    <w:p w:rsidR="003001D4" w:rsidRPr="003D5D44" w:rsidRDefault="008A7297" w:rsidP="008A7297">
      <w:pPr>
        <w:pStyle w:val="TitleTitre-AltT"/>
        <w:tabs>
          <w:tab w:val="clear" w:pos="360"/>
          <w:tab w:val="left" w:pos="720"/>
        </w:tabs>
        <w:ind w:left="1170" w:hanging="1260"/>
        <w:rPr>
          <w:rFonts w:cs="Times New Roman"/>
        </w:rPr>
      </w:pPr>
      <w:r>
        <w:rPr>
          <w:rFonts w:cs="Times New Roman"/>
        </w:rPr>
        <w:tab/>
      </w:r>
      <w:r w:rsidR="003001D4" w:rsidRPr="003D5D44">
        <w:rPr>
          <w:rFonts w:cs="Times New Roman"/>
        </w:rPr>
        <w:t>(</w:t>
      </w:r>
      <w:r w:rsidR="003001D4">
        <w:rPr>
          <w:rFonts w:cs="Times New Roman"/>
        </w:rPr>
        <w:t>1</w:t>
      </w:r>
      <w:r>
        <w:rPr>
          <w:rFonts w:cs="Times New Roman"/>
        </w:rPr>
        <w:t>)</w:t>
      </w:r>
      <w:r>
        <w:rPr>
          <w:rFonts w:cs="Times New Roman"/>
        </w:rPr>
        <w:tab/>
      </w:r>
      <w:r w:rsidR="003001D4" w:rsidRPr="00DF3073">
        <w:rPr>
          <w:rFonts w:cs="Times New Roman"/>
          <w:u w:val="single"/>
        </w:rPr>
        <w:t>The Prohibited Act</w:t>
      </w:r>
      <w:r w:rsidR="003001D4" w:rsidRPr="003D5D44">
        <w:rPr>
          <w:rFonts w:cs="Times New Roman"/>
          <w:i/>
        </w:rPr>
        <w:t xml:space="preserve"> </w:t>
      </w:r>
    </w:p>
    <w:p w:rsidR="003001D4" w:rsidRPr="00EF462B" w:rsidRDefault="003001D4" w:rsidP="003001D4">
      <w:pPr>
        <w:pStyle w:val="ParaNoNdepar-AltN"/>
      </w:pPr>
      <w:r w:rsidRPr="00EF462B">
        <w:t>The trial judge did not specifically address the prohibited act of the offence. For its part, the Court of Appeal found that the “words used by the respondent, considered objectively, may raise serious concerns that acts likely to cause death or bodily harm will occur at the respondent’s behest” and that this was “in fact what the respondent’s fellow inmates understood him to mean” (para. 8). However, the court found that “when these words and comments are put in context”, they did not constitute a threat (para. 8). The court described that context as follow</w:t>
      </w:r>
      <w:r>
        <w:t>s</w:t>
      </w:r>
      <w:r w:rsidRPr="00EF462B">
        <w:t>:</w:t>
      </w:r>
    </w:p>
    <w:p w:rsidR="003001D4" w:rsidRPr="003D5D44" w:rsidRDefault="003001D4" w:rsidP="003001D4">
      <w:pPr>
        <w:pStyle w:val="Citation-AltC"/>
      </w:pPr>
      <w:r>
        <w:tab/>
      </w:r>
      <w:r w:rsidRPr="003D5D44">
        <w:t xml:space="preserve">The comments transmitted or conveyed by the respondent to three fellow </w:t>
      </w:r>
      <w:r>
        <w:t>inmates cannot be likened to a “</w:t>
      </w:r>
      <w:r w:rsidRPr="003D5D44">
        <w:t>tool of intimidation which is designed to instill a sense of fear in its recipient</w:t>
      </w:r>
      <w:r>
        <w:t>”</w:t>
      </w:r>
      <w:r w:rsidRPr="003D5D44">
        <w:t>; rather, it is on par with a threatening letter that is never sent in the mail. These conversations took place in a closed circle. The mere expression of a thought is not enough to attribute a criminal act. As the trial judge ri</w:t>
      </w:r>
      <w:r>
        <w:t>ghtly pointed out, there is no “</w:t>
      </w:r>
      <w:r w:rsidRPr="003D5D44">
        <w:t>recipient</w:t>
      </w:r>
      <w:r>
        <w:t>”</w:t>
      </w:r>
      <w:r w:rsidRPr="003D5D44">
        <w:t xml:space="preserve"> here. The comments made are [</w:t>
      </w:r>
      <w:r>
        <w:rPr>
          <w:smallCaps/>
        </w:rPr>
        <w:t>translation</w:t>
      </w:r>
      <w:r w:rsidRPr="003D5D44">
        <w:t xml:space="preserve">] </w:t>
      </w:r>
      <w:r>
        <w:t>“an expression of a criminal’</w:t>
      </w:r>
      <w:r w:rsidRPr="003D5D44">
        <w:t>s frustration and outrage at feelin</w:t>
      </w:r>
      <w:r>
        <w:t>g caught by the judicial system”</w:t>
      </w:r>
      <w:r w:rsidRPr="003D5D44">
        <w:t>. The element of fear instilled in a victim is therefore absent.</w:t>
      </w:r>
      <w:r>
        <w:t xml:space="preserve"> [para. 9]</w:t>
      </w:r>
    </w:p>
    <w:p w:rsidR="003001D4" w:rsidRPr="003D5D44" w:rsidRDefault="003001D4" w:rsidP="003001D4">
      <w:pPr>
        <w:pStyle w:val="ParaNoNdepar-AltN"/>
        <w:rPr>
          <w:rFonts w:cs="Times New Roman"/>
        </w:rPr>
      </w:pPr>
      <w:r w:rsidRPr="003D5D44">
        <w:rPr>
          <w:rFonts w:cs="Times New Roman"/>
        </w:rPr>
        <w:lastRenderedPageBreak/>
        <w:t xml:space="preserve">In sum, the Court of Appeal concluded that the words did not amount to threats because they were not conveyed to their intended recipients and they did not cause anyone to be fearful or intimidated. As we see it, in light of the legal principles </w:t>
      </w:r>
      <w:r w:rsidRPr="003D5D44">
        <w:rPr>
          <w:rFonts w:cs="Times New Roman"/>
          <w:lang w:val="en-US"/>
        </w:rPr>
        <w:t>reviewed above</w:t>
      </w:r>
      <w:r>
        <w:rPr>
          <w:rFonts w:cs="Times New Roman"/>
        </w:rPr>
        <w:t>, the c</w:t>
      </w:r>
      <w:r w:rsidRPr="003D5D44">
        <w:rPr>
          <w:rFonts w:cs="Times New Roman"/>
        </w:rPr>
        <w:t>ourt erred in this conclusion: in our view, it is not necessary to prove that the threats were conveyed to their intended recipients or to prove that anyone was actually intimidated or made fearful as a result of the words uttered in order to make out the prohibited act of the offence.</w:t>
      </w:r>
    </w:p>
    <w:p w:rsidR="003001D4" w:rsidRPr="003D5D44" w:rsidRDefault="008A7297" w:rsidP="008A7297">
      <w:pPr>
        <w:pStyle w:val="TitleTitre-AltT"/>
        <w:tabs>
          <w:tab w:val="clear" w:pos="360"/>
          <w:tab w:val="left" w:pos="720"/>
        </w:tabs>
        <w:ind w:left="1170" w:hanging="1260"/>
        <w:rPr>
          <w:rFonts w:cs="Times New Roman"/>
        </w:rPr>
      </w:pPr>
      <w:r>
        <w:rPr>
          <w:rFonts w:cs="Times New Roman"/>
        </w:rPr>
        <w:tab/>
      </w:r>
      <w:r w:rsidR="003001D4">
        <w:rPr>
          <w:rFonts w:cs="Times New Roman"/>
        </w:rPr>
        <w:t>(2</w:t>
      </w:r>
      <w:r w:rsidR="003001D4" w:rsidRPr="003D5D44">
        <w:rPr>
          <w:rFonts w:cs="Times New Roman"/>
        </w:rPr>
        <w:t xml:space="preserve">) </w:t>
      </w:r>
      <w:r>
        <w:rPr>
          <w:rFonts w:cs="Times New Roman"/>
        </w:rPr>
        <w:tab/>
      </w:r>
      <w:r w:rsidR="003001D4" w:rsidRPr="00DF3073">
        <w:rPr>
          <w:rFonts w:cs="Times New Roman"/>
          <w:u w:val="single"/>
        </w:rPr>
        <w:t>The Fault Element</w:t>
      </w:r>
      <w:r w:rsidR="003001D4" w:rsidRPr="003D5D44">
        <w:rPr>
          <w:rFonts w:cs="Times New Roman"/>
          <w:i/>
        </w:rPr>
        <w:t xml:space="preserve"> </w:t>
      </w:r>
    </w:p>
    <w:p w:rsidR="003001D4" w:rsidRPr="003D5D44" w:rsidRDefault="003001D4" w:rsidP="003001D4">
      <w:pPr>
        <w:pStyle w:val="ParaNoNdepar-AltN"/>
        <w:rPr>
          <w:rFonts w:cs="Times New Roman"/>
        </w:rPr>
      </w:pPr>
      <w:r w:rsidRPr="003D5D44">
        <w:rPr>
          <w:rFonts w:cs="Times New Roman"/>
        </w:rPr>
        <w:t xml:space="preserve">The trial judge’s reasons only addressed the </w:t>
      </w:r>
      <w:r w:rsidRPr="003D5D44">
        <w:rPr>
          <w:rFonts w:cs="Times New Roman"/>
          <w:lang w:val="en-US"/>
        </w:rPr>
        <w:t>fault element</w:t>
      </w:r>
      <w:r w:rsidRPr="003D5D44">
        <w:rPr>
          <w:rFonts w:cs="Times New Roman"/>
        </w:rPr>
        <w:t xml:space="preserve"> of the offence. He held that the </w:t>
      </w:r>
      <w:r w:rsidRPr="003D5D44">
        <w:rPr>
          <w:rFonts w:cs="Times New Roman"/>
          <w:lang w:val="en-US"/>
        </w:rPr>
        <w:t>fault element</w:t>
      </w:r>
      <w:r w:rsidRPr="003D5D44">
        <w:rPr>
          <w:rFonts w:cs="Times New Roman"/>
        </w:rPr>
        <w:t xml:space="preserve"> had not been made out because</w:t>
      </w:r>
      <w:r>
        <w:rPr>
          <w:rFonts w:cs="Times New Roman"/>
        </w:rPr>
        <w:t xml:space="preserve"> [</w:t>
      </w:r>
      <w:r>
        <w:rPr>
          <w:rFonts w:cs="Times New Roman"/>
          <w:smallCaps/>
        </w:rPr>
        <w:t>translation</w:t>
      </w:r>
      <w:r>
        <w:rPr>
          <w:rFonts w:cs="Times New Roman"/>
        </w:rPr>
        <w:t>]</w:t>
      </w:r>
      <w:r w:rsidRPr="003D5D44">
        <w:rPr>
          <w:rFonts w:cs="Times New Roman"/>
        </w:rPr>
        <w:t xml:space="preserve"> </w:t>
      </w:r>
      <w:r>
        <w:rPr>
          <w:rFonts w:cs="Times New Roman"/>
        </w:rPr>
        <w:t>“the evidence</w:t>
      </w:r>
      <w:r w:rsidRPr="003D5D44">
        <w:rPr>
          <w:rFonts w:cs="Times New Roman"/>
        </w:rPr>
        <w:t xml:space="preserve"> </w:t>
      </w:r>
      <w:r>
        <w:rPr>
          <w:rFonts w:cs="Times New Roman"/>
        </w:rPr>
        <w:t>d</w:t>
      </w:r>
      <w:r w:rsidRPr="003D5D44">
        <w:rPr>
          <w:rFonts w:cs="Times New Roman"/>
        </w:rPr>
        <w:t>[id] not establish that the words used by the accused when addressing Collin and Cloutier were intended to reach the ears of the possible or potential witnesses”</w:t>
      </w:r>
      <w:r w:rsidR="008A7297" w:rsidRPr="008A7297">
        <w:rPr>
          <w:rStyle w:val="FootnoteReference"/>
          <w:rFonts w:cs="Times New Roman"/>
        </w:rPr>
        <w:t xml:space="preserve"> </w:t>
      </w:r>
      <w:r w:rsidR="008A7297" w:rsidRPr="003D5D44">
        <w:rPr>
          <w:rStyle w:val="FootnoteReference"/>
          <w:rFonts w:cs="Times New Roman"/>
        </w:rPr>
        <w:footnoteReference w:id="1"/>
      </w:r>
      <w:r w:rsidR="008A7297" w:rsidRPr="003D5D44">
        <w:rPr>
          <w:rFonts w:cs="Times New Roman"/>
        </w:rPr>
        <w:t xml:space="preserve"> </w:t>
      </w:r>
      <w:r w:rsidRPr="003D5D44">
        <w:rPr>
          <w:rFonts w:cs="Times New Roman"/>
        </w:rPr>
        <w:t xml:space="preserve"> (para. 14). He found that it would have been different if the respondent intended to convey a message to the potential informers in order to dissuade them from testifying (para. 14). Similarly, he found that the respondent could not have imagined that if Mr. Cloutier and Mr. Collin conveyed the words to the Crown prosecutor or the officer-investigator that their attitude might change (para. 15). Thus, in the trial judge’s opinion, the respondent did not have the necessary intent to utter threats towards any of the complainants.</w:t>
      </w:r>
    </w:p>
    <w:p w:rsidR="003001D4" w:rsidRPr="001845BB" w:rsidRDefault="003001D4" w:rsidP="003001D4">
      <w:pPr>
        <w:pStyle w:val="ParaNoNdepar-AltN"/>
      </w:pPr>
      <w:r w:rsidRPr="001845BB">
        <w:lastRenderedPageBreak/>
        <w:t>The Court of Appeal for Quebec confirmed the trial judge’s findings that the words “</w:t>
      </w:r>
      <w:r w:rsidRPr="001845BB">
        <w:rPr>
          <w:lang w:val="en-US"/>
        </w:rPr>
        <w:t>were [not] intended to reach the ears of the possible or potential witnesses” and that Mr. Cloutier and Mr. Collin were not “supposed to, either implicitly or explicitly, convey this message to the persons concerned” (para. 16). In short, the fault element was not made out because there was no intent to intimidate (para. 16). The court concluded, with regard to the fault element:</w:t>
      </w:r>
    </w:p>
    <w:p w:rsidR="003001D4" w:rsidRPr="003D5D44" w:rsidRDefault="003001D4" w:rsidP="003001D4">
      <w:pPr>
        <w:pStyle w:val="Citation-AltC"/>
        <w:rPr>
          <w:lang w:val="en-US"/>
        </w:rPr>
      </w:pPr>
      <w:r>
        <w:rPr>
          <w:lang w:val="en-US"/>
        </w:rPr>
        <w:tab/>
      </w:r>
      <w:r w:rsidRPr="003D5D44">
        <w:rPr>
          <w:lang w:val="en-US"/>
        </w:rPr>
        <w:t xml:space="preserve">The respondent did not present any evidence and he did not testify. It is difficult to know what he was thinking. Did he believe that his comments would be reported and could scare the persons contemplated in his plans? The judge rejected this theory, deeming it to be neither likely nor logical. It may be that the judge speculated on this matter, but the fact remains that the burden of proving wrongful intent ― </w:t>
      </w:r>
      <w:r>
        <w:rPr>
          <w:u w:val="single"/>
          <w:lang w:val="en-US"/>
        </w:rPr>
        <w:t>that is, the respondent’</w:t>
      </w:r>
      <w:r w:rsidRPr="003D5D44">
        <w:rPr>
          <w:u w:val="single"/>
          <w:lang w:val="en-US"/>
        </w:rPr>
        <w:t>s intent to attempt to intimidate</w:t>
      </w:r>
      <w:r w:rsidRPr="003D5D44">
        <w:rPr>
          <w:lang w:val="en-US"/>
        </w:rPr>
        <w:t xml:space="preserve"> ― rested with the Crown, who failed to discharge it. </w:t>
      </w:r>
      <w:r>
        <w:rPr>
          <w:lang w:val="en-US"/>
        </w:rPr>
        <w:t>[Emphasis added; para. 18.]</w:t>
      </w:r>
    </w:p>
    <w:p w:rsidR="003001D4" w:rsidRPr="003D5D44" w:rsidRDefault="003001D4" w:rsidP="003001D4">
      <w:pPr>
        <w:pStyle w:val="ParaNoNdepar-AltN"/>
        <w:rPr>
          <w:rFonts w:cs="Times New Roman"/>
          <w:lang w:val="en-US"/>
        </w:rPr>
      </w:pPr>
      <w:r w:rsidRPr="003D5D44">
        <w:rPr>
          <w:rFonts w:cs="Times New Roman"/>
        </w:rPr>
        <w:t xml:space="preserve">In our view, both the trial judge and the Court of Appeal erred in finding that in order to make out the </w:t>
      </w:r>
      <w:r w:rsidRPr="003D5D44">
        <w:rPr>
          <w:rFonts w:cs="Times New Roman"/>
          <w:lang w:val="en-US"/>
        </w:rPr>
        <w:t>fault element</w:t>
      </w:r>
      <w:r w:rsidRPr="003D5D44">
        <w:rPr>
          <w:rFonts w:cs="Times New Roman"/>
        </w:rPr>
        <w:t xml:space="preserve"> it was necessary to prove that the accused intended the words to be transmitted to their objects/recipient</w:t>
      </w:r>
      <w:r>
        <w:rPr>
          <w:rFonts w:cs="Times New Roman"/>
        </w:rPr>
        <w:t>s</w:t>
      </w:r>
      <w:r w:rsidRPr="003D5D44">
        <w:rPr>
          <w:rFonts w:cs="Times New Roman"/>
        </w:rPr>
        <w:t xml:space="preserve"> and specifically intended to intimidate the ultimate objects of the threats.</w:t>
      </w:r>
      <w:r>
        <w:rPr>
          <w:rFonts w:cs="Times New Roman"/>
        </w:rPr>
        <w:t xml:space="preserve"> It would have been sufficient had</w:t>
      </w:r>
      <w:r w:rsidRPr="003D5D44">
        <w:rPr>
          <w:rFonts w:cs="Times New Roman"/>
        </w:rPr>
        <w:t xml:space="preserve"> the respondent intended that the threats be taken seriously by those to whom the words were spoken.</w:t>
      </w:r>
    </w:p>
    <w:p w:rsidR="003001D4" w:rsidRPr="003D5D44" w:rsidRDefault="003001D4" w:rsidP="008A7297">
      <w:pPr>
        <w:pStyle w:val="TitleTitre-AltT"/>
        <w:tabs>
          <w:tab w:val="clear" w:pos="360"/>
          <w:tab w:val="left" w:pos="540"/>
        </w:tabs>
        <w:ind w:left="540" w:hanging="540"/>
        <w:rPr>
          <w:rFonts w:cs="Times New Roman"/>
          <w:i/>
        </w:rPr>
      </w:pPr>
      <w:r w:rsidRPr="003D5D44">
        <w:rPr>
          <w:rFonts w:cs="Times New Roman"/>
        </w:rPr>
        <w:t xml:space="preserve">C. </w:t>
      </w:r>
      <w:r w:rsidRPr="003D5D44">
        <w:rPr>
          <w:rFonts w:cs="Times New Roman"/>
          <w:i/>
        </w:rPr>
        <w:t>Second Issue:</w:t>
      </w:r>
      <w:r w:rsidRPr="003D5D44">
        <w:rPr>
          <w:rFonts w:cs="Times New Roman"/>
        </w:rPr>
        <w:t xml:space="preserve"> </w:t>
      </w:r>
      <w:r w:rsidRPr="003D5D44">
        <w:rPr>
          <w:rFonts w:cs="Times New Roman"/>
          <w:i/>
        </w:rPr>
        <w:t>Should the Acquittal Be Set Aside?</w:t>
      </w:r>
    </w:p>
    <w:p w:rsidR="003001D4" w:rsidRPr="003D5D44" w:rsidRDefault="003001D4" w:rsidP="003001D4">
      <w:pPr>
        <w:pStyle w:val="ParaNoNdepar-AltN"/>
        <w:rPr>
          <w:rFonts w:cs="Times New Roman"/>
        </w:rPr>
      </w:pPr>
      <w:r w:rsidRPr="003D5D44">
        <w:rPr>
          <w:rFonts w:cs="Times New Roman"/>
        </w:rPr>
        <w:t xml:space="preserve">To succeed on appeal against an acquittal, the Crown must show that the legal error or errors of the trial judge “might reasonably be thought, in the concrete </w:t>
      </w:r>
      <w:r w:rsidRPr="003D5D44">
        <w:rPr>
          <w:rFonts w:cs="Times New Roman"/>
        </w:rPr>
        <w:lastRenderedPageBreak/>
        <w:t>reality of the case at hand, to have had a material bearing on the acquittal”</w:t>
      </w:r>
      <w:r w:rsidR="001D1354">
        <w:rPr>
          <w:rFonts w:cs="Times New Roman"/>
        </w:rPr>
        <w:t xml:space="preserve"> (</w:t>
      </w:r>
      <w:r w:rsidRPr="003D5D44">
        <w:rPr>
          <w:rFonts w:cs="Times New Roman"/>
          <w:i/>
        </w:rPr>
        <w:t>R. v. Graveline</w:t>
      </w:r>
      <w:r w:rsidRPr="003D5D44">
        <w:rPr>
          <w:rFonts w:cs="Times New Roman"/>
        </w:rPr>
        <w:t>, 2006 SCC 16, [2006] 1 S.C.R. 609</w:t>
      </w:r>
      <w:r>
        <w:rPr>
          <w:rFonts w:cs="Times New Roman"/>
        </w:rPr>
        <w:t>,</w:t>
      </w:r>
      <w:r w:rsidRPr="003D5D44">
        <w:rPr>
          <w:rFonts w:cs="Times New Roman"/>
        </w:rPr>
        <w:t xml:space="preserve"> at para. 14</w:t>
      </w:r>
      <w:r w:rsidR="001D1354">
        <w:rPr>
          <w:rFonts w:cs="Times New Roman"/>
        </w:rPr>
        <w:t>)</w:t>
      </w:r>
      <w:r w:rsidRPr="003D5D44">
        <w:rPr>
          <w:rFonts w:cs="Times New Roman"/>
        </w:rPr>
        <w:t xml:space="preserve">. </w:t>
      </w:r>
    </w:p>
    <w:p w:rsidR="003001D4" w:rsidRPr="003D5D44" w:rsidRDefault="003001D4" w:rsidP="003001D4">
      <w:pPr>
        <w:pStyle w:val="ParaNoNdepar-AltN"/>
        <w:rPr>
          <w:rFonts w:cs="Times New Roman"/>
        </w:rPr>
      </w:pPr>
      <w:r w:rsidRPr="003D5D44">
        <w:rPr>
          <w:rFonts w:cs="Times New Roman"/>
        </w:rPr>
        <w:t xml:space="preserve">As we explained above, the trial judge erred with regard to the </w:t>
      </w:r>
      <w:r w:rsidRPr="003D5D44">
        <w:rPr>
          <w:rFonts w:cs="Times New Roman"/>
          <w:lang w:val="en-US"/>
        </w:rPr>
        <w:t>fault element</w:t>
      </w:r>
      <w:r w:rsidRPr="003D5D44">
        <w:rPr>
          <w:rFonts w:cs="Times New Roman"/>
        </w:rPr>
        <w:t xml:space="preserve"> in finding that it was necessary to prove that the respondent intended his threats to be conveyed to the intended victims in order to intimidate them. He acquitted the </w:t>
      </w:r>
      <w:r>
        <w:rPr>
          <w:rFonts w:cs="Times New Roman"/>
        </w:rPr>
        <w:t>respondent</w:t>
      </w:r>
      <w:r w:rsidRPr="003D5D44">
        <w:rPr>
          <w:rFonts w:cs="Times New Roman"/>
        </w:rPr>
        <w:t xml:space="preserve"> on the basis of a lack of intent to convey the threats and failed to consider the </w:t>
      </w:r>
      <w:r w:rsidRPr="003D5D44">
        <w:rPr>
          <w:rFonts w:cs="Times New Roman"/>
          <w:lang w:val="en-US"/>
        </w:rPr>
        <w:t xml:space="preserve">disjunctive nature of the fault element required for this offence: </w:t>
      </w:r>
      <w:r w:rsidRPr="003D5D44">
        <w:rPr>
          <w:rFonts w:cs="Times New Roman"/>
          <w:i/>
          <w:lang w:val="en-US"/>
        </w:rPr>
        <w:t>either</w:t>
      </w:r>
      <w:r w:rsidRPr="003D5D44">
        <w:rPr>
          <w:rFonts w:cs="Times New Roman"/>
          <w:lang w:val="en-US"/>
        </w:rPr>
        <w:t xml:space="preserve"> the intent to intimidate, </w:t>
      </w:r>
      <w:r w:rsidRPr="003D5D44">
        <w:rPr>
          <w:rFonts w:cs="Times New Roman"/>
          <w:i/>
          <w:lang w:val="en-US"/>
        </w:rPr>
        <w:t>or</w:t>
      </w:r>
      <w:r w:rsidRPr="003D5D44">
        <w:rPr>
          <w:rFonts w:cs="Times New Roman"/>
          <w:lang w:val="en-US"/>
        </w:rPr>
        <w:t xml:space="preserve"> the intent to be taken seriously.</w:t>
      </w:r>
    </w:p>
    <w:p w:rsidR="003001D4" w:rsidRPr="003D5D44" w:rsidRDefault="003001D4" w:rsidP="003001D4">
      <w:pPr>
        <w:pStyle w:val="ParaNoNdepar-AltN"/>
        <w:rPr>
          <w:rFonts w:cs="Times New Roman"/>
        </w:rPr>
      </w:pPr>
      <w:r w:rsidRPr="003D5D44">
        <w:rPr>
          <w:rFonts w:cs="Times New Roman"/>
        </w:rPr>
        <w:t xml:space="preserve">In spite of this error of law, the trial judge made a number of findings potentially relevant to the </w:t>
      </w:r>
      <w:r>
        <w:rPr>
          <w:rFonts w:cs="Times New Roman"/>
        </w:rPr>
        <w:t>respondent’s</w:t>
      </w:r>
      <w:r w:rsidRPr="003D5D44">
        <w:rPr>
          <w:rFonts w:cs="Times New Roman"/>
        </w:rPr>
        <w:t xml:space="preserve"> intent. We must therefore consider whether these findings were affected by the legal error and if not, whether they provide a legal basis for the trial judge’s decision to acquit. As we see it, the judge’s findings are inextricably linked to his legal error as to the necessary intent and do not provide a correct legal basis for the acquittals.</w:t>
      </w:r>
    </w:p>
    <w:p w:rsidR="003001D4" w:rsidRPr="003D5D44" w:rsidRDefault="003001D4" w:rsidP="003001D4">
      <w:pPr>
        <w:pStyle w:val="ParaNoNdepar-AltN"/>
        <w:rPr>
          <w:rFonts w:cs="Times New Roman"/>
        </w:rPr>
      </w:pPr>
      <w:r w:rsidRPr="003D5D44">
        <w:rPr>
          <w:rFonts w:cs="Times New Roman"/>
        </w:rPr>
        <w:t xml:space="preserve">The trial judge found, with regard to the fault </w:t>
      </w:r>
      <w:r w:rsidRPr="003D5D44">
        <w:rPr>
          <w:rFonts w:cs="Times New Roman"/>
          <w:lang w:val="en-US"/>
        </w:rPr>
        <w:t>element</w:t>
      </w:r>
      <w:r w:rsidRPr="003D5D44">
        <w:rPr>
          <w:rFonts w:cs="Times New Roman"/>
        </w:rPr>
        <w:t xml:space="preserve">, that the respondent’s intent was </w:t>
      </w:r>
      <w:r w:rsidR="008A7297">
        <w:rPr>
          <w:rFonts w:cs="Times New Roman"/>
        </w:rPr>
        <w:t>[</w:t>
      </w:r>
      <w:r w:rsidR="008A7297" w:rsidRPr="008A7297">
        <w:rPr>
          <w:rFonts w:cs="Times New Roman"/>
          <w:smallCaps/>
        </w:rPr>
        <w:t>translation</w:t>
      </w:r>
      <w:r w:rsidR="008A7297">
        <w:rPr>
          <w:rFonts w:cs="Times New Roman"/>
        </w:rPr>
        <w:t xml:space="preserve">] </w:t>
      </w:r>
      <w:r w:rsidRPr="003D5D44">
        <w:rPr>
          <w:rFonts w:cs="Times New Roman"/>
        </w:rPr>
        <w:t>“to seek revenge once the trial was over because they [the witnesses] had informed on him” (para. 14). He found that the respondent’s words were “the expression of a c</w:t>
      </w:r>
      <w:r>
        <w:rPr>
          <w:rFonts w:cs="Times New Roman"/>
        </w:rPr>
        <w:t>riminal’</w:t>
      </w:r>
      <w:r w:rsidRPr="003D5D44">
        <w:rPr>
          <w:rFonts w:cs="Times New Roman"/>
        </w:rPr>
        <w:t xml:space="preserve">s frustration and outrage at </w:t>
      </w:r>
      <w:r w:rsidRPr="003D5D44">
        <w:rPr>
          <w:rFonts w:cs="Times New Roman"/>
          <w:iCs/>
        </w:rPr>
        <w:t>being</w:t>
      </w:r>
      <w:r w:rsidRPr="003D5D44">
        <w:rPr>
          <w:rFonts w:cs="Times New Roman"/>
          <w:i/>
          <w:iCs/>
        </w:rPr>
        <w:t xml:space="preserve"> </w:t>
      </w:r>
      <w:r w:rsidRPr="003D5D44">
        <w:rPr>
          <w:rFonts w:cs="Times New Roman"/>
        </w:rPr>
        <w:t>caught by the judicial system</w:t>
      </w:r>
      <w:r w:rsidRPr="003D5D44">
        <w:rPr>
          <w:rFonts w:cs="Times New Roman"/>
          <w:lang w:val="en-US"/>
        </w:rPr>
        <w:t>” and that the respondent was simply “show[ing] his anger: in fact, in one case he said that he would act once his sentence was served, and in another he asked for help in finding the address of a police officer” (para. 16).</w:t>
      </w:r>
    </w:p>
    <w:p w:rsidR="003001D4" w:rsidRPr="003D5D44" w:rsidRDefault="003001D4" w:rsidP="003001D4">
      <w:pPr>
        <w:pStyle w:val="ParaNoNdepar-AltN"/>
        <w:rPr>
          <w:rFonts w:cs="Times New Roman"/>
          <w:lang w:val="en-US"/>
        </w:rPr>
      </w:pPr>
      <w:r w:rsidRPr="003D5D44">
        <w:rPr>
          <w:rFonts w:cs="Times New Roman"/>
          <w:lang w:val="en-US"/>
        </w:rPr>
        <w:lastRenderedPageBreak/>
        <w:t xml:space="preserve">The role of these findings in the respondent’s acquittal is undermined by the trial judge’s legal error in relation to the required intent, specifically that he thought the intent had not been proved because the respondent did not intend that his words would be conveyed to the objects of the threats. This error caused the trial judge to fail to consider whether the respondent intended the threats to be taken seriously. </w:t>
      </w:r>
    </w:p>
    <w:p w:rsidR="003001D4" w:rsidRPr="003D5D44" w:rsidRDefault="003001D4" w:rsidP="003001D4">
      <w:pPr>
        <w:pStyle w:val="ParaNoNdepar-AltN"/>
        <w:rPr>
          <w:rFonts w:cs="Times New Roman"/>
          <w:lang w:val="en-US"/>
        </w:rPr>
      </w:pPr>
      <w:r w:rsidRPr="003D5D44">
        <w:rPr>
          <w:rFonts w:cs="Times New Roman"/>
          <w:lang w:val="en-US"/>
        </w:rPr>
        <w:t>The trial judge found that Mr. Cloutier and Mr. Collin were credible witnesses and that they were both of the opinion that the threats were serious and they feared that murders would be committed (para. 12).  Had the trial judge not erred as to the fault element of this offence, he would have had to consider whether the accused intended his threatening words to be taken seriously and the evidence of Mr. Cloutier and Mr. Collin provided some basis to conclude that he did</w:t>
      </w:r>
      <w:r w:rsidR="001D1354">
        <w:rPr>
          <w:rFonts w:cs="Times New Roman"/>
          <w:lang w:val="en-US"/>
        </w:rPr>
        <w:t xml:space="preserve"> (</w:t>
      </w:r>
      <w:r w:rsidRPr="003D5D44">
        <w:rPr>
          <w:rFonts w:cs="Times New Roman"/>
          <w:lang w:val="en-US"/>
        </w:rPr>
        <w:t xml:space="preserve">see </w:t>
      </w:r>
      <w:r w:rsidRPr="003D5D44">
        <w:rPr>
          <w:rFonts w:cs="Times New Roman"/>
          <w:i/>
          <w:lang w:val="en-US"/>
        </w:rPr>
        <w:t>O’Brien</w:t>
      </w:r>
      <w:r w:rsidRPr="003D5D44">
        <w:rPr>
          <w:rFonts w:cs="Times New Roman"/>
          <w:lang w:val="en-US"/>
        </w:rPr>
        <w:t xml:space="preserve"> </w:t>
      </w:r>
      <w:r>
        <w:rPr>
          <w:rFonts w:cs="Times New Roman"/>
          <w:lang w:val="en-US"/>
        </w:rPr>
        <w:t xml:space="preserve">(S.C.C.), </w:t>
      </w:r>
      <w:r w:rsidRPr="003D5D44">
        <w:rPr>
          <w:rFonts w:cs="Times New Roman"/>
          <w:lang w:val="en-US"/>
        </w:rPr>
        <w:t>at paras. 10-12</w:t>
      </w:r>
      <w:r w:rsidR="001D1354">
        <w:rPr>
          <w:rFonts w:cs="Times New Roman"/>
          <w:lang w:val="en-US"/>
        </w:rPr>
        <w:t>)</w:t>
      </w:r>
      <w:r w:rsidRPr="003D5D44">
        <w:rPr>
          <w:rFonts w:cs="Times New Roman"/>
          <w:lang w:val="en-US"/>
        </w:rPr>
        <w:t xml:space="preserve">. </w:t>
      </w:r>
    </w:p>
    <w:p w:rsidR="003001D4" w:rsidRPr="003D5D44" w:rsidRDefault="003001D4" w:rsidP="003001D4">
      <w:pPr>
        <w:pStyle w:val="ParaNoNdepar-AltN"/>
        <w:rPr>
          <w:rFonts w:cs="Times New Roman"/>
        </w:rPr>
      </w:pPr>
      <w:r w:rsidRPr="003D5D44">
        <w:rPr>
          <w:rFonts w:cs="Times New Roman"/>
        </w:rPr>
        <w:t>Furthermore, the trial judge’s finding that the words were spoken out of anger or frustration does not avoid the difficulty that</w:t>
      </w:r>
      <w:r>
        <w:rPr>
          <w:rFonts w:cs="Times New Roman"/>
        </w:rPr>
        <w:t xml:space="preserve"> </w:t>
      </w:r>
      <w:r w:rsidRPr="003D5D44">
        <w:rPr>
          <w:rFonts w:cs="Times New Roman"/>
        </w:rPr>
        <w:t xml:space="preserve">he failed to consider whether the respondent intended the words to be taken seriously.  The respondent’s </w:t>
      </w:r>
      <w:r w:rsidR="008A7297">
        <w:rPr>
          <w:rFonts w:cs="Times New Roman"/>
        </w:rPr>
        <w:t>[</w:t>
      </w:r>
      <w:r w:rsidR="008A7297" w:rsidRPr="008A7297">
        <w:rPr>
          <w:rFonts w:cs="Times New Roman"/>
          <w:smallCaps/>
        </w:rPr>
        <w:t>translation</w:t>
      </w:r>
      <w:r w:rsidR="008A7297">
        <w:rPr>
          <w:rFonts w:cs="Times New Roman"/>
        </w:rPr>
        <w:t xml:space="preserve">] </w:t>
      </w:r>
      <w:r w:rsidRPr="003D5D44">
        <w:rPr>
          <w:rFonts w:cs="Times New Roman"/>
        </w:rPr>
        <w:t xml:space="preserve">“frustration and outrage at being caught by the judicial system” speak to his </w:t>
      </w:r>
      <w:r w:rsidRPr="003D5D44">
        <w:rPr>
          <w:rFonts w:cs="Times New Roman"/>
          <w:i/>
        </w:rPr>
        <w:t>motive</w:t>
      </w:r>
      <w:r w:rsidRPr="003D5D44">
        <w:rPr>
          <w:rFonts w:cs="Times New Roman"/>
        </w:rPr>
        <w:t xml:space="preserve"> for saying what he did, and not necessarily his </w:t>
      </w:r>
      <w:r w:rsidRPr="003D5D44">
        <w:rPr>
          <w:rFonts w:cs="Times New Roman"/>
          <w:i/>
        </w:rPr>
        <w:t>intent</w:t>
      </w:r>
      <w:r w:rsidRPr="003D5D44">
        <w:rPr>
          <w:rFonts w:cs="Times New Roman"/>
        </w:rPr>
        <w:t xml:space="preserve"> as to how his words should be received.  As this Court noted in </w:t>
      </w:r>
      <w:r w:rsidRPr="003D5D44">
        <w:rPr>
          <w:rFonts w:cs="Times New Roman"/>
          <w:i/>
        </w:rPr>
        <w:t>Lewis v. The Queen</w:t>
      </w:r>
      <w:r w:rsidRPr="003D5D44">
        <w:rPr>
          <w:rFonts w:cs="Times New Roman"/>
        </w:rPr>
        <w:t>, [1979] 2 S.C.R. 821</w:t>
      </w:r>
      <w:r>
        <w:rPr>
          <w:rFonts w:cs="Times New Roman"/>
        </w:rPr>
        <w:t>,</w:t>
      </w:r>
      <w:r w:rsidRPr="003D5D44">
        <w:rPr>
          <w:rFonts w:cs="Times New Roman"/>
        </w:rPr>
        <w:t xml:space="preserve"> at p. 831, “the mental element, the [</w:t>
      </w:r>
      <w:r w:rsidRPr="003D5D44">
        <w:rPr>
          <w:rFonts w:cs="Times New Roman"/>
          <w:lang w:val="en-US"/>
        </w:rPr>
        <w:t>fault element]</w:t>
      </w:r>
      <w:r w:rsidRPr="003D5D44">
        <w:rPr>
          <w:rFonts w:cs="Times New Roman"/>
        </w:rPr>
        <w:t xml:space="preserve"> with which the court is concerned, relates to </w:t>
      </w:r>
      <w:r>
        <w:rPr>
          <w:rFonts w:cs="Times New Roman"/>
        </w:rPr>
        <w:t>‘</w:t>
      </w:r>
      <w:r w:rsidRPr="003D5D44">
        <w:rPr>
          <w:rFonts w:cs="Times New Roman"/>
        </w:rPr>
        <w:t>intent</w:t>
      </w:r>
      <w:r>
        <w:rPr>
          <w:rFonts w:cs="Times New Roman"/>
        </w:rPr>
        <w:t>’</w:t>
      </w:r>
      <w:r w:rsidRPr="003D5D44">
        <w:rPr>
          <w:rFonts w:cs="Times New Roman"/>
        </w:rPr>
        <w:t xml:space="preserve">, </w:t>
      </w:r>
      <w:r w:rsidRPr="003D5D44">
        <w:rPr>
          <w:rFonts w:cs="Times New Roman"/>
          <w:i/>
        </w:rPr>
        <w:t>i.e.</w:t>
      </w:r>
      <w:r w:rsidRPr="003D5D44">
        <w:rPr>
          <w:rFonts w:cs="Times New Roman"/>
        </w:rPr>
        <w:t xml:space="preserve"> the exercise of </w:t>
      </w:r>
      <w:r>
        <w:rPr>
          <w:rFonts w:cs="Times New Roman"/>
        </w:rPr>
        <w:t xml:space="preserve">a </w:t>
      </w:r>
      <w:r w:rsidRPr="003D5D44">
        <w:rPr>
          <w:rFonts w:cs="Times New Roman"/>
        </w:rPr>
        <w:t xml:space="preserve">free will to use particular means to </w:t>
      </w:r>
      <w:r w:rsidRPr="003D5D44">
        <w:rPr>
          <w:rFonts w:cs="Times New Roman"/>
        </w:rPr>
        <w:lastRenderedPageBreak/>
        <w:t xml:space="preserve">produce a particular result, rather than </w:t>
      </w:r>
      <w:r>
        <w:rPr>
          <w:rFonts w:cs="Times New Roman"/>
        </w:rPr>
        <w:t>with ‘motive’</w:t>
      </w:r>
      <w:r w:rsidRPr="003D5D44">
        <w:rPr>
          <w:rFonts w:cs="Times New Roman"/>
        </w:rPr>
        <w:t xml:space="preserve">, </w:t>
      </w:r>
      <w:r w:rsidRPr="003D5D44">
        <w:rPr>
          <w:rFonts w:cs="Times New Roman"/>
          <w:i/>
        </w:rPr>
        <w:t>i.e.</w:t>
      </w:r>
      <w:r w:rsidRPr="003D5D44">
        <w:rPr>
          <w:rFonts w:cs="Times New Roman"/>
        </w:rPr>
        <w:t xml:space="preserve"> that which precedes</w:t>
      </w:r>
      <w:r>
        <w:rPr>
          <w:rFonts w:cs="Times New Roman"/>
        </w:rPr>
        <w:t xml:space="preserve"> and induces</w:t>
      </w:r>
      <w:r w:rsidRPr="003D5D44">
        <w:rPr>
          <w:rFonts w:cs="Times New Roman"/>
        </w:rPr>
        <w:t xml:space="preserve"> the exercise of the will”.</w:t>
      </w:r>
    </w:p>
    <w:p w:rsidR="003001D4" w:rsidRPr="003D5D44" w:rsidRDefault="003001D4" w:rsidP="003001D4">
      <w:pPr>
        <w:pStyle w:val="ParaNoNdepar-AltN"/>
        <w:rPr>
          <w:rFonts w:cs="Times New Roman"/>
        </w:rPr>
      </w:pPr>
      <w:r w:rsidRPr="003D5D44">
        <w:rPr>
          <w:rFonts w:cs="Times New Roman"/>
        </w:rPr>
        <w:t xml:space="preserve">As a result, </w:t>
      </w:r>
      <w:r w:rsidRPr="003D5D44">
        <w:rPr>
          <w:rFonts w:cs="Times New Roman"/>
          <w:lang w:val="en-US"/>
        </w:rPr>
        <w:t>we conclude that the Crown has met its burden to demonstrate that the trial judge’s legal error “might reasonably be thought, in the concrete reality of the case at hand, to have had a material bearing on the acquittal”</w:t>
      </w:r>
      <w:r w:rsidR="001D1354">
        <w:rPr>
          <w:rFonts w:cs="Times New Roman"/>
          <w:lang w:val="en-US"/>
        </w:rPr>
        <w:t xml:space="preserve"> (</w:t>
      </w:r>
      <w:r w:rsidRPr="003D5D44">
        <w:rPr>
          <w:rFonts w:cs="Times New Roman"/>
          <w:i/>
          <w:lang w:val="en-US"/>
        </w:rPr>
        <w:t>Graveline</w:t>
      </w:r>
      <w:r>
        <w:rPr>
          <w:rFonts w:cs="Times New Roman"/>
          <w:lang w:val="en-US"/>
        </w:rPr>
        <w:t>,</w:t>
      </w:r>
      <w:r w:rsidRPr="003D5D44">
        <w:rPr>
          <w:rFonts w:cs="Times New Roman"/>
          <w:lang w:val="en-US"/>
        </w:rPr>
        <w:t xml:space="preserve"> at para 14</w:t>
      </w:r>
      <w:r w:rsidR="001D1354">
        <w:rPr>
          <w:rFonts w:cs="Times New Roman"/>
          <w:lang w:val="en-US"/>
        </w:rPr>
        <w:t>)</w:t>
      </w:r>
      <w:r w:rsidRPr="003D5D44">
        <w:rPr>
          <w:rFonts w:cs="Times New Roman"/>
          <w:lang w:val="en-US"/>
        </w:rPr>
        <w:t>.  We would therefore set aside the acquittals.</w:t>
      </w:r>
    </w:p>
    <w:p w:rsidR="003001D4" w:rsidRPr="003D5D44" w:rsidRDefault="003001D4" w:rsidP="003001D4">
      <w:pPr>
        <w:pStyle w:val="ParaNoNdepar-AltN"/>
        <w:rPr>
          <w:rFonts w:cs="Times New Roman"/>
        </w:rPr>
      </w:pPr>
      <w:r w:rsidRPr="003D5D44">
        <w:rPr>
          <w:rFonts w:cs="Times New Roman"/>
        </w:rPr>
        <w:t xml:space="preserve">While the Crown asks this Court to exercise its discretion under s. 686(4) of the </w:t>
      </w:r>
      <w:r w:rsidRPr="003D5D44">
        <w:rPr>
          <w:rFonts w:cs="Times New Roman"/>
          <w:i/>
        </w:rPr>
        <w:t>Criminal Code</w:t>
      </w:r>
      <w:r w:rsidRPr="003D5D44">
        <w:rPr>
          <w:rFonts w:cs="Times New Roman"/>
        </w:rPr>
        <w:t xml:space="preserve"> and enter a conviction, we are of the view that a new trial is required in this case.</w:t>
      </w:r>
    </w:p>
    <w:p w:rsidR="003001D4" w:rsidRPr="003D5D44" w:rsidRDefault="003001D4" w:rsidP="003001D4">
      <w:pPr>
        <w:pStyle w:val="ParaNoNdepar-AltN"/>
        <w:rPr>
          <w:rFonts w:cs="Times New Roman"/>
        </w:rPr>
      </w:pPr>
      <w:r w:rsidRPr="003D5D44">
        <w:rPr>
          <w:rFonts w:cs="Times New Roman"/>
        </w:rPr>
        <w:t>In order to set aside an acquittal and enter a conviction, we must be satisfied that “the trial judge’s findings of fact, viewed in light of the applicable law, supported a conviction beyond a reasonable doubt”</w:t>
      </w:r>
      <w:r w:rsidR="001D1354">
        <w:rPr>
          <w:rFonts w:cs="Times New Roman"/>
        </w:rPr>
        <w:t xml:space="preserve"> (</w:t>
      </w:r>
      <w:r w:rsidRPr="003D5D44">
        <w:rPr>
          <w:rFonts w:cs="Times New Roman"/>
          <w:i/>
        </w:rPr>
        <w:t>R. v. Katigbak</w:t>
      </w:r>
      <w:r w:rsidRPr="003D5D44">
        <w:rPr>
          <w:rFonts w:cs="Times New Roman"/>
        </w:rPr>
        <w:t>, 2011 SCC 48, [2011] 3 S.C.R. 326</w:t>
      </w:r>
      <w:r>
        <w:rPr>
          <w:rFonts w:cs="Times New Roman"/>
        </w:rPr>
        <w:t>,</w:t>
      </w:r>
      <w:r w:rsidRPr="003D5D44">
        <w:rPr>
          <w:rFonts w:cs="Times New Roman"/>
        </w:rPr>
        <w:t xml:space="preserve"> at para. 50</w:t>
      </w:r>
      <w:r w:rsidR="001D1354">
        <w:rPr>
          <w:rFonts w:cs="Times New Roman"/>
        </w:rPr>
        <w:t>)</w:t>
      </w:r>
      <w:r w:rsidRPr="003D5D44">
        <w:rPr>
          <w:rFonts w:cs="Times New Roman"/>
        </w:rPr>
        <w:t>. This is a power that should be used only in the clearest of cases</w:t>
      </w:r>
      <w:r w:rsidR="001D1354">
        <w:rPr>
          <w:rFonts w:cs="Times New Roman"/>
        </w:rPr>
        <w:t xml:space="preserve"> (</w:t>
      </w:r>
      <w:r w:rsidRPr="003D5D44">
        <w:rPr>
          <w:rFonts w:cs="Times New Roman"/>
          <w:i/>
        </w:rPr>
        <w:t>R. v. Audet</w:t>
      </w:r>
      <w:r w:rsidRPr="003D5D44">
        <w:rPr>
          <w:rFonts w:cs="Times New Roman"/>
        </w:rPr>
        <w:t>, [1996] 2 S.C.R. 171</w:t>
      </w:r>
      <w:r>
        <w:rPr>
          <w:rFonts w:cs="Times New Roman"/>
        </w:rPr>
        <w:t>, at para</w:t>
      </w:r>
      <w:r w:rsidRPr="003D5D44">
        <w:rPr>
          <w:rFonts w:cs="Times New Roman"/>
        </w:rPr>
        <w:t xml:space="preserve"> </w:t>
      </w:r>
      <w:r>
        <w:rPr>
          <w:rFonts w:cs="Times New Roman"/>
        </w:rPr>
        <w:t>48</w:t>
      </w:r>
      <w:r w:rsidR="001D1354">
        <w:rPr>
          <w:rFonts w:cs="Times New Roman"/>
        </w:rPr>
        <w:t>)</w:t>
      </w:r>
      <w:r w:rsidRPr="003D5D44">
        <w:rPr>
          <w:rFonts w:cs="Times New Roman"/>
        </w:rPr>
        <w:t>.</w:t>
      </w:r>
    </w:p>
    <w:p w:rsidR="003001D4" w:rsidRPr="003D5D44" w:rsidRDefault="003001D4" w:rsidP="003001D4">
      <w:pPr>
        <w:pStyle w:val="ParaNoNdepar-AltN"/>
        <w:rPr>
          <w:rFonts w:cs="Times New Roman"/>
        </w:rPr>
      </w:pPr>
      <w:r w:rsidRPr="003D5D44">
        <w:rPr>
          <w:rFonts w:cs="Times New Roman"/>
        </w:rPr>
        <w:t xml:space="preserve">As noted above, the trial judge made no findings with regard to the respondent’s intent to be taken seriously.  The trial judge’s finding that the respondent said the words out of anger or frustration or a desire for revenge goes to his motive for saying the words, and not necessarily his intention.  It is reasonably possible that he was motivated by anger or frustration or by the desire for revenge, and yet did not intend to be taken seriously.  Questions of motive and intent are two separate </w:t>
      </w:r>
      <w:r w:rsidRPr="003D5D44">
        <w:rPr>
          <w:rFonts w:cs="Times New Roman"/>
        </w:rPr>
        <w:lastRenderedPageBreak/>
        <w:t xml:space="preserve">inquiries and, given the trial judge’s legal errors, we cannot be certain what he would have found had he turned his mind to the correct legal question.  This is not the clearest of cases.  Accordingly, a new trial is required to determine whether the charges against the respondent </w:t>
      </w:r>
      <w:r>
        <w:rPr>
          <w:rFonts w:cs="Times New Roman"/>
        </w:rPr>
        <w:t xml:space="preserve">will be proved </w:t>
      </w:r>
      <w:r w:rsidRPr="003D5D44">
        <w:rPr>
          <w:rFonts w:cs="Times New Roman"/>
        </w:rPr>
        <w:t xml:space="preserve">beyond a reasonable doubt. </w:t>
      </w:r>
    </w:p>
    <w:p w:rsidR="003001D4" w:rsidRPr="003D5D44" w:rsidRDefault="003001D4" w:rsidP="006D1C05">
      <w:pPr>
        <w:pStyle w:val="TitleTitre-AltT"/>
        <w:tabs>
          <w:tab w:val="clear" w:pos="360"/>
          <w:tab w:val="left" w:pos="540"/>
        </w:tabs>
        <w:ind w:left="540" w:hanging="540"/>
        <w:rPr>
          <w:rFonts w:cs="Times New Roman"/>
        </w:rPr>
      </w:pPr>
      <w:r w:rsidRPr="003D5D44">
        <w:rPr>
          <w:rFonts w:cs="Times New Roman"/>
        </w:rPr>
        <w:t xml:space="preserve">IV. </w:t>
      </w:r>
      <w:r w:rsidR="006D1C05">
        <w:rPr>
          <w:rFonts w:cs="Times New Roman"/>
        </w:rPr>
        <w:tab/>
      </w:r>
      <w:r w:rsidRPr="003D5D44">
        <w:rPr>
          <w:rFonts w:cs="Times New Roman"/>
          <w:u w:val="single"/>
        </w:rPr>
        <w:t>Disposition</w:t>
      </w:r>
    </w:p>
    <w:p w:rsidR="003001D4" w:rsidRPr="003D5D44" w:rsidRDefault="003001D4" w:rsidP="003001D4">
      <w:pPr>
        <w:pStyle w:val="ParaNoNdepar-AltN"/>
        <w:rPr>
          <w:rFonts w:cs="Times New Roman"/>
        </w:rPr>
      </w:pPr>
      <w:r w:rsidRPr="003D5D44">
        <w:rPr>
          <w:rFonts w:cs="Times New Roman"/>
        </w:rPr>
        <w:t>We would allow the appeal and order a new trial.</w:t>
      </w:r>
    </w:p>
    <w:p w:rsidR="009B57B3" w:rsidRPr="003E71C3" w:rsidRDefault="00156671" w:rsidP="00422811">
      <w:pPr>
        <w:pStyle w:val="SCCNormalDoubleSpacing"/>
        <w:spacing w:before="480" w:after="480"/>
        <w:rPr>
          <w:i/>
          <w:lang w:val="fr-CA"/>
        </w:rPr>
      </w:pPr>
      <w:r w:rsidRPr="003E71C3">
        <w:tab/>
      </w:r>
      <w:r w:rsidR="00656313" w:rsidRPr="003E71C3">
        <w:rPr>
          <w:i/>
          <w:lang w:val="fr-CA"/>
        </w:rPr>
        <w:t>Appeal</w:t>
      </w:r>
      <w:r w:rsidRPr="003E71C3">
        <w:rPr>
          <w:i/>
          <w:lang w:val="fr-CA"/>
        </w:rPr>
        <w:t xml:space="preserve"> </w:t>
      </w:r>
      <w:r w:rsidR="003D6AE2" w:rsidRPr="003E71C3">
        <w:rPr>
          <w:i/>
          <w:lang w:val="fr-CA"/>
        </w:rPr>
        <w:t>allowed</w:t>
      </w:r>
      <w:r w:rsidRPr="003E71C3">
        <w:rPr>
          <w:i/>
          <w:lang w:val="fr-CA"/>
        </w:rPr>
        <w:t>.</w:t>
      </w:r>
    </w:p>
    <w:p w:rsidR="00156671" w:rsidRPr="003E71C3" w:rsidRDefault="00422811" w:rsidP="00422811">
      <w:pPr>
        <w:pStyle w:val="SCCLawFirm"/>
        <w:spacing w:before="480" w:after="480"/>
        <w:rPr>
          <w:lang w:val="fr-CA"/>
        </w:rPr>
      </w:pPr>
      <w:r w:rsidRPr="003E71C3">
        <w:rPr>
          <w:lang w:val="fr-CA"/>
        </w:rPr>
        <w:tab/>
        <w:t>Solicitor for the appellant:  </w:t>
      </w:r>
      <w:r w:rsidR="00156671" w:rsidRPr="003E71C3">
        <w:rPr>
          <w:lang w:val="fr-CA"/>
        </w:rPr>
        <w:t>Poursuites criminelles et pénales du Québec, Québec.</w:t>
      </w:r>
    </w:p>
    <w:p w:rsidR="009B57B3" w:rsidRDefault="00156671" w:rsidP="003001D4">
      <w:pPr>
        <w:pStyle w:val="SCCLawFirm"/>
        <w:rPr>
          <w:b/>
          <w:i w:val="0"/>
        </w:rPr>
      </w:pPr>
      <w:r w:rsidRPr="003E71C3">
        <w:rPr>
          <w:lang w:val="fr-CA"/>
        </w:rPr>
        <w:tab/>
      </w:r>
      <w:r w:rsidR="00422811" w:rsidRPr="003E71C3">
        <w:t>Solicitor for the respondent:  </w:t>
      </w:r>
      <w:r w:rsidRPr="003E71C3">
        <w:t>Stéphanie Carrier, St</w:t>
      </w:r>
      <w:r w:rsidR="00422811" w:rsidRPr="003E71C3">
        <w:noBreakHyphen/>
      </w:r>
      <w:r w:rsidRPr="003E71C3">
        <w:t>Omer, Quebec.</w:t>
      </w:r>
    </w:p>
    <w:p w:rsidR="003001D4" w:rsidRPr="003001D4" w:rsidRDefault="003001D4" w:rsidP="003001D4">
      <w:pPr>
        <w:pStyle w:val="SCCNormalDoubleSpacing"/>
      </w:pPr>
    </w:p>
    <w:sectPr w:rsidR="003001D4" w:rsidRPr="003001D4" w:rsidSect="008A7297">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297" w:rsidRDefault="008A7297">
      <w:r>
        <w:separator/>
      </w:r>
    </w:p>
  </w:endnote>
  <w:endnote w:type="continuationSeparator" w:id="0">
    <w:p w:rsidR="008A7297" w:rsidRDefault="008A72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297" w:rsidRDefault="008A7297">
      <w:r>
        <w:separator/>
      </w:r>
    </w:p>
  </w:footnote>
  <w:footnote w:type="continuationSeparator" w:id="0">
    <w:p w:rsidR="008A7297" w:rsidRDefault="008A7297">
      <w:r>
        <w:continuationSeparator/>
      </w:r>
    </w:p>
  </w:footnote>
  <w:footnote w:id="1">
    <w:p w:rsidR="008A7297" w:rsidRPr="00243E05" w:rsidRDefault="008A7297" w:rsidP="008A7297">
      <w:pPr>
        <w:pStyle w:val="FootnoteText"/>
        <w:rPr>
          <w:lang w:val="en-US"/>
        </w:rPr>
      </w:pPr>
      <w:r>
        <w:rPr>
          <w:rStyle w:val="FootnoteReference"/>
        </w:rPr>
        <w:footnoteRef/>
      </w:r>
      <w:r>
        <w:t xml:space="preserve"> The translations are from the Court of Appeal’s decision, at para.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63730"/>
      <w:docPartObj>
        <w:docPartGallery w:val="Page Numbers (Top of Page)"/>
        <w:docPartUnique/>
      </w:docPartObj>
    </w:sdtPr>
    <w:sdtContent>
      <w:p w:rsidR="008A7297" w:rsidRDefault="008A7297">
        <w:pPr>
          <w:pStyle w:val="Header"/>
          <w:jc w:val="center"/>
        </w:pPr>
        <w:r>
          <w:t xml:space="preserve">- </w:t>
        </w:r>
        <w:fldSimple w:instr=" PAGE   \* MERGEFORMAT ">
          <w:r w:rsidR="00A04646">
            <w:rPr>
              <w:noProof/>
            </w:rPr>
            <w:t>2</w:t>
          </w:r>
        </w:fldSimple>
        <w:r>
          <w:t xml:space="preserve"> -</w:t>
        </w:r>
      </w:p>
    </w:sdtContent>
  </w:sdt>
  <w:p w:rsidR="008A7297" w:rsidRPr="00450352" w:rsidRDefault="008A7297"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619DD"/>
    <w:multiLevelType w:val="hybridMultilevel"/>
    <w:tmpl w:val="5F40A852"/>
    <w:lvl w:ilvl="0" w:tplc="FEF4A3FA">
      <w:start w:val="1"/>
      <w:numFmt w:val="decimal"/>
      <w:lvlText w:val="(%1)"/>
      <w:lvlJc w:val="left"/>
      <w:pPr>
        <w:ind w:left="1886" w:hanging="360"/>
      </w:pPr>
      <w:rPr>
        <w:rFonts w:hint="default"/>
      </w:r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1">
    <w:nsid w:val="54283EE8"/>
    <w:multiLevelType w:val="multilevel"/>
    <w:tmpl w:val="8C284B7C"/>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81"/>
  </w:hdrShapeDefaults>
  <w:footnotePr>
    <w:footnote w:id="-1"/>
    <w:footnote w:id="0"/>
  </w:footnotePr>
  <w:endnotePr>
    <w:endnote w:id="-1"/>
    <w:endnote w:id="0"/>
  </w:endnotePr>
  <w:compat/>
  <w:rsids>
    <w:rsidRoot w:val="0031414C"/>
    <w:rsid w:val="00000ED4"/>
    <w:rsid w:val="00010F20"/>
    <w:rsid w:val="0002058B"/>
    <w:rsid w:val="00025198"/>
    <w:rsid w:val="000252CB"/>
    <w:rsid w:val="00034DC6"/>
    <w:rsid w:val="00046166"/>
    <w:rsid w:val="000523AA"/>
    <w:rsid w:val="000578A3"/>
    <w:rsid w:val="000648CC"/>
    <w:rsid w:val="000C59B8"/>
    <w:rsid w:val="000C6AF0"/>
    <w:rsid w:val="000F53F6"/>
    <w:rsid w:val="00104F33"/>
    <w:rsid w:val="00111DE2"/>
    <w:rsid w:val="00116B38"/>
    <w:rsid w:val="00135406"/>
    <w:rsid w:val="00135972"/>
    <w:rsid w:val="001426A9"/>
    <w:rsid w:val="00154D7C"/>
    <w:rsid w:val="00156671"/>
    <w:rsid w:val="001570B0"/>
    <w:rsid w:val="0015752C"/>
    <w:rsid w:val="00157737"/>
    <w:rsid w:val="00165277"/>
    <w:rsid w:val="00170592"/>
    <w:rsid w:val="00186351"/>
    <w:rsid w:val="00195D83"/>
    <w:rsid w:val="001A00C1"/>
    <w:rsid w:val="001B33E0"/>
    <w:rsid w:val="001B4573"/>
    <w:rsid w:val="001C779F"/>
    <w:rsid w:val="001D1354"/>
    <w:rsid w:val="001D2AC1"/>
    <w:rsid w:val="001D4E88"/>
    <w:rsid w:val="00220FC2"/>
    <w:rsid w:val="002222F4"/>
    <w:rsid w:val="00224FC0"/>
    <w:rsid w:val="00225EA4"/>
    <w:rsid w:val="00226EAF"/>
    <w:rsid w:val="00231F3A"/>
    <w:rsid w:val="00234199"/>
    <w:rsid w:val="002406EE"/>
    <w:rsid w:val="0024326A"/>
    <w:rsid w:val="00243EC8"/>
    <w:rsid w:val="00254C40"/>
    <w:rsid w:val="00264904"/>
    <w:rsid w:val="00270D93"/>
    <w:rsid w:val="002745CC"/>
    <w:rsid w:val="002B7924"/>
    <w:rsid w:val="002D28C3"/>
    <w:rsid w:val="002D39A4"/>
    <w:rsid w:val="002E6705"/>
    <w:rsid w:val="003001D4"/>
    <w:rsid w:val="00301D08"/>
    <w:rsid w:val="0030329A"/>
    <w:rsid w:val="00305F10"/>
    <w:rsid w:val="0031086F"/>
    <w:rsid w:val="0031414C"/>
    <w:rsid w:val="00314E01"/>
    <w:rsid w:val="00316644"/>
    <w:rsid w:val="0032089D"/>
    <w:rsid w:val="003310DE"/>
    <w:rsid w:val="003323B0"/>
    <w:rsid w:val="00337EBB"/>
    <w:rsid w:val="0035169A"/>
    <w:rsid w:val="0035259D"/>
    <w:rsid w:val="00364B18"/>
    <w:rsid w:val="003A125D"/>
    <w:rsid w:val="003A3F68"/>
    <w:rsid w:val="003A4C70"/>
    <w:rsid w:val="003B215F"/>
    <w:rsid w:val="003C799C"/>
    <w:rsid w:val="003D0399"/>
    <w:rsid w:val="003D6AE2"/>
    <w:rsid w:val="003E1C71"/>
    <w:rsid w:val="003E71C3"/>
    <w:rsid w:val="003F327B"/>
    <w:rsid w:val="00406166"/>
    <w:rsid w:val="0040704B"/>
    <w:rsid w:val="00410A55"/>
    <w:rsid w:val="00411300"/>
    <w:rsid w:val="00411B97"/>
    <w:rsid w:val="00415417"/>
    <w:rsid w:val="00422811"/>
    <w:rsid w:val="00426659"/>
    <w:rsid w:val="00440739"/>
    <w:rsid w:val="00446793"/>
    <w:rsid w:val="00450352"/>
    <w:rsid w:val="00454BDB"/>
    <w:rsid w:val="00464800"/>
    <w:rsid w:val="00465132"/>
    <w:rsid w:val="00480C90"/>
    <w:rsid w:val="0048396F"/>
    <w:rsid w:val="00493C18"/>
    <w:rsid w:val="004A600C"/>
    <w:rsid w:val="004A6118"/>
    <w:rsid w:val="004C478D"/>
    <w:rsid w:val="004D0D4E"/>
    <w:rsid w:val="004E2C26"/>
    <w:rsid w:val="004F36FF"/>
    <w:rsid w:val="005125A8"/>
    <w:rsid w:val="00521AE8"/>
    <w:rsid w:val="00527180"/>
    <w:rsid w:val="00535D41"/>
    <w:rsid w:val="0054201E"/>
    <w:rsid w:val="00555291"/>
    <w:rsid w:val="00566AD1"/>
    <w:rsid w:val="00574C63"/>
    <w:rsid w:val="00583EDE"/>
    <w:rsid w:val="005A471E"/>
    <w:rsid w:val="005A6079"/>
    <w:rsid w:val="005B6E13"/>
    <w:rsid w:val="005C582A"/>
    <w:rsid w:val="005D71CB"/>
    <w:rsid w:val="005E4698"/>
    <w:rsid w:val="00603590"/>
    <w:rsid w:val="00610539"/>
    <w:rsid w:val="00613969"/>
    <w:rsid w:val="00625C35"/>
    <w:rsid w:val="00656313"/>
    <w:rsid w:val="006565F4"/>
    <w:rsid w:val="00684247"/>
    <w:rsid w:val="00684EEA"/>
    <w:rsid w:val="0069689B"/>
    <w:rsid w:val="006A1551"/>
    <w:rsid w:val="006B5FF5"/>
    <w:rsid w:val="006C50F9"/>
    <w:rsid w:val="006D1C05"/>
    <w:rsid w:val="006F26D5"/>
    <w:rsid w:val="006F30AF"/>
    <w:rsid w:val="00701759"/>
    <w:rsid w:val="00705C15"/>
    <w:rsid w:val="0071600E"/>
    <w:rsid w:val="007208D1"/>
    <w:rsid w:val="00747288"/>
    <w:rsid w:val="00747DD3"/>
    <w:rsid w:val="007549C8"/>
    <w:rsid w:val="00754A0B"/>
    <w:rsid w:val="00766D14"/>
    <w:rsid w:val="00767A0F"/>
    <w:rsid w:val="00774DCF"/>
    <w:rsid w:val="00791CE6"/>
    <w:rsid w:val="007A05F6"/>
    <w:rsid w:val="007B60D6"/>
    <w:rsid w:val="007B6F4A"/>
    <w:rsid w:val="007E1C47"/>
    <w:rsid w:val="007E337A"/>
    <w:rsid w:val="007E5C70"/>
    <w:rsid w:val="007F2FF5"/>
    <w:rsid w:val="007F3F08"/>
    <w:rsid w:val="00804CC6"/>
    <w:rsid w:val="00817190"/>
    <w:rsid w:val="00820C08"/>
    <w:rsid w:val="00820EE5"/>
    <w:rsid w:val="008260E2"/>
    <w:rsid w:val="008322BD"/>
    <w:rsid w:val="00833E0A"/>
    <w:rsid w:val="00834F73"/>
    <w:rsid w:val="00851200"/>
    <w:rsid w:val="00864CF8"/>
    <w:rsid w:val="00872819"/>
    <w:rsid w:val="00874914"/>
    <w:rsid w:val="00891422"/>
    <w:rsid w:val="00892E1A"/>
    <w:rsid w:val="008A19B5"/>
    <w:rsid w:val="008A3F29"/>
    <w:rsid w:val="008A7297"/>
    <w:rsid w:val="008B660A"/>
    <w:rsid w:val="008C01DA"/>
    <w:rsid w:val="008D1615"/>
    <w:rsid w:val="008F78E9"/>
    <w:rsid w:val="00911989"/>
    <w:rsid w:val="009179F9"/>
    <w:rsid w:val="00933E5E"/>
    <w:rsid w:val="00935218"/>
    <w:rsid w:val="009403F3"/>
    <w:rsid w:val="00941A2D"/>
    <w:rsid w:val="009555B7"/>
    <w:rsid w:val="009567AA"/>
    <w:rsid w:val="00967374"/>
    <w:rsid w:val="009A16BD"/>
    <w:rsid w:val="009A343A"/>
    <w:rsid w:val="009B2F23"/>
    <w:rsid w:val="009B57B3"/>
    <w:rsid w:val="009C5B92"/>
    <w:rsid w:val="009D2920"/>
    <w:rsid w:val="009D5AEB"/>
    <w:rsid w:val="009F0E33"/>
    <w:rsid w:val="00A030CE"/>
    <w:rsid w:val="00A04646"/>
    <w:rsid w:val="00A149DF"/>
    <w:rsid w:val="00A15951"/>
    <w:rsid w:val="00A1755C"/>
    <w:rsid w:val="00A21B90"/>
    <w:rsid w:val="00A41805"/>
    <w:rsid w:val="00A42DCD"/>
    <w:rsid w:val="00A52AFB"/>
    <w:rsid w:val="00A548CB"/>
    <w:rsid w:val="00A5521C"/>
    <w:rsid w:val="00A643E7"/>
    <w:rsid w:val="00A73C38"/>
    <w:rsid w:val="00A91B1D"/>
    <w:rsid w:val="00AB670D"/>
    <w:rsid w:val="00AE78FD"/>
    <w:rsid w:val="00AF03C5"/>
    <w:rsid w:val="00B000D8"/>
    <w:rsid w:val="00B00F75"/>
    <w:rsid w:val="00B145B6"/>
    <w:rsid w:val="00B22781"/>
    <w:rsid w:val="00B279EB"/>
    <w:rsid w:val="00B50C81"/>
    <w:rsid w:val="00B557F8"/>
    <w:rsid w:val="00B70BDF"/>
    <w:rsid w:val="00B815FC"/>
    <w:rsid w:val="00B91CEF"/>
    <w:rsid w:val="00B93FBC"/>
    <w:rsid w:val="00BA7DA0"/>
    <w:rsid w:val="00BB2EE4"/>
    <w:rsid w:val="00BC2108"/>
    <w:rsid w:val="00BD0E9E"/>
    <w:rsid w:val="00BD1BEC"/>
    <w:rsid w:val="00BD32FF"/>
    <w:rsid w:val="00BD3CB6"/>
    <w:rsid w:val="00BD4845"/>
    <w:rsid w:val="00BD4D11"/>
    <w:rsid w:val="00C02092"/>
    <w:rsid w:val="00C24D91"/>
    <w:rsid w:val="00C2586C"/>
    <w:rsid w:val="00C33496"/>
    <w:rsid w:val="00C53F14"/>
    <w:rsid w:val="00C600CF"/>
    <w:rsid w:val="00C6084F"/>
    <w:rsid w:val="00C62A66"/>
    <w:rsid w:val="00C71458"/>
    <w:rsid w:val="00C74E7D"/>
    <w:rsid w:val="00C77613"/>
    <w:rsid w:val="00C828E7"/>
    <w:rsid w:val="00C86719"/>
    <w:rsid w:val="00C921DD"/>
    <w:rsid w:val="00CA6391"/>
    <w:rsid w:val="00CC34BD"/>
    <w:rsid w:val="00CE161A"/>
    <w:rsid w:val="00CE3171"/>
    <w:rsid w:val="00CE6536"/>
    <w:rsid w:val="00CF1601"/>
    <w:rsid w:val="00D0172F"/>
    <w:rsid w:val="00D068A7"/>
    <w:rsid w:val="00D17234"/>
    <w:rsid w:val="00D17476"/>
    <w:rsid w:val="00D32086"/>
    <w:rsid w:val="00D37A3F"/>
    <w:rsid w:val="00D4431D"/>
    <w:rsid w:val="00D4667A"/>
    <w:rsid w:val="00D52464"/>
    <w:rsid w:val="00D63A1C"/>
    <w:rsid w:val="00D7516F"/>
    <w:rsid w:val="00D775FC"/>
    <w:rsid w:val="00D8579F"/>
    <w:rsid w:val="00D901EF"/>
    <w:rsid w:val="00D95F8E"/>
    <w:rsid w:val="00DA0590"/>
    <w:rsid w:val="00DB7BEA"/>
    <w:rsid w:val="00DC1739"/>
    <w:rsid w:val="00DC1788"/>
    <w:rsid w:val="00DE319C"/>
    <w:rsid w:val="00DF0C0C"/>
    <w:rsid w:val="00DF0CA8"/>
    <w:rsid w:val="00DF2B48"/>
    <w:rsid w:val="00DF49A7"/>
    <w:rsid w:val="00E07EE2"/>
    <w:rsid w:val="00E07FD1"/>
    <w:rsid w:val="00E20424"/>
    <w:rsid w:val="00E24573"/>
    <w:rsid w:val="00E25E1E"/>
    <w:rsid w:val="00E27EE7"/>
    <w:rsid w:val="00E35404"/>
    <w:rsid w:val="00E45109"/>
    <w:rsid w:val="00E470C8"/>
    <w:rsid w:val="00E47B7A"/>
    <w:rsid w:val="00E56A44"/>
    <w:rsid w:val="00E60269"/>
    <w:rsid w:val="00E77932"/>
    <w:rsid w:val="00E97830"/>
    <w:rsid w:val="00ED0647"/>
    <w:rsid w:val="00ED540A"/>
    <w:rsid w:val="00EE643C"/>
    <w:rsid w:val="00EF0683"/>
    <w:rsid w:val="00EF69D2"/>
    <w:rsid w:val="00EF766E"/>
    <w:rsid w:val="00F0070C"/>
    <w:rsid w:val="00F00EB7"/>
    <w:rsid w:val="00F10127"/>
    <w:rsid w:val="00F12F4C"/>
    <w:rsid w:val="00F13758"/>
    <w:rsid w:val="00F36AB6"/>
    <w:rsid w:val="00F37A09"/>
    <w:rsid w:val="00F409CE"/>
    <w:rsid w:val="00F4379D"/>
    <w:rsid w:val="00F439A0"/>
    <w:rsid w:val="00F50D2D"/>
    <w:rsid w:val="00F56C8B"/>
    <w:rsid w:val="00F66810"/>
    <w:rsid w:val="00F846D9"/>
    <w:rsid w:val="00F84DF4"/>
    <w:rsid w:val="00F85C97"/>
    <w:rsid w:val="00FB37D2"/>
    <w:rsid w:val="00FC4EFB"/>
    <w:rsid w:val="00FD068D"/>
    <w:rsid w:val="00FD4F28"/>
    <w:rsid w:val="00FE6784"/>
    <w:rsid w:val="00FF4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SCCCoram">
    <w:name w:val="SCC.Coram"/>
    <w:basedOn w:val="Normal"/>
    <w:next w:val="Normal"/>
    <w:link w:val="SCCCoramChar"/>
    <w:rsid w:val="003001D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001D4"/>
    <w:rPr>
      <w:rFonts w:eastAsiaTheme="minorHAnsi" w:cstheme="minorBidi"/>
      <w:sz w:val="24"/>
      <w:szCs w:val="22"/>
      <w:lang w:eastAsia="en-US"/>
    </w:rPr>
  </w:style>
  <w:style w:type="table" w:styleId="TableGrid">
    <w:name w:val="Table Grid"/>
    <w:basedOn w:val="TableNormal"/>
    <w:uiPriority w:val="59"/>
    <w:rsid w:val="003001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3001D4"/>
    <w:pPr>
      <w:spacing w:after="720"/>
      <w:ind w:left="1166"/>
      <w:contextualSpacing/>
      <w:jc w:val="both"/>
    </w:pPr>
    <w:rPr>
      <w:sz w:val="24"/>
    </w:rPr>
  </w:style>
  <w:style w:type="paragraph" w:customStyle="1" w:styleId="JudgeJuge">
    <w:name w:val="Judge / Juge"/>
    <w:uiPriority w:val="3"/>
    <w:rsid w:val="003001D4"/>
    <w:pPr>
      <w:tabs>
        <w:tab w:val="left" w:pos="1166"/>
      </w:tabs>
      <w:spacing w:after="480" w:line="480" w:lineRule="auto"/>
    </w:pPr>
    <w:rPr>
      <w:smallCaps/>
      <w:sz w:val="24"/>
    </w:rPr>
  </w:style>
  <w:style w:type="paragraph" w:customStyle="1" w:styleId="ParaNoNdepar-AltN">
    <w:name w:val="Para. No. / Nº de par. - Alt N"/>
    <w:qFormat/>
    <w:rsid w:val="003001D4"/>
    <w:pPr>
      <w:numPr>
        <w:numId w:val="1"/>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3001D4"/>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3001D4"/>
    <w:rPr>
      <w:sz w:val="20"/>
    </w:rPr>
  </w:style>
  <w:style w:type="character" w:customStyle="1" w:styleId="FootnoteTextChar">
    <w:name w:val="Footnote Text Char"/>
    <w:basedOn w:val="DefaultParagraphFont"/>
    <w:link w:val="FootnoteText"/>
    <w:uiPriority w:val="99"/>
    <w:semiHidden/>
    <w:rsid w:val="003001D4"/>
  </w:style>
  <w:style w:type="character" w:styleId="FootnoteReference">
    <w:name w:val="footnote reference"/>
    <w:basedOn w:val="DefaultParagraphFont"/>
    <w:uiPriority w:val="99"/>
    <w:semiHidden/>
    <w:unhideWhenUsed/>
    <w:rsid w:val="003001D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5948</Words>
  <Characters>28393</Characters>
  <Application>Microsoft Office Word</Application>
  <DocSecurity>0</DocSecurity>
  <Lines>236</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2014-04-03T16:17:00Z</dcterms:created>
  <dcterms:modified xsi:type="dcterms:W3CDTF">2014-04-03T16:17:00Z</dcterms:modified>
</cp:coreProperties>
</file>