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A8" w:rsidRPr="00DB3EA8" w:rsidRDefault="00DB3EA8" w:rsidP="00DB3EA8">
      <w:pPr>
        <w:tabs>
          <w:tab w:val="center" w:pos="4680"/>
          <w:tab w:val="right" w:pos="9360"/>
        </w:tabs>
        <w:jc w:val="center"/>
        <w:rPr>
          <w:rFonts w:eastAsiaTheme="minorHAnsi" w:cstheme="minorBidi"/>
          <w:szCs w:val="24"/>
          <w:lang w:eastAsia="en-US"/>
        </w:rPr>
      </w:pPr>
      <w:r w:rsidRPr="00DB3EA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64.6pt" o:ole="">
            <v:imagedata r:id="rId7" o:title=""/>
          </v:shape>
          <o:OLEObject Type="Embed" ProgID="Presentations.Drawing.13" ShapeID="_x0000_i1025" DrawAspect="Content" ObjectID="_1465132444" r:id="rId8"/>
        </w:object>
      </w:r>
    </w:p>
    <w:p w:rsidR="00DB3EA8" w:rsidRPr="00DB3EA8" w:rsidRDefault="00DB3EA8" w:rsidP="00DB3EA8">
      <w:pPr>
        <w:tabs>
          <w:tab w:val="center" w:pos="4680"/>
          <w:tab w:val="right" w:pos="9360"/>
        </w:tabs>
        <w:rPr>
          <w:rFonts w:eastAsiaTheme="minorHAnsi" w:cstheme="minorBidi"/>
          <w:szCs w:val="24"/>
          <w:lang w:eastAsia="en-US"/>
        </w:rPr>
      </w:pPr>
    </w:p>
    <w:p w:rsidR="00DB3EA8" w:rsidRPr="00DB3EA8" w:rsidRDefault="00DB3EA8" w:rsidP="00DB3EA8">
      <w:pPr>
        <w:jc w:val="center"/>
        <w:rPr>
          <w:rFonts w:eastAsiaTheme="minorHAnsi" w:cstheme="minorBidi"/>
          <w:b/>
          <w:szCs w:val="24"/>
          <w:lang w:eastAsia="en-US"/>
        </w:rPr>
      </w:pPr>
      <w:r w:rsidRPr="00DB3EA8">
        <w:rPr>
          <w:rFonts w:eastAsiaTheme="minorHAnsi" w:cstheme="minorBidi"/>
          <w:b/>
          <w:szCs w:val="24"/>
          <w:lang w:eastAsia="en-US"/>
        </w:rPr>
        <w:t>SUPREME COURT OF CANADA</w:t>
      </w:r>
    </w:p>
    <w:p w:rsidR="00DB3EA8" w:rsidRPr="00DB3EA8" w:rsidRDefault="00DB3EA8" w:rsidP="00DB3EA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B3EA8" w:rsidRPr="00DB3EA8" w:rsidTr="002727C6">
        <w:trPr>
          <w:cantSplit/>
        </w:trPr>
        <w:tc>
          <w:tcPr>
            <w:tcW w:w="6768" w:type="dxa"/>
          </w:tcPr>
          <w:p w:rsidR="00DB3EA8" w:rsidRPr="00DB3EA8" w:rsidRDefault="00DB3EA8" w:rsidP="00DB3EA8">
            <w:r w:rsidRPr="00DB3EA8">
              <w:rPr>
                <w:b/>
                <w:smallCaps/>
              </w:rPr>
              <w:t>Citation:</w:t>
            </w:r>
            <w:r w:rsidRPr="00DB3EA8">
              <w:t xml:space="preserve"> </w:t>
            </w:r>
            <w:r w:rsidRPr="00DB3EA8">
              <w:rPr>
                <w:lang w:val="fr-CA"/>
              </w:rPr>
              <w:t xml:space="preserve">Bruno Appliance and </w:t>
            </w:r>
            <w:proofErr w:type="spellStart"/>
            <w:r w:rsidRPr="00DB3EA8">
              <w:rPr>
                <w:lang w:val="fr-CA"/>
              </w:rPr>
              <w:t>Furniture</w:t>
            </w:r>
            <w:proofErr w:type="spellEnd"/>
            <w:r w:rsidRPr="00DB3EA8">
              <w:rPr>
                <w:lang w:val="fr-CA"/>
              </w:rPr>
              <w:t>, Inc.</w:t>
            </w:r>
            <w:r w:rsidRPr="00DB3EA8">
              <w:rPr>
                <w:iCs/>
                <w:color w:val="000000" w:themeColor="text1"/>
                <w:lang w:val="fr-CA"/>
              </w:rPr>
              <w:t xml:space="preserve"> </w:t>
            </w:r>
            <w:r w:rsidRPr="00DB3EA8">
              <w:rPr>
                <w:i/>
                <w:iCs/>
                <w:color w:val="000000" w:themeColor="text1"/>
                <w:lang w:val="fr-CA"/>
              </w:rPr>
              <w:t>v</w:t>
            </w:r>
            <w:r w:rsidRPr="00DB3EA8">
              <w:rPr>
                <w:iCs/>
                <w:color w:val="000000" w:themeColor="text1"/>
                <w:lang w:val="fr-CA"/>
              </w:rPr>
              <w:t xml:space="preserve">. </w:t>
            </w:r>
            <w:proofErr w:type="spellStart"/>
            <w:r w:rsidRPr="00DB3EA8">
              <w:rPr>
                <w:lang w:val="fr-CA"/>
              </w:rPr>
              <w:t>Hryniak</w:t>
            </w:r>
            <w:proofErr w:type="spellEnd"/>
            <w:r w:rsidRPr="00DB3EA8">
              <w:rPr>
                <w:iCs/>
                <w:color w:val="000000" w:themeColor="text1"/>
                <w:lang w:val="fr-CA"/>
              </w:rPr>
              <w:t>,</w:t>
            </w:r>
            <w:r w:rsidRPr="00DB3EA8">
              <w:rPr>
                <w:lang w:val="fr-CA"/>
              </w:rPr>
              <w:t xml:space="preserve"> 2014 SCC 8, [2014] 1 S.C.R. 126 </w:t>
            </w:r>
          </w:p>
        </w:tc>
        <w:tc>
          <w:tcPr>
            <w:tcW w:w="2808" w:type="dxa"/>
          </w:tcPr>
          <w:p w:rsidR="00DB3EA8" w:rsidRPr="00DB3EA8" w:rsidRDefault="00DB3EA8" w:rsidP="00DB3EA8">
            <w:r w:rsidRPr="00DB3EA8">
              <w:rPr>
                <w:b/>
                <w:smallCaps/>
              </w:rPr>
              <w:t>Date:</w:t>
            </w:r>
            <w:r w:rsidRPr="00DB3EA8">
              <w:t xml:space="preserve"> 20140123</w:t>
            </w:r>
          </w:p>
          <w:p w:rsidR="00DB3EA8" w:rsidRPr="00DB3EA8" w:rsidRDefault="00DB3EA8" w:rsidP="00DB3EA8">
            <w:r w:rsidRPr="00DB3EA8">
              <w:rPr>
                <w:b/>
                <w:smallCaps/>
              </w:rPr>
              <w:t>Docket:</w:t>
            </w:r>
            <w:r w:rsidRPr="00DB3EA8">
              <w:t xml:space="preserve"> 34645</w:t>
            </w:r>
          </w:p>
        </w:tc>
      </w:tr>
    </w:tbl>
    <w:p w:rsidR="00DB3EA8" w:rsidRPr="00DB3EA8" w:rsidRDefault="00DB3EA8" w:rsidP="00DB3EA8">
      <w:pPr>
        <w:rPr>
          <w:rFonts w:eastAsiaTheme="minorHAnsi" w:cstheme="minorBidi"/>
          <w:szCs w:val="24"/>
          <w:lang w:eastAsia="en-US"/>
        </w:rPr>
      </w:pPr>
    </w:p>
    <w:p w:rsidR="00DB3EA8" w:rsidRPr="00DB3EA8" w:rsidRDefault="00DB3EA8" w:rsidP="00DB3EA8">
      <w:pPr>
        <w:rPr>
          <w:rFonts w:eastAsiaTheme="minorHAnsi" w:cstheme="minorBidi"/>
          <w:b/>
          <w:smallCaps/>
          <w:szCs w:val="24"/>
          <w:lang w:eastAsia="en-US"/>
        </w:rPr>
      </w:pPr>
      <w:r w:rsidRPr="00DB3EA8">
        <w:rPr>
          <w:rFonts w:eastAsiaTheme="minorHAnsi" w:cstheme="minorBidi"/>
          <w:b/>
          <w:smallCaps/>
          <w:szCs w:val="24"/>
          <w:lang w:eastAsia="en-US"/>
        </w:rPr>
        <w:t>Between:</w:t>
      </w:r>
    </w:p>
    <w:p w:rsidR="00DB3EA8" w:rsidRPr="00DB3EA8" w:rsidRDefault="00DB3EA8" w:rsidP="00DB3EA8">
      <w:pPr>
        <w:jc w:val="center"/>
        <w:rPr>
          <w:rFonts w:eastAsiaTheme="minorHAnsi" w:cstheme="minorBidi"/>
          <w:b/>
          <w:szCs w:val="24"/>
          <w:lang w:eastAsia="en-US"/>
        </w:rPr>
      </w:pPr>
      <w:proofErr w:type="gramStart"/>
      <w:r w:rsidRPr="00DB3EA8">
        <w:rPr>
          <w:rFonts w:eastAsiaTheme="minorHAnsi" w:cstheme="minorBidi"/>
          <w:b/>
          <w:szCs w:val="24"/>
          <w:lang w:eastAsia="en-US"/>
        </w:rPr>
        <w:t>Bruno Appliance and Furniture, Inc.</w:t>
      </w:r>
      <w:proofErr w:type="gramEnd"/>
    </w:p>
    <w:p w:rsidR="00DB3EA8" w:rsidRPr="00DB3EA8" w:rsidRDefault="00DB3EA8" w:rsidP="00DB3EA8">
      <w:pPr>
        <w:jc w:val="center"/>
        <w:rPr>
          <w:rFonts w:eastAsiaTheme="minorHAnsi" w:cstheme="minorBidi"/>
          <w:szCs w:val="24"/>
          <w:lang w:eastAsia="en-US"/>
        </w:rPr>
      </w:pPr>
      <w:r w:rsidRPr="00DB3EA8">
        <w:rPr>
          <w:rFonts w:eastAsiaTheme="minorHAnsi" w:cstheme="minorBidi"/>
          <w:szCs w:val="24"/>
          <w:lang w:eastAsia="en-US"/>
        </w:rPr>
        <w:t>Applicant</w:t>
      </w:r>
    </w:p>
    <w:p w:rsidR="00DB3EA8" w:rsidRPr="00DB3EA8" w:rsidRDefault="00DB3EA8" w:rsidP="00DB3EA8">
      <w:pPr>
        <w:jc w:val="center"/>
        <w:rPr>
          <w:rFonts w:eastAsiaTheme="minorHAnsi" w:cstheme="minorBidi"/>
          <w:szCs w:val="24"/>
          <w:lang w:eastAsia="en-US"/>
        </w:rPr>
      </w:pPr>
      <w:proofErr w:type="gramStart"/>
      <w:r w:rsidRPr="00DB3EA8">
        <w:rPr>
          <w:rFonts w:eastAsiaTheme="minorHAnsi" w:cstheme="minorBidi"/>
          <w:szCs w:val="24"/>
          <w:lang w:eastAsia="en-US"/>
        </w:rPr>
        <w:t>and</w:t>
      </w:r>
      <w:proofErr w:type="gramEnd"/>
    </w:p>
    <w:p w:rsidR="00DB3EA8" w:rsidRPr="00DB3EA8" w:rsidRDefault="00DB3EA8" w:rsidP="00DB3EA8">
      <w:pPr>
        <w:jc w:val="center"/>
        <w:rPr>
          <w:rFonts w:eastAsiaTheme="minorHAnsi" w:cstheme="minorBidi"/>
          <w:b/>
          <w:szCs w:val="24"/>
          <w:lang w:eastAsia="en-US"/>
        </w:rPr>
      </w:pPr>
      <w:r w:rsidRPr="00DB3EA8">
        <w:rPr>
          <w:rFonts w:eastAsiaTheme="minorHAnsi" w:cstheme="minorBidi"/>
          <w:b/>
          <w:szCs w:val="24"/>
          <w:lang w:eastAsia="en-US"/>
        </w:rPr>
        <w:t xml:space="preserve">Robert </w:t>
      </w:r>
      <w:proofErr w:type="spellStart"/>
      <w:r w:rsidRPr="00DB3EA8">
        <w:rPr>
          <w:rFonts w:eastAsiaTheme="minorHAnsi" w:cstheme="minorBidi"/>
          <w:b/>
          <w:szCs w:val="24"/>
          <w:lang w:eastAsia="en-US"/>
        </w:rPr>
        <w:t>Hryniak</w:t>
      </w:r>
      <w:proofErr w:type="spellEnd"/>
    </w:p>
    <w:p w:rsidR="00DB3EA8" w:rsidRPr="00DB3EA8" w:rsidRDefault="00DB3EA8" w:rsidP="00DB3EA8">
      <w:pPr>
        <w:jc w:val="center"/>
        <w:rPr>
          <w:rFonts w:eastAsiaTheme="minorHAnsi" w:cstheme="minorBidi"/>
          <w:szCs w:val="24"/>
          <w:lang w:eastAsia="en-US"/>
        </w:rPr>
      </w:pPr>
      <w:r w:rsidRPr="00DB3EA8">
        <w:rPr>
          <w:rFonts w:eastAsiaTheme="minorHAnsi" w:cstheme="minorBidi"/>
          <w:szCs w:val="24"/>
          <w:lang w:eastAsia="en-US"/>
        </w:rPr>
        <w:t>Respondent</w:t>
      </w:r>
    </w:p>
    <w:p w:rsidR="00DB3EA8" w:rsidRPr="00DB3EA8" w:rsidRDefault="00DB3EA8" w:rsidP="00DB3EA8">
      <w:pPr>
        <w:jc w:val="center"/>
        <w:rPr>
          <w:rFonts w:eastAsiaTheme="minorHAnsi" w:cstheme="minorBidi"/>
          <w:szCs w:val="24"/>
          <w:lang w:eastAsia="en-US"/>
        </w:rPr>
      </w:pPr>
      <w:r w:rsidRPr="00DB3EA8">
        <w:rPr>
          <w:rFonts w:eastAsiaTheme="minorHAnsi" w:cstheme="minorBidi"/>
          <w:szCs w:val="24"/>
          <w:lang w:eastAsia="en-US"/>
        </w:rPr>
        <w:t xml:space="preserve">- </w:t>
      </w:r>
      <w:proofErr w:type="gramStart"/>
      <w:r w:rsidRPr="00DB3EA8">
        <w:rPr>
          <w:rFonts w:eastAsiaTheme="minorHAnsi" w:cstheme="minorBidi"/>
          <w:szCs w:val="24"/>
          <w:lang w:eastAsia="en-US"/>
        </w:rPr>
        <w:t>and</w:t>
      </w:r>
      <w:proofErr w:type="gramEnd"/>
      <w:r w:rsidRPr="00DB3EA8">
        <w:rPr>
          <w:rFonts w:eastAsiaTheme="minorHAnsi" w:cstheme="minorBidi"/>
          <w:szCs w:val="24"/>
          <w:lang w:eastAsia="en-US"/>
        </w:rPr>
        <w:t xml:space="preserve"> -</w:t>
      </w:r>
    </w:p>
    <w:p w:rsidR="00DB3EA8" w:rsidRPr="00DB3EA8" w:rsidRDefault="00DB3EA8" w:rsidP="00DB3EA8">
      <w:pPr>
        <w:jc w:val="center"/>
        <w:rPr>
          <w:rFonts w:eastAsiaTheme="minorHAnsi" w:cstheme="minorBidi"/>
          <w:b/>
          <w:szCs w:val="24"/>
          <w:lang w:eastAsia="en-US"/>
        </w:rPr>
      </w:pPr>
      <w:r w:rsidRPr="00DB3EA8">
        <w:rPr>
          <w:rFonts w:eastAsiaTheme="minorHAnsi" w:cstheme="minorBidi"/>
          <w:b/>
          <w:szCs w:val="24"/>
          <w:lang w:eastAsia="en-US"/>
        </w:rPr>
        <w:t xml:space="preserve">Attorney General of Ontario, Ontario Trial Lawyers Association, </w:t>
      </w:r>
    </w:p>
    <w:p w:rsidR="00DB3EA8" w:rsidRPr="00DB3EA8" w:rsidRDefault="00DB3EA8" w:rsidP="00DB3EA8">
      <w:pPr>
        <w:jc w:val="center"/>
        <w:rPr>
          <w:rFonts w:eastAsiaTheme="minorHAnsi" w:cstheme="minorBidi"/>
          <w:b/>
          <w:szCs w:val="24"/>
          <w:lang w:eastAsia="en-US"/>
        </w:rPr>
      </w:pPr>
      <w:r w:rsidRPr="00DB3EA8">
        <w:rPr>
          <w:rFonts w:eastAsiaTheme="minorHAnsi" w:cstheme="minorBidi"/>
          <w:b/>
          <w:szCs w:val="24"/>
          <w:lang w:eastAsia="en-US"/>
        </w:rPr>
        <w:t>Advocates’ Society and Canadian Bar Association</w:t>
      </w:r>
    </w:p>
    <w:p w:rsidR="00DB3EA8" w:rsidRPr="00DB3EA8" w:rsidRDefault="00DB3EA8" w:rsidP="00DB3EA8">
      <w:pPr>
        <w:jc w:val="center"/>
        <w:rPr>
          <w:rFonts w:eastAsiaTheme="minorHAnsi" w:cstheme="minorBidi"/>
          <w:szCs w:val="24"/>
          <w:lang w:eastAsia="en-US"/>
        </w:rPr>
      </w:pPr>
      <w:r w:rsidRPr="00DB3EA8">
        <w:rPr>
          <w:rFonts w:eastAsiaTheme="minorHAnsi" w:cstheme="minorBidi"/>
          <w:szCs w:val="24"/>
          <w:lang w:eastAsia="en-US"/>
        </w:rPr>
        <w:t>Interveners</w:t>
      </w:r>
    </w:p>
    <w:p w:rsidR="00DB3EA8" w:rsidRPr="00DB3EA8" w:rsidRDefault="00DB3EA8" w:rsidP="00DB3EA8">
      <w:pPr>
        <w:rPr>
          <w:rFonts w:eastAsiaTheme="minorHAnsi" w:cstheme="minorBidi"/>
          <w:szCs w:val="24"/>
          <w:lang w:eastAsia="en-US"/>
        </w:rPr>
      </w:pPr>
    </w:p>
    <w:p w:rsidR="00DB3EA8" w:rsidRPr="00DB3EA8" w:rsidRDefault="00DB3EA8" w:rsidP="00DB3EA8">
      <w:pPr>
        <w:rPr>
          <w:rFonts w:eastAsiaTheme="minorHAnsi" w:cstheme="minorBidi"/>
          <w:szCs w:val="24"/>
          <w:lang w:eastAsia="en-US"/>
        </w:rPr>
      </w:pPr>
      <w:r w:rsidRPr="00DB3EA8">
        <w:rPr>
          <w:rFonts w:eastAsiaTheme="minorHAnsi" w:cstheme="minorBidi"/>
          <w:b/>
          <w:smallCaps/>
          <w:szCs w:val="24"/>
          <w:lang w:eastAsia="en-US"/>
        </w:rPr>
        <w:t>Coram:</w:t>
      </w:r>
      <w:r w:rsidRPr="00DB3EA8">
        <w:rPr>
          <w:rFonts w:eastAsiaTheme="minorHAnsi" w:cstheme="minorBidi"/>
          <w:szCs w:val="24"/>
          <w:lang w:eastAsia="en-US"/>
        </w:rPr>
        <w:t xml:space="preserve"> </w:t>
      </w:r>
      <w:proofErr w:type="spellStart"/>
      <w:r w:rsidRPr="00DB3EA8">
        <w:rPr>
          <w:rFonts w:eastAsiaTheme="minorHAnsi" w:cstheme="minorBidi"/>
          <w:szCs w:val="24"/>
          <w:lang w:eastAsia="en-US"/>
        </w:rPr>
        <w:t>McLachlin</w:t>
      </w:r>
      <w:proofErr w:type="spellEnd"/>
      <w:r w:rsidRPr="00DB3EA8">
        <w:rPr>
          <w:rFonts w:eastAsiaTheme="minorHAnsi" w:cstheme="minorBidi"/>
          <w:szCs w:val="24"/>
          <w:lang w:eastAsia="en-US"/>
        </w:rPr>
        <w:t xml:space="preserve"> C.J. and LeBel, Abella, Rothstein, Cromwell, </w:t>
      </w:r>
      <w:proofErr w:type="spellStart"/>
      <w:r w:rsidRPr="00DB3EA8">
        <w:rPr>
          <w:rFonts w:eastAsiaTheme="minorHAnsi" w:cstheme="minorBidi"/>
          <w:szCs w:val="24"/>
          <w:lang w:eastAsia="en-US"/>
        </w:rPr>
        <w:t>Karakatsanis</w:t>
      </w:r>
      <w:proofErr w:type="spellEnd"/>
      <w:r w:rsidRPr="00DB3EA8">
        <w:rPr>
          <w:rFonts w:eastAsiaTheme="minorHAnsi" w:cstheme="minorBidi"/>
          <w:szCs w:val="24"/>
          <w:lang w:eastAsia="en-US"/>
        </w:rPr>
        <w:t xml:space="preserve"> and Wagner JJ.</w:t>
      </w:r>
    </w:p>
    <w:p w:rsidR="00DB3EA8" w:rsidRPr="00DB3EA8" w:rsidRDefault="00DB3EA8" w:rsidP="00DB3EA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B3EA8" w:rsidRPr="00DB3EA8" w:rsidTr="002727C6">
        <w:trPr>
          <w:cantSplit/>
        </w:trPr>
        <w:tc>
          <w:tcPr>
            <w:tcW w:w="3618" w:type="dxa"/>
          </w:tcPr>
          <w:p w:rsidR="00DB3EA8" w:rsidRPr="00DB3EA8" w:rsidRDefault="00DB3EA8" w:rsidP="00DB3EA8">
            <w:pPr>
              <w:rPr>
                <w:b/>
                <w:smallCaps/>
              </w:rPr>
            </w:pPr>
            <w:r w:rsidRPr="00DB3EA8">
              <w:rPr>
                <w:b/>
                <w:smallCaps/>
              </w:rPr>
              <w:t>Reasons for Judgment:</w:t>
            </w:r>
          </w:p>
          <w:p w:rsidR="00DB3EA8" w:rsidRPr="00DB3EA8" w:rsidRDefault="00DB3EA8" w:rsidP="00DB3EA8">
            <w:r w:rsidRPr="00DB3EA8">
              <w:t>(</w:t>
            </w:r>
            <w:proofErr w:type="spellStart"/>
            <w:r w:rsidRPr="00DB3EA8">
              <w:t>paras</w:t>
            </w:r>
            <w:proofErr w:type="spellEnd"/>
            <w:r w:rsidRPr="00DB3EA8">
              <w:t>. 1 to 32)</w:t>
            </w:r>
          </w:p>
        </w:tc>
        <w:tc>
          <w:tcPr>
            <w:tcW w:w="5958" w:type="dxa"/>
          </w:tcPr>
          <w:p w:rsidR="00DB3EA8" w:rsidRPr="00DB3EA8" w:rsidRDefault="00DB3EA8" w:rsidP="00DB3EA8">
            <w:proofErr w:type="spellStart"/>
            <w:r w:rsidRPr="00DB3EA8">
              <w:t>Karakatsanis</w:t>
            </w:r>
            <w:proofErr w:type="spellEnd"/>
            <w:r w:rsidRPr="00DB3EA8">
              <w:t xml:space="preserve"> J. (</w:t>
            </w:r>
            <w:proofErr w:type="spellStart"/>
            <w:r w:rsidRPr="00DB3EA8">
              <w:t>McLachlin</w:t>
            </w:r>
            <w:proofErr w:type="spellEnd"/>
            <w:r w:rsidRPr="00DB3EA8">
              <w:t xml:space="preserve"> C.J. and LeBel, Abella, Rothstein, Cromwell and Wagner JJ. concurring)</w:t>
            </w:r>
          </w:p>
        </w:tc>
      </w:tr>
    </w:tbl>
    <w:p w:rsidR="00DB3EA8" w:rsidRPr="00DB3EA8" w:rsidRDefault="00F122A2" w:rsidP="00DB3EA8">
      <w:pPr>
        <w:rPr>
          <w:rFonts w:eastAsiaTheme="minorHAnsi" w:cstheme="minorBidi"/>
          <w:szCs w:val="24"/>
          <w:lang w:eastAsia="en-US"/>
        </w:rPr>
      </w:pPr>
      <w:r w:rsidRPr="00F122A2">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DB3EA8" w:rsidRDefault="00DB3EA8" w:rsidP="00640EF9">
      <w:pPr>
        <w:rPr>
          <w:rFonts w:eastAsiaTheme="minorHAnsi"/>
          <w:lang w:val="fr-CA"/>
        </w:rPr>
      </w:pPr>
    </w:p>
    <w:p w:rsidR="008322BD" w:rsidRDefault="00640EF9" w:rsidP="00640EF9">
      <w:pPr>
        <w:rPr>
          <w:smallCaps/>
        </w:rPr>
      </w:pPr>
      <w:r w:rsidRPr="00640EF9">
        <w:rPr>
          <w:rFonts w:eastAsiaTheme="minorHAnsi"/>
          <w:lang w:val="fr-CA"/>
        </w:rPr>
        <w:t xml:space="preserve">Bruno Appliance and </w:t>
      </w:r>
      <w:proofErr w:type="spellStart"/>
      <w:r w:rsidRPr="00640EF9">
        <w:rPr>
          <w:rFonts w:eastAsiaTheme="minorHAnsi"/>
          <w:lang w:val="fr-CA"/>
        </w:rPr>
        <w:t>Furniture</w:t>
      </w:r>
      <w:proofErr w:type="spellEnd"/>
      <w:r w:rsidRPr="00640EF9">
        <w:rPr>
          <w:rFonts w:eastAsiaTheme="minorHAnsi"/>
          <w:lang w:val="fr-CA"/>
        </w:rPr>
        <w:t>, Inc.</w:t>
      </w:r>
      <w:r w:rsidRPr="00640EF9">
        <w:rPr>
          <w:rFonts w:eastAsiaTheme="minorHAnsi"/>
          <w:iCs/>
          <w:color w:val="000000" w:themeColor="text1"/>
          <w:lang w:val="fr-CA"/>
        </w:rPr>
        <w:t xml:space="preserve"> </w:t>
      </w:r>
      <w:r w:rsidRPr="00640EF9">
        <w:rPr>
          <w:rFonts w:eastAsiaTheme="minorHAnsi"/>
          <w:i/>
          <w:iCs/>
          <w:color w:val="000000" w:themeColor="text1"/>
          <w:lang w:val="fr-CA"/>
        </w:rPr>
        <w:t>v.</w:t>
      </w:r>
      <w:r w:rsidRPr="00640EF9">
        <w:rPr>
          <w:rFonts w:eastAsiaTheme="minorHAnsi"/>
          <w:iCs/>
          <w:color w:val="000000" w:themeColor="text1"/>
          <w:lang w:val="fr-CA"/>
        </w:rPr>
        <w:t xml:space="preserve"> </w:t>
      </w:r>
      <w:proofErr w:type="spellStart"/>
      <w:r w:rsidRPr="00640EF9">
        <w:rPr>
          <w:rFonts w:eastAsiaTheme="minorHAnsi"/>
          <w:lang w:val="fr-CA"/>
        </w:rPr>
        <w:t>Hryniak</w:t>
      </w:r>
      <w:proofErr w:type="spellEnd"/>
      <w:r w:rsidRPr="00640EF9">
        <w:rPr>
          <w:rFonts w:eastAsiaTheme="minorHAnsi"/>
          <w:iCs/>
          <w:color w:val="000000" w:themeColor="text1"/>
          <w:lang w:val="fr-CA"/>
        </w:rPr>
        <w:t>,</w:t>
      </w:r>
      <w:r w:rsidRPr="00640EF9">
        <w:rPr>
          <w:rFonts w:eastAsiaTheme="minorHAnsi" w:cstheme="minorBidi"/>
          <w:i/>
          <w:szCs w:val="24"/>
          <w:lang w:val="fr-CA" w:eastAsia="en-US"/>
        </w:rPr>
        <w:t xml:space="preserve"> </w:t>
      </w:r>
      <w:r w:rsidRPr="00640EF9">
        <w:rPr>
          <w:rFonts w:eastAsiaTheme="minorHAnsi" w:cstheme="minorBidi"/>
          <w:szCs w:val="24"/>
          <w:lang w:val="fr-CA" w:eastAsia="en-US"/>
        </w:rPr>
        <w:t>2014 SCC 8, [2014] 1 S.C.R. 126</w:t>
      </w:r>
    </w:p>
    <w:p w:rsidR="00640EF9" w:rsidRPr="00217E87" w:rsidRDefault="00640EF9" w:rsidP="00640EF9">
      <w:pPr>
        <w:rPr>
          <w:smallCaps/>
        </w:rPr>
      </w:pPr>
    </w:p>
    <w:p w:rsidR="00E6191D" w:rsidRPr="00217E87" w:rsidRDefault="0005182F">
      <w:pPr>
        <w:pStyle w:val="SCCLsocLastPartyInRole"/>
      </w:pPr>
      <w:r w:rsidRPr="00217E87">
        <w:t>Bruno Appliance and Furniture, Inc.</w:t>
      </w:r>
      <w:r w:rsidRPr="00217E87">
        <w:rPr>
          <w:rStyle w:val="SCCLsocPartyRole"/>
        </w:rPr>
        <w:tab/>
        <w:t>App</w:t>
      </w:r>
      <w:r w:rsidR="00CE770B" w:rsidRPr="00217E87">
        <w:rPr>
          <w:rStyle w:val="SCCLsocPartyRole"/>
        </w:rPr>
        <w:t>ell</w:t>
      </w:r>
      <w:r w:rsidRPr="00217E87">
        <w:rPr>
          <w:rStyle w:val="SCCLsocPartyRole"/>
        </w:rPr>
        <w:t>ant</w:t>
      </w:r>
    </w:p>
    <w:p w:rsidR="00E6191D" w:rsidRPr="00217E87" w:rsidRDefault="0005182F">
      <w:pPr>
        <w:pStyle w:val="SCCLsocVersus"/>
      </w:pPr>
      <w:r w:rsidRPr="00217E87">
        <w:t>v.</w:t>
      </w:r>
    </w:p>
    <w:p w:rsidR="00E6191D" w:rsidRPr="00217E87" w:rsidRDefault="0005182F">
      <w:pPr>
        <w:pStyle w:val="SCCLsocLastPartyInRole"/>
      </w:pPr>
      <w:r w:rsidRPr="00217E87">
        <w:t>Robert Hryniak</w:t>
      </w:r>
      <w:r w:rsidRPr="00217E87">
        <w:rPr>
          <w:rStyle w:val="SCCLsocPartyRole"/>
        </w:rPr>
        <w:tab/>
        <w:t>Respondent</w:t>
      </w:r>
    </w:p>
    <w:p w:rsidR="00E6191D" w:rsidRPr="00217E87" w:rsidRDefault="0005182F">
      <w:pPr>
        <w:pStyle w:val="SCCLsocOtherPartySeparator"/>
      </w:pPr>
      <w:r w:rsidRPr="00217E87">
        <w:t>and</w:t>
      </w:r>
    </w:p>
    <w:p w:rsidR="004938CD" w:rsidRPr="00217E87" w:rsidRDefault="0005182F">
      <w:pPr>
        <w:pStyle w:val="SCCLsocParty"/>
      </w:pPr>
      <w:r w:rsidRPr="00217E87">
        <w:t>Attorney General of Ontario,</w:t>
      </w:r>
      <w:r w:rsidR="004938CD" w:rsidRPr="00217E87">
        <w:t xml:space="preserve"> </w:t>
      </w:r>
      <w:r w:rsidRPr="00217E87">
        <w:t xml:space="preserve">Ontario </w:t>
      </w:r>
    </w:p>
    <w:p w:rsidR="004938CD" w:rsidRPr="00217E87" w:rsidRDefault="0005182F" w:rsidP="004938CD">
      <w:pPr>
        <w:pStyle w:val="SCCLsocParty"/>
      </w:pPr>
      <w:r w:rsidRPr="00217E87">
        <w:t>Trial Lawyers Association,</w:t>
      </w:r>
      <w:r w:rsidR="004938CD" w:rsidRPr="00217E87">
        <w:t xml:space="preserve"> Advocates’ </w:t>
      </w:r>
    </w:p>
    <w:p w:rsidR="00E6191D" w:rsidRPr="00217E87" w:rsidRDefault="004938CD" w:rsidP="00A02D2C">
      <w:pPr>
        <w:pStyle w:val="SCCLsocParty"/>
        <w:spacing w:after="720"/>
      </w:pPr>
      <w:r w:rsidRPr="00217E87">
        <w:t xml:space="preserve">Society and </w:t>
      </w:r>
      <w:r w:rsidR="0005182F" w:rsidRPr="00217E87">
        <w:t>Canadian Bar Association</w:t>
      </w:r>
      <w:r w:rsidR="0005182F" w:rsidRPr="00217E87">
        <w:rPr>
          <w:rStyle w:val="SCCLsocPartyRole"/>
        </w:rPr>
        <w:tab/>
        <w:t>Interveners</w:t>
      </w:r>
    </w:p>
    <w:p w:rsidR="00426659" w:rsidRPr="00217E87" w:rsidRDefault="00426659" w:rsidP="00A02D2C">
      <w:pPr>
        <w:spacing w:after="720"/>
        <w:jc w:val="both"/>
        <w:rPr>
          <w:b/>
        </w:rPr>
      </w:pPr>
      <w:r w:rsidRPr="00217E87">
        <w:rPr>
          <w:b/>
        </w:rPr>
        <w:lastRenderedPageBreak/>
        <w:t xml:space="preserve">Indexed as:  Bruno Appliance and Furniture, Inc. </w:t>
      </w:r>
      <w:r w:rsidRPr="00217E87">
        <w:rPr>
          <w:b/>
          <w:i/>
        </w:rPr>
        <w:t>v.</w:t>
      </w:r>
      <w:r w:rsidRPr="00217E87">
        <w:rPr>
          <w:b/>
        </w:rPr>
        <w:t xml:space="preserve"> Hryniak</w:t>
      </w:r>
    </w:p>
    <w:p w:rsidR="00426659" w:rsidRPr="00217E87" w:rsidRDefault="00125173" w:rsidP="00A02D2C">
      <w:pPr>
        <w:pStyle w:val="SCCSystemYear"/>
        <w:spacing w:after="720"/>
        <w:jc w:val="both"/>
      </w:pPr>
      <w:r w:rsidRPr="00217E87">
        <w:t>2014</w:t>
      </w:r>
      <w:r w:rsidR="003D0399" w:rsidRPr="00217E87">
        <w:t xml:space="preserve"> </w:t>
      </w:r>
      <w:r w:rsidR="00426659" w:rsidRPr="00217E87">
        <w:t>SCC </w:t>
      </w:r>
      <w:r w:rsidR="00F8370F" w:rsidRPr="00217E87">
        <w:t>8</w:t>
      </w:r>
    </w:p>
    <w:p w:rsidR="008322BD" w:rsidRPr="00217E87" w:rsidRDefault="009B57B3" w:rsidP="00A02D2C">
      <w:pPr>
        <w:spacing w:after="720"/>
        <w:jc w:val="both"/>
      </w:pPr>
      <w:r w:rsidRPr="00217E87">
        <w:t>File No.:  34645.</w:t>
      </w:r>
    </w:p>
    <w:p w:rsidR="008322BD" w:rsidRPr="00217E87" w:rsidRDefault="00A02D2C" w:rsidP="00A02D2C">
      <w:pPr>
        <w:spacing w:after="720"/>
        <w:jc w:val="both"/>
      </w:pPr>
      <w:r w:rsidRPr="00217E87">
        <w:t>2013:  March </w:t>
      </w:r>
      <w:r w:rsidR="004F36FF" w:rsidRPr="00217E87">
        <w:t>26</w:t>
      </w:r>
      <w:r w:rsidRPr="00217E87">
        <w:t>; 2014:  </w:t>
      </w:r>
      <w:r w:rsidR="00180BEE" w:rsidRPr="00217E87">
        <w:t>January</w:t>
      </w:r>
      <w:r w:rsidRPr="00217E87">
        <w:t> </w:t>
      </w:r>
      <w:r w:rsidR="00180BEE" w:rsidRPr="00217E87">
        <w:t>23</w:t>
      </w:r>
      <w:r w:rsidR="009B57B3" w:rsidRPr="00217E87">
        <w:t>.</w:t>
      </w:r>
    </w:p>
    <w:p w:rsidR="008322BD" w:rsidRPr="00217E87" w:rsidRDefault="009B57B3" w:rsidP="00A02D2C">
      <w:pPr>
        <w:spacing w:after="720"/>
        <w:jc w:val="both"/>
      </w:pPr>
      <w:r w:rsidRPr="00217E87">
        <w:t>Present:  McLachlin C.J. and LeBel, Abella, Rothstein, Cromwell, Karakatsanis and Wagner JJ.</w:t>
      </w:r>
    </w:p>
    <w:p w:rsidR="008322BD" w:rsidRPr="00217E87" w:rsidRDefault="00656313" w:rsidP="00A02D2C">
      <w:pPr>
        <w:pStyle w:val="SCCLowerCourtNameLowercase"/>
        <w:spacing w:after="720" w:line="240" w:lineRule="auto"/>
      </w:pPr>
      <w:r w:rsidRPr="00217E87">
        <w:t>o</w:t>
      </w:r>
      <w:r w:rsidR="00170592" w:rsidRPr="00217E87">
        <w:t>n</w:t>
      </w:r>
      <w:r w:rsidR="00224FC0" w:rsidRPr="00217E87">
        <w:t xml:space="preserve"> </w:t>
      </w:r>
      <w:r w:rsidRPr="00217E87">
        <w:t>a</w:t>
      </w:r>
      <w:r w:rsidR="00170592" w:rsidRPr="00217E87">
        <w:t>ppeal</w:t>
      </w:r>
      <w:r w:rsidR="00224FC0" w:rsidRPr="00217E87">
        <w:t xml:space="preserve"> </w:t>
      </w:r>
      <w:r w:rsidR="00170592" w:rsidRPr="00217E87">
        <w:t>from</w:t>
      </w:r>
      <w:r w:rsidR="009567AA" w:rsidRPr="00217E87">
        <w:t xml:space="preserve"> the</w:t>
      </w:r>
      <w:r w:rsidR="00224FC0" w:rsidRPr="00217E87">
        <w:t xml:space="preserve"> </w:t>
      </w:r>
      <w:r w:rsidR="009B57B3" w:rsidRPr="00217E87">
        <w:t>court of appeal for ontario</w:t>
      </w:r>
    </w:p>
    <w:p w:rsidR="00281C0F" w:rsidRPr="00217E87" w:rsidRDefault="00E27AAE" w:rsidP="00E27AAE">
      <w:pPr>
        <w:pStyle w:val="SCCNormalDoubleSpacing"/>
        <w:spacing w:before="480" w:after="480"/>
        <w:rPr>
          <w:i/>
          <w:szCs w:val="24"/>
        </w:rPr>
      </w:pPr>
      <w:r w:rsidRPr="00217E87">
        <w:rPr>
          <w:i/>
          <w:szCs w:val="24"/>
        </w:rPr>
        <w:tab/>
      </w:r>
      <w:r w:rsidR="00281C0F" w:rsidRPr="00217E87">
        <w:rPr>
          <w:i/>
          <w:szCs w:val="24"/>
        </w:rPr>
        <w:t xml:space="preserve">Civil </w:t>
      </w:r>
      <w:r w:rsidR="004942B2">
        <w:rPr>
          <w:i/>
          <w:szCs w:val="24"/>
        </w:rPr>
        <w:t>p</w:t>
      </w:r>
      <w:r w:rsidR="00281C0F" w:rsidRPr="00217E87">
        <w:rPr>
          <w:i/>
          <w:szCs w:val="24"/>
        </w:rPr>
        <w:t xml:space="preserve">rocedure </w:t>
      </w:r>
      <w:r w:rsidRPr="00217E87">
        <w:rPr>
          <w:i/>
          <w:szCs w:val="24"/>
        </w:rPr>
        <w:t xml:space="preserve">— </w:t>
      </w:r>
      <w:r w:rsidR="004942B2">
        <w:rPr>
          <w:i/>
          <w:szCs w:val="24"/>
        </w:rPr>
        <w:t>Summary j</w:t>
      </w:r>
      <w:r w:rsidR="00281C0F" w:rsidRPr="00217E87">
        <w:rPr>
          <w:i/>
          <w:szCs w:val="24"/>
        </w:rPr>
        <w:t xml:space="preserve">udgment </w:t>
      </w:r>
      <w:r w:rsidRPr="00217E87">
        <w:rPr>
          <w:i/>
          <w:szCs w:val="24"/>
        </w:rPr>
        <w:t xml:space="preserve">— </w:t>
      </w:r>
      <w:r w:rsidR="00281C0F" w:rsidRPr="00217E87">
        <w:rPr>
          <w:i/>
          <w:szCs w:val="24"/>
        </w:rPr>
        <w:t xml:space="preserve">Investor bringing action in civil fraud and subsequently bringing a motion for summary judgment </w:t>
      </w:r>
      <w:r w:rsidRPr="00217E87">
        <w:rPr>
          <w:i/>
          <w:szCs w:val="24"/>
        </w:rPr>
        <w:t xml:space="preserve">— </w:t>
      </w:r>
      <w:r w:rsidR="00281C0F" w:rsidRPr="00217E87">
        <w:rPr>
          <w:i/>
          <w:szCs w:val="24"/>
        </w:rPr>
        <w:t xml:space="preserve">Motion judge granting summary judgment but being overruled by Court of Appeal </w:t>
      </w:r>
      <w:r w:rsidRPr="00217E87">
        <w:rPr>
          <w:i/>
          <w:szCs w:val="24"/>
        </w:rPr>
        <w:t xml:space="preserve">— </w:t>
      </w:r>
      <w:r w:rsidR="00281C0F" w:rsidRPr="00217E87">
        <w:rPr>
          <w:i/>
          <w:szCs w:val="24"/>
        </w:rPr>
        <w:t xml:space="preserve">Elements of civil fraud </w:t>
      </w:r>
      <w:r w:rsidRPr="00217E87">
        <w:rPr>
          <w:i/>
          <w:szCs w:val="24"/>
        </w:rPr>
        <w:t xml:space="preserve">— </w:t>
      </w:r>
      <w:r w:rsidR="00281C0F" w:rsidRPr="00217E87">
        <w:rPr>
          <w:i/>
          <w:szCs w:val="24"/>
        </w:rPr>
        <w:t xml:space="preserve">Whether motion judge erred in granting summary judgment </w:t>
      </w:r>
      <w:r w:rsidRPr="00217E87">
        <w:rPr>
          <w:i/>
          <w:szCs w:val="24"/>
        </w:rPr>
        <w:t xml:space="preserve">— </w:t>
      </w:r>
      <w:r w:rsidR="00281C0F" w:rsidRPr="00217E87">
        <w:rPr>
          <w:i/>
          <w:szCs w:val="24"/>
        </w:rPr>
        <w:t>Rules of Civ</w:t>
      </w:r>
      <w:r w:rsidRPr="00217E87">
        <w:rPr>
          <w:i/>
          <w:szCs w:val="24"/>
        </w:rPr>
        <w:t>il Procedure, R.R.O. 1990, Reg. </w:t>
      </w:r>
      <w:r w:rsidR="00281C0F" w:rsidRPr="00217E87">
        <w:rPr>
          <w:i/>
          <w:szCs w:val="24"/>
        </w:rPr>
        <w:t>194</w:t>
      </w:r>
      <w:r w:rsidRPr="00217E87">
        <w:rPr>
          <w:i/>
          <w:szCs w:val="24"/>
        </w:rPr>
        <w:t>, Rule </w:t>
      </w:r>
      <w:r w:rsidR="00281C0F" w:rsidRPr="00217E87">
        <w:rPr>
          <w:i/>
          <w:szCs w:val="24"/>
        </w:rPr>
        <w:t>20</w:t>
      </w:r>
      <w:r w:rsidR="004942B2">
        <w:rPr>
          <w:i/>
          <w:szCs w:val="24"/>
        </w:rPr>
        <w:t>.</w:t>
      </w:r>
    </w:p>
    <w:p w:rsidR="00281C0F" w:rsidRPr="00217E87" w:rsidRDefault="00E27AAE" w:rsidP="00E27AAE">
      <w:pPr>
        <w:pStyle w:val="SCCNormalDoubleSpacing"/>
        <w:spacing w:before="480" w:after="480"/>
        <w:rPr>
          <w:szCs w:val="24"/>
        </w:rPr>
      </w:pPr>
      <w:r w:rsidRPr="00217E87">
        <w:rPr>
          <w:szCs w:val="24"/>
        </w:rPr>
        <w:tab/>
      </w:r>
      <w:r w:rsidR="00281C0F" w:rsidRPr="00217E87">
        <w:rPr>
          <w:szCs w:val="24"/>
        </w:rPr>
        <w:t xml:space="preserve">Bruno Appliance and Furniture, Inc. is an American corporation. </w:t>
      </w:r>
      <w:r w:rsidRPr="00217E87">
        <w:rPr>
          <w:szCs w:val="24"/>
        </w:rPr>
        <w:t xml:space="preserve"> </w:t>
      </w:r>
      <w:r w:rsidR="00281C0F" w:rsidRPr="00217E87">
        <w:rPr>
          <w:szCs w:val="24"/>
        </w:rPr>
        <w:t>Its</w:t>
      </w:r>
      <w:r w:rsidR="009C7BEA" w:rsidRPr="00217E87">
        <w:rPr>
          <w:szCs w:val="24"/>
        </w:rPr>
        <w:t xml:space="preserve"> principal met with the principal of</w:t>
      </w:r>
      <w:r w:rsidR="00281C0F" w:rsidRPr="00217E87">
        <w:rPr>
          <w:szCs w:val="24"/>
        </w:rPr>
        <w:t xml:space="preserve"> Frontline Investments, Inc.</w:t>
      </w:r>
      <w:r w:rsidR="009C7BEA" w:rsidRPr="00217E87">
        <w:rPr>
          <w:szCs w:val="24"/>
        </w:rPr>
        <w:t xml:space="preserve"> and</w:t>
      </w:r>
      <w:r w:rsidR="00281C0F" w:rsidRPr="00217E87">
        <w:rPr>
          <w:szCs w:val="24"/>
        </w:rPr>
        <w:t xml:space="preserve"> a</w:t>
      </w:r>
      <w:r w:rsidR="009C7BEA" w:rsidRPr="00217E87">
        <w:rPr>
          <w:szCs w:val="24"/>
        </w:rPr>
        <w:t>s a result of these meetings,</w:t>
      </w:r>
      <w:r w:rsidR="00281C0F" w:rsidRPr="00217E87">
        <w:rPr>
          <w:szCs w:val="24"/>
        </w:rPr>
        <w:t xml:space="preserve"> </w:t>
      </w:r>
      <w:r w:rsidR="009C7BEA" w:rsidRPr="00217E87">
        <w:rPr>
          <w:szCs w:val="24"/>
        </w:rPr>
        <w:t>executed</w:t>
      </w:r>
      <w:r w:rsidR="00281C0F" w:rsidRPr="00217E87">
        <w:rPr>
          <w:szCs w:val="24"/>
        </w:rPr>
        <w:t xml:space="preserve"> a number of investment documents in favour of Frontline. </w:t>
      </w:r>
      <w:r w:rsidRPr="00217E87">
        <w:rPr>
          <w:szCs w:val="24"/>
        </w:rPr>
        <w:t xml:space="preserve"> </w:t>
      </w:r>
      <w:r w:rsidR="009C7BEA" w:rsidRPr="00217E87">
        <w:rPr>
          <w:szCs w:val="24"/>
        </w:rPr>
        <w:t>Bruno Appliance subsequently</w:t>
      </w:r>
      <w:r w:rsidR="00281C0F" w:rsidRPr="00217E87">
        <w:rPr>
          <w:szCs w:val="24"/>
        </w:rPr>
        <w:t xml:space="preserve"> wired US$1</w:t>
      </w:r>
      <w:r w:rsidRPr="00217E87">
        <w:rPr>
          <w:szCs w:val="24"/>
        </w:rPr>
        <w:t> </w:t>
      </w:r>
      <w:r w:rsidR="00281C0F" w:rsidRPr="00217E87">
        <w:rPr>
          <w:szCs w:val="24"/>
        </w:rPr>
        <w:t xml:space="preserve">million to Cassels Brock, who assigned the funds to an </w:t>
      </w:r>
      <w:r w:rsidR="009C7BEA" w:rsidRPr="00217E87">
        <w:rPr>
          <w:szCs w:val="24"/>
        </w:rPr>
        <w:t xml:space="preserve">account associated with Tropos </w:t>
      </w:r>
      <w:r w:rsidR="004942B2">
        <w:rPr>
          <w:szCs w:val="24"/>
        </w:rPr>
        <w:t>Capital Inc.</w:t>
      </w:r>
      <w:r w:rsidR="00281C0F" w:rsidRPr="00217E87">
        <w:rPr>
          <w:szCs w:val="24"/>
        </w:rPr>
        <w:t>, a company of which H</w:t>
      </w:r>
      <w:r w:rsidR="009C7BEA" w:rsidRPr="00217E87">
        <w:rPr>
          <w:szCs w:val="24"/>
        </w:rPr>
        <w:t xml:space="preserve"> was the princip</w:t>
      </w:r>
      <w:r w:rsidRPr="00217E87">
        <w:rPr>
          <w:szCs w:val="24"/>
        </w:rPr>
        <w:t xml:space="preserve">al.  </w:t>
      </w:r>
      <w:r w:rsidR="00281C0F" w:rsidRPr="00217E87">
        <w:rPr>
          <w:szCs w:val="24"/>
        </w:rPr>
        <w:t xml:space="preserve">Bruno Appliance’s funds were </w:t>
      </w:r>
      <w:r w:rsidR="009C7BEA" w:rsidRPr="00217E87">
        <w:rPr>
          <w:szCs w:val="24"/>
        </w:rPr>
        <w:t>then bundled with other funds</w:t>
      </w:r>
      <w:r w:rsidR="00281C0F" w:rsidRPr="00217E87">
        <w:rPr>
          <w:szCs w:val="24"/>
        </w:rPr>
        <w:t xml:space="preserve"> and paid </w:t>
      </w:r>
      <w:r w:rsidR="009C7BEA" w:rsidRPr="00217E87">
        <w:rPr>
          <w:szCs w:val="24"/>
        </w:rPr>
        <w:t xml:space="preserve">to Tropos in a bank draft. </w:t>
      </w:r>
      <w:r w:rsidR="00E03686" w:rsidRPr="00217E87">
        <w:rPr>
          <w:szCs w:val="24"/>
        </w:rPr>
        <w:t xml:space="preserve"> </w:t>
      </w:r>
      <w:r w:rsidR="00281C0F" w:rsidRPr="00217E87">
        <w:rPr>
          <w:szCs w:val="24"/>
        </w:rPr>
        <w:t xml:space="preserve">Bruno Appliance’s money was not invested and </w:t>
      </w:r>
      <w:r w:rsidR="009C7BEA" w:rsidRPr="00217E87">
        <w:rPr>
          <w:szCs w:val="24"/>
        </w:rPr>
        <w:t>disappeared</w:t>
      </w:r>
      <w:r w:rsidR="00281C0F" w:rsidRPr="00217E87">
        <w:rPr>
          <w:szCs w:val="24"/>
        </w:rPr>
        <w:t>.</w:t>
      </w:r>
    </w:p>
    <w:p w:rsidR="00281C0F" w:rsidRPr="00217E87" w:rsidRDefault="00E27AAE" w:rsidP="00E27AAE">
      <w:pPr>
        <w:pStyle w:val="SCCNormalDoubleSpacing"/>
        <w:spacing w:before="480" w:after="480"/>
        <w:rPr>
          <w:szCs w:val="24"/>
        </w:rPr>
      </w:pPr>
      <w:r w:rsidRPr="00217E87">
        <w:rPr>
          <w:szCs w:val="24"/>
        </w:rPr>
        <w:lastRenderedPageBreak/>
        <w:tab/>
      </w:r>
      <w:r w:rsidR="009C7BEA" w:rsidRPr="00217E87">
        <w:rPr>
          <w:szCs w:val="24"/>
        </w:rPr>
        <w:t xml:space="preserve">Bruno Appliance launched </w:t>
      </w:r>
      <w:r w:rsidR="00281C0F" w:rsidRPr="00217E87">
        <w:rPr>
          <w:szCs w:val="24"/>
        </w:rPr>
        <w:t>a civil fraud action against H</w:t>
      </w:r>
      <w:r w:rsidR="009C7BEA" w:rsidRPr="00217E87">
        <w:rPr>
          <w:szCs w:val="24"/>
        </w:rPr>
        <w:t xml:space="preserve"> </w:t>
      </w:r>
      <w:r w:rsidR="00281C0F" w:rsidRPr="00217E87">
        <w:rPr>
          <w:szCs w:val="24"/>
        </w:rPr>
        <w:t xml:space="preserve">and others, </w:t>
      </w:r>
      <w:bookmarkStart w:id="0" w:name="_GoBack"/>
      <w:bookmarkEnd w:id="0"/>
      <w:r w:rsidR="00281C0F" w:rsidRPr="00217E87">
        <w:rPr>
          <w:szCs w:val="24"/>
        </w:rPr>
        <w:t xml:space="preserve">and brought </w:t>
      </w:r>
      <w:r w:rsidR="009C7BEA" w:rsidRPr="00217E87">
        <w:rPr>
          <w:szCs w:val="24"/>
        </w:rPr>
        <w:t>a</w:t>
      </w:r>
      <w:r w:rsidR="00281C0F" w:rsidRPr="00217E87">
        <w:rPr>
          <w:szCs w:val="24"/>
        </w:rPr>
        <w:t xml:space="preserve"> m</w:t>
      </w:r>
      <w:r w:rsidR="009C7BEA" w:rsidRPr="00217E87">
        <w:rPr>
          <w:szCs w:val="24"/>
        </w:rPr>
        <w:t xml:space="preserve">otion for summary judgment. </w:t>
      </w:r>
      <w:r w:rsidRPr="00217E87">
        <w:rPr>
          <w:szCs w:val="24"/>
        </w:rPr>
        <w:t xml:space="preserve"> </w:t>
      </w:r>
      <w:r w:rsidR="00281C0F" w:rsidRPr="00217E87">
        <w:rPr>
          <w:szCs w:val="24"/>
        </w:rPr>
        <w:t>The motion judge found that Bruno Appliance had established its claim and that there was no</w:t>
      </w:r>
      <w:r w:rsidR="009C7BEA" w:rsidRPr="00217E87">
        <w:rPr>
          <w:szCs w:val="24"/>
        </w:rPr>
        <w:t xml:space="preserve"> issue requiring a tri</w:t>
      </w:r>
      <w:r w:rsidRPr="00217E87">
        <w:rPr>
          <w:szCs w:val="24"/>
        </w:rPr>
        <w:t xml:space="preserve">al.  </w:t>
      </w:r>
      <w:r w:rsidR="009C7BEA" w:rsidRPr="00217E87">
        <w:rPr>
          <w:szCs w:val="24"/>
        </w:rPr>
        <w:t xml:space="preserve">The Court of Appeal disagreed and </w:t>
      </w:r>
      <w:r w:rsidR="00281C0F" w:rsidRPr="00217E87">
        <w:rPr>
          <w:szCs w:val="24"/>
        </w:rPr>
        <w:t>ordered that the Bruno Appliance action proceed to trial.</w:t>
      </w:r>
    </w:p>
    <w:p w:rsidR="00281C0F" w:rsidRPr="00217E87" w:rsidRDefault="00E27AAE" w:rsidP="00E27AAE">
      <w:pPr>
        <w:pStyle w:val="SCCNormalDoubleSpacing"/>
        <w:spacing w:before="480" w:after="480"/>
        <w:rPr>
          <w:szCs w:val="24"/>
        </w:rPr>
      </w:pPr>
      <w:r w:rsidRPr="00217E87">
        <w:rPr>
          <w:i/>
          <w:szCs w:val="24"/>
        </w:rPr>
        <w:tab/>
      </w:r>
      <w:r w:rsidR="00281C0F" w:rsidRPr="00217E87">
        <w:rPr>
          <w:i/>
          <w:szCs w:val="24"/>
        </w:rPr>
        <w:t>Held</w:t>
      </w:r>
      <w:r w:rsidR="00281C0F" w:rsidRPr="004977B3">
        <w:rPr>
          <w:szCs w:val="24"/>
        </w:rPr>
        <w:t xml:space="preserve">: </w:t>
      </w:r>
      <w:r w:rsidRPr="00217E87">
        <w:rPr>
          <w:szCs w:val="24"/>
        </w:rPr>
        <w:t xml:space="preserve"> </w:t>
      </w:r>
      <w:r w:rsidR="00281C0F" w:rsidRPr="00217E87">
        <w:rPr>
          <w:szCs w:val="24"/>
        </w:rPr>
        <w:t>The appeal should be dismissed.</w:t>
      </w:r>
    </w:p>
    <w:p w:rsidR="00281C0F" w:rsidRPr="00217E87" w:rsidRDefault="00E27AAE" w:rsidP="00E27AAE">
      <w:pPr>
        <w:pStyle w:val="SCCNormalDoubleSpacing"/>
        <w:spacing w:before="480" w:after="480"/>
        <w:rPr>
          <w:szCs w:val="24"/>
        </w:rPr>
      </w:pPr>
      <w:r w:rsidRPr="00217E87">
        <w:rPr>
          <w:szCs w:val="24"/>
        </w:rPr>
        <w:tab/>
      </w:r>
      <w:r w:rsidR="00281C0F" w:rsidRPr="00217E87">
        <w:rPr>
          <w:szCs w:val="24"/>
        </w:rPr>
        <w:t>The scope and interpretation of the amended Rule</w:t>
      </w:r>
      <w:r w:rsidR="00E03686" w:rsidRPr="00217E87">
        <w:rPr>
          <w:szCs w:val="24"/>
        </w:rPr>
        <w:t> </w:t>
      </w:r>
      <w:r w:rsidR="00281C0F" w:rsidRPr="00217E87">
        <w:rPr>
          <w:szCs w:val="24"/>
        </w:rPr>
        <w:t xml:space="preserve">20 </w:t>
      </w:r>
      <w:r w:rsidR="009C7BEA" w:rsidRPr="00217E87">
        <w:rPr>
          <w:szCs w:val="24"/>
        </w:rPr>
        <w:t>summary judgment motion</w:t>
      </w:r>
      <w:r w:rsidR="00281C0F" w:rsidRPr="00217E87">
        <w:rPr>
          <w:szCs w:val="24"/>
        </w:rPr>
        <w:t xml:space="preserve"> are addressed in the companion appeal, </w:t>
      </w:r>
      <w:r w:rsidR="00281C0F" w:rsidRPr="00217E87">
        <w:rPr>
          <w:i/>
          <w:szCs w:val="24"/>
        </w:rPr>
        <w:t>Hryniak v. Mauldin</w:t>
      </w:r>
      <w:r w:rsidR="008E60BD">
        <w:rPr>
          <w:szCs w:val="24"/>
        </w:rPr>
        <w:t>,</w:t>
      </w:r>
      <w:r w:rsidR="00281C0F" w:rsidRPr="00217E87">
        <w:rPr>
          <w:szCs w:val="24"/>
        </w:rPr>
        <w:t xml:space="preserve"> 2014 SCC </w:t>
      </w:r>
      <w:r w:rsidR="00F8370F" w:rsidRPr="00217E87">
        <w:rPr>
          <w:szCs w:val="24"/>
        </w:rPr>
        <w:t>7</w:t>
      </w:r>
      <w:r w:rsidR="004977B3">
        <w:rPr>
          <w:szCs w:val="24"/>
        </w:rPr>
        <w:t xml:space="preserve">, [2014] 1 S.C.R. </w:t>
      </w:r>
      <w:r w:rsidR="006C205E">
        <w:rPr>
          <w:szCs w:val="24"/>
        </w:rPr>
        <w:t>87</w:t>
      </w:r>
      <w:r w:rsidR="00281C0F" w:rsidRPr="00217E87">
        <w:rPr>
          <w:szCs w:val="24"/>
        </w:rPr>
        <w:t>.</w:t>
      </w:r>
      <w:r w:rsidR="009C7BEA" w:rsidRPr="00217E87">
        <w:rPr>
          <w:szCs w:val="24"/>
        </w:rPr>
        <w:t xml:space="preserve"> </w:t>
      </w:r>
      <w:r w:rsidR="00281C0F" w:rsidRPr="00217E87">
        <w:rPr>
          <w:szCs w:val="24"/>
        </w:rPr>
        <w:t>Summary judgmen</w:t>
      </w:r>
      <w:r w:rsidRPr="00217E87">
        <w:rPr>
          <w:szCs w:val="24"/>
        </w:rPr>
        <w:t>t may not be granted under Rule </w:t>
      </w:r>
      <w:r w:rsidR="00281C0F" w:rsidRPr="00217E87">
        <w:rPr>
          <w:szCs w:val="24"/>
        </w:rPr>
        <w:t>20 where there is a genuine issue requiring a tri</w:t>
      </w:r>
      <w:r w:rsidRPr="00217E87">
        <w:rPr>
          <w:szCs w:val="24"/>
        </w:rPr>
        <w:t xml:space="preserve">al.  </w:t>
      </w:r>
      <w:r w:rsidR="009C7BEA" w:rsidRPr="00217E87">
        <w:rPr>
          <w:szCs w:val="24"/>
        </w:rPr>
        <w:t>T</w:t>
      </w:r>
      <w:r w:rsidR="00281C0F" w:rsidRPr="00217E87">
        <w:rPr>
          <w:szCs w:val="24"/>
        </w:rPr>
        <w:t xml:space="preserve">he motion judge should ask whether the matter can be resolved in a fair and just manner on a summary judgment motion.  </w:t>
      </w:r>
      <w:r w:rsidR="00281C0F" w:rsidRPr="00217E87">
        <w:rPr>
          <w:szCs w:val="24"/>
          <w:lang w:val="en-US"/>
        </w:rPr>
        <w:t>This will be the ca</w:t>
      </w:r>
      <w:r w:rsidRPr="00217E87">
        <w:rPr>
          <w:szCs w:val="24"/>
          <w:lang w:val="en-US"/>
        </w:rPr>
        <w:t xml:space="preserve">se when </w:t>
      </w:r>
      <w:r w:rsidR="00281C0F" w:rsidRPr="00217E87">
        <w:rPr>
          <w:szCs w:val="24"/>
          <w:lang w:val="en-US"/>
        </w:rPr>
        <w:t xml:space="preserve">the process </w:t>
      </w:r>
      <w:r w:rsidR="008E60BD" w:rsidRPr="00217E87">
        <w:rPr>
          <w:szCs w:val="24"/>
          <w:lang w:val="en-US"/>
        </w:rPr>
        <w:t>(1) </w:t>
      </w:r>
      <w:r w:rsidR="00281C0F" w:rsidRPr="00217E87">
        <w:rPr>
          <w:szCs w:val="24"/>
          <w:lang w:val="en-US"/>
        </w:rPr>
        <w:t xml:space="preserve">allows the judge to make the </w:t>
      </w:r>
      <w:r w:rsidRPr="00217E87">
        <w:rPr>
          <w:szCs w:val="24"/>
          <w:lang w:val="en-US"/>
        </w:rPr>
        <w:t>necessary findings of fact, (2) </w:t>
      </w:r>
      <w:r w:rsidR="00281C0F" w:rsidRPr="00217E87">
        <w:rPr>
          <w:szCs w:val="24"/>
          <w:lang w:val="en-US"/>
        </w:rPr>
        <w:t>allows the judge to apply the law to the facts, and (3)</w:t>
      </w:r>
      <w:r w:rsidRPr="00217E87">
        <w:rPr>
          <w:szCs w:val="24"/>
          <w:lang w:val="en-US"/>
        </w:rPr>
        <w:t> </w:t>
      </w:r>
      <w:r w:rsidR="00281C0F" w:rsidRPr="00217E87">
        <w:rPr>
          <w:szCs w:val="24"/>
          <w:lang w:val="en-US"/>
        </w:rPr>
        <w:t>is a proportionate, more expeditious and less expensive means to achieve a just result.</w:t>
      </w:r>
      <w:r w:rsidR="009C7BEA" w:rsidRPr="00217E87">
        <w:rPr>
          <w:szCs w:val="24"/>
        </w:rPr>
        <w:t xml:space="preserve"> </w:t>
      </w:r>
      <w:r w:rsidRPr="00217E87">
        <w:rPr>
          <w:szCs w:val="24"/>
        </w:rPr>
        <w:t xml:space="preserve"> </w:t>
      </w:r>
      <w:r w:rsidR="00281C0F" w:rsidRPr="00217E87">
        <w:rPr>
          <w:szCs w:val="24"/>
        </w:rPr>
        <w:t>If there appears to be a genuine issue requiring a trial, based only on the record before her, the judge should then ask if the need for a trial can be avoided by using the new powers provided under R</w:t>
      </w:r>
      <w:r w:rsidR="009C7BEA" w:rsidRPr="00217E87">
        <w:rPr>
          <w:szCs w:val="24"/>
        </w:rPr>
        <w:t xml:space="preserve">ules 20.04(2.1) and (2.2). </w:t>
      </w:r>
      <w:r w:rsidRPr="00217E87">
        <w:rPr>
          <w:szCs w:val="24"/>
        </w:rPr>
        <w:t xml:space="preserve"> </w:t>
      </w:r>
      <w:r w:rsidR="00281C0F" w:rsidRPr="00217E87">
        <w:rPr>
          <w:szCs w:val="24"/>
        </w:rPr>
        <w:t>She may, at her discretion, use those powers, provided that their use is not against the interest of justice.</w:t>
      </w:r>
    </w:p>
    <w:p w:rsidR="00281C0F" w:rsidRPr="00217E87" w:rsidRDefault="00E27AAE" w:rsidP="00E27AAE">
      <w:pPr>
        <w:pStyle w:val="SCCNormalDoubleSpacing"/>
        <w:spacing w:before="480" w:after="480"/>
        <w:rPr>
          <w:szCs w:val="24"/>
        </w:rPr>
      </w:pPr>
      <w:r w:rsidRPr="00217E87">
        <w:rPr>
          <w:szCs w:val="24"/>
        </w:rPr>
        <w:tab/>
      </w:r>
      <w:r w:rsidR="009C7BEA" w:rsidRPr="00217E87">
        <w:rPr>
          <w:szCs w:val="24"/>
        </w:rPr>
        <w:t>The Court of Appeal did not err</w:t>
      </w:r>
      <w:r w:rsidR="00281C0F" w:rsidRPr="00217E87">
        <w:rPr>
          <w:szCs w:val="24"/>
        </w:rPr>
        <w:t xml:space="preserve"> in its determination that Bruno Appliance should not receive sum</w:t>
      </w:r>
      <w:r w:rsidR="009C7BEA" w:rsidRPr="00217E87">
        <w:rPr>
          <w:szCs w:val="24"/>
        </w:rPr>
        <w:t xml:space="preserve">mary judgment against H. </w:t>
      </w:r>
      <w:r w:rsidRPr="00217E87">
        <w:rPr>
          <w:szCs w:val="24"/>
        </w:rPr>
        <w:t xml:space="preserve"> </w:t>
      </w:r>
      <w:r w:rsidR="009C7BEA" w:rsidRPr="00217E87">
        <w:rPr>
          <w:szCs w:val="24"/>
        </w:rPr>
        <w:t>T</w:t>
      </w:r>
      <w:r w:rsidR="00281C0F" w:rsidRPr="00217E87">
        <w:rPr>
          <w:szCs w:val="24"/>
        </w:rPr>
        <w:t xml:space="preserve">he following four elements </w:t>
      </w:r>
      <w:r w:rsidR="009C7BEA" w:rsidRPr="00217E87">
        <w:rPr>
          <w:szCs w:val="24"/>
        </w:rPr>
        <w:t>constitute</w:t>
      </w:r>
      <w:r w:rsidR="00281C0F" w:rsidRPr="00217E87">
        <w:rPr>
          <w:szCs w:val="24"/>
        </w:rPr>
        <w:t xml:space="preserve"> the tort of civil fraud:  (1)</w:t>
      </w:r>
      <w:r w:rsidRPr="00217E87">
        <w:rPr>
          <w:szCs w:val="24"/>
        </w:rPr>
        <w:t> </w:t>
      </w:r>
      <w:r w:rsidR="00281C0F" w:rsidRPr="00217E87">
        <w:rPr>
          <w:szCs w:val="24"/>
        </w:rPr>
        <w:t>a false representa</w:t>
      </w:r>
      <w:r w:rsidRPr="00217E87">
        <w:rPr>
          <w:szCs w:val="24"/>
        </w:rPr>
        <w:t>tion made by the defendant; (2) </w:t>
      </w:r>
      <w:r w:rsidR="00281C0F" w:rsidRPr="00217E87">
        <w:rPr>
          <w:szCs w:val="24"/>
        </w:rPr>
        <w:t xml:space="preserve">some level of knowledge of the falsehood of the representation on the part of the </w:t>
      </w:r>
      <w:r w:rsidR="00281C0F" w:rsidRPr="00217E87">
        <w:rPr>
          <w:szCs w:val="24"/>
        </w:rPr>
        <w:lastRenderedPageBreak/>
        <w:t xml:space="preserve">defendant (whether through </w:t>
      </w:r>
      <w:r w:rsidRPr="00217E87">
        <w:rPr>
          <w:szCs w:val="24"/>
        </w:rPr>
        <w:t>knowledge or recklessness); (3) </w:t>
      </w:r>
      <w:r w:rsidR="00281C0F" w:rsidRPr="00217E87">
        <w:rPr>
          <w:szCs w:val="24"/>
        </w:rPr>
        <w:t>the false representation cause</w:t>
      </w:r>
      <w:r w:rsidRPr="00217E87">
        <w:rPr>
          <w:szCs w:val="24"/>
        </w:rPr>
        <w:t>d the plaintiff to act; and (4) </w:t>
      </w:r>
      <w:r w:rsidR="00281C0F" w:rsidRPr="00217E87">
        <w:rPr>
          <w:szCs w:val="24"/>
        </w:rPr>
        <w:t>the plaintiff’s actions resulted in a loss.</w:t>
      </w:r>
    </w:p>
    <w:p w:rsidR="00281C0F" w:rsidRPr="00217E87" w:rsidRDefault="00E27AAE" w:rsidP="00E27AAE">
      <w:pPr>
        <w:pStyle w:val="SCCNormalDoubleSpacing"/>
        <w:spacing w:before="480" w:after="480"/>
        <w:rPr>
          <w:szCs w:val="24"/>
        </w:rPr>
      </w:pPr>
      <w:r w:rsidRPr="00217E87">
        <w:rPr>
          <w:szCs w:val="24"/>
        </w:rPr>
        <w:tab/>
      </w:r>
      <w:r w:rsidR="009C7BEA" w:rsidRPr="00217E87">
        <w:rPr>
          <w:szCs w:val="24"/>
        </w:rPr>
        <w:t>C</w:t>
      </w:r>
      <w:r w:rsidR="00281C0F" w:rsidRPr="00217E87">
        <w:rPr>
          <w:szCs w:val="24"/>
        </w:rPr>
        <w:t>ivil fraud requires a finding that H made a misrepresentation which induced Bruno Appliance to invest.  The motion judge neither identified the need for a misrepresentation, nor found that H</w:t>
      </w:r>
      <w:r w:rsidR="009C7BEA" w:rsidRPr="00217E87">
        <w:rPr>
          <w:szCs w:val="24"/>
        </w:rPr>
        <w:t xml:space="preserve"> made one. </w:t>
      </w:r>
      <w:r w:rsidR="00281C0F" w:rsidRPr="00217E87">
        <w:rPr>
          <w:szCs w:val="24"/>
        </w:rPr>
        <w:t xml:space="preserve"> H</w:t>
      </w:r>
      <w:r w:rsidR="009C7BEA" w:rsidRPr="00217E87">
        <w:rPr>
          <w:szCs w:val="24"/>
        </w:rPr>
        <w:t xml:space="preserve"> was not present </w:t>
      </w:r>
      <w:r w:rsidR="00281C0F" w:rsidRPr="00217E87">
        <w:rPr>
          <w:szCs w:val="24"/>
        </w:rPr>
        <w:t>at the meeting that l</w:t>
      </w:r>
      <w:r w:rsidR="009C7BEA" w:rsidRPr="00217E87">
        <w:rPr>
          <w:szCs w:val="24"/>
        </w:rPr>
        <w:t>ed to Bruno’s investment and</w:t>
      </w:r>
      <w:r w:rsidR="00281C0F" w:rsidRPr="00217E87">
        <w:rPr>
          <w:szCs w:val="24"/>
        </w:rPr>
        <w:t xml:space="preserve"> the motion judge’s findings are insufficient to establish that any false statements made at th</w:t>
      </w:r>
      <w:r w:rsidR="009C7BEA" w:rsidRPr="00217E87">
        <w:rPr>
          <w:szCs w:val="24"/>
        </w:rPr>
        <w:t>e meeting can be attributed to him</w:t>
      </w:r>
      <w:r w:rsidR="00281C0F" w:rsidRPr="00217E87">
        <w:rPr>
          <w:szCs w:val="24"/>
        </w:rPr>
        <w:t>.</w:t>
      </w:r>
    </w:p>
    <w:p w:rsidR="00281C0F" w:rsidRPr="00217E87" w:rsidRDefault="00E27AAE" w:rsidP="00E27AAE">
      <w:pPr>
        <w:pStyle w:val="SCCNormalDoubleSpacing"/>
        <w:spacing w:before="480" w:after="480"/>
        <w:rPr>
          <w:szCs w:val="24"/>
        </w:rPr>
      </w:pPr>
      <w:r w:rsidRPr="00217E87">
        <w:rPr>
          <w:szCs w:val="24"/>
        </w:rPr>
        <w:tab/>
      </w:r>
      <w:r w:rsidR="009C7BEA" w:rsidRPr="00217E87">
        <w:rPr>
          <w:szCs w:val="24"/>
        </w:rPr>
        <w:t xml:space="preserve">While </w:t>
      </w:r>
      <w:r w:rsidR="00281C0F" w:rsidRPr="00217E87">
        <w:rPr>
          <w:szCs w:val="24"/>
        </w:rPr>
        <w:t>the evidence clearly demonstrates that H was aware of the fraud, and may in fact have benefited from the fraud, whether H perpetrated the fraud by inducing Bruno Appliance to contribute US$1</w:t>
      </w:r>
      <w:r w:rsidRPr="00217E87">
        <w:rPr>
          <w:szCs w:val="24"/>
        </w:rPr>
        <w:t> </w:t>
      </w:r>
      <w:r w:rsidR="00281C0F" w:rsidRPr="00217E87">
        <w:rPr>
          <w:szCs w:val="24"/>
        </w:rPr>
        <w:t>million to a non</w:t>
      </w:r>
      <w:r w:rsidRPr="00217E87">
        <w:rPr>
          <w:szCs w:val="24"/>
        </w:rPr>
        <w:noBreakHyphen/>
      </w:r>
      <w:r w:rsidR="00281C0F" w:rsidRPr="00217E87">
        <w:rPr>
          <w:szCs w:val="24"/>
        </w:rPr>
        <w:t>existent investment scheme is a genuine issue requiring a tri</w:t>
      </w:r>
      <w:r w:rsidRPr="00217E87">
        <w:rPr>
          <w:szCs w:val="24"/>
        </w:rPr>
        <w:t>al. </w:t>
      </w:r>
    </w:p>
    <w:p w:rsidR="007E1C47" w:rsidRPr="00217E87" w:rsidRDefault="002E6705" w:rsidP="00A02D2C">
      <w:pPr>
        <w:pStyle w:val="SCCNormalDoubleSpacing"/>
        <w:keepNext/>
        <w:spacing w:after="720" w:line="240" w:lineRule="auto"/>
        <w:rPr>
          <w:b/>
        </w:rPr>
      </w:pPr>
      <w:r w:rsidRPr="00217E87">
        <w:rPr>
          <w:b/>
        </w:rPr>
        <w:t>Cases Cited</w:t>
      </w:r>
    </w:p>
    <w:p w:rsidR="004E2C26" w:rsidRPr="00217E87" w:rsidRDefault="002E6705" w:rsidP="00A02D2C">
      <w:pPr>
        <w:pStyle w:val="SCCNormalDoubleSpacing"/>
        <w:spacing w:before="480" w:after="480"/>
      </w:pPr>
      <w:r w:rsidRPr="00217E87">
        <w:tab/>
      </w:r>
      <w:r w:rsidR="00111EE9" w:rsidRPr="00217E87">
        <w:rPr>
          <w:b/>
        </w:rPr>
        <w:t>Applied</w:t>
      </w:r>
      <w:r w:rsidRPr="00217E87">
        <w:rPr>
          <w:b/>
        </w:rPr>
        <w:t>:</w:t>
      </w:r>
      <w:r w:rsidR="00BD0E9E" w:rsidRPr="00217E87">
        <w:t xml:space="preserve"> </w:t>
      </w:r>
      <w:r w:rsidR="00315D0E" w:rsidRPr="00217E87">
        <w:t xml:space="preserve"> </w:t>
      </w:r>
      <w:r w:rsidR="00CC655B" w:rsidRPr="00217E87">
        <w:rPr>
          <w:i/>
        </w:rPr>
        <w:t>Hryniak v. Mauldin</w:t>
      </w:r>
      <w:r w:rsidR="00CC655B" w:rsidRPr="009A5882">
        <w:t>,</w:t>
      </w:r>
      <w:r w:rsidR="00CC655B" w:rsidRPr="00217E87">
        <w:t xml:space="preserve"> </w:t>
      </w:r>
      <w:r w:rsidR="00125173" w:rsidRPr="00217E87">
        <w:t>2014</w:t>
      </w:r>
      <w:r w:rsidR="00CC655B" w:rsidRPr="00217E87">
        <w:t xml:space="preserve"> SCC </w:t>
      </w:r>
      <w:r w:rsidR="00F8370F" w:rsidRPr="00217E87">
        <w:t>7</w:t>
      </w:r>
      <w:r w:rsidR="009A5882">
        <w:t xml:space="preserve">, [2014] 1 S.C.R. </w:t>
      </w:r>
      <w:r w:rsidR="006C205E">
        <w:t>87</w:t>
      </w:r>
      <w:r w:rsidR="00CC655B" w:rsidRPr="00217E87">
        <w:t>;</w:t>
      </w:r>
      <w:r w:rsidR="00111EE9" w:rsidRPr="00217E87">
        <w:t xml:space="preserve"> </w:t>
      </w:r>
      <w:r w:rsidR="00111EE9" w:rsidRPr="00217E87">
        <w:rPr>
          <w:b/>
        </w:rPr>
        <w:t>referred to:</w:t>
      </w:r>
      <w:r w:rsidR="00111EE9" w:rsidRPr="00217E87">
        <w:t xml:space="preserve"> </w:t>
      </w:r>
      <w:r w:rsidR="00CC655B" w:rsidRPr="00217E87">
        <w:t xml:space="preserve"> </w:t>
      </w:r>
      <w:r w:rsidR="00315D0E" w:rsidRPr="00217E87">
        <w:rPr>
          <w:i/>
        </w:rPr>
        <w:t>Derry v. Peek</w:t>
      </w:r>
      <w:r w:rsidR="00315D0E" w:rsidRPr="00217E87">
        <w:t xml:space="preserve"> (1889), 14 A</w:t>
      </w:r>
      <w:r w:rsidR="00E27AAE" w:rsidRPr="00217E87">
        <w:t>pp. </w:t>
      </w:r>
      <w:proofErr w:type="gramStart"/>
      <w:r w:rsidR="00315D0E" w:rsidRPr="00217E87">
        <w:t>Cas</w:t>
      </w:r>
      <w:proofErr w:type="gramEnd"/>
      <w:r w:rsidR="00315D0E" w:rsidRPr="00217E87">
        <w:t xml:space="preserve">. 337; </w:t>
      </w:r>
      <w:r w:rsidR="00315D0E" w:rsidRPr="00217E87">
        <w:rPr>
          <w:i/>
        </w:rPr>
        <w:t>Parna v. G. &amp; S. Properties Ltd.</w:t>
      </w:r>
      <w:r w:rsidR="00315D0E" w:rsidRPr="00217E87">
        <w:t xml:space="preserve">, [1971] S.C.R. 306; </w:t>
      </w:r>
      <w:r w:rsidR="00315D0E" w:rsidRPr="00217E87">
        <w:rPr>
          <w:i/>
        </w:rPr>
        <w:t>Snell v. Farrell</w:t>
      </w:r>
      <w:r w:rsidR="00315D0E" w:rsidRPr="00217E87">
        <w:t xml:space="preserve">, [1990] 2 S.C.R. 311; </w:t>
      </w:r>
      <w:r w:rsidR="00315D0E" w:rsidRPr="00217E87">
        <w:rPr>
          <w:i/>
        </w:rPr>
        <w:t>Angers v. Mutual Reserve Fund Life Assn.</w:t>
      </w:r>
      <w:r w:rsidR="00315D0E" w:rsidRPr="00217E87">
        <w:t xml:space="preserve"> (1904), 35 S.C.R. 330.</w:t>
      </w:r>
    </w:p>
    <w:p w:rsidR="003B215F" w:rsidRPr="00217E87" w:rsidRDefault="002E6705" w:rsidP="00A02D2C">
      <w:pPr>
        <w:pStyle w:val="SCCNormalDoubleSpacing"/>
        <w:keepNext/>
        <w:spacing w:after="720" w:line="240" w:lineRule="auto"/>
      </w:pPr>
      <w:r w:rsidRPr="00217E87">
        <w:rPr>
          <w:b/>
        </w:rPr>
        <w:t>Statutes and Regulations Cite</w:t>
      </w:r>
      <w:r w:rsidR="00A41805" w:rsidRPr="00217E87">
        <w:rPr>
          <w:b/>
        </w:rPr>
        <w:t>d</w:t>
      </w:r>
    </w:p>
    <w:p w:rsidR="000004AB" w:rsidRPr="00217E87" w:rsidRDefault="00B10D83" w:rsidP="000004AB">
      <w:pPr>
        <w:pStyle w:val="SCCNormalDoubleSpacing"/>
        <w:spacing w:after="720" w:line="240" w:lineRule="auto"/>
        <w:ind w:left="547" w:hanging="547"/>
      </w:pPr>
      <w:r w:rsidRPr="00217E87">
        <w:rPr>
          <w:i/>
        </w:rPr>
        <w:t>Rules of Civil Procedure</w:t>
      </w:r>
      <w:r w:rsidRPr="00217E87">
        <w:t>, R.R.O. 1990, Reg. 194, r</w:t>
      </w:r>
      <w:r w:rsidR="00A02D2C" w:rsidRPr="00217E87">
        <w:t>. </w:t>
      </w:r>
      <w:r w:rsidR="00315D0E" w:rsidRPr="00217E87">
        <w:t>20.</w:t>
      </w:r>
    </w:p>
    <w:p w:rsidR="002E6705" w:rsidRPr="00217E87" w:rsidRDefault="002E6705" w:rsidP="00A53604">
      <w:pPr>
        <w:pStyle w:val="SCCNormalDoubleSpacing"/>
        <w:keepNext/>
        <w:spacing w:after="720" w:line="240" w:lineRule="auto"/>
        <w:ind w:left="547" w:hanging="547"/>
        <w:rPr>
          <w:b/>
        </w:rPr>
      </w:pPr>
      <w:r w:rsidRPr="00217E87">
        <w:rPr>
          <w:b/>
        </w:rPr>
        <w:lastRenderedPageBreak/>
        <w:t>Authors Cited</w:t>
      </w:r>
    </w:p>
    <w:p w:rsidR="00A149DF" w:rsidRPr="00217E87" w:rsidRDefault="00A02D2C" w:rsidP="004938CD">
      <w:pPr>
        <w:pStyle w:val="SCCNormalDoubleSpacing"/>
        <w:ind w:left="540" w:hanging="540"/>
      </w:pPr>
      <w:r w:rsidRPr="00217E87">
        <w:t>Osborne, Philip </w:t>
      </w:r>
      <w:r w:rsidR="00315D0E" w:rsidRPr="00217E87">
        <w:t xml:space="preserve">H.  </w:t>
      </w:r>
      <w:r w:rsidR="00315D0E" w:rsidRPr="00217E87">
        <w:rPr>
          <w:i/>
        </w:rPr>
        <w:t>The Law of Torts</w:t>
      </w:r>
      <w:r w:rsidR="00315D0E" w:rsidRPr="00217E87">
        <w:t>, 4th ed.  Toronto:  Irwin Law, 2011.</w:t>
      </w:r>
    </w:p>
    <w:p w:rsidR="0005182F" w:rsidRPr="00217E87" w:rsidRDefault="00A02D2C" w:rsidP="00A02D2C">
      <w:pPr>
        <w:pStyle w:val="SCCNormalDoubleSpacing"/>
        <w:spacing w:before="480" w:after="480"/>
        <w:rPr>
          <w:lang w:val="en-US"/>
        </w:rPr>
      </w:pPr>
      <w:r w:rsidRPr="00217E87">
        <w:tab/>
      </w:r>
      <w:r w:rsidR="0005182F" w:rsidRPr="00217E87">
        <w:t>APPEAL from a judgment of the Ontario Court of Appeal (Winkler C.J.O. and Laskin</w:t>
      </w:r>
      <w:r w:rsidRPr="00217E87">
        <w:t>, Sharpe, Armstrong and Rouleau </w:t>
      </w:r>
      <w:r w:rsidR="0005182F" w:rsidRPr="00217E87">
        <w:t xml:space="preserve">JJ.A.), </w:t>
      </w:r>
      <w:r w:rsidR="0005182F" w:rsidRPr="00217E87">
        <w:rPr>
          <w:lang w:val="en-US"/>
        </w:rPr>
        <w:t xml:space="preserve">2011 ONCA 764, 108 O.R. (3d) 1, 286 O.A.C. 3, 97 C.C.E.L. (3d) 25, 14 C.P.C. (7th) 242, 13 R.P.R. (5th) 167, 93 B.L.R. (4th) 1, 344 D.L.R. (4th) 193, 10 C.L.R. (4th) 17, </w:t>
      </w:r>
      <w:r w:rsidRPr="00217E87">
        <w:rPr>
          <w:lang w:val="en-US"/>
        </w:rPr>
        <w:t xml:space="preserve">[2011] O.J. </w:t>
      </w:r>
      <w:r w:rsidR="00E27AAE" w:rsidRPr="00217E87">
        <w:rPr>
          <w:lang w:val="en-US"/>
        </w:rPr>
        <w:t>No. </w:t>
      </w:r>
      <w:r w:rsidR="0005182F" w:rsidRPr="00217E87">
        <w:rPr>
          <w:lang w:val="en-US"/>
        </w:rPr>
        <w:t xml:space="preserve">5431 (QL), 2011 </w:t>
      </w:r>
      <w:proofErr w:type="spellStart"/>
      <w:r w:rsidR="0005182F" w:rsidRPr="00217E87">
        <w:rPr>
          <w:lang w:val="en-US"/>
        </w:rPr>
        <w:t>CarswellOnt</w:t>
      </w:r>
      <w:proofErr w:type="spellEnd"/>
      <w:r w:rsidR="0005182F" w:rsidRPr="00217E87">
        <w:rPr>
          <w:lang w:val="en-US"/>
        </w:rPr>
        <w:t xml:space="preserve"> 13515, </w:t>
      </w:r>
      <w:r w:rsidR="008E60BD">
        <w:rPr>
          <w:lang w:val="en-US"/>
        </w:rPr>
        <w:t>setting aside</w:t>
      </w:r>
      <w:r w:rsidRPr="00217E87">
        <w:rPr>
          <w:lang w:val="en-US"/>
        </w:rPr>
        <w:t xml:space="preserve"> a decision of Grace </w:t>
      </w:r>
      <w:r w:rsidR="0005182F" w:rsidRPr="00217E87">
        <w:rPr>
          <w:lang w:val="en-US"/>
        </w:rPr>
        <w:t xml:space="preserve">J., 2010 ONSC 5490, [2010] O.J. </w:t>
      </w:r>
      <w:r w:rsidR="00E27AAE" w:rsidRPr="00217E87">
        <w:rPr>
          <w:lang w:val="en-US"/>
        </w:rPr>
        <w:t>No. </w:t>
      </w:r>
      <w:r w:rsidR="0005182F" w:rsidRPr="00217E87">
        <w:rPr>
          <w:lang w:val="en-US"/>
        </w:rPr>
        <w:t>4661 (QL), 2010 CarswellOnt 8325.  Appeal dismissed.</w:t>
      </w:r>
    </w:p>
    <w:p w:rsidR="00E6191D" w:rsidRPr="00217E87" w:rsidRDefault="0005182F" w:rsidP="00A02D2C">
      <w:pPr>
        <w:pStyle w:val="SCCNormalDoubleSpacing"/>
        <w:spacing w:before="480" w:after="480"/>
      </w:pPr>
      <w:r w:rsidRPr="00217E87">
        <w:rPr>
          <w:i/>
        </w:rPr>
        <w:tab/>
        <w:t>Javad Heydary</w:t>
      </w:r>
      <w:r w:rsidR="00922A00" w:rsidRPr="003C56B4">
        <w:t>,</w:t>
      </w:r>
      <w:r w:rsidR="00922A00" w:rsidRPr="00217E87">
        <w:rPr>
          <w:i/>
        </w:rPr>
        <w:t xml:space="preserve"> </w:t>
      </w:r>
      <w:r w:rsidR="00A02D2C" w:rsidRPr="00217E87">
        <w:rPr>
          <w:i/>
        </w:rPr>
        <w:t>Jeffrey </w:t>
      </w:r>
      <w:r w:rsidR="00922A00" w:rsidRPr="00217E87">
        <w:rPr>
          <w:i/>
        </w:rPr>
        <w:t>D. Landmann</w:t>
      </w:r>
      <w:r w:rsidR="00922A00" w:rsidRPr="00217E87">
        <w:t xml:space="preserve">, </w:t>
      </w:r>
      <w:r w:rsidR="00A02D2C" w:rsidRPr="00217E87">
        <w:rPr>
          <w:i/>
        </w:rPr>
        <w:t>David </w:t>
      </w:r>
      <w:r w:rsidR="00922A00" w:rsidRPr="00217E87">
        <w:rPr>
          <w:i/>
        </w:rPr>
        <w:t>K. Alderson</w:t>
      </w:r>
      <w:r w:rsidR="00922A00" w:rsidRPr="00217E87">
        <w:t xml:space="preserve">, </w:t>
      </w:r>
      <w:r w:rsidR="00922A00" w:rsidRPr="00217E87">
        <w:rPr>
          <w:i/>
        </w:rPr>
        <w:t>Michelle Jackson</w:t>
      </w:r>
      <w:r w:rsidR="00922A00" w:rsidRPr="00217E87">
        <w:t xml:space="preserve"> and </w:t>
      </w:r>
      <w:r w:rsidR="00E03686" w:rsidRPr="00217E87">
        <w:rPr>
          <w:i/>
        </w:rPr>
        <w:t>Jonathan </w:t>
      </w:r>
      <w:r w:rsidR="00922A00" w:rsidRPr="00217E87">
        <w:rPr>
          <w:i/>
        </w:rPr>
        <w:t>A. Odumeru</w:t>
      </w:r>
      <w:r w:rsidR="00922A00" w:rsidRPr="00217E87">
        <w:t xml:space="preserve">, </w:t>
      </w:r>
      <w:r w:rsidRPr="00217E87">
        <w:t>for the app</w:t>
      </w:r>
      <w:r w:rsidR="00922A00" w:rsidRPr="00217E87">
        <w:t>ell</w:t>
      </w:r>
      <w:r w:rsidRPr="00217E87">
        <w:t>ant.</w:t>
      </w:r>
    </w:p>
    <w:p w:rsidR="00E6191D" w:rsidRPr="00217E87" w:rsidRDefault="00A02D2C" w:rsidP="00A02D2C">
      <w:pPr>
        <w:pStyle w:val="SCCNormalDoubleSpacing"/>
        <w:spacing w:before="480" w:after="480"/>
      </w:pPr>
      <w:r w:rsidRPr="00217E87">
        <w:rPr>
          <w:i/>
        </w:rPr>
        <w:tab/>
        <w:t>Sarit </w:t>
      </w:r>
      <w:r w:rsidR="0005182F" w:rsidRPr="00217E87">
        <w:rPr>
          <w:i/>
        </w:rPr>
        <w:t>E. Batner</w:t>
      </w:r>
      <w:r w:rsidR="0005182F" w:rsidRPr="00217E87">
        <w:t xml:space="preserve">, </w:t>
      </w:r>
      <w:r w:rsidR="0005182F" w:rsidRPr="00217E87">
        <w:rPr>
          <w:i/>
        </w:rPr>
        <w:t>Brandon Kain</w:t>
      </w:r>
      <w:r w:rsidR="0005182F" w:rsidRPr="00217E87">
        <w:t xml:space="preserve"> and </w:t>
      </w:r>
      <w:r w:rsidRPr="00217E87">
        <w:rPr>
          <w:i/>
        </w:rPr>
        <w:t>Moya </w:t>
      </w:r>
      <w:r w:rsidR="0005182F" w:rsidRPr="00217E87">
        <w:rPr>
          <w:i/>
        </w:rPr>
        <w:t>J. Graham</w:t>
      </w:r>
      <w:r w:rsidR="0005182F" w:rsidRPr="00217E87">
        <w:t>, for the respondent.</w:t>
      </w:r>
    </w:p>
    <w:p w:rsidR="00922A00" w:rsidRPr="00217E87" w:rsidRDefault="00922A00" w:rsidP="00A02D2C">
      <w:pPr>
        <w:pStyle w:val="SCCNormalDoubleSpacing"/>
        <w:spacing w:before="480" w:after="480"/>
      </w:pPr>
      <w:r w:rsidRPr="00217E87">
        <w:rPr>
          <w:i/>
        </w:rPr>
        <w:tab/>
        <w:t>Malliha Wilson</w:t>
      </w:r>
      <w:r w:rsidRPr="00217E87">
        <w:t xml:space="preserve"> and </w:t>
      </w:r>
      <w:r w:rsidR="00A02D2C" w:rsidRPr="00217E87">
        <w:rPr>
          <w:i/>
        </w:rPr>
        <w:t>Christopher </w:t>
      </w:r>
      <w:r w:rsidR="00E27AAE" w:rsidRPr="00217E87">
        <w:rPr>
          <w:i/>
        </w:rPr>
        <w:t>P. </w:t>
      </w:r>
      <w:r w:rsidRPr="00217E87">
        <w:rPr>
          <w:i/>
        </w:rPr>
        <w:t>Thompson</w:t>
      </w:r>
      <w:r w:rsidRPr="00217E87">
        <w:t>, for the intervener the Attorney General of Ontario.</w:t>
      </w:r>
    </w:p>
    <w:p w:rsidR="00E6191D" w:rsidRPr="00217E87" w:rsidRDefault="0005182F" w:rsidP="00A02D2C">
      <w:pPr>
        <w:pStyle w:val="SCCNormalDoubleSpacing"/>
        <w:spacing w:before="480" w:after="480"/>
      </w:pPr>
      <w:r w:rsidRPr="00217E87">
        <w:rPr>
          <w:i/>
        </w:rPr>
        <w:tab/>
        <w:t>Allan Rouben</w:t>
      </w:r>
      <w:r w:rsidR="00922A00" w:rsidRPr="003C56B4">
        <w:t xml:space="preserve"> and</w:t>
      </w:r>
      <w:r w:rsidR="00922A00" w:rsidRPr="00217E87">
        <w:rPr>
          <w:i/>
        </w:rPr>
        <w:t xml:space="preserve"> Ronald</w:t>
      </w:r>
      <w:r w:rsidR="00A02D2C" w:rsidRPr="00217E87">
        <w:rPr>
          <w:i/>
        </w:rPr>
        <w:t> </w:t>
      </w:r>
      <w:r w:rsidR="00E27AAE" w:rsidRPr="00217E87">
        <w:rPr>
          <w:i/>
        </w:rPr>
        <w:t>P. </w:t>
      </w:r>
      <w:r w:rsidR="00922A00" w:rsidRPr="00217E87">
        <w:rPr>
          <w:i/>
        </w:rPr>
        <w:t>Bohm</w:t>
      </w:r>
      <w:r w:rsidRPr="00217E87">
        <w:t xml:space="preserve">, for the intervener </w:t>
      </w:r>
      <w:r w:rsidR="00922A00" w:rsidRPr="00217E87">
        <w:t xml:space="preserve">the </w:t>
      </w:r>
      <w:r w:rsidRPr="00217E87">
        <w:t>Ontario Trial Lawyers Association.</w:t>
      </w:r>
    </w:p>
    <w:p w:rsidR="00E6191D" w:rsidRPr="00217E87" w:rsidRDefault="00A02D2C" w:rsidP="00A02D2C">
      <w:pPr>
        <w:pStyle w:val="SCCNormalDoubleSpacing"/>
        <w:spacing w:before="480" w:after="480"/>
      </w:pPr>
      <w:r w:rsidRPr="00217E87">
        <w:rPr>
          <w:i/>
        </w:rPr>
        <w:tab/>
        <w:t>David </w:t>
      </w:r>
      <w:r w:rsidR="0005182F" w:rsidRPr="00217E87">
        <w:rPr>
          <w:i/>
        </w:rPr>
        <w:t>W. Scott</w:t>
      </w:r>
      <w:r w:rsidR="0005182F" w:rsidRPr="003C56B4">
        <w:t xml:space="preserve">, </w:t>
      </w:r>
      <w:r w:rsidR="0005182F" w:rsidRPr="00217E87">
        <w:rPr>
          <w:i/>
        </w:rPr>
        <w:t>Q.C.</w:t>
      </w:r>
      <w:r w:rsidR="0005182F" w:rsidRPr="00217E87">
        <w:t xml:space="preserve">, </w:t>
      </w:r>
      <w:r w:rsidRPr="00217E87">
        <w:rPr>
          <w:i/>
        </w:rPr>
        <w:t>Patricia </w:t>
      </w:r>
      <w:r w:rsidR="0005182F" w:rsidRPr="00217E87">
        <w:rPr>
          <w:i/>
        </w:rPr>
        <w:t>D.</w:t>
      </w:r>
      <w:r w:rsidRPr="00217E87">
        <w:rPr>
          <w:i/>
        </w:rPr>
        <w:t> </w:t>
      </w:r>
      <w:r w:rsidR="0005182F" w:rsidRPr="00217E87">
        <w:rPr>
          <w:i/>
        </w:rPr>
        <w:t>S. Jackson</w:t>
      </w:r>
      <w:r w:rsidR="0005182F" w:rsidRPr="00217E87">
        <w:t xml:space="preserve"> and </w:t>
      </w:r>
      <w:r w:rsidR="0005182F" w:rsidRPr="00217E87">
        <w:rPr>
          <w:i/>
        </w:rPr>
        <w:t>Crawford Smith</w:t>
      </w:r>
      <w:r w:rsidR="0005182F" w:rsidRPr="00217E87">
        <w:t xml:space="preserve">, for the intervener </w:t>
      </w:r>
      <w:r w:rsidR="00922A00" w:rsidRPr="00217E87">
        <w:t>the Advocates’</w:t>
      </w:r>
      <w:r w:rsidR="0005182F" w:rsidRPr="00217E87">
        <w:t xml:space="preserve"> Society.</w:t>
      </w:r>
    </w:p>
    <w:p w:rsidR="00E6191D" w:rsidRPr="00217E87" w:rsidRDefault="00A02D2C" w:rsidP="00A02D2C">
      <w:pPr>
        <w:pStyle w:val="SCCNormalDoubleSpacing"/>
        <w:spacing w:before="480" w:after="480"/>
      </w:pPr>
      <w:r w:rsidRPr="00217E87">
        <w:rPr>
          <w:i/>
        </w:rPr>
        <w:lastRenderedPageBreak/>
        <w:tab/>
        <w:t>Paul </w:t>
      </w:r>
      <w:r w:rsidR="0005182F" w:rsidRPr="00217E87">
        <w:rPr>
          <w:i/>
        </w:rPr>
        <w:t>R. Sweeny</w:t>
      </w:r>
      <w:r w:rsidR="00922A00" w:rsidRPr="003C56B4">
        <w:t xml:space="preserve"> and </w:t>
      </w:r>
      <w:r w:rsidR="00922A00" w:rsidRPr="00217E87">
        <w:rPr>
          <w:i/>
        </w:rPr>
        <w:t>David Sterns</w:t>
      </w:r>
      <w:r w:rsidR="0005182F" w:rsidRPr="00217E87">
        <w:t xml:space="preserve">, for the intervener </w:t>
      </w:r>
      <w:r w:rsidR="00922A00" w:rsidRPr="00217E87">
        <w:t xml:space="preserve">the </w:t>
      </w:r>
      <w:r w:rsidR="0005182F" w:rsidRPr="00217E87">
        <w:t>Canadian Bar Association.</w:t>
      </w:r>
    </w:p>
    <w:p w:rsidR="00A7553B" w:rsidRPr="003C56B4" w:rsidRDefault="00A7553B" w:rsidP="00A7553B">
      <w:pPr>
        <w:pStyle w:val="JudgeJuge"/>
        <w:rPr>
          <w:smallCaps w:val="0"/>
        </w:rPr>
      </w:pPr>
      <w:r w:rsidRPr="00904F7A">
        <w:tab/>
      </w:r>
      <w:r w:rsidR="003C56B4" w:rsidRPr="003C56B4">
        <w:rPr>
          <w:smallCaps w:val="0"/>
        </w:rPr>
        <w:t xml:space="preserve">The </w:t>
      </w:r>
      <w:r w:rsidR="003C56B4">
        <w:rPr>
          <w:smallCaps w:val="0"/>
        </w:rPr>
        <w:t>judgment of the Court was delivered by</w:t>
      </w:r>
    </w:p>
    <w:p w:rsidR="00A7553B" w:rsidRPr="00904F7A" w:rsidRDefault="003C56B4" w:rsidP="00A7553B">
      <w:pPr>
        <w:pStyle w:val="ParaNoNdepar-AltN"/>
        <w:rPr>
          <w:rFonts w:cs="Times New Roman"/>
        </w:rPr>
      </w:pPr>
      <w:r w:rsidRPr="003C56B4">
        <w:rPr>
          <w:smallCaps/>
        </w:rPr>
        <w:t>Karakatsanis J.</w:t>
      </w:r>
      <w:r w:rsidRPr="00904F7A">
        <w:t xml:space="preserve"> — </w:t>
      </w:r>
      <w:r w:rsidR="00A7553B" w:rsidRPr="00904F7A">
        <w:rPr>
          <w:rFonts w:cs="Times New Roman"/>
        </w:rPr>
        <w:t xml:space="preserve">Like its companion, </w:t>
      </w:r>
      <w:r w:rsidR="00A7553B" w:rsidRPr="00904F7A">
        <w:rPr>
          <w:rFonts w:cs="Times New Roman"/>
          <w:i/>
        </w:rPr>
        <w:t>Hryniak v. Mauldin</w:t>
      </w:r>
      <w:r w:rsidR="00A7553B" w:rsidRPr="00904F7A">
        <w:rPr>
          <w:rFonts w:cs="Times New Roman"/>
        </w:rPr>
        <w:t>, 2014 SCC 7</w:t>
      </w:r>
      <w:r>
        <w:rPr>
          <w:rFonts w:cs="Times New Roman"/>
        </w:rPr>
        <w:t xml:space="preserve">, [2014] 1 S.C.R. </w:t>
      </w:r>
      <w:r w:rsidR="006C205E">
        <w:rPr>
          <w:rFonts w:cs="Times New Roman"/>
        </w:rPr>
        <w:t>87</w:t>
      </w:r>
      <w:r w:rsidR="00A7553B" w:rsidRPr="00904F7A">
        <w:rPr>
          <w:rFonts w:cs="Times New Roman"/>
        </w:rPr>
        <w:t xml:space="preserve"> (</w:t>
      </w:r>
      <w:r w:rsidR="00A7553B" w:rsidRPr="00904F7A">
        <w:rPr>
          <w:rFonts w:cs="Times New Roman"/>
          <w:i/>
        </w:rPr>
        <w:t>Mauldin</w:t>
      </w:r>
      <w:r w:rsidR="00A7553B" w:rsidRPr="00904F7A">
        <w:rPr>
          <w:rFonts w:cs="Times New Roman"/>
        </w:rPr>
        <w:t xml:space="preserve">), this appeal concerns the interpretation and application of Ontario’s new summary judgment rules.  In this action, the Ontario Court of Appeal overturned the motion judge’s decision to grant summary judgment in favour of the plaintiff and made various trial management orders under Rule 20.05 of the </w:t>
      </w:r>
      <w:r w:rsidR="00A7553B" w:rsidRPr="00904F7A">
        <w:rPr>
          <w:rFonts w:cs="Times New Roman"/>
          <w:i/>
        </w:rPr>
        <w:t>Rules of Civil Procedure</w:t>
      </w:r>
      <w:r w:rsidR="00A7553B" w:rsidRPr="00904F7A">
        <w:rPr>
          <w:rFonts w:cs="Times New Roman"/>
        </w:rPr>
        <w:t>, R.R.O. 1990, Reg. 194.</w:t>
      </w:r>
    </w:p>
    <w:p w:rsidR="00A7553B" w:rsidRPr="00904F7A" w:rsidRDefault="00A7553B" w:rsidP="00A7553B">
      <w:pPr>
        <w:pStyle w:val="ParaNoNdepar-AltN"/>
        <w:rPr>
          <w:rFonts w:cs="Times New Roman"/>
        </w:rPr>
      </w:pPr>
      <w:r w:rsidRPr="00904F7A">
        <w:rPr>
          <w:rFonts w:cs="Times New Roman"/>
        </w:rPr>
        <w:t xml:space="preserve">In light of the principles articulated in the </w:t>
      </w:r>
      <w:r w:rsidRPr="00904F7A">
        <w:rPr>
          <w:rFonts w:cs="Times New Roman"/>
          <w:i/>
        </w:rPr>
        <w:t>Mauldin</w:t>
      </w:r>
      <w:r w:rsidRPr="00904F7A">
        <w:rPr>
          <w:rFonts w:cs="Times New Roman"/>
        </w:rPr>
        <w:t xml:space="preserve"> appeal and for the reasons that follow, I would dismiss the appeal.</w:t>
      </w:r>
    </w:p>
    <w:p w:rsidR="00A7553B" w:rsidRPr="00904F7A" w:rsidRDefault="00A7553B" w:rsidP="00A7553B">
      <w:pPr>
        <w:pStyle w:val="Title1LevelTitre1Niveau-AltL"/>
        <w:rPr>
          <w:rFonts w:cs="Times New Roman"/>
        </w:rPr>
      </w:pPr>
      <w:r w:rsidRPr="00904F7A">
        <w:rPr>
          <w:rFonts w:cs="Times New Roman"/>
        </w:rPr>
        <w:t>Facts</w:t>
      </w:r>
    </w:p>
    <w:p w:rsidR="00A7553B" w:rsidRPr="00904F7A" w:rsidRDefault="00A7553B" w:rsidP="00A7553B">
      <w:pPr>
        <w:pStyle w:val="ParaNoNdepar-AltN"/>
        <w:rPr>
          <w:rFonts w:cs="Times New Roman"/>
        </w:rPr>
      </w:pPr>
      <w:r w:rsidRPr="00904F7A">
        <w:rPr>
          <w:rFonts w:cs="Times New Roman"/>
        </w:rPr>
        <w:t>Bruno Appliance and Furniture, Inc. is an American corporation, whose principal is Albert Bruno.  In late 2001, Bruno met with Robert Cranston, the principal of a Panamanian company, Frontline Investments, Inc.  As a result of these meetings, Bruno executed a number of investment documents in favour of Frontline.</w:t>
      </w:r>
    </w:p>
    <w:p w:rsidR="00A7553B" w:rsidRPr="00904F7A" w:rsidRDefault="00A7553B" w:rsidP="00A7553B">
      <w:pPr>
        <w:pStyle w:val="ParaNoNdepar-AltN"/>
        <w:rPr>
          <w:rFonts w:cs="Times New Roman"/>
        </w:rPr>
      </w:pPr>
      <w:r w:rsidRPr="00904F7A">
        <w:rPr>
          <w:rFonts w:cs="Times New Roman"/>
        </w:rPr>
        <w:t xml:space="preserve">In February 2002, Bruno met with Cranston and Gregory Peebles, a corporate-commercial lawyer at the Toronto offices of Cassels Brock and Blackwell.  No notes were kept of this meeting, and the recollection of the participants varies.  While Robert Hryniak did not attend this meeting, Tropos </w:t>
      </w:r>
      <w:r w:rsidR="006C4E47">
        <w:rPr>
          <w:rFonts w:cs="Times New Roman"/>
        </w:rPr>
        <w:t>Capital Inc.</w:t>
      </w:r>
      <w:r w:rsidRPr="00904F7A">
        <w:rPr>
          <w:rFonts w:cs="Times New Roman"/>
        </w:rPr>
        <w:t xml:space="preserve"> (Tropos), a </w:t>
      </w:r>
      <w:r w:rsidRPr="00904F7A">
        <w:rPr>
          <w:rFonts w:cs="Times New Roman"/>
        </w:rPr>
        <w:lastRenderedPageBreak/>
        <w:t>company of which Hryniak was the principal, received and paid a bill for Peebles’ attendance.</w:t>
      </w:r>
    </w:p>
    <w:p w:rsidR="00A7553B" w:rsidRPr="00904F7A" w:rsidRDefault="00A7553B" w:rsidP="00A7553B">
      <w:pPr>
        <w:pStyle w:val="ParaNoNdepar-AltN"/>
        <w:rPr>
          <w:rFonts w:cs="Times New Roman"/>
        </w:rPr>
      </w:pPr>
      <w:r w:rsidRPr="00904F7A">
        <w:rPr>
          <w:rFonts w:cs="Times New Roman"/>
        </w:rPr>
        <w:t>In early March 2002, Bruno Appliance wired US$1 million to Cassels Brock, who assigned the funds to an account associated with Tropos.  Bruno Appliance’s funds were then bundled with other funds (totalling US$3.5 million) and paid to Tropos in a bank draft.  At the end of April 2002, Tropos paid US$2.5 million to a company called Southern Equity Investors Inc., and in late June 2002 transferred approximately US$550,000 to an individual named Reinhard.  By the end of September 2003, Tropos’ balance with Cassels Brock had declined to US$19,000.</w:t>
      </w:r>
    </w:p>
    <w:p w:rsidR="00A7553B" w:rsidRPr="00904F7A" w:rsidRDefault="00A7553B" w:rsidP="00A7553B">
      <w:pPr>
        <w:pStyle w:val="ParaNoNdepar-AltN"/>
        <w:rPr>
          <w:rFonts w:cs="Times New Roman"/>
        </w:rPr>
      </w:pPr>
      <w:r w:rsidRPr="00904F7A">
        <w:rPr>
          <w:rFonts w:cs="Times New Roman"/>
        </w:rPr>
        <w:t>In short, Bruno Appliance’s money was not invested and it never received a return on its investment.</w:t>
      </w:r>
    </w:p>
    <w:p w:rsidR="00A7553B" w:rsidRPr="00904F7A" w:rsidRDefault="00A7553B" w:rsidP="00A7553B">
      <w:pPr>
        <w:pStyle w:val="Title1LevelTitre1Niveau-AltL"/>
        <w:rPr>
          <w:rFonts w:cs="Times New Roman"/>
        </w:rPr>
      </w:pPr>
      <w:r w:rsidRPr="00904F7A">
        <w:rPr>
          <w:rFonts w:cs="Times New Roman"/>
        </w:rPr>
        <w:t>Judicial History</w:t>
      </w:r>
    </w:p>
    <w:p w:rsidR="00A7553B" w:rsidRPr="00904F7A" w:rsidRDefault="00A7553B" w:rsidP="00A7553B">
      <w:pPr>
        <w:pStyle w:val="Title2LevelTitre2Niveau"/>
        <w:rPr>
          <w:rFonts w:cs="Times New Roman"/>
        </w:rPr>
      </w:pPr>
      <w:r w:rsidRPr="00904F7A">
        <w:rPr>
          <w:rFonts w:cs="Times New Roman"/>
        </w:rPr>
        <w:t>Ontario Superior Court of Justice, 2010 ONSC 5490 (CanLII)</w:t>
      </w:r>
    </w:p>
    <w:p w:rsidR="00A7553B" w:rsidRPr="00904F7A" w:rsidRDefault="00A7553B" w:rsidP="00A7553B">
      <w:pPr>
        <w:pStyle w:val="ParaNoNdepar-AltN"/>
        <w:rPr>
          <w:rFonts w:cs="Times New Roman"/>
        </w:rPr>
      </w:pPr>
      <w:r w:rsidRPr="00904F7A">
        <w:rPr>
          <w:rFonts w:cs="Times New Roman"/>
        </w:rPr>
        <w:t xml:space="preserve">Bruno Appliance joined with the plaintiffs from the companion </w:t>
      </w:r>
      <w:r w:rsidRPr="00904F7A">
        <w:rPr>
          <w:rFonts w:cs="Times New Roman"/>
          <w:i/>
        </w:rPr>
        <w:t xml:space="preserve">Mauldin </w:t>
      </w:r>
      <w:r w:rsidRPr="00904F7A">
        <w:rPr>
          <w:rFonts w:cs="Times New Roman"/>
        </w:rPr>
        <w:t>appeal in a civil fraud action against Hryniak, Peebles and Cassels Brock.  Both sets of plaintiffs brought motions for summary judgment, which were heard together.</w:t>
      </w:r>
    </w:p>
    <w:p w:rsidR="00A7553B" w:rsidRPr="00904F7A" w:rsidRDefault="00A7553B" w:rsidP="00A7553B">
      <w:pPr>
        <w:pStyle w:val="ParaNoNdepar-AltN"/>
        <w:rPr>
          <w:rFonts w:cs="Times New Roman"/>
        </w:rPr>
      </w:pPr>
      <w:r w:rsidRPr="00904F7A">
        <w:rPr>
          <w:rFonts w:cs="Times New Roman"/>
        </w:rPr>
        <w:t xml:space="preserve">The motion judge found that Bruno Appliance had established its claim against Hryniak and that there was no issue requiring a trial.  He was satisfied that, in spite of Hryniak’s absence from an early meeting between Peebles, Cranston and Bruno, Hryniak knew that the meeting was occurring and his company, Tropos, paid </w:t>
      </w:r>
      <w:r w:rsidRPr="00904F7A">
        <w:rPr>
          <w:rFonts w:cs="Times New Roman"/>
        </w:rPr>
        <w:lastRenderedPageBreak/>
        <w:t>for Peebles’ attendance.  The motion judge further found that Hryniak was aware that US$1 million was placed in Tropos’ account on Bruno Appliance’s behalf, and that Hryniak gave instructions regarding those funds.</w:t>
      </w:r>
    </w:p>
    <w:p w:rsidR="00A7553B" w:rsidRPr="00904F7A" w:rsidRDefault="00A7553B" w:rsidP="00A7553B">
      <w:pPr>
        <w:pStyle w:val="ParaNoNdepar-AltN"/>
        <w:rPr>
          <w:rFonts w:cs="Times New Roman"/>
        </w:rPr>
      </w:pPr>
      <w:r w:rsidRPr="00904F7A">
        <w:rPr>
          <w:rFonts w:cs="Times New Roman"/>
        </w:rPr>
        <w:t>The motion judge found that none of Bruno Appliance’s funds were invested.  In part, they were used to fund disbursements to another individual, Reinhard, and the remainder was slowly drained.</w:t>
      </w:r>
    </w:p>
    <w:p w:rsidR="00A7553B" w:rsidRPr="00904F7A" w:rsidRDefault="00A7553B" w:rsidP="00A7553B">
      <w:pPr>
        <w:pStyle w:val="ParaNoNdepar-AltN"/>
        <w:rPr>
          <w:rFonts w:cs="Times New Roman"/>
        </w:rPr>
      </w:pPr>
      <w:r w:rsidRPr="00904F7A">
        <w:rPr>
          <w:rFonts w:cs="Times New Roman"/>
        </w:rPr>
        <w:t>The motion judge held that the tort of civil fraud was made out and there was no genuine issue requiring a trial.</w:t>
      </w:r>
    </w:p>
    <w:p w:rsidR="00A7553B" w:rsidRPr="00904F7A" w:rsidRDefault="00A7553B" w:rsidP="00A7553B">
      <w:pPr>
        <w:pStyle w:val="ParaNoNdepar-AltN"/>
        <w:rPr>
          <w:rFonts w:cs="Times New Roman"/>
        </w:rPr>
      </w:pPr>
      <w:r w:rsidRPr="00904F7A">
        <w:rPr>
          <w:rFonts w:cs="Times New Roman"/>
        </w:rPr>
        <w:t xml:space="preserve">As in the companion </w:t>
      </w:r>
      <w:r w:rsidRPr="00904F7A">
        <w:rPr>
          <w:rFonts w:cs="Times New Roman"/>
          <w:i/>
        </w:rPr>
        <w:t>Mauldin</w:t>
      </w:r>
      <w:r w:rsidRPr="00904F7A">
        <w:rPr>
          <w:rFonts w:cs="Times New Roman"/>
        </w:rPr>
        <w:t xml:space="preserve"> appeal, the motion judge dismissed the motion for summary judgment against Peebles, as he found that the claim involved factual issues that could not be resolved on the record.  Consequently, the motion for summary judgment against Cassels Brock was dismissed, as it was premised on the theory that the firm was vicariously liable for Peebles’ acts and omissions.</w:t>
      </w:r>
    </w:p>
    <w:p w:rsidR="00A7553B" w:rsidRPr="00904F7A" w:rsidRDefault="00A7553B" w:rsidP="00A7553B">
      <w:pPr>
        <w:pStyle w:val="Title2LevelTitre2Niveau"/>
        <w:rPr>
          <w:rFonts w:cs="Times New Roman"/>
        </w:rPr>
      </w:pPr>
      <w:r w:rsidRPr="00904F7A">
        <w:rPr>
          <w:rFonts w:cs="Times New Roman"/>
        </w:rPr>
        <w:t>Court of Appeal for Ontario, 2011 ONCA 764, 108 O.R. (3d) 1</w:t>
      </w:r>
    </w:p>
    <w:p w:rsidR="00A7553B" w:rsidRPr="00904F7A" w:rsidRDefault="00A7553B" w:rsidP="00A7553B">
      <w:pPr>
        <w:pStyle w:val="ParaNoNdepar-AltN"/>
        <w:rPr>
          <w:rFonts w:cs="Times New Roman"/>
        </w:rPr>
      </w:pPr>
      <w:r w:rsidRPr="00904F7A">
        <w:rPr>
          <w:rFonts w:cs="Times New Roman"/>
        </w:rPr>
        <w:t xml:space="preserve">Hryniak’s appeal of this motion was heard together with the companion </w:t>
      </w:r>
      <w:r w:rsidRPr="00904F7A">
        <w:rPr>
          <w:rFonts w:cs="Times New Roman"/>
          <w:i/>
        </w:rPr>
        <w:t>Mauldin</w:t>
      </w:r>
      <w:r w:rsidRPr="00904F7A">
        <w:rPr>
          <w:rFonts w:cs="Times New Roman"/>
        </w:rPr>
        <w:t xml:space="preserve"> appeal, as well as three other matters, which are not before this Court.  The Court of Appeal found that Bruno Appliance’s action should not be addressed through summary judgment due to its voluminous record, conflicting testimony, credibility issues, conflicting theories of liability advanced against multiple defendants, and the absence of reliable documentary evidence.</w:t>
      </w:r>
    </w:p>
    <w:p w:rsidR="00A7553B" w:rsidRPr="00904F7A" w:rsidRDefault="00A7553B" w:rsidP="00A7553B">
      <w:pPr>
        <w:pStyle w:val="ParaNoNdepar-AltN"/>
        <w:rPr>
          <w:rFonts w:cs="Times New Roman"/>
        </w:rPr>
      </w:pPr>
      <w:r w:rsidRPr="00904F7A">
        <w:rPr>
          <w:rFonts w:cs="Times New Roman"/>
        </w:rPr>
        <w:lastRenderedPageBreak/>
        <w:t xml:space="preserve">Despite this conclusion, as in </w:t>
      </w:r>
      <w:r w:rsidRPr="00904F7A">
        <w:rPr>
          <w:rFonts w:cs="Times New Roman"/>
          <w:i/>
        </w:rPr>
        <w:t>Mauldin</w:t>
      </w:r>
      <w:r w:rsidRPr="00904F7A">
        <w:rPr>
          <w:rFonts w:cs="Times New Roman"/>
        </w:rPr>
        <w:t>, the Court of Appeal was prepared to review whether the motion judge was nonetheless entitled to grant judgment but, in this case, it concluded that the evidence against Hryniak was not nearly as overwhelming.  Two genuine issues required a trial:  first</w:t>
      </w:r>
      <w:r w:rsidR="006C205E">
        <w:rPr>
          <w:rFonts w:cs="Times New Roman"/>
        </w:rPr>
        <w:t>,</w:t>
      </w:r>
      <w:r w:rsidRPr="00904F7A">
        <w:rPr>
          <w:rFonts w:cs="Times New Roman"/>
        </w:rPr>
        <w:t xml:space="preserve"> whether Hryniak induced Bruno Appliance to invest, and second</w:t>
      </w:r>
      <w:r w:rsidR="006C205E">
        <w:rPr>
          <w:rFonts w:cs="Times New Roman"/>
        </w:rPr>
        <w:t>,</w:t>
      </w:r>
      <w:r w:rsidRPr="00904F7A">
        <w:rPr>
          <w:rFonts w:cs="Times New Roman"/>
        </w:rPr>
        <w:t xml:space="preserve"> whether some of the funds were misappropriated by Cranston, instead of Hryniak.</w:t>
      </w:r>
    </w:p>
    <w:p w:rsidR="00A7553B" w:rsidRPr="00904F7A" w:rsidRDefault="00A7553B" w:rsidP="00A7553B">
      <w:pPr>
        <w:pStyle w:val="ParaNoNdepar-AltN"/>
        <w:rPr>
          <w:rFonts w:cs="Times New Roman"/>
        </w:rPr>
      </w:pPr>
      <w:r w:rsidRPr="00904F7A">
        <w:rPr>
          <w:rFonts w:cs="Times New Roman"/>
        </w:rPr>
        <w:t>The Court of Appeal found that the motion judge failed to address the issue of whether Hryniak knowingly made any misrepresentation that induced Bruno Appliance to invest, a necessary element of fraud.  The Court of Appeal concluded that there was no compelling evidence that Peebles acted as Hryniak’s agent when the relevant representations were made.  With respect to the second issue, the Court of Appeal found that it could not decide, based on the record, whether Bruno Appliance’s investment was misappropriated entirely by Hryniak or by both Hryniak and Cranston in some proportion.</w:t>
      </w:r>
    </w:p>
    <w:p w:rsidR="00A7553B" w:rsidRPr="00904F7A" w:rsidRDefault="00A7553B" w:rsidP="00A7553B">
      <w:pPr>
        <w:pStyle w:val="ParaNoNdepar-AltN"/>
        <w:rPr>
          <w:rFonts w:cs="Times New Roman"/>
        </w:rPr>
      </w:pPr>
      <w:r w:rsidRPr="00904F7A">
        <w:rPr>
          <w:rFonts w:cs="Times New Roman"/>
        </w:rPr>
        <w:t>As a result, the Court of Appeal ordered that the Bruno Appliance action proceed to trial, subject to certain trial management orders under Rule 20.05(2).</w:t>
      </w:r>
    </w:p>
    <w:p w:rsidR="00A7553B" w:rsidRPr="00904F7A" w:rsidRDefault="00A7553B" w:rsidP="00A7553B">
      <w:pPr>
        <w:pStyle w:val="Title1LevelTitre1Niveau-AltL"/>
        <w:rPr>
          <w:rFonts w:cs="Times New Roman"/>
        </w:rPr>
      </w:pPr>
      <w:r w:rsidRPr="00904F7A">
        <w:rPr>
          <w:rFonts w:cs="Times New Roman"/>
        </w:rPr>
        <w:t>Analysis</w:t>
      </w:r>
    </w:p>
    <w:p w:rsidR="00A7553B" w:rsidRPr="00904F7A" w:rsidRDefault="00A7553B" w:rsidP="00A7553B">
      <w:pPr>
        <w:pStyle w:val="ParaNoNdepar-AltN"/>
        <w:rPr>
          <w:rFonts w:cs="Times New Roman"/>
        </w:rPr>
      </w:pPr>
      <w:r w:rsidRPr="00904F7A">
        <w:rPr>
          <w:rFonts w:cs="Times New Roman"/>
        </w:rPr>
        <w:t xml:space="preserve">The scope and interpretation of the amended Rule 20 are addressed in the companion </w:t>
      </w:r>
      <w:r w:rsidRPr="00904F7A">
        <w:rPr>
          <w:rFonts w:cs="Times New Roman"/>
          <w:i/>
        </w:rPr>
        <w:t xml:space="preserve">Mauldin </w:t>
      </w:r>
      <w:r w:rsidRPr="00904F7A">
        <w:rPr>
          <w:rFonts w:cs="Times New Roman"/>
        </w:rPr>
        <w:t>appeal.  Therefore, the issue that remains to be determined in this appeal is whether the Court of Appeal erred in its determination that Bruno Appliance should not receive summary judgment against Hryniak.</w:t>
      </w:r>
    </w:p>
    <w:p w:rsidR="00A7553B" w:rsidRPr="00904F7A" w:rsidRDefault="00A7553B" w:rsidP="00A7553B">
      <w:pPr>
        <w:pStyle w:val="Title2LevelTitre2Niveau"/>
        <w:rPr>
          <w:rFonts w:cs="Times New Roman"/>
        </w:rPr>
      </w:pPr>
      <w:r w:rsidRPr="00904F7A">
        <w:rPr>
          <w:rFonts w:cs="Times New Roman"/>
        </w:rPr>
        <w:lastRenderedPageBreak/>
        <w:t>The Tort of Civil Fraud</w:t>
      </w:r>
    </w:p>
    <w:p w:rsidR="00A7553B" w:rsidRPr="00904F7A" w:rsidRDefault="00A7553B" w:rsidP="00A7553B">
      <w:pPr>
        <w:pStyle w:val="ParaNoNdepar-AltN"/>
        <w:rPr>
          <w:rFonts w:cs="Times New Roman"/>
        </w:rPr>
      </w:pPr>
      <w:r w:rsidRPr="00904F7A">
        <w:rPr>
          <w:rFonts w:cs="Times New Roman"/>
        </w:rPr>
        <w:t>The parties disagree as to the elements of the tort of civil fraud, in particular whether proof is required that Hryniak induced Bruno Appliance to part with its funds.</w:t>
      </w:r>
    </w:p>
    <w:p w:rsidR="00A7553B" w:rsidRPr="00904F7A" w:rsidRDefault="00A7553B" w:rsidP="00A7553B">
      <w:pPr>
        <w:pStyle w:val="ParaNoNdepar-AltN"/>
        <w:rPr>
          <w:rFonts w:cs="Times New Roman"/>
        </w:rPr>
      </w:pPr>
      <w:r w:rsidRPr="00904F7A">
        <w:rPr>
          <w:rFonts w:cs="Times New Roman"/>
        </w:rPr>
        <w:t xml:space="preserve">The classic statement of the elements of civil fraud stems from an 1889 decision of the House of Lords, </w:t>
      </w:r>
      <w:r w:rsidRPr="00904F7A">
        <w:rPr>
          <w:rFonts w:cs="Times New Roman"/>
          <w:i/>
        </w:rPr>
        <w:t>Derry v. Peek</w:t>
      </w:r>
      <w:r w:rsidRPr="00904F7A">
        <w:rPr>
          <w:rFonts w:cs="Times New Roman"/>
        </w:rPr>
        <w:t xml:space="preserve"> (1889), 14 App. Cas. 337, where Lord Herschell conducted a thorough review of the history of the tort of deceit and put forward the following three propositions, at p. 374:</w:t>
      </w:r>
    </w:p>
    <w:p w:rsidR="00A7553B" w:rsidRPr="00904F7A" w:rsidRDefault="00A7553B" w:rsidP="00A7553B">
      <w:pPr>
        <w:pStyle w:val="Citation-AltC"/>
      </w:pPr>
      <w:r w:rsidRPr="00904F7A">
        <w:t>First, in order to sustain an action of deceit, there must be proof of fraud, and nothing short of that will suffice.  Secondly, fraud is proved when it is shewn that a false representation has been made (1) knowingly, or (2) without belief in its truth, or (3) recklessly, careless whether it be true or false.  . . . Thirdly, if fraud be proved, the motive of the person guilty of it is immaterial.  It matters not that there was no intention to cheat or injure the person to whom the statement was made.</w:t>
      </w:r>
    </w:p>
    <w:p w:rsidR="00A7553B" w:rsidRPr="00904F7A" w:rsidRDefault="00A7553B" w:rsidP="00A7553B">
      <w:pPr>
        <w:pStyle w:val="ParaNoNdepar-AltN"/>
        <w:rPr>
          <w:rFonts w:cs="Times New Roman"/>
        </w:rPr>
      </w:pPr>
      <w:r w:rsidRPr="00904F7A">
        <w:rPr>
          <w:rFonts w:cs="Times New Roman"/>
        </w:rPr>
        <w:t xml:space="preserve">This Court adopted Lord Herschell’s formulation in </w:t>
      </w:r>
      <w:r w:rsidRPr="00904F7A">
        <w:rPr>
          <w:rFonts w:cs="Times New Roman"/>
          <w:i/>
        </w:rPr>
        <w:t>Parna v. G. &amp; S. Properties Ltd.</w:t>
      </w:r>
      <w:r w:rsidRPr="00904F7A">
        <w:rPr>
          <w:rFonts w:cs="Times New Roman"/>
        </w:rPr>
        <w:t xml:space="preserve">, [1971] S.C.R. 306, adding that the false statement must “actually [induce the plaintiff] to act upon it” (p. 316, quoting </w:t>
      </w:r>
      <w:r w:rsidRPr="00904F7A">
        <w:rPr>
          <w:rFonts w:cs="Times New Roman"/>
          <w:i/>
        </w:rPr>
        <w:t>Anson on Contract</w:t>
      </w:r>
      <w:r w:rsidRPr="00904F7A">
        <w:rPr>
          <w:rFonts w:cs="Times New Roman"/>
        </w:rPr>
        <w:t xml:space="preserve">).  Requiring the plaintiff to prove inducement is consistent with this Court’s later recognition in </w:t>
      </w:r>
      <w:r w:rsidRPr="00904F7A">
        <w:rPr>
          <w:rFonts w:cs="Times New Roman"/>
          <w:i/>
        </w:rPr>
        <w:t>Snell v. Farrell</w:t>
      </w:r>
      <w:r w:rsidRPr="00904F7A">
        <w:rPr>
          <w:rFonts w:cs="Times New Roman"/>
        </w:rPr>
        <w:t>, [1990] 2 S.C.R. 311, at pp. 319-20, that tort law requires proof that “but for the tortious conduct of the defendant, the plaintiff would not have sustained the injury complained of”.</w:t>
      </w:r>
    </w:p>
    <w:p w:rsidR="00A7553B" w:rsidRPr="00904F7A" w:rsidRDefault="00A7553B" w:rsidP="00A7553B">
      <w:pPr>
        <w:pStyle w:val="ParaNoNdepar-AltN"/>
        <w:rPr>
          <w:rFonts w:cs="Times New Roman"/>
        </w:rPr>
      </w:pPr>
      <w:r w:rsidRPr="00904F7A">
        <w:rPr>
          <w:rFonts w:cs="Times New Roman"/>
        </w:rPr>
        <w:lastRenderedPageBreak/>
        <w:t xml:space="preserve">Finally, this Court has recognized that proof of loss is also required.  As Taschereau C.J. held in </w:t>
      </w:r>
      <w:r w:rsidRPr="00904F7A">
        <w:rPr>
          <w:rFonts w:cs="Times New Roman"/>
          <w:i/>
        </w:rPr>
        <w:t>Angers v. Mutual Reserve Fund Life Assn.</w:t>
      </w:r>
      <w:r w:rsidRPr="00904F7A">
        <w:rPr>
          <w:rFonts w:cs="Times New Roman"/>
        </w:rPr>
        <w:t xml:space="preserve"> (1904), 35 S.C.R. 330</w:t>
      </w:r>
      <w:r w:rsidR="00B14247">
        <w:rPr>
          <w:rFonts w:cs="Times New Roman"/>
        </w:rPr>
        <w:t>,</w:t>
      </w:r>
      <w:r w:rsidRPr="00904F7A">
        <w:rPr>
          <w:rFonts w:cs="Times New Roman"/>
        </w:rPr>
        <w:t xml:space="preserve"> “fraud without damage gives . . . no cause of action” (p. 340).</w:t>
      </w:r>
    </w:p>
    <w:p w:rsidR="00A7553B" w:rsidRPr="00904F7A" w:rsidRDefault="00A7553B" w:rsidP="00A7553B">
      <w:pPr>
        <w:pStyle w:val="ParaNoNdepar-AltN"/>
        <w:rPr>
          <w:rFonts w:cs="Times New Roman"/>
        </w:rPr>
      </w:pPr>
      <w:r w:rsidRPr="00904F7A">
        <w:rPr>
          <w:rFonts w:cs="Times New Roman"/>
        </w:rPr>
        <w:t>From this jurisprudential history, I summarize the following four elements of the tort of civil fraud:  (1) a false representation made by the defendant; (2) some level of knowledge of the falsehood of the representation on the part of the defendant (whether through knowledge or recklessness); (3) the false representation caused the plaintiff to act; and (4) the plaintiff’s actions resulted in a loss.</w:t>
      </w:r>
    </w:p>
    <w:p w:rsidR="00A7553B" w:rsidRPr="00904F7A" w:rsidRDefault="00A7553B" w:rsidP="00A7553B">
      <w:pPr>
        <w:pStyle w:val="Title2LevelTitre2Niveau"/>
        <w:rPr>
          <w:rFonts w:cs="Times New Roman"/>
        </w:rPr>
      </w:pPr>
      <w:r w:rsidRPr="00904F7A">
        <w:rPr>
          <w:rFonts w:cs="Times New Roman"/>
        </w:rPr>
        <w:t>Did the Motion Judge Err in Granting Summary Judgment?</w:t>
      </w:r>
    </w:p>
    <w:p w:rsidR="00A7553B" w:rsidRPr="00904F7A" w:rsidRDefault="00A7553B" w:rsidP="00A7553B">
      <w:pPr>
        <w:pStyle w:val="ParaNoNdepar-AltN"/>
        <w:rPr>
          <w:rFonts w:cs="Times New Roman"/>
        </w:rPr>
      </w:pPr>
      <w:r w:rsidRPr="00904F7A">
        <w:rPr>
          <w:rFonts w:cs="Times New Roman"/>
        </w:rPr>
        <w:t xml:space="preserve">Summary judgment may not be granted under Rule 20 where there is a genuine issue requiring a trial.  As outlined in the companion </w:t>
      </w:r>
      <w:r w:rsidRPr="00904F7A">
        <w:rPr>
          <w:rFonts w:cs="Times New Roman"/>
          <w:i/>
        </w:rPr>
        <w:t>Mauldin</w:t>
      </w:r>
      <w:r w:rsidRPr="00904F7A">
        <w:rPr>
          <w:rFonts w:cs="Times New Roman"/>
        </w:rPr>
        <w:t xml:space="preserve"> appeal, the motion judge should ask whether the matter can be resolved in a fair and just manner on a summary judgment motion.  </w:t>
      </w:r>
      <w:r w:rsidRPr="00904F7A">
        <w:rPr>
          <w:rFonts w:cs="Times New Roman"/>
          <w:szCs w:val="24"/>
          <w:lang w:val="en-US"/>
        </w:rPr>
        <w:t>This will be the case when the process (1) allows the judge to make the necessary findings of fact, (2) allows the judge to apply the law to the facts, and (3) is a proportionate, more expeditious and less expensive means to achieve a just result.</w:t>
      </w:r>
      <w:r w:rsidRPr="00904F7A">
        <w:rPr>
          <w:rFonts w:cs="Times New Roman"/>
        </w:rPr>
        <w:t xml:space="preserve">  If there appears to be a genuine issue requiring a trial, based only on the record before her, the judge should then ask if the need for a trial can be avoided by using the new powers provided under Rules 20.04(2.1) and (2.2).  She may, at her discretion, use those powers, provided that their use is not against the interest of justice.</w:t>
      </w:r>
    </w:p>
    <w:p w:rsidR="00A7553B" w:rsidRPr="00904F7A" w:rsidRDefault="00A7553B" w:rsidP="00A7553B">
      <w:pPr>
        <w:pStyle w:val="ParaNoNdepar-AltN"/>
        <w:rPr>
          <w:rFonts w:cs="Times New Roman"/>
        </w:rPr>
      </w:pPr>
      <w:r w:rsidRPr="00904F7A">
        <w:rPr>
          <w:rFonts w:cs="Times New Roman"/>
        </w:rPr>
        <w:t>For the reasons that follow, I am of the view that there is a genuine issue requiring a trial.</w:t>
      </w:r>
    </w:p>
    <w:p w:rsidR="00A7553B" w:rsidRPr="00904F7A" w:rsidRDefault="00A7553B" w:rsidP="00A7553B">
      <w:pPr>
        <w:pStyle w:val="ParaNoNdepar-AltN"/>
        <w:rPr>
          <w:rFonts w:cs="Times New Roman"/>
        </w:rPr>
      </w:pPr>
      <w:r w:rsidRPr="00904F7A">
        <w:rPr>
          <w:rFonts w:cs="Times New Roman"/>
        </w:rPr>
        <w:lastRenderedPageBreak/>
        <w:t>As noted by the Court of Appeal, and following the analysis above, civil fraud requires a finding that Hryniak made a misrepresentation which induced Bruno Appliance to invest.  The motion judge neither identified the need for a misrepresentation, nor found that Hryniak made one.</w:t>
      </w:r>
    </w:p>
    <w:p w:rsidR="00A7553B" w:rsidRPr="00904F7A" w:rsidRDefault="00A7553B" w:rsidP="00A7553B">
      <w:pPr>
        <w:pStyle w:val="ParaNoNdepar-AltN"/>
        <w:rPr>
          <w:rFonts w:cs="Times New Roman"/>
        </w:rPr>
      </w:pPr>
      <w:r w:rsidRPr="00904F7A">
        <w:rPr>
          <w:rFonts w:cs="Times New Roman"/>
        </w:rPr>
        <w:t>The motion judge found that Tropos did not invest Bruno Appliance’s funds and that a misrepresentation had therefore been made to the investors.  The point at which a misrepresentation occurred was a meeting between Peebles, Cranston and Bruno Appliance’s principal in February 2002.  He found:  that Hryniak was supposed to be in attendance at this meeting, that Hryniak knew of the purpose of the meeting and that Hryniak’s company paid for Peebles’ attendance.</w:t>
      </w:r>
    </w:p>
    <w:p w:rsidR="00A7553B" w:rsidRPr="00904F7A" w:rsidRDefault="00A7553B" w:rsidP="00A7553B">
      <w:pPr>
        <w:pStyle w:val="ParaNoNdepar-AltN"/>
        <w:rPr>
          <w:rFonts w:cs="Times New Roman"/>
        </w:rPr>
      </w:pPr>
      <w:r w:rsidRPr="00904F7A">
        <w:rPr>
          <w:rFonts w:cs="Times New Roman"/>
        </w:rPr>
        <w:t>However, Hryniak was not present, and he can only be liable for any misrepresentation made by Peebles or Cranston if their statements can be attributed to him.  For example, the Court of Appeal considered, and ultimately rejected, the possibility that Peebles or Cranston was acting as Hryniak’s agent.</w:t>
      </w:r>
    </w:p>
    <w:p w:rsidR="00A7553B" w:rsidRPr="00904F7A" w:rsidRDefault="00A7553B" w:rsidP="00A7553B">
      <w:pPr>
        <w:pStyle w:val="ParaNoNdepar-AltN"/>
        <w:rPr>
          <w:rFonts w:cs="Times New Roman"/>
        </w:rPr>
      </w:pPr>
      <w:r w:rsidRPr="00904F7A">
        <w:rPr>
          <w:rFonts w:cs="Times New Roman"/>
        </w:rPr>
        <w:t xml:space="preserve">In my view, the motion judge’s findings are insufficient to establish that any false statements made at the meeting can be attributed to Hryniak.  There was no evidence that Peebles or Cranston were acting on instructions from Hryniak when they met with Bruno.  While a principal will generally be vicariously liable “for the torts of her agent committed within the scope of her actual or apparent authority” (P. H. Osborne, </w:t>
      </w:r>
      <w:r w:rsidRPr="00904F7A">
        <w:rPr>
          <w:rFonts w:cs="Times New Roman"/>
          <w:i/>
        </w:rPr>
        <w:t xml:space="preserve">The Law of Torts </w:t>
      </w:r>
      <w:r w:rsidRPr="00904F7A">
        <w:rPr>
          <w:rFonts w:cs="Times New Roman"/>
        </w:rPr>
        <w:t>(4th ed.</w:t>
      </w:r>
      <w:r w:rsidRPr="00904F7A">
        <w:rPr>
          <w:rFonts w:cs="Times New Roman"/>
          <w:i/>
        </w:rPr>
        <w:t xml:space="preserve"> </w:t>
      </w:r>
      <w:r w:rsidRPr="00904F7A">
        <w:rPr>
          <w:rFonts w:cs="Times New Roman"/>
        </w:rPr>
        <w:t xml:space="preserve">2011), at p. 369), the motion judge did not find Peebles or Cranston to be Hryniak’s agent, and there is no indication that the evidence established that Peebles or Cranston was authorized to make representations </w:t>
      </w:r>
      <w:r w:rsidRPr="00904F7A">
        <w:rPr>
          <w:rFonts w:cs="Times New Roman"/>
        </w:rPr>
        <w:lastRenderedPageBreak/>
        <w:t>on behalf of Hryniak and did not do so on their own account.  Similarly, there was insufficient evidence to establish that either Peebles or Cranston was acting as Hryniak’s unwitting dupe and, as the motion judge concluded, that issue required a trial.</w:t>
      </w:r>
    </w:p>
    <w:p w:rsidR="00A7553B" w:rsidRPr="00904F7A" w:rsidRDefault="00A7553B" w:rsidP="00A7553B">
      <w:pPr>
        <w:pStyle w:val="ParaNoNdepar-AltN"/>
        <w:rPr>
          <w:rFonts w:cs="Times New Roman"/>
        </w:rPr>
      </w:pPr>
      <w:r w:rsidRPr="00904F7A">
        <w:rPr>
          <w:rFonts w:cs="Times New Roman"/>
        </w:rPr>
        <w:t>While the motion judge found that Hryniak was aware of the falseness of the representations</w:t>
      </w:r>
      <w:r w:rsidRPr="00904F7A">
        <w:rPr>
          <w:rStyle w:val="FootnoteReference"/>
          <w:rFonts w:cs="Times New Roman"/>
        </w:rPr>
        <w:footnoteReference w:id="1"/>
      </w:r>
      <w:r w:rsidRPr="00904F7A">
        <w:rPr>
          <w:rFonts w:cs="Times New Roman"/>
        </w:rPr>
        <w:t xml:space="preserve"> and exercised “full dominion and control” over Bruno Appliance’s funds (para. 169), as noted by the Court of Appeal, this finding would support liability in conversion, but is not sufficient to establish fraud.</w:t>
      </w:r>
    </w:p>
    <w:p w:rsidR="00A7553B" w:rsidRPr="00904F7A" w:rsidRDefault="00A7553B" w:rsidP="00A7553B">
      <w:pPr>
        <w:pStyle w:val="ParaNoNdepar-AltN"/>
        <w:rPr>
          <w:rFonts w:cs="Times New Roman"/>
        </w:rPr>
      </w:pPr>
      <w:r w:rsidRPr="00904F7A">
        <w:rPr>
          <w:rFonts w:cs="Times New Roman"/>
        </w:rPr>
        <w:t xml:space="preserve">While I agree with the motion judge that the evidence clearly demonstrates that Hryniak was </w:t>
      </w:r>
      <w:r w:rsidRPr="00904F7A">
        <w:rPr>
          <w:rFonts w:cs="Times New Roman"/>
          <w:i/>
        </w:rPr>
        <w:t>aware</w:t>
      </w:r>
      <w:r w:rsidRPr="00904F7A">
        <w:rPr>
          <w:rFonts w:cs="Times New Roman"/>
        </w:rPr>
        <w:t xml:space="preserve"> of the fraud, and may in fact have </w:t>
      </w:r>
      <w:r w:rsidRPr="00904F7A">
        <w:rPr>
          <w:rFonts w:cs="Times New Roman"/>
          <w:i/>
        </w:rPr>
        <w:t>benefited</w:t>
      </w:r>
      <w:r w:rsidRPr="00904F7A">
        <w:rPr>
          <w:rFonts w:cs="Times New Roman"/>
        </w:rPr>
        <w:t xml:space="preserve"> from the fraud, whether Hryniak </w:t>
      </w:r>
      <w:r w:rsidRPr="00904F7A">
        <w:rPr>
          <w:rFonts w:cs="Times New Roman"/>
          <w:i/>
        </w:rPr>
        <w:t>perpetrated</w:t>
      </w:r>
      <w:r w:rsidRPr="00904F7A">
        <w:rPr>
          <w:rFonts w:cs="Times New Roman"/>
        </w:rPr>
        <w:t xml:space="preserve"> the fraud by inducing Bruno Appliance to contribute US$1 million to a non-existent investment scheme is a genuine issue requiring a trial.</w:t>
      </w:r>
    </w:p>
    <w:p w:rsidR="00A7553B" w:rsidRPr="00904F7A" w:rsidRDefault="00A7553B" w:rsidP="00A7553B">
      <w:pPr>
        <w:pStyle w:val="ParaNoNdepar-AltN"/>
        <w:rPr>
          <w:rFonts w:cs="Times New Roman"/>
        </w:rPr>
      </w:pPr>
      <w:r w:rsidRPr="00904F7A">
        <w:rPr>
          <w:rFonts w:cs="Times New Roman"/>
        </w:rPr>
        <w:t>The Court of Appeal also found the extent of Hryniak’s misappropriation of Bruno Appliance’s funds to be a second issue requiring a trial.  The Court of Appeal found that Hryniak had appropriated US$450,000, but that the fate of the remaining US$550,000 required a trial.  Given the principles of joint and several liability, I am satisfied that this issue would not normally preclude a finding that there is no genuine issue requiring a trial against Hryniak.</w:t>
      </w:r>
    </w:p>
    <w:p w:rsidR="00A7553B" w:rsidRPr="00904F7A" w:rsidRDefault="00A7553B" w:rsidP="00A7553B">
      <w:pPr>
        <w:pStyle w:val="ParaNoNdepar-AltN"/>
        <w:rPr>
          <w:rFonts w:cs="Times New Roman"/>
        </w:rPr>
      </w:pPr>
      <w:r w:rsidRPr="00904F7A">
        <w:rPr>
          <w:rFonts w:cs="Times New Roman"/>
        </w:rPr>
        <w:lastRenderedPageBreak/>
        <w:t>The motion judge failed to find a necessary element of civil fraud, an error of law, and did not draw sufficient factual conclusions for either him, or an appellate court, to make such a finding.  Since the action was proceeding to trial against the other defendants in any event, the order of the Court of Appeal that all the remaining actions be heard together is the most proportionate, timely and cost effective approach.  In light of this conclusion, it is unnecessary for me to determine whether it was against the interest of justice for the motion judge to make use of his expanded fact-finding powers.</w:t>
      </w:r>
    </w:p>
    <w:p w:rsidR="00A7553B" w:rsidRPr="00904F7A" w:rsidRDefault="00A7553B" w:rsidP="00A7553B">
      <w:pPr>
        <w:pStyle w:val="Title1LevelTitre1Niveau-AltL"/>
        <w:rPr>
          <w:rFonts w:cs="Times New Roman"/>
        </w:rPr>
      </w:pPr>
      <w:r w:rsidRPr="00904F7A">
        <w:rPr>
          <w:rFonts w:cs="Times New Roman"/>
        </w:rPr>
        <w:t>Conclusion</w:t>
      </w:r>
    </w:p>
    <w:p w:rsidR="00A7553B" w:rsidRPr="00904F7A" w:rsidRDefault="00A7553B" w:rsidP="00A7553B">
      <w:pPr>
        <w:pStyle w:val="ParaNoNdepar-AltN"/>
        <w:rPr>
          <w:rFonts w:cs="Times New Roman"/>
        </w:rPr>
      </w:pPr>
      <w:r w:rsidRPr="00904F7A">
        <w:rPr>
          <w:rFonts w:cs="Times New Roman"/>
        </w:rPr>
        <w:t>Accordingly, I would dismiss the appeal, with costs to the respondent.  I would not interfere with the case management orders made by the Court of Appeal.</w:t>
      </w:r>
    </w:p>
    <w:p w:rsidR="009B57B3" w:rsidRPr="00217E87" w:rsidRDefault="0005182F" w:rsidP="00A02D2C">
      <w:pPr>
        <w:pStyle w:val="SCCNormalDoubleSpacing"/>
        <w:spacing w:before="480" w:after="480"/>
      </w:pPr>
      <w:r w:rsidRPr="00217E87">
        <w:tab/>
      </w:r>
      <w:r w:rsidR="00656313" w:rsidRPr="00217E87">
        <w:rPr>
          <w:i/>
        </w:rPr>
        <w:t>Appeal</w:t>
      </w:r>
      <w:r w:rsidRPr="00217E87">
        <w:rPr>
          <w:i/>
        </w:rPr>
        <w:t xml:space="preserve"> dismissed with costs.</w:t>
      </w:r>
    </w:p>
    <w:p w:rsidR="005C21E8" w:rsidRPr="00217E87" w:rsidRDefault="005C21E8" w:rsidP="00A02D2C">
      <w:pPr>
        <w:pStyle w:val="SCCLawFirm"/>
        <w:spacing w:before="480" w:after="480"/>
      </w:pPr>
      <w:r w:rsidRPr="00217E87">
        <w:tab/>
        <w:t>Solicitors for the appellant</w:t>
      </w:r>
      <w:r w:rsidR="00A02D2C" w:rsidRPr="00217E87">
        <w:t>:  </w:t>
      </w:r>
      <w:r w:rsidRPr="00217E87">
        <w:t>Heydary Hamilton, Toronto.</w:t>
      </w:r>
    </w:p>
    <w:p w:rsidR="005C21E8" w:rsidRPr="00217E87" w:rsidRDefault="005C21E8" w:rsidP="00A02D2C">
      <w:pPr>
        <w:pStyle w:val="SCCLawFirm"/>
        <w:spacing w:before="480" w:after="480"/>
      </w:pPr>
      <w:r w:rsidRPr="00217E87">
        <w:tab/>
        <w:t>Solicitors for the respondent</w:t>
      </w:r>
      <w:r w:rsidR="00A02D2C" w:rsidRPr="00217E87">
        <w:t>:  </w:t>
      </w:r>
      <w:r w:rsidRPr="00217E87">
        <w:t>McCarthy Tétrault, Toronto.</w:t>
      </w:r>
    </w:p>
    <w:p w:rsidR="005C21E8" w:rsidRPr="00217E87" w:rsidRDefault="005C21E8" w:rsidP="00A02D2C">
      <w:pPr>
        <w:pStyle w:val="SCCLawFirm"/>
        <w:spacing w:before="480" w:after="480"/>
      </w:pPr>
      <w:r w:rsidRPr="00217E87">
        <w:tab/>
        <w:t>Solicitor for the intervener the Attorney General of Ontario</w:t>
      </w:r>
      <w:r w:rsidR="00A02D2C" w:rsidRPr="00217E87">
        <w:t>:  </w:t>
      </w:r>
      <w:r w:rsidRPr="00217E87">
        <w:t>Attorney General of Ontario, Toronto.</w:t>
      </w:r>
    </w:p>
    <w:p w:rsidR="005C21E8" w:rsidRPr="00217E87" w:rsidRDefault="005C21E8" w:rsidP="00A02D2C">
      <w:pPr>
        <w:pStyle w:val="SCCLawFirm"/>
        <w:spacing w:before="480" w:after="480"/>
      </w:pPr>
      <w:r w:rsidRPr="00217E87">
        <w:tab/>
        <w:t>Solicitors for the intervener the Ontario Trial Lawyers Association</w:t>
      </w:r>
      <w:r w:rsidR="00A02D2C" w:rsidRPr="00217E87">
        <w:t>:  </w:t>
      </w:r>
      <w:r w:rsidRPr="00217E87">
        <w:t>Allan Rouben, Toronto; SBMB Law, Richmond Hill, Ontario.</w:t>
      </w:r>
    </w:p>
    <w:p w:rsidR="005C21E8" w:rsidRPr="00217E87" w:rsidRDefault="005C21E8" w:rsidP="00A02D2C">
      <w:pPr>
        <w:pStyle w:val="SCCLawFirm"/>
        <w:spacing w:before="480" w:after="480"/>
      </w:pPr>
      <w:r w:rsidRPr="00217E87">
        <w:lastRenderedPageBreak/>
        <w:tab/>
        <w:t>Solicitors for the intervener the Advocates’ Society</w:t>
      </w:r>
      <w:r w:rsidR="00A02D2C" w:rsidRPr="00217E87">
        <w:t>:  </w:t>
      </w:r>
      <w:r w:rsidRPr="00217E87">
        <w:t xml:space="preserve">Borden </w:t>
      </w:r>
      <w:proofErr w:type="spellStart"/>
      <w:r w:rsidRPr="00217E87">
        <w:t>Ladner</w:t>
      </w:r>
      <w:proofErr w:type="spellEnd"/>
      <w:r w:rsidRPr="00217E87">
        <w:t xml:space="preserve"> </w:t>
      </w:r>
      <w:proofErr w:type="spellStart"/>
      <w:r w:rsidRPr="00217E87">
        <w:t>Gervais</w:t>
      </w:r>
      <w:proofErr w:type="spellEnd"/>
      <w:r w:rsidRPr="00217E87">
        <w:t xml:space="preserve">, Ottawa; </w:t>
      </w:r>
      <w:proofErr w:type="spellStart"/>
      <w:r w:rsidRPr="00217E87">
        <w:t>Torys</w:t>
      </w:r>
      <w:proofErr w:type="spellEnd"/>
      <w:r w:rsidRPr="00217E87">
        <w:t>, Toronto.</w:t>
      </w:r>
    </w:p>
    <w:p w:rsidR="007E6142" w:rsidRDefault="005C21E8" w:rsidP="00A7553B">
      <w:pPr>
        <w:pStyle w:val="SCCLawFirm"/>
        <w:rPr>
          <w:b/>
          <w:i w:val="0"/>
        </w:rPr>
      </w:pPr>
      <w:r w:rsidRPr="00217E87">
        <w:tab/>
        <w:t>Solicitors for the intervener the Canadian Bar Association</w:t>
      </w:r>
      <w:r w:rsidR="00A02D2C" w:rsidRPr="00217E87">
        <w:t>:  </w:t>
      </w:r>
      <w:r w:rsidRPr="00217E87">
        <w:t xml:space="preserve">Evans Sweeny </w:t>
      </w:r>
      <w:proofErr w:type="spellStart"/>
      <w:r w:rsidRPr="00217E87">
        <w:t>Bordin</w:t>
      </w:r>
      <w:proofErr w:type="spellEnd"/>
      <w:r w:rsidRPr="00217E87">
        <w:t xml:space="preserve">, Hamilton; </w:t>
      </w:r>
      <w:proofErr w:type="spellStart"/>
      <w:r w:rsidRPr="00217E87">
        <w:t>Sotos</w:t>
      </w:r>
      <w:proofErr w:type="spellEnd"/>
      <w:r w:rsidRPr="00217E87">
        <w:t>, Toronto.</w:t>
      </w:r>
    </w:p>
    <w:p w:rsidR="00A7553B" w:rsidRPr="00A7553B" w:rsidRDefault="00A7553B" w:rsidP="00A7553B">
      <w:pPr>
        <w:pStyle w:val="SCCNormalDoubleSpacing"/>
      </w:pPr>
    </w:p>
    <w:sectPr w:rsidR="00A7553B" w:rsidRPr="00A7553B" w:rsidSect="00AD7687">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6C" w:rsidRDefault="00B3416C">
      <w:r>
        <w:separator/>
      </w:r>
    </w:p>
  </w:endnote>
  <w:endnote w:type="continuationSeparator" w:id="0">
    <w:p w:rsidR="00B3416C" w:rsidRDefault="00B34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6C" w:rsidRDefault="00B3416C">
      <w:r>
        <w:separator/>
      </w:r>
    </w:p>
  </w:footnote>
  <w:footnote w:type="continuationSeparator" w:id="0">
    <w:p w:rsidR="00B3416C" w:rsidRDefault="00B3416C">
      <w:r>
        <w:continuationSeparator/>
      </w:r>
    </w:p>
  </w:footnote>
  <w:footnote w:id="1">
    <w:p w:rsidR="00B3416C" w:rsidRPr="00B2083A" w:rsidRDefault="00B3416C" w:rsidP="00A7553B">
      <w:pPr>
        <w:pStyle w:val="FootnoteText"/>
        <w:jc w:val="both"/>
        <w:rPr>
          <w:lang w:val="en-US"/>
        </w:rPr>
      </w:pPr>
      <w:r>
        <w:rPr>
          <w:rStyle w:val="FootnoteReference"/>
        </w:rPr>
        <w:footnoteRef/>
      </w:r>
      <w:r>
        <w:t xml:space="preserve">  This follows from his finding in a footnote to para. 178 of his reasons that he accepted Peebles’ evidence that he regularly reviewed trust activity with Hryniak (A.R., vol. V, at pp. 154-59).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4AB"/>
    <w:rsid w:val="00000ED4"/>
    <w:rsid w:val="00025198"/>
    <w:rsid w:val="0005182F"/>
    <w:rsid w:val="000578A3"/>
    <w:rsid w:val="000648CC"/>
    <w:rsid w:val="000C59B8"/>
    <w:rsid w:val="000C6AF0"/>
    <w:rsid w:val="000F67F9"/>
    <w:rsid w:val="00104F33"/>
    <w:rsid w:val="00111DE2"/>
    <w:rsid w:val="00111EE9"/>
    <w:rsid w:val="00116B38"/>
    <w:rsid w:val="00125173"/>
    <w:rsid w:val="00135406"/>
    <w:rsid w:val="00135972"/>
    <w:rsid w:val="001426A9"/>
    <w:rsid w:val="00154D7C"/>
    <w:rsid w:val="001570B0"/>
    <w:rsid w:val="0015752C"/>
    <w:rsid w:val="00157737"/>
    <w:rsid w:val="00165277"/>
    <w:rsid w:val="00170592"/>
    <w:rsid w:val="00180BEE"/>
    <w:rsid w:val="00186351"/>
    <w:rsid w:val="00195D83"/>
    <w:rsid w:val="001A00C1"/>
    <w:rsid w:val="001B33E0"/>
    <w:rsid w:val="001B4573"/>
    <w:rsid w:val="001B4CB7"/>
    <w:rsid w:val="001C779F"/>
    <w:rsid w:val="001D2AC1"/>
    <w:rsid w:val="001D4E88"/>
    <w:rsid w:val="001D54F2"/>
    <w:rsid w:val="001D5E90"/>
    <w:rsid w:val="00217E87"/>
    <w:rsid w:val="00220FC2"/>
    <w:rsid w:val="002222F4"/>
    <w:rsid w:val="00223BF5"/>
    <w:rsid w:val="00224FC0"/>
    <w:rsid w:val="00225EA4"/>
    <w:rsid w:val="00226EAF"/>
    <w:rsid w:val="00231F3A"/>
    <w:rsid w:val="00234199"/>
    <w:rsid w:val="002406EE"/>
    <w:rsid w:val="00243EC8"/>
    <w:rsid w:val="00247553"/>
    <w:rsid w:val="00270D93"/>
    <w:rsid w:val="002745CC"/>
    <w:rsid w:val="00281C0F"/>
    <w:rsid w:val="002B7924"/>
    <w:rsid w:val="002D28C3"/>
    <w:rsid w:val="002D39A4"/>
    <w:rsid w:val="002E6705"/>
    <w:rsid w:val="00301D08"/>
    <w:rsid w:val="0030329A"/>
    <w:rsid w:val="0031086F"/>
    <w:rsid w:val="0031414C"/>
    <w:rsid w:val="00314E01"/>
    <w:rsid w:val="00315D0E"/>
    <w:rsid w:val="0032089D"/>
    <w:rsid w:val="003310DE"/>
    <w:rsid w:val="003323B0"/>
    <w:rsid w:val="0035169A"/>
    <w:rsid w:val="0035259D"/>
    <w:rsid w:val="00364B18"/>
    <w:rsid w:val="003A125D"/>
    <w:rsid w:val="003A4C70"/>
    <w:rsid w:val="003B215F"/>
    <w:rsid w:val="003C56B4"/>
    <w:rsid w:val="003C799C"/>
    <w:rsid w:val="003D0399"/>
    <w:rsid w:val="003D4484"/>
    <w:rsid w:val="003E1C71"/>
    <w:rsid w:val="003E376E"/>
    <w:rsid w:val="003F327B"/>
    <w:rsid w:val="003F59E0"/>
    <w:rsid w:val="00406166"/>
    <w:rsid w:val="0040704B"/>
    <w:rsid w:val="00410A55"/>
    <w:rsid w:val="00411300"/>
    <w:rsid w:val="00415417"/>
    <w:rsid w:val="00426659"/>
    <w:rsid w:val="00450352"/>
    <w:rsid w:val="00454BDB"/>
    <w:rsid w:val="00464800"/>
    <w:rsid w:val="00465132"/>
    <w:rsid w:val="0046599A"/>
    <w:rsid w:val="00480C90"/>
    <w:rsid w:val="0048396F"/>
    <w:rsid w:val="0049081B"/>
    <w:rsid w:val="00492109"/>
    <w:rsid w:val="004938CD"/>
    <w:rsid w:val="00493C18"/>
    <w:rsid w:val="004942B2"/>
    <w:rsid w:val="004954F6"/>
    <w:rsid w:val="004977B3"/>
    <w:rsid w:val="004A600C"/>
    <w:rsid w:val="004A6118"/>
    <w:rsid w:val="004C478D"/>
    <w:rsid w:val="004E2C26"/>
    <w:rsid w:val="004E68B3"/>
    <w:rsid w:val="004F36FF"/>
    <w:rsid w:val="005125A8"/>
    <w:rsid w:val="00521AE8"/>
    <w:rsid w:val="00527180"/>
    <w:rsid w:val="0054201E"/>
    <w:rsid w:val="00555291"/>
    <w:rsid w:val="00561043"/>
    <w:rsid w:val="00566AD1"/>
    <w:rsid w:val="00583EDE"/>
    <w:rsid w:val="00595127"/>
    <w:rsid w:val="005A3247"/>
    <w:rsid w:val="005A6079"/>
    <w:rsid w:val="005C21E8"/>
    <w:rsid w:val="005E4698"/>
    <w:rsid w:val="0060503C"/>
    <w:rsid w:val="00610539"/>
    <w:rsid w:val="00613969"/>
    <w:rsid w:val="00625C35"/>
    <w:rsid w:val="00640EF9"/>
    <w:rsid w:val="00656313"/>
    <w:rsid w:val="006565F4"/>
    <w:rsid w:val="00684EEA"/>
    <w:rsid w:val="0069689B"/>
    <w:rsid w:val="006A1551"/>
    <w:rsid w:val="006A7248"/>
    <w:rsid w:val="006B5FF5"/>
    <w:rsid w:val="006C205E"/>
    <w:rsid w:val="006C4E47"/>
    <w:rsid w:val="006C7DAA"/>
    <w:rsid w:val="006E332D"/>
    <w:rsid w:val="006E49CB"/>
    <w:rsid w:val="006F1063"/>
    <w:rsid w:val="006F30AF"/>
    <w:rsid w:val="00701759"/>
    <w:rsid w:val="00705C15"/>
    <w:rsid w:val="0071600E"/>
    <w:rsid w:val="007208D1"/>
    <w:rsid w:val="007275E2"/>
    <w:rsid w:val="00747288"/>
    <w:rsid w:val="00747DD3"/>
    <w:rsid w:val="007549C8"/>
    <w:rsid w:val="00754A0B"/>
    <w:rsid w:val="00762536"/>
    <w:rsid w:val="00766D14"/>
    <w:rsid w:val="00767A0F"/>
    <w:rsid w:val="007A05F6"/>
    <w:rsid w:val="007B6F4A"/>
    <w:rsid w:val="007E1C47"/>
    <w:rsid w:val="007E337A"/>
    <w:rsid w:val="007E5C70"/>
    <w:rsid w:val="007E6142"/>
    <w:rsid w:val="007F2FF5"/>
    <w:rsid w:val="007F3F08"/>
    <w:rsid w:val="00804CC6"/>
    <w:rsid w:val="00817190"/>
    <w:rsid w:val="00820EE5"/>
    <w:rsid w:val="008260E2"/>
    <w:rsid w:val="008322BD"/>
    <w:rsid w:val="00833E0A"/>
    <w:rsid w:val="00834F73"/>
    <w:rsid w:val="00852C6E"/>
    <w:rsid w:val="00864CF8"/>
    <w:rsid w:val="00872819"/>
    <w:rsid w:val="00874914"/>
    <w:rsid w:val="00891422"/>
    <w:rsid w:val="00892E1A"/>
    <w:rsid w:val="008A3F29"/>
    <w:rsid w:val="008B5E44"/>
    <w:rsid w:val="008B660A"/>
    <w:rsid w:val="008C01DA"/>
    <w:rsid w:val="008C5575"/>
    <w:rsid w:val="008E3A08"/>
    <w:rsid w:val="008E60BD"/>
    <w:rsid w:val="008F78E9"/>
    <w:rsid w:val="00911989"/>
    <w:rsid w:val="009179F9"/>
    <w:rsid w:val="00922A00"/>
    <w:rsid w:val="00933E5E"/>
    <w:rsid w:val="00935218"/>
    <w:rsid w:val="009403F3"/>
    <w:rsid w:val="009555B7"/>
    <w:rsid w:val="009567AA"/>
    <w:rsid w:val="00967374"/>
    <w:rsid w:val="00982A78"/>
    <w:rsid w:val="009A343A"/>
    <w:rsid w:val="009A5882"/>
    <w:rsid w:val="009B2F23"/>
    <w:rsid w:val="009B57B3"/>
    <w:rsid w:val="009C5B92"/>
    <w:rsid w:val="009C7BEA"/>
    <w:rsid w:val="009D2920"/>
    <w:rsid w:val="009D5AEB"/>
    <w:rsid w:val="009F0E33"/>
    <w:rsid w:val="009F1769"/>
    <w:rsid w:val="009F3A3E"/>
    <w:rsid w:val="00A02D2C"/>
    <w:rsid w:val="00A030CE"/>
    <w:rsid w:val="00A149DF"/>
    <w:rsid w:val="00A1755C"/>
    <w:rsid w:val="00A21B90"/>
    <w:rsid w:val="00A41805"/>
    <w:rsid w:val="00A42DCD"/>
    <w:rsid w:val="00A52AFB"/>
    <w:rsid w:val="00A53604"/>
    <w:rsid w:val="00A548CB"/>
    <w:rsid w:val="00A5521C"/>
    <w:rsid w:val="00A643E7"/>
    <w:rsid w:val="00A73C38"/>
    <w:rsid w:val="00A7553B"/>
    <w:rsid w:val="00A90DF9"/>
    <w:rsid w:val="00AB670D"/>
    <w:rsid w:val="00AD7687"/>
    <w:rsid w:val="00AF03C5"/>
    <w:rsid w:val="00B000D8"/>
    <w:rsid w:val="00B00F75"/>
    <w:rsid w:val="00B10D83"/>
    <w:rsid w:val="00B120CA"/>
    <w:rsid w:val="00B14247"/>
    <w:rsid w:val="00B145B6"/>
    <w:rsid w:val="00B279EB"/>
    <w:rsid w:val="00B3416C"/>
    <w:rsid w:val="00B50C81"/>
    <w:rsid w:val="00B557F8"/>
    <w:rsid w:val="00B815FC"/>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C655B"/>
    <w:rsid w:val="00CE161A"/>
    <w:rsid w:val="00CE3171"/>
    <w:rsid w:val="00CE770B"/>
    <w:rsid w:val="00CF1601"/>
    <w:rsid w:val="00D0064E"/>
    <w:rsid w:val="00D0172F"/>
    <w:rsid w:val="00D03E18"/>
    <w:rsid w:val="00D068A7"/>
    <w:rsid w:val="00D1424E"/>
    <w:rsid w:val="00D17476"/>
    <w:rsid w:val="00D32086"/>
    <w:rsid w:val="00D37A3F"/>
    <w:rsid w:val="00D4431D"/>
    <w:rsid w:val="00D4667A"/>
    <w:rsid w:val="00D63A1C"/>
    <w:rsid w:val="00D7516F"/>
    <w:rsid w:val="00D8579F"/>
    <w:rsid w:val="00D95F8E"/>
    <w:rsid w:val="00DA0590"/>
    <w:rsid w:val="00DB3EA8"/>
    <w:rsid w:val="00DB7BEA"/>
    <w:rsid w:val="00DC1739"/>
    <w:rsid w:val="00DC1788"/>
    <w:rsid w:val="00DE319C"/>
    <w:rsid w:val="00DF0CA8"/>
    <w:rsid w:val="00DF2B48"/>
    <w:rsid w:val="00DF49A7"/>
    <w:rsid w:val="00E03686"/>
    <w:rsid w:val="00E07EE2"/>
    <w:rsid w:val="00E07FD1"/>
    <w:rsid w:val="00E24573"/>
    <w:rsid w:val="00E25E1E"/>
    <w:rsid w:val="00E27AAE"/>
    <w:rsid w:val="00E27EE7"/>
    <w:rsid w:val="00E35404"/>
    <w:rsid w:val="00E45109"/>
    <w:rsid w:val="00E47B7A"/>
    <w:rsid w:val="00E56A44"/>
    <w:rsid w:val="00E60269"/>
    <w:rsid w:val="00E6191D"/>
    <w:rsid w:val="00E77932"/>
    <w:rsid w:val="00E97830"/>
    <w:rsid w:val="00EE643C"/>
    <w:rsid w:val="00EF0683"/>
    <w:rsid w:val="00EF69D2"/>
    <w:rsid w:val="00EF766E"/>
    <w:rsid w:val="00F0070C"/>
    <w:rsid w:val="00F00EB7"/>
    <w:rsid w:val="00F122A2"/>
    <w:rsid w:val="00F36AB6"/>
    <w:rsid w:val="00F37A09"/>
    <w:rsid w:val="00F409CE"/>
    <w:rsid w:val="00F4379D"/>
    <w:rsid w:val="00F50D2D"/>
    <w:rsid w:val="00F56C8B"/>
    <w:rsid w:val="00F66810"/>
    <w:rsid w:val="00F8370F"/>
    <w:rsid w:val="00F846D9"/>
    <w:rsid w:val="00F84DF4"/>
    <w:rsid w:val="00F85C97"/>
    <w:rsid w:val="00FB37D2"/>
    <w:rsid w:val="00FC4EFB"/>
    <w:rsid w:val="00FD068D"/>
    <w:rsid w:val="00FD4F28"/>
    <w:rsid w:val="00FE6784"/>
    <w:rsid w:val="00FE7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A7553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7553B"/>
    <w:rPr>
      <w:rFonts w:eastAsiaTheme="minorHAnsi" w:cstheme="minorBidi"/>
      <w:sz w:val="24"/>
      <w:szCs w:val="22"/>
      <w:lang w:eastAsia="en-US"/>
    </w:rPr>
  </w:style>
  <w:style w:type="table" w:styleId="TableGrid">
    <w:name w:val="Table Grid"/>
    <w:basedOn w:val="TableNormal"/>
    <w:uiPriority w:val="59"/>
    <w:rsid w:val="00A7553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7553B"/>
    <w:pPr>
      <w:spacing w:after="720"/>
      <w:ind w:left="1166"/>
      <w:contextualSpacing/>
      <w:jc w:val="both"/>
    </w:pPr>
    <w:rPr>
      <w:sz w:val="24"/>
      <w:szCs w:val="24"/>
    </w:rPr>
  </w:style>
  <w:style w:type="paragraph" w:customStyle="1" w:styleId="JudgeJuge">
    <w:name w:val="Judge / Juge"/>
    <w:uiPriority w:val="3"/>
    <w:rsid w:val="00A7553B"/>
    <w:pPr>
      <w:tabs>
        <w:tab w:val="left" w:pos="1166"/>
      </w:tabs>
      <w:spacing w:after="480" w:line="480" w:lineRule="auto"/>
    </w:pPr>
    <w:rPr>
      <w:smallCaps/>
      <w:sz w:val="24"/>
      <w:szCs w:val="24"/>
    </w:rPr>
  </w:style>
  <w:style w:type="paragraph" w:customStyle="1" w:styleId="ParaNoNdepar-AltN">
    <w:name w:val="Para. No. / Nº de par. - Alt N"/>
    <w:qFormat/>
    <w:rsid w:val="00A7553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7553B"/>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7553B"/>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7553B"/>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7553B"/>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7553B"/>
    <w:pPr>
      <w:numPr>
        <w:ilvl w:val="4"/>
      </w:numPr>
      <w:tabs>
        <w:tab w:val="clear" w:pos="576"/>
        <w:tab w:val="left" w:pos="1620"/>
      </w:tabs>
      <w:ind w:left="1620" w:hanging="540"/>
    </w:pPr>
  </w:style>
  <w:style w:type="paragraph" w:styleId="FootnoteText">
    <w:name w:val="footnote text"/>
    <w:basedOn w:val="Normal"/>
    <w:link w:val="FootnoteTextChar"/>
    <w:uiPriority w:val="99"/>
    <w:semiHidden/>
    <w:unhideWhenUsed/>
    <w:rsid w:val="00A7553B"/>
    <w:rPr>
      <w:sz w:val="20"/>
    </w:rPr>
  </w:style>
  <w:style w:type="character" w:customStyle="1" w:styleId="FootnoteTextChar">
    <w:name w:val="Footnote Text Char"/>
    <w:basedOn w:val="DefaultParagraphFont"/>
    <w:link w:val="FootnoteText"/>
    <w:uiPriority w:val="99"/>
    <w:semiHidden/>
    <w:rsid w:val="00A7553B"/>
  </w:style>
  <w:style w:type="character" w:styleId="FootnoteReference">
    <w:name w:val="footnote reference"/>
    <w:basedOn w:val="DefaultParagraphFont"/>
    <w:uiPriority w:val="99"/>
    <w:semiHidden/>
    <w:unhideWhenUsed/>
    <w:rsid w:val="00A7553B"/>
    <w:rPr>
      <w:vertAlign w:val="superscript"/>
    </w:rPr>
  </w:style>
  <w:style w:type="table" w:customStyle="1" w:styleId="TableGrid1">
    <w:name w:val="Table Grid1"/>
    <w:basedOn w:val="TableNormal"/>
    <w:next w:val="TableGrid"/>
    <w:uiPriority w:val="59"/>
    <w:rsid w:val="00DB3EA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3149</Words>
  <Characters>16097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2014-06-24T20:25:00Z</dcterms:created>
  <dcterms:modified xsi:type="dcterms:W3CDTF">2014-06-24T20:27:00Z</dcterms:modified>
</cp:coreProperties>
</file>