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B5" w:rsidRPr="002E17B5" w:rsidRDefault="002E17B5" w:rsidP="002E17B5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2E17B5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pt;height:64.2pt" o:ole="">
            <v:imagedata r:id="rId6" o:title=""/>
          </v:shape>
          <o:OLEObject Type="Embed" ProgID="Presentations.Drawing.13" ShapeID="_x0000_i1025" DrawAspect="Content" ObjectID="_1465135194" r:id="rId7"/>
        </w:object>
      </w:r>
    </w:p>
    <w:p w:rsidR="002E17B5" w:rsidRPr="002E17B5" w:rsidRDefault="002E17B5" w:rsidP="002E17B5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2E17B5" w:rsidRPr="002E17B5" w:rsidRDefault="002E17B5" w:rsidP="002E17B5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2E17B5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2E17B5" w:rsidRPr="002E17B5" w:rsidRDefault="002E17B5" w:rsidP="002E17B5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2E17B5" w:rsidRPr="002E17B5" w:rsidTr="005D7ACF">
        <w:trPr>
          <w:cantSplit/>
        </w:trPr>
        <w:tc>
          <w:tcPr>
            <w:tcW w:w="6768" w:type="dxa"/>
          </w:tcPr>
          <w:p w:rsidR="002E17B5" w:rsidRPr="002E17B5" w:rsidRDefault="002E17B5" w:rsidP="002E17B5">
            <w:r w:rsidRPr="002E17B5">
              <w:rPr>
                <w:b/>
                <w:smallCaps/>
              </w:rPr>
              <w:t>Citation:</w:t>
            </w:r>
            <w:r w:rsidRPr="002E17B5">
              <w:t xml:space="preserve">  R. </w:t>
            </w:r>
            <w:r w:rsidRPr="002E17B5">
              <w:rPr>
                <w:i/>
              </w:rPr>
              <w:t>v.</w:t>
            </w:r>
            <w:r w:rsidRPr="002E17B5">
              <w:t xml:space="preserve"> </w:t>
            </w:r>
            <w:proofErr w:type="spellStart"/>
            <w:r w:rsidRPr="002E17B5">
              <w:t>Koczab</w:t>
            </w:r>
            <w:proofErr w:type="spellEnd"/>
            <w:r w:rsidRPr="002E17B5">
              <w:rPr>
                <w:i/>
                <w:iCs/>
                <w:color w:val="000000" w:themeColor="text1"/>
              </w:rPr>
              <w:t>,</w:t>
            </w:r>
            <w:r w:rsidRPr="002E17B5">
              <w:t xml:space="preserve"> 2014 SCC 9, [2014] 1 S.C.R. 138</w:t>
            </w:r>
          </w:p>
        </w:tc>
        <w:tc>
          <w:tcPr>
            <w:tcW w:w="2808" w:type="dxa"/>
          </w:tcPr>
          <w:p w:rsidR="002E17B5" w:rsidRPr="002E17B5" w:rsidRDefault="002E17B5" w:rsidP="002E17B5">
            <w:r w:rsidRPr="002E17B5">
              <w:rPr>
                <w:b/>
                <w:smallCaps/>
              </w:rPr>
              <w:t>Date:</w:t>
            </w:r>
            <w:r w:rsidRPr="002E17B5">
              <w:t xml:space="preserve"> 20140122</w:t>
            </w:r>
          </w:p>
          <w:p w:rsidR="002E17B5" w:rsidRPr="002E17B5" w:rsidRDefault="002E17B5" w:rsidP="002E17B5">
            <w:r w:rsidRPr="002E17B5">
              <w:rPr>
                <w:b/>
                <w:smallCaps/>
              </w:rPr>
              <w:t>Docket:</w:t>
            </w:r>
            <w:r w:rsidRPr="002E17B5">
              <w:t xml:space="preserve"> 35411</w:t>
            </w:r>
          </w:p>
        </w:tc>
      </w:tr>
    </w:tbl>
    <w:p w:rsidR="002E17B5" w:rsidRPr="002E17B5" w:rsidRDefault="002E17B5" w:rsidP="002E17B5">
      <w:pPr>
        <w:rPr>
          <w:rFonts w:eastAsiaTheme="minorHAnsi" w:cstheme="minorBidi"/>
          <w:szCs w:val="24"/>
          <w:lang w:eastAsia="en-US"/>
        </w:rPr>
      </w:pPr>
    </w:p>
    <w:p w:rsidR="002E17B5" w:rsidRPr="002E17B5" w:rsidRDefault="002E17B5" w:rsidP="002E17B5">
      <w:pPr>
        <w:rPr>
          <w:rFonts w:eastAsiaTheme="minorHAnsi" w:cstheme="minorBidi"/>
          <w:b/>
          <w:smallCaps/>
          <w:szCs w:val="24"/>
          <w:lang w:eastAsia="en-US"/>
        </w:rPr>
      </w:pPr>
      <w:r w:rsidRPr="002E17B5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2E17B5" w:rsidRPr="002E17B5" w:rsidRDefault="002E17B5" w:rsidP="002E17B5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2E17B5">
        <w:rPr>
          <w:rFonts w:eastAsiaTheme="minorHAnsi" w:cstheme="minorBidi"/>
          <w:b/>
          <w:szCs w:val="24"/>
          <w:lang w:eastAsia="en-US"/>
        </w:rPr>
        <w:t xml:space="preserve">Andy </w:t>
      </w:r>
      <w:proofErr w:type="spellStart"/>
      <w:r w:rsidRPr="002E17B5">
        <w:rPr>
          <w:rFonts w:eastAsiaTheme="minorHAnsi" w:cstheme="minorBidi"/>
          <w:b/>
          <w:szCs w:val="24"/>
          <w:lang w:eastAsia="en-US"/>
        </w:rPr>
        <w:t>Koczab</w:t>
      </w:r>
      <w:proofErr w:type="spellEnd"/>
    </w:p>
    <w:p w:rsidR="002E17B5" w:rsidRPr="002E17B5" w:rsidRDefault="002E17B5" w:rsidP="002E17B5">
      <w:pPr>
        <w:jc w:val="center"/>
        <w:rPr>
          <w:rFonts w:eastAsiaTheme="minorHAnsi" w:cstheme="minorBidi"/>
          <w:szCs w:val="24"/>
          <w:lang w:eastAsia="en-US"/>
        </w:rPr>
      </w:pPr>
      <w:r w:rsidRPr="002E17B5">
        <w:rPr>
          <w:rFonts w:eastAsiaTheme="minorHAnsi" w:cstheme="minorBidi"/>
          <w:szCs w:val="24"/>
          <w:lang w:eastAsia="en-US"/>
        </w:rPr>
        <w:t>Appellant</w:t>
      </w:r>
    </w:p>
    <w:p w:rsidR="002E17B5" w:rsidRPr="002E17B5" w:rsidRDefault="002E17B5" w:rsidP="002E17B5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2E17B5">
        <w:rPr>
          <w:rFonts w:eastAsiaTheme="minorHAnsi" w:cstheme="minorBidi"/>
          <w:szCs w:val="24"/>
          <w:lang w:eastAsia="en-US"/>
        </w:rPr>
        <w:t>and</w:t>
      </w:r>
      <w:proofErr w:type="gramEnd"/>
    </w:p>
    <w:p w:rsidR="002E17B5" w:rsidRPr="002E17B5" w:rsidRDefault="002E17B5" w:rsidP="002E17B5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2E17B5">
        <w:rPr>
          <w:rFonts w:eastAsiaTheme="minorHAnsi" w:cstheme="minorBidi"/>
          <w:b/>
          <w:szCs w:val="24"/>
          <w:lang w:eastAsia="en-US"/>
        </w:rPr>
        <w:t xml:space="preserve">Her Majesty </w:t>
      </w:r>
      <w:proofErr w:type="gramStart"/>
      <w:r w:rsidRPr="002E17B5">
        <w:rPr>
          <w:rFonts w:eastAsiaTheme="minorHAnsi" w:cstheme="minorBidi"/>
          <w:b/>
          <w:szCs w:val="24"/>
          <w:lang w:eastAsia="en-US"/>
        </w:rPr>
        <w:t>The</w:t>
      </w:r>
      <w:proofErr w:type="gramEnd"/>
      <w:r w:rsidRPr="002E17B5">
        <w:rPr>
          <w:rFonts w:eastAsiaTheme="minorHAnsi" w:cstheme="minorBidi"/>
          <w:b/>
          <w:szCs w:val="24"/>
          <w:lang w:eastAsia="en-US"/>
        </w:rPr>
        <w:t xml:space="preserve"> Queen</w:t>
      </w:r>
    </w:p>
    <w:p w:rsidR="002E17B5" w:rsidRPr="002E17B5" w:rsidRDefault="002E17B5" w:rsidP="002E17B5">
      <w:pPr>
        <w:jc w:val="center"/>
        <w:rPr>
          <w:rFonts w:eastAsiaTheme="minorHAnsi" w:cstheme="minorBidi"/>
          <w:szCs w:val="24"/>
          <w:lang w:eastAsia="en-US"/>
        </w:rPr>
      </w:pPr>
      <w:r w:rsidRPr="002E17B5">
        <w:rPr>
          <w:rFonts w:eastAsiaTheme="minorHAnsi" w:cstheme="minorBidi"/>
          <w:szCs w:val="24"/>
          <w:lang w:eastAsia="en-US"/>
        </w:rPr>
        <w:t>Respondent</w:t>
      </w:r>
    </w:p>
    <w:p w:rsidR="002E17B5" w:rsidRPr="002E17B5" w:rsidRDefault="002E17B5" w:rsidP="002E17B5">
      <w:pPr>
        <w:rPr>
          <w:rFonts w:eastAsiaTheme="minorHAnsi" w:cstheme="minorBidi"/>
          <w:szCs w:val="24"/>
          <w:lang w:eastAsia="en-US"/>
        </w:rPr>
      </w:pPr>
    </w:p>
    <w:p w:rsidR="002E17B5" w:rsidRPr="002E17B5" w:rsidRDefault="002E17B5" w:rsidP="002E17B5">
      <w:pPr>
        <w:rPr>
          <w:rFonts w:eastAsiaTheme="minorHAnsi" w:cstheme="minorBidi"/>
          <w:szCs w:val="24"/>
          <w:lang w:eastAsia="en-US"/>
        </w:rPr>
      </w:pPr>
      <w:r w:rsidRPr="002E17B5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2E17B5">
        <w:rPr>
          <w:rFonts w:eastAsiaTheme="minorHAnsi" w:cstheme="minorBidi"/>
          <w:szCs w:val="24"/>
          <w:lang w:eastAsia="en-US"/>
        </w:rPr>
        <w:t xml:space="preserve">  </w:t>
      </w:r>
      <w:proofErr w:type="spellStart"/>
      <w:r w:rsidRPr="002E17B5">
        <w:rPr>
          <w:rFonts w:eastAsiaTheme="minorHAnsi" w:cstheme="minorBidi"/>
          <w:szCs w:val="24"/>
          <w:lang w:eastAsia="en-US"/>
        </w:rPr>
        <w:t>McLachlin</w:t>
      </w:r>
      <w:proofErr w:type="spellEnd"/>
      <w:r w:rsidRPr="002E17B5">
        <w:rPr>
          <w:rFonts w:eastAsiaTheme="minorHAnsi" w:cstheme="minorBidi"/>
          <w:szCs w:val="24"/>
          <w:lang w:eastAsia="en-US"/>
        </w:rPr>
        <w:t xml:space="preserve"> C.J. and Abella, Rothstein, Cromwell and </w:t>
      </w:r>
      <w:proofErr w:type="spellStart"/>
      <w:r w:rsidRPr="002E17B5">
        <w:rPr>
          <w:rFonts w:eastAsiaTheme="minorHAnsi" w:cstheme="minorBidi"/>
          <w:szCs w:val="24"/>
          <w:lang w:eastAsia="en-US"/>
        </w:rPr>
        <w:t>Moldaver</w:t>
      </w:r>
      <w:proofErr w:type="spellEnd"/>
      <w:r w:rsidRPr="002E17B5">
        <w:rPr>
          <w:rFonts w:eastAsiaTheme="minorHAnsi" w:cstheme="minorBidi"/>
          <w:szCs w:val="24"/>
          <w:lang w:eastAsia="en-US"/>
        </w:rPr>
        <w:t> JJ.</w:t>
      </w:r>
    </w:p>
    <w:p w:rsidR="002E17B5" w:rsidRPr="002E17B5" w:rsidRDefault="002E17B5" w:rsidP="002E17B5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2E17B5" w:rsidRPr="002E17B5" w:rsidTr="005D7ACF">
        <w:trPr>
          <w:cantSplit/>
        </w:trPr>
        <w:tc>
          <w:tcPr>
            <w:tcW w:w="3618" w:type="dxa"/>
          </w:tcPr>
          <w:p w:rsidR="002E17B5" w:rsidRPr="002E17B5" w:rsidRDefault="002E17B5" w:rsidP="002E17B5">
            <w:pPr>
              <w:rPr>
                <w:b/>
                <w:smallCaps/>
              </w:rPr>
            </w:pPr>
            <w:r w:rsidRPr="002E17B5">
              <w:rPr>
                <w:b/>
                <w:smallCaps/>
              </w:rPr>
              <w:t>Reasons for Judgment:</w:t>
            </w:r>
          </w:p>
          <w:p w:rsidR="002E17B5" w:rsidRPr="002E17B5" w:rsidRDefault="002E17B5" w:rsidP="002E17B5">
            <w:r w:rsidRPr="002E17B5">
              <w:t>(</w:t>
            </w:r>
            <w:proofErr w:type="spellStart"/>
            <w:r w:rsidRPr="002E17B5">
              <w:t>para</w:t>
            </w:r>
            <w:proofErr w:type="spellEnd"/>
            <w:r w:rsidRPr="002E17B5">
              <w:t>. 1)</w:t>
            </w:r>
          </w:p>
        </w:tc>
        <w:tc>
          <w:tcPr>
            <w:tcW w:w="5958" w:type="dxa"/>
          </w:tcPr>
          <w:p w:rsidR="002E17B5" w:rsidRPr="002E17B5" w:rsidRDefault="002E17B5" w:rsidP="002E17B5">
            <w:proofErr w:type="spellStart"/>
            <w:r w:rsidRPr="002E17B5">
              <w:t>McLachlin</w:t>
            </w:r>
            <w:proofErr w:type="spellEnd"/>
            <w:r w:rsidRPr="002E17B5">
              <w:t xml:space="preserve"> C.J. (Abella, Rothstein, Cromwell and </w:t>
            </w:r>
            <w:proofErr w:type="spellStart"/>
            <w:r w:rsidRPr="002E17B5">
              <w:t>Moldaver</w:t>
            </w:r>
            <w:proofErr w:type="spellEnd"/>
            <w:r w:rsidRPr="002E17B5">
              <w:t> JJ. concurring)</w:t>
            </w:r>
          </w:p>
        </w:tc>
      </w:tr>
    </w:tbl>
    <w:p w:rsidR="002E17B5" w:rsidRPr="002E17B5" w:rsidRDefault="000A2014" w:rsidP="002E17B5">
      <w:pPr>
        <w:rPr>
          <w:rFonts w:eastAsiaTheme="minorHAnsi" w:cstheme="minorBidi"/>
          <w:szCs w:val="24"/>
          <w:lang w:eastAsia="en-US"/>
        </w:rPr>
      </w:pPr>
      <w:r w:rsidRPr="000A2014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2E17B5" w:rsidRDefault="002E17B5" w:rsidP="00AF403E">
      <w:pPr>
        <w:spacing w:after="720"/>
        <w:jc w:val="both"/>
        <w:rPr>
          <w:rFonts w:eastAsiaTheme="minorHAnsi" w:cstheme="minorBidi"/>
          <w:szCs w:val="24"/>
          <w:lang w:eastAsia="en-US"/>
        </w:rPr>
      </w:pPr>
    </w:p>
    <w:p w:rsidR="008F1B86" w:rsidRDefault="008F1B86" w:rsidP="00AF403E">
      <w:pPr>
        <w:spacing w:after="720"/>
        <w:jc w:val="both"/>
        <w:rPr>
          <w:rStyle w:val="SCCAppellantForRunningHeadChar"/>
        </w:rPr>
      </w:pPr>
      <w:r w:rsidRPr="008F1B86">
        <w:rPr>
          <w:rFonts w:eastAsiaTheme="minorHAnsi" w:cstheme="minorBidi"/>
          <w:szCs w:val="24"/>
          <w:lang w:eastAsia="en-US"/>
        </w:rPr>
        <w:t xml:space="preserve">R. </w:t>
      </w:r>
      <w:r w:rsidRPr="008F1B86">
        <w:rPr>
          <w:rFonts w:eastAsiaTheme="minorHAnsi" w:cstheme="minorBidi"/>
          <w:i/>
          <w:szCs w:val="24"/>
          <w:lang w:eastAsia="en-US"/>
        </w:rPr>
        <w:t>v.</w:t>
      </w:r>
      <w:r w:rsidRPr="008F1B86">
        <w:rPr>
          <w:rFonts w:eastAsiaTheme="minorHAnsi" w:cstheme="minorBidi"/>
          <w:szCs w:val="24"/>
          <w:lang w:eastAsia="en-US"/>
        </w:rPr>
        <w:t xml:space="preserve"> </w:t>
      </w:r>
      <w:proofErr w:type="spellStart"/>
      <w:r w:rsidRPr="008F1B86">
        <w:rPr>
          <w:rFonts w:eastAsiaTheme="minorHAnsi"/>
        </w:rPr>
        <w:t>Koczab</w:t>
      </w:r>
      <w:proofErr w:type="spellEnd"/>
      <w:r w:rsidRPr="008F1B86">
        <w:rPr>
          <w:rFonts w:eastAsiaTheme="minorHAnsi"/>
          <w:iCs/>
          <w:color w:val="000000" w:themeColor="text1"/>
        </w:rPr>
        <w:t>,</w:t>
      </w:r>
      <w:r w:rsidRPr="008F1B86">
        <w:rPr>
          <w:rFonts w:eastAsiaTheme="minorHAnsi" w:cstheme="minorBidi"/>
          <w:szCs w:val="24"/>
          <w:lang w:eastAsia="en-US"/>
        </w:rPr>
        <w:t xml:space="preserve"> 2014 SCC 9, [2014] 1 S.C.R. 138</w:t>
      </w:r>
      <w:r w:rsidR="0060042C">
        <w:rPr>
          <w:rFonts w:eastAsiaTheme="minorHAnsi" w:cstheme="minorBidi"/>
          <w:szCs w:val="24"/>
          <w:lang w:eastAsia="en-US"/>
        </w:rPr>
        <w:t xml:space="preserve"> </w:t>
      </w:r>
    </w:p>
    <w:p w:rsidR="00AC70E5" w:rsidRDefault="000A451F">
      <w:pPr>
        <w:pStyle w:val="SCCLsocLastPartyInRole"/>
      </w:pPr>
      <w:r>
        <w:t xml:space="preserve">Andy </w:t>
      </w:r>
      <w:proofErr w:type="spellStart"/>
      <w:r>
        <w:t>Koczab</w:t>
      </w:r>
      <w:proofErr w:type="spellEnd"/>
      <w:r>
        <w:rPr>
          <w:rStyle w:val="SCCLsocPartyRole"/>
        </w:rPr>
        <w:tab/>
        <w:t>Appellant</w:t>
      </w:r>
    </w:p>
    <w:p w:rsidR="00AC70E5" w:rsidRDefault="000A451F">
      <w:pPr>
        <w:pStyle w:val="SCCLsocVersus"/>
      </w:pPr>
      <w:proofErr w:type="gramStart"/>
      <w:r>
        <w:t>v</w:t>
      </w:r>
      <w:proofErr w:type="gramEnd"/>
      <w:r>
        <w:t>.</w:t>
      </w:r>
    </w:p>
    <w:p w:rsidR="00A149DF" w:rsidRPr="001426A9" w:rsidRDefault="001D59F3" w:rsidP="00AF403E">
      <w:pPr>
        <w:pStyle w:val="SCCLsocLastPartyInRole"/>
      </w:pPr>
      <w:r>
        <w:t xml:space="preserve">Her Majesty </w:t>
      </w:r>
      <w:proofErr w:type="gramStart"/>
      <w:r>
        <w:t>T</w:t>
      </w:r>
      <w:r w:rsidR="000A451F">
        <w:t>he</w:t>
      </w:r>
      <w:proofErr w:type="gramEnd"/>
      <w:r w:rsidR="000A451F">
        <w:t xml:space="preserve"> Queen</w:t>
      </w:r>
      <w:r w:rsidR="000A451F">
        <w:rPr>
          <w:rStyle w:val="SCCLsocPartyRole"/>
        </w:rPr>
        <w:tab/>
        <w:t>Respondent</w:t>
      </w:r>
    </w:p>
    <w:p w:rsidR="00AF403E" w:rsidRPr="00426659" w:rsidRDefault="00426659" w:rsidP="00AF403E">
      <w:pPr>
        <w:spacing w:after="72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1D59F3">
        <w:rPr>
          <w:b/>
        </w:rPr>
        <w:t xml:space="preserve">R. </w:t>
      </w:r>
      <w:r w:rsidR="001D59F3">
        <w:rPr>
          <w:b/>
          <w:i/>
        </w:rPr>
        <w:t>v.</w:t>
      </w:r>
      <w:r w:rsidR="001D59F3" w:rsidRPr="00045732">
        <w:rPr>
          <w:b/>
        </w:rPr>
        <w:t xml:space="preserve"> </w:t>
      </w:r>
      <w:proofErr w:type="spellStart"/>
      <w:r>
        <w:rPr>
          <w:rStyle w:val="SCCAppellantForIndexChar"/>
        </w:rPr>
        <w:t>Koczab</w:t>
      </w:r>
      <w:proofErr w:type="spellEnd"/>
    </w:p>
    <w:p w:rsidR="00AF403E" w:rsidRPr="00C02092" w:rsidRDefault="004F36FF" w:rsidP="00AF403E">
      <w:pPr>
        <w:pStyle w:val="SCCSystemYear"/>
        <w:spacing w:after="720"/>
        <w:jc w:val="both"/>
      </w:pPr>
      <w:r>
        <w:t>2014</w:t>
      </w:r>
      <w:r w:rsidR="003D0399">
        <w:t xml:space="preserve"> </w:t>
      </w:r>
      <w:r w:rsidR="00426659" w:rsidRPr="00C02092">
        <w:t>SCC </w:t>
      </w:r>
      <w:r w:rsidR="001D59F3">
        <w:t>9</w:t>
      </w:r>
    </w:p>
    <w:p w:rsidR="00AF403E" w:rsidRDefault="009B57B3" w:rsidP="00AF403E">
      <w:pPr>
        <w:spacing w:after="720"/>
        <w:jc w:val="both"/>
      </w:pPr>
      <w:r w:rsidRPr="001426A9">
        <w:t xml:space="preserve">File No.:  </w:t>
      </w:r>
      <w:r>
        <w:t>35411</w:t>
      </w:r>
      <w:r w:rsidRPr="001426A9">
        <w:t>.</w:t>
      </w:r>
      <w:r w:rsidR="00AF403E" w:rsidRPr="00AF403E">
        <w:t xml:space="preserve"> </w:t>
      </w:r>
    </w:p>
    <w:p w:rsidR="00AF403E" w:rsidRDefault="004F36FF" w:rsidP="00AF403E">
      <w:pPr>
        <w:spacing w:after="720"/>
        <w:jc w:val="both"/>
      </w:pPr>
      <w:r>
        <w:lastRenderedPageBreak/>
        <w:t>2014:  January 22</w:t>
      </w:r>
      <w:r w:rsidR="0078618C">
        <w:t>.</w:t>
      </w:r>
      <w:r w:rsidR="00AF403E" w:rsidRPr="00AF403E">
        <w:t xml:space="preserve"> </w:t>
      </w:r>
    </w:p>
    <w:p w:rsidR="00AF403E" w:rsidRDefault="009B57B3" w:rsidP="00AF403E">
      <w:pPr>
        <w:spacing w:after="720"/>
        <w:jc w:val="both"/>
      </w:pPr>
      <w:r w:rsidRPr="001426A9">
        <w:t xml:space="preserve">Present:  </w:t>
      </w:r>
      <w:proofErr w:type="spellStart"/>
      <w:r>
        <w:t>McLachlin</w:t>
      </w:r>
      <w:proofErr w:type="spellEnd"/>
      <w:r>
        <w:t xml:space="preserve"> C.J. and Abella, Rothstein, Cromwell and </w:t>
      </w:r>
      <w:proofErr w:type="spellStart"/>
      <w:r>
        <w:t>Moldaver</w:t>
      </w:r>
      <w:proofErr w:type="spellEnd"/>
      <w:r>
        <w:t> JJ.</w:t>
      </w:r>
      <w:r w:rsidR="00AF403E" w:rsidRPr="00AF403E">
        <w:t xml:space="preserve"> </w:t>
      </w:r>
    </w:p>
    <w:p w:rsidR="00AF403E" w:rsidRPr="00AF403E" w:rsidRDefault="00656313" w:rsidP="00AF403E">
      <w:pPr>
        <w:spacing w:after="720"/>
        <w:jc w:val="both"/>
        <w:rPr>
          <w:smallCaps/>
        </w:rPr>
      </w:pPr>
      <w:r w:rsidRPr="00AF403E">
        <w:rPr>
          <w:smallCaps/>
        </w:rPr>
        <w:t>o</w:t>
      </w:r>
      <w:r w:rsidR="00170592" w:rsidRPr="00AF403E">
        <w:rPr>
          <w:smallCaps/>
        </w:rPr>
        <w:t>n</w:t>
      </w:r>
      <w:r w:rsidR="00224FC0" w:rsidRPr="00AF403E">
        <w:rPr>
          <w:smallCaps/>
        </w:rPr>
        <w:t xml:space="preserve"> </w:t>
      </w:r>
      <w:r w:rsidRPr="00AF403E">
        <w:rPr>
          <w:smallCaps/>
        </w:rPr>
        <w:t>a</w:t>
      </w:r>
      <w:r w:rsidR="00170592" w:rsidRPr="00AF403E">
        <w:rPr>
          <w:smallCaps/>
        </w:rPr>
        <w:t>ppeal</w:t>
      </w:r>
      <w:r w:rsidR="00224FC0" w:rsidRPr="00AF403E">
        <w:rPr>
          <w:smallCaps/>
        </w:rPr>
        <w:t xml:space="preserve"> </w:t>
      </w:r>
      <w:r w:rsidR="00170592" w:rsidRPr="00AF403E">
        <w:rPr>
          <w:smallCaps/>
        </w:rPr>
        <w:t>from</w:t>
      </w:r>
      <w:r w:rsidR="009567AA" w:rsidRPr="00AF403E">
        <w:rPr>
          <w:smallCaps/>
        </w:rPr>
        <w:t xml:space="preserve"> the</w:t>
      </w:r>
      <w:r w:rsidR="00224FC0" w:rsidRPr="00AF403E">
        <w:rPr>
          <w:smallCaps/>
        </w:rPr>
        <w:t xml:space="preserve"> </w:t>
      </w:r>
      <w:r w:rsidR="009B57B3" w:rsidRPr="00AF403E">
        <w:rPr>
          <w:smallCaps/>
        </w:rPr>
        <w:t>court of appeal f</w:t>
      </w:r>
      <w:r w:rsidR="001D59F3" w:rsidRPr="00AF403E">
        <w:rPr>
          <w:smallCaps/>
        </w:rPr>
        <w:t>or</w:t>
      </w:r>
      <w:r w:rsidR="009B57B3" w:rsidRPr="00AF403E">
        <w:rPr>
          <w:smallCaps/>
        </w:rPr>
        <w:t xml:space="preserve"> </w:t>
      </w:r>
      <w:proofErr w:type="spellStart"/>
      <w:r w:rsidR="009B57B3" w:rsidRPr="00AF403E">
        <w:rPr>
          <w:smallCaps/>
        </w:rPr>
        <w:t>manitoba</w:t>
      </w:r>
      <w:proofErr w:type="spellEnd"/>
    </w:p>
    <w:p w:rsidR="008322BD" w:rsidRPr="008D7020" w:rsidRDefault="009B57B3" w:rsidP="00FC4EFB">
      <w:pPr>
        <w:pStyle w:val="SCCNormalDoubleSpacing"/>
        <w:rPr>
          <w:i/>
        </w:rPr>
      </w:pPr>
      <w:r w:rsidRPr="008D7020">
        <w:rPr>
          <w:i/>
        </w:rPr>
        <w:tab/>
      </w:r>
      <w:r w:rsidR="0078618C" w:rsidRPr="008D7020">
        <w:rPr>
          <w:i/>
        </w:rPr>
        <w:t xml:space="preserve">Constitutional law </w:t>
      </w:r>
      <w:r w:rsidR="00AF403E">
        <w:rPr>
          <w:i/>
          <w:lang w:val="fr-CA"/>
        </w:rPr>
        <w:t>—</w:t>
      </w:r>
      <w:r w:rsidR="00AF403E" w:rsidRPr="00542AC8">
        <w:rPr>
          <w:i/>
          <w:lang w:val="fr-CA"/>
        </w:rPr>
        <w:t xml:space="preserve"> </w:t>
      </w:r>
      <w:r w:rsidR="0078618C" w:rsidRPr="008D7020">
        <w:rPr>
          <w:i/>
        </w:rPr>
        <w:t xml:space="preserve">Charter of rights </w:t>
      </w:r>
      <w:r w:rsidR="00AF403E">
        <w:rPr>
          <w:i/>
          <w:lang w:val="fr-CA"/>
        </w:rPr>
        <w:t>—</w:t>
      </w:r>
      <w:r w:rsidR="00AF403E" w:rsidRPr="00542AC8">
        <w:rPr>
          <w:i/>
          <w:lang w:val="fr-CA"/>
        </w:rPr>
        <w:t xml:space="preserve"> </w:t>
      </w:r>
      <w:r w:rsidR="0078618C" w:rsidRPr="008D7020">
        <w:rPr>
          <w:i/>
        </w:rPr>
        <w:t xml:space="preserve">Right to be informed of offence charged </w:t>
      </w:r>
      <w:r w:rsidR="00AF403E">
        <w:rPr>
          <w:i/>
          <w:lang w:val="fr-CA"/>
        </w:rPr>
        <w:t>—</w:t>
      </w:r>
      <w:r w:rsidR="00AF403E" w:rsidRPr="00542AC8">
        <w:rPr>
          <w:i/>
          <w:lang w:val="fr-CA"/>
        </w:rPr>
        <w:t xml:space="preserve"> </w:t>
      </w:r>
      <w:r w:rsidR="0078618C" w:rsidRPr="008D7020">
        <w:rPr>
          <w:i/>
        </w:rPr>
        <w:t xml:space="preserve">Right to counsel </w:t>
      </w:r>
      <w:r w:rsidR="00AF403E">
        <w:rPr>
          <w:i/>
          <w:lang w:val="fr-CA"/>
        </w:rPr>
        <w:t>—</w:t>
      </w:r>
      <w:r w:rsidR="00AF403E" w:rsidRPr="00542AC8">
        <w:rPr>
          <w:i/>
          <w:lang w:val="fr-CA"/>
        </w:rPr>
        <w:t xml:space="preserve"> </w:t>
      </w:r>
      <w:r w:rsidR="0078618C" w:rsidRPr="008D7020">
        <w:rPr>
          <w:i/>
        </w:rPr>
        <w:t xml:space="preserve">Psychological detention </w:t>
      </w:r>
      <w:r w:rsidR="00AF403E">
        <w:rPr>
          <w:i/>
          <w:lang w:val="fr-CA"/>
        </w:rPr>
        <w:t>—</w:t>
      </w:r>
      <w:r w:rsidR="00AF403E" w:rsidRPr="00542AC8">
        <w:rPr>
          <w:i/>
          <w:lang w:val="fr-CA"/>
        </w:rPr>
        <w:t xml:space="preserve"> </w:t>
      </w:r>
      <w:r w:rsidR="0078618C" w:rsidRPr="008D7020">
        <w:rPr>
          <w:i/>
        </w:rPr>
        <w:t xml:space="preserve">Trial judge did not err in finding accused psychologically detained and s. 10 Charter rights breached </w:t>
      </w:r>
      <w:r w:rsidR="00AF403E">
        <w:rPr>
          <w:i/>
          <w:lang w:val="fr-CA"/>
        </w:rPr>
        <w:t>—</w:t>
      </w:r>
      <w:r w:rsidR="00AF403E" w:rsidRPr="00542AC8">
        <w:rPr>
          <w:i/>
          <w:lang w:val="fr-CA"/>
        </w:rPr>
        <w:t xml:space="preserve"> </w:t>
      </w:r>
      <w:r w:rsidR="0078618C" w:rsidRPr="008D7020">
        <w:rPr>
          <w:i/>
        </w:rPr>
        <w:t xml:space="preserve">Breach warranted that evidence be excluded </w:t>
      </w:r>
      <w:r w:rsidR="00AF403E">
        <w:rPr>
          <w:i/>
          <w:lang w:val="fr-CA"/>
        </w:rPr>
        <w:t>—</w:t>
      </w:r>
      <w:r w:rsidR="00AF403E" w:rsidRPr="00542AC8">
        <w:rPr>
          <w:i/>
          <w:lang w:val="fr-CA"/>
        </w:rPr>
        <w:t xml:space="preserve"> </w:t>
      </w:r>
      <w:r w:rsidR="0078618C" w:rsidRPr="008D7020">
        <w:rPr>
          <w:i/>
        </w:rPr>
        <w:t>Canadian Charter of Rights and Freedoms, ss. 10, 24(2).</w:t>
      </w:r>
    </w:p>
    <w:p w:rsidR="00A149DF" w:rsidRDefault="00A149DF" w:rsidP="00FC4EFB">
      <w:pPr>
        <w:pStyle w:val="SCCNormalDoubleSpacing"/>
        <w:spacing w:line="240" w:lineRule="auto"/>
        <w:ind w:left="540" w:hanging="540"/>
      </w:pPr>
    </w:p>
    <w:p w:rsidR="001D59F3" w:rsidRPr="00B62ED3" w:rsidRDefault="009B57B3" w:rsidP="00B62ED3">
      <w:pPr>
        <w:pStyle w:val="SCCNormalDoubleSpacing"/>
        <w:rPr>
          <w:lang w:val="en-US"/>
        </w:rPr>
      </w:pPr>
      <w:r w:rsidRPr="001426A9">
        <w:tab/>
        <w:t xml:space="preserve">APPEAL from a judgment of the </w:t>
      </w:r>
      <w:r w:rsidR="001D59F3">
        <w:t xml:space="preserve">Manitoba </w:t>
      </w:r>
      <w:r>
        <w:t xml:space="preserve">Court of Appeal </w:t>
      </w:r>
      <w:r w:rsidR="001D59F3">
        <w:t>(</w:t>
      </w:r>
      <w:proofErr w:type="spellStart"/>
      <w:r w:rsidR="001D59F3" w:rsidRPr="001D59F3">
        <w:t>Chartier</w:t>
      </w:r>
      <w:proofErr w:type="spellEnd"/>
      <w:r w:rsidR="001D59F3" w:rsidRPr="001D59F3">
        <w:t xml:space="preserve"> C.J.</w:t>
      </w:r>
      <w:r w:rsidR="00045732">
        <w:t>M.</w:t>
      </w:r>
      <w:r w:rsidR="001D59F3">
        <w:t xml:space="preserve"> and </w:t>
      </w:r>
      <w:r w:rsidR="001D59F3" w:rsidRPr="001D59F3">
        <w:t xml:space="preserve">Beard and </w:t>
      </w:r>
      <w:proofErr w:type="spellStart"/>
      <w:r w:rsidR="001D59F3" w:rsidRPr="001D59F3">
        <w:t>Monnin</w:t>
      </w:r>
      <w:proofErr w:type="spellEnd"/>
      <w:r w:rsidR="001D59F3" w:rsidRPr="001D59F3">
        <w:t xml:space="preserve"> JJ.A.</w:t>
      </w:r>
      <w:r w:rsidR="001D59F3">
        <w:t xml:space="preserve">), </w:t>
      </w:r>
      <w:r w:rsidR="001D59F3" w:rsidRPr="001D59F3">
        <w:t>2013 MBCA 43, 294 Man. R. (2d) 24,</w:t>
      </w:r>
      <w:r w:rsidR="0078618C">
        <w:t xml:space="preserve"> 581 W.A.C. 24,</w:t>
      </w:r>
      <w:r w:rsidR="001D59F3" w:rsidRPr="001D59F3">
        <w:t xml:space="preserve"> [2013] 11 W.W.R. 260, [2013] M.J. No. 160 (QL), 2013 </w:t>
      </w:r>
      <w:proofErr w:type="spellStart"/>
      <w:r w:rsidR="001D59F3" w:rsidRPr="001D59F3">
        <w:t>CarswellMan</w:t>
      </w:r>
      <w:proofErr w:type="spellEnd"/>
      <w:r w:rsidR="001D59F3" w:rsidRPr="001D59F3">
        <w:t xml:space="preserve"> 251</w:t>
      </w:r>
      <w:r w:rsidR="001D59F3">
        <w:t xml:space="preserve">, </w:t>
      </w:r>
      <w:r w:rsidR="0078618C">
        <w:t>setting aside an acquittal entered by</w:t>
      </w:r>
      <w:r w:rsidR="00B62ED3">
        <w:t xml:space="preserve"> Schulman J., 2011 MBQB 70, 264 Man. R. (2d) 53, 233 C.R.R. (2d) 193, [2011] M.J. No. 106 (QL), 2011 </w:t>
      </w:r>
      <w:proofErr w:type="spellStart"/>
      <w:r w:rsidR="00B62ED3">
        <w:t>CarswellMan</w:t>
      </w:r>
      <w:proofErr w:type="spellEnd"/>
      <w:r w:rsidR="00B62ED3">
        <w:t xml:space="preserve"> 14</w:t>
      </w:r>
      <w:r w:rsidR="00B62ED3" w:rsidRPr="0078618C">
        <w:t>0</w:t>
      </w:r>
      <w:r w:rsidR="005A211F" w:rsidRPr="0078618C">
        <w:t>, and ordering a new trial</w:t>
      </w:r>
      <w:r w:rsidR="00B62ED3" w:rsidRPr="0078618C">
        <w:t>.</w:t>
      </w:r>
      <w:r w:rsidR="004D6B18" w:rsidRPr="0078618C">
        <w:t xml:space="preserve">  Appeal allowed.</w:t>
      </w:r>
    </w:p>
    <w:p w:rsidR="00B62ED3" w:rsidRDefault="00B62ED3" w:rsidP="00FC4EFB">
      <w:pPr>
        <w:pStyle w:val="SCCNormalDoubleSpacing"/>
      </w:pPr>
    </w:p>
    <w:p w:rsidR="00AC70E5" w:rsidRDefault="000A451F">
      <w:pPr>
        <w:pStyle w:val="SCCNormalDoubleSpacing"/>
      </w:pPr>
      <w:r>
        <w:rPr>
          <w:rStyle w:val="SCCCounselNameChar"/>
        </w:rPr>
        <w:tab/>
      </w:r>
      <w:proofErr w:type="gramStart"/>
      <w:r>
        <w:rPr>
          <w:rStyle w:val="SCCCounselNameChar"/>
        </w:rPr>
        <w:t xml:space="preserve">Sheldon E. </w:t>
      </w:r>
      <w:proofErr w:type="spellStart"/>
      <w:r>
        <w:rPr>
          <w:rStyle w:val="SCCCounselNameChar"/>
        </w:rPr>
        <w:t>Pinx</w:t>
      </w:r>
      <w:proofErr w:type="spellEnd"/>
      <w:r w:rsidRPr="004D6B18">
        <w:rPr>
          <w:rStyle w:val="SCCCounselNameChar"/>
          <w:i w:val="0"/>
        </w:rPr>
        <w:t xml:space="preserve">, </w:t>
      </w:r>
      <w:r>
        <w:rPr>
          <w:rStyle w:val="SCCCounselNameChar"/>
        </w:rPr>
        <w:t>Q.C.</w:t>
      </w:r>
      <w:r w:rsidR="004D6B18" w:rsidRPr="004D6B18">
        <w:rPr>
          <w:rStyle w:val="SCCCounselNameChar"/>
          <w:i w:val="0"/>
        </w:rPr>
        <w:t>,</w:t>
      </w:r>
      <w:r w:rsidRPr="004D6B18">
        <w:rPr>
          <w:rStyle w:val="SCCCounselSeparatorChar"/>
          <w:i/>
        </w:rPr>
        <w:t xml:space="preserve"> </w:t>
      </w:r>
      <w:r>
        <w:rPr>
          <w:rStyle w:val="SCCCounselSeparatorChar"/>
        </w:rPr>
        <w:t xml:space="preserve">and </w:t>
      </w:r>
      <w:r>
        <w:rPr>
          <w:rStyle w:val="SCCCounselNameChar"/>
        </w:rPr>
        <w:t>Katherine E. Smith</w:t>
      </w:r>
      <w:r>
        <w:rPr>
          <w:rStyle w:val="SCCCounselPartyRoleChar"/>
        </w:rPr>
        <w:t>, for the appellant.</w:t>
      </w:r>
      <w:proofErr w:type="gramEnd"/>
    </w:p>
    <w:p w:rsidR="00AC70E5" w:rsidRDefault="00AC70E5">
      <w:pPr>
        <w:pStyle w:val="SCCNormalDoubleSpacing"/>
      </w:pPr>
    </w:p>
    <w:p w:rsidR="00AC70E5" w:rsidRDefault="000A451F">
      <w:pPr>
        <w:pStyle w:val="SCCNormalDoubleSpacing"/>
      </w:pPr>
      <w:r>
        <w:rPr>
          <w:rStyle w:val="SCCCounselNameChar"/>
        </w:rPr>
        <w:tab/>
      </w:r>
      <w:proofErr w:type="gramStart"/>
      <w:r>
        <w:rPr>
          <w:rStyle w:val="SCCCounselNameChar"/>
        </w:rPr>
        <w:t>Kevin R. Wilson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Janna Hyman</w:t>
      </w:r>
      <w:r>
        <w:rPr>
          <w:rStyle w:val="SCCCounselPartyRoleChar"/>
        </w:rPr>
        <w:t>, for the respondent.</w:t>
      </w:r>
      <w:proofErr w:type="gramEnd"/>
    </w:p>
    <w:p w:rsidR="00AC70E5" w:rsidRDefault="00AC70E5">
      <w:pPr>
        <w:pStyle w:val="SCCNormalDoubleSpacing"/>
      </w:pPr>
    </w:p>
    <w:p w:rsidR="00AF403E" w:rsidRDefault="00FF78E9" w:rsidP="00AF403E">
      <w:pPr>
        <w:pStyle w:val="SCCNormalDoubleSpacing"/>
        <w:spacing w:after="480"/>
        <w:rPr>
          <w:rStyle w:val="SCCCounselPartyRoleChar"/>
        </w:rPr>
      </w:pPr>
      <w:r>
        <w:tab/>
      </w:r>
      <w:r w:rsidR="00640FB5">
        <w:t>The judgment of the Court was delivered orally by</w:t>
      </w:r>
    </w:p>
    <w:p w:rsidR="00AF403E" w:rsidRDefault="000E447F" w:rsidP="00AF403E">
      <w:pPr>
        <w:pStyle w:val="SCCNormalDoubleSpacing"/>
        <w:spacing w:after="480"/>
        <w:rPr>
          <w:rStyle w:val="SCCCounselPartyRoleChar"/>
        </w:rPr>
      </w:pPr>
      <w:r>
        <w:rPr>
          <w:smallCaps/>
        </w:rPr>
        <w:lastRenderedPageBreak/>
        <w:t>[1]</w:t>
      </w:r>
      <w:r>
        <w:rPr>
          <w:smallCaps/>
        </w:rPr>
        <w:tab/>
        <w:t xml:space="preserve">The Chief Justice — </w:t>
      </w:r>
      <w:proofErr w:type="gramStart"/>
      <w:r>
        <w:t>The</w:t>
      </w:r>
      <w:proofErr w:type="gramEnd"/>
      <w:r>
        <w:t xml:space="preserve"> appeal is allowed for the reasons of </w:t>
      </w:r>
      <w:proofErr w:type="spellStart"/>
      <w:r>
        <w:t>Monnin</w:t>
      </w:r>
      <w:proofErr w:type="spellEnd"/>
      <w:r>
        <w:t xml:space="preserve"> J.A., dissenting in the Court of Appeal.</w:t>
      </w:r>
      <w:r w:rsidR="00AF403E" w:rsidRPr="00AF403E">
        <w:rPr>
          <w:rStyle w:val="SCCCounselPartyRoleChar"/>
        </w:rPr>
        <w:t xml:space="preserve"> </w:t>
      </w:r>
    </w:p>
    <w:p w:rsidR="00AF403E" w:rsidRDefault="009B57B3" w:rsidP="00AF403E">
      <w:pPr>
        <w:pStyle w:val="SCCNormalDoubleSpacing"/>
        <w:spacing w:after="480"/>
      </w:pPr>
      <w:r w:rsidRPr="001426A9">
        <w:tab/>
      </w:r>
      <w:proofErr w:type="gramStart"/>
      <w:r w:rsidR="0078618C">
        <w:rPr>
          <w:i/>
        </w:rPr>
        <w:t>Judgment accordingly</w:t>
      </w:r>
      <w:r w:rsidR="00E173DD">
        <w:rPr>
          <w:i/>
        </w:rPr>
        <w:t>.</w:t>
      </w:r>
      <w:proofErr w:type="gramEnd"/>
      <w:r w:rsidR="00AF403E" w:rsidRPr="00AF403E">
        <w:t xml:space="preserve"> </w:t>
      </w:r>
    </w:p>
    <w:p w:rsidR="00AF403E" w:rsidRDefault="00E173DD" w:rsidP="00AF403E">
      <w:pPr>
        <w:pStyle w:val="SCCLawFirm"/>
        <w:spacing w:after="480"/>
      </w:pPr>
      <w:r>
        <w:tab/>
        <w:t xml:space="preserve">Solicitors for the appellant:  </w:t>
      </w:r>
      <w:proofErr w:type="spellStart"/>
      <w:r>
        <w:t>Pinx</w:t>
      </w:r>
      <w:proofErr w:type="spellEnd"/>
      <w:r>
        <w:t xml:space="preserve"> &amp; Co., Winnipeg.</w:t>
      </w:r>
      <w:r w:rsidR="00AF403E" w:rsidRPr="00AF403E">
        <w:t xml:space="preserve"> </w:t>
      </w:r>
    </w:p>
    <w:p w:rsidR="00AF403E" w:rsidRDefault="00E173DD" w:rsidP="00AF403E">
      <w:pPr>
        <w:pStyle w:val="SCCLawFirm"/>
        <w:spacing w:after="480"/>
      </w:pPr>
      <w:r>
        <w:tab/>
        <w:t>Solicitor for the respondent:  Public Prosecution Service of Canada, Toronto and Winnipeg.</w:t>
      </w:r>
      <w:r w:rsidR="00AF403E" w:rsidRPr="00AF403E">
        <w:t xml:space="preserve"> </w:t>
      </w:r>
    </w:p>
    <w:sectPr w:rsidR="00AF403E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7F" w:rsidRDefault="000E447F">
      <w:r>
        <w:separator/>
      </w:r>
    </w:p>
  </w:endnote>
  <w:endnote w:type="continuationSeparator" w:id="0">
    <w:p w:rsidR="000E447F" w:rsidRDefault="000E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7F" w:rsidRDefault="000E447F">
      <w:r>
        <w:separator/>
      </w:r>
    </w:p>
  </w:footnote>
  <w:footnote w:type="continuationSeparator" w:id="0">
    <w:p w:rsidR="000E447F" w:rsidRDefault="000E4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5198"/>
    <w:rsid w:val="00045732"/>
    <w:rsid w:val="000578A3"/>
    <w:rsid w:val="000648CC"/>
    <w:rsid w:val="000A2014"/>
    <w:rsid w:val="000A451F"/>
    <w:rsid w:val="000C59B8"/>
    <w:rsid w:val="000C6AF0"/>
    <w:rsid w:val="000E447F"/>
    <w:rsid w:val="00104F33"/>
    <w:rsid w:val="00111DE2"/>
    <w:rsid w:val="00116B38"/>
    <w:rsid w:val="00135406"/>
    <w:rsid w:val="00135972"/>
    <w:rsid w:val="001426A9"/>
    <w:rsid w:val="00154D7C"/>
    <w:rsid w:val="00155B88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1D59F3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6440D"/>
    <w:rsid w:val="00270D93"/>
    <w:rsid w:val="002745CC"/>
    <w:rsid w:val="002B7924"/>
    <w:rsid w:val="002D28C3"/>
    <w:rsid w:val="002D39A4"/>
    <w:rsid w:val="002E17B5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5D1D"/>
    <w:rsid w:val="004A600C"/>
    <w:rsid w:val="004A6118"/>
    <w:rsid w:val="004C478D"/>
    <w:rsid w:val="004D6B18"/>
    <w:rsid w:val="004E2C26"/>
    <w:rsid w:val="004E5160"/>
    <w:rsid w:val="004F36FF"/>
    <w:rsid w:val="005125A8"/>
    <w:rsid w:val="00521AE8"/>
    <w:rsid w:val="00527180"/>
    <w:rsid w:val="0054201E"/>
    <w:rsid w:val="00555291"/>
    <w:rsid w:val="00566AD1"/>
    <w:rsid w:val="00583EDE"/>
    <w:rsid w:val="005A211F"/>
    <w:rsid w:val="005A6079"/>
    <w:rsid w:val="005E4698"/>
    <w:rsid w:val="0060042C"/>
    <w:rsid w:val="00610539"/>
    <w:rsid w:val="00613969"/>
    <w:rsid w:val="00625C35"/>
    <w:rsid w:val="00640FB5"/>
    <w:rsid w:val="00656313"/>
    <w:rsid w:val="006565F4"/>
    <w:rsid w:val="00684EEA"/>
    <w:rsid w:val="0069689B"/>
    <w:rsid w:val="006A1551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8618C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D7020"/>
    <w:rsid w:val="008F1B86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C70E5"/>
    <w:rsid w:val="00AF03C5"/>
    <w:rsid w:val="00AF403E"/>
    <w:rsid w:val="00B000D8"/>
    <w:rsid w:val="00B00F75"/>
    <w:rsid w:val="00B145B6"/>
    <w:rsid w:val="00B279EB"/>
    <w:rsid w:val="00B50C81"/>
    <w:rsid w:val="00B557F8"/>
    <w:rsid w:val="00B62ED3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533D"/>
    <w:rsid w:val="00CA6391"/>
    <w:rsid w:val="00CC34BD"/>
    <w:rsid w:val="00CE161A"/>
    <w:rsid w:val="00CE3171"/>
    <w:rsid w:val="00CF1601"/>
    <w:rsid w:val="00D0172F"/>
    <w:rsid w:val="00D068A7"/>
    <w:rsid w:val="00D16305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DF79BF"/>
    <w:rsid w:val="00E07EE2"/>
    <w:rsid w:val="00E07FD1"/>
    <w:rsid w:val="00E173DD"/>
    <w:rsid w:val="00E24573"/>
    <w:rsid w:val="00E25E1E"/>
    <w:rsid w:val="00E27EE7"/>
    <w:rsid w:val="00E35404"/>
    <w:rsid w:val="00E45109"/>
    <w:rsid w:val="00E47B7A"/>
    <w:rsid w:val="00E56A44"/>
    <w:rsid w:val="00E57431"/>
    <w:rsid w:val="00E60269"/>
    <w:rsid w:val="00E77932"/>
    <w:rsid w:val="00E96DDA"/>
    <w:rsid w:val="00E97830"/>
    <w:rsid w:val="00EE643C"/>
    <w:rsid w:val="00EF0683"/>
    <w:rsid w:val="00EF69D2"/>
    <w:rsid w:val="00EF766E"/>
    <w:rsid w:val="00F0070C"/>
    <w:rsid w:val="00F00EB7"/>
    <w:rsid w:val="00F2767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table" w:styleId="TableGrid">
    <w:name w:val="Table Grid"/>
    <w:basedOn w:val="TableNormal"/>
    <w:uiPriority w:val="59"/>
    <w:rsid w:val="002E17B5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2014-06-24T20:43:00Z</dcterms:created>
  <dcterms:modified xsi:type="dcterms:W3CDTF">2014-06-24T21:13:00Z</dcterms:modified>
</cp:coreProperties>
</file>