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B6" w:rsidRPr="00F90AB6" w:rsidRDefault="00F90AB6" w:rsidP="00F90AB6">
      <w:pPr>
        <w:tabs>
          <w:tab w:val="center" w:pos="4680"/>
          <w:tab w:val="right" w:pos="9360"/>
        </w:tabs>
        <w:jc w:val="center"/>
        <w:rPr>
          <w:rFonts w:eastAsiaTheme="minorHAnsi" w:cstheme="minorBidi"/>
          <w:szCs w:val="24"/>
          <w:lang w:eastAsia="en-US"/>
        </w:rPr>
      </w:pPr>
      <w:r w:rsidRPr="00F90AB6">
        <w:rPr>
          <w:rFonts w:eastAsiaTheme="minorHAnsi" w:cstheme="minorBidi"/>
          <w:szCs w:val="24"/>
          <w:lang w:eastAsia="en-US"/>
        </w:rPr>
        <w:object w:dxaOrig="1365" w:dyaOrig="1440">
          <v:shape id="_x0000_i1032" type="#_x0000_t75" style="width:61.2pt;height:64.8pt" o:ole="">
            <v:imagedata r:id="rId8" o:title=""/>
          </v:shape>
          <o:OLEObject Type="Embed" ProgID="Presentations.Drawing.13" ShapeID="_x0000_i1032" DrawAspect="Content" ObjectID="_1465817691" r:id="rId9"/>
        </w:object>
      </w:r>
    </w:p>
    <w:p w:rsidR="00F90AB6" w:rsidRPr="00F90AB6" w:rsidRDefault="00F90AB6" w:rsidP="00F90AB6">
      <w:pPr>
        <w:tabs>
          <w:tab w:val="center" w:pos="4680"/>
          <w:tab w:val="right" w:pos="9360"/>
        </w:tabs>
        <w:rPr>
          <w:rFonts w:eastAsiaTheme="minorHAnsi" w:cstheme="minorBidi"/>
          <w:szCs w:val="24"/>
          <w:lang w:eastAsia="en-US"/>
        </w:rPr>
      </w:pP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SUPREME COURT OF CANADA</w:t>
      </w:r>
    </w:p>
    <w:p w:rsidR="00F90AB6" w:rsidRPr="00F90AB6" w:rsidRDefault="00F90AB6" w:rsidP="00F90AB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90AB6" w:rsidRPr="00F90AB6" w:rsidTr="00D84EB0">
        <w:trPr>
          <w:cantSplit/>
        </w:trPr>
        <w:tc>
          <w:tcPr>
            <w:tcW w:w="6768" w:type="dxa"/>
          </w:tcPr>
          <w:p w:rsidR="00F90AB6" w:rsidRPr="00F90AB6" w:rsidRDefault="00F90AB6" w:rsidP="00F90AB6">
            <w:r w:rsidRPr="00F90AB6">
              <w:rPr>
                <w:b/>
                <w:smallCaps/>
              </w:rPr>
              <w:t>Citation:</w:t>
            </w:r>
            <w:r w:rsidRPr="00F90AB6">
              <w:t xml:space="preserve">  Bernard </w:t>
            </w:r>
            <w:r w:rsidRPr="00F90AB6">
              <w:rPr>
                <w:i/>
              </w:rPr>
              <w:t>v.</w:t>
            </w:r>
            <w:r w:rsidRPr="00F90AB6">
              <w:t xml:space="preserve"> Canada (Attorney General), 2014 SCC 13, [2014] 1 S.C.R. 227</w:t>
            </w:r>
          </w:p>
        </w:tc>
        <w:tc>
          <w:tcPr>
            <w:tcW w:w="2808" w:type="dxa"/>
          </w:tcPr>
          <w:p w:rsidR="00F90AB6" w:rsidRPr="00F90AB6" w:rsidRDefault="00F90AB6" w:rsidP="00F90AB6">
            <w:r w:rsidRPr="00F90AB6">
              <w:rPr>
                <w:b/>
                <w:smallCaps/>
              </w:rPr>
              <w:t>Date:</w:t>
            </w:r>
            <w:r w:rsidRPr="00F90AB6">
              <w:t xml:space="preserve"> 20140207</w:t>
            </w:r>
          </w:p>
          <w:p w:rsidR="00F90AB6" w:rsidRPr="00F90AB6" w:rsidRDefault="00F90AB6" w:rsidP="00F90AB6">
            <w:r w:rsidRPr="00F90AB6">
              <w:rPr>
                <w:b/>
                <w:smallCaps/>
              </w:rPr>
              <w:t>Docket:</w:t>
            </w:r>
            <w:r w:rsidRPr="00F90AB6">
              <w:t xml:space="preserve"> 34819</w:t>
            </w:r>
          </w:p>
        </w:tc>
      </w:tr>
    </w:tbl>
    <w:p w:rsidR="00F90AB6" w:rsidRPr="00F90AB6" w:rsidRDefault="00F90AB6" w:rsidP="00F90AB6">
      <w:pPr>
        <w:rPr>
          <w:rFonts w:eastAsiaTheme="minorHAnsi" w:cstheme="minorBidi"/>
          <w:szCs w:val="24"/>
          <w:lang w:eastAsia="en-US"/>
        </w:rPr>
      </w:pPr>
    </w:p>
    <w:p w:rsidR="00F90AB6" w:rsidRPr="00F90AB6" w:rsidRDefault="00F90AB6" w:rsidP="00F90AB6">
      <w:pPr>
        <w:rPr>
          <w:rFonts w:eastAsiaTheme="minorHAnsi" w:cstheme="minorBidi"/>
          <w:b/>
          <w:smallCaps/>
          <w:szCs w:val="24"/>
          <w:lang w:eastAsia="en-US"/>
        </w:rPr>
      </w:pPr>
      <w:r w:rsidRPr="00F90AB6">
        <w:rPr>
          <w:rFonts w:eastAsiaTheme="minorHAnsi" w:cstheme="minorBidi"/>
          <w:b/>
          <w:smallCaps/>
          <w:szCs w:val="24"/>
          <w:lang w:eastAsia="en-US"/>
        </w:rPr>
        <w:t>Between:</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Elizabeth Bernard</w:t>
      </w:r>
    </w:p>
    <w:p w:rsidR="00F90AB6" w:rsidRPr="00F90AB6" w:rsidRDefault="00F90AB6" w:rsidP="00F90AB6">
      <w:pPr>
        <w:jc w:val="center"/>
        <w:rPr>
          <w:rFonts w:eastAsiaTheme="minorHAnsi" w:cstheme="minorBidi"/>
          <w:szCs w:val="24"/>
          <w:lang w:eastAsia="en-US"/>
        </w:rPr>
      </w:pPr>
      <w:r w:rsidRPr="00F90AB6">
        <w:rPr>
          <w:rFonts w:eastAsiaTheme="minorHAnsi" w:cstheme="minorBidi"/>
          <w:szCs w:val="24"/>
          <w:lang w:eastAsia="en-US"/>
        </w:rPr>
        <w:t>Appellant</w:t>
      </w:r>
    </w:p>
    <w:p w:rsidR="00F90AB6" w:rsidRPr="00F90AB6" w:rsidRDefault="00F90AB6" w:rsidP="00F90AB6">
      <w:pPr>
        <w:jc w:val="center"/>
        <w:rPr>
          <w:rFonts w:eastAsiaTheme="minorHAnsi" w:cstheme="minorBidi"/>
          <w:szCs w:val="24"/>
          <w:lang w:eastAsia="en-US"/>
        </w:rPr>
      </w:pPr>
      <w:proofErr w:type="gramStart"/>
      <w:r w:rsidRPr="00F90AB6">
        <w:rPr>
          <w:rFonts w:eastAsiaTheme="minorHAnsi" w:cstheme="minorBidi"/>
          <w:szCs w:val="24"/>
          <w:lang w:eastAsia="en-US"/>
        </w:rPr>
        <w:t>and</w:t>
      </w:r>
      <w:proofErr w:type="gramEnd"/>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 xml:space="preserve">Attorney General of Canada and </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Professional Institute of the Public Service of Canada</w:t>
      </w:r>
    </w:p>
    <w:p w:rsidR="00F90AB6" w:rsidRPr="00F90AB6" w:rsidRDefault="00F90AB6" w:rsidP="00F90AB6">
      <w:pPr>
        <w:jc w:val="center"/>
        <w:rPr>
          <w:rFonts w:eastAsiaTheme="minorHAnsi" w:cstheme="minorBidi"/>
          <w:szCs w:val="24"/>
          <w:lang w:eastAsia="en-US"/>
        </w:rPr>
      </w:pPr>
      <w:r w:rsidRPr="00F90AB6">
        <w:rPr>
          <w:rFonts w:eastAsiaTheme="minorHAnsi" w:cstheme="minorBidi"/>
          <w:szCs w:val="24"/>
          <w:lang w:eastAsia="en-US"/>
        </w:rPr>
        <w:t>Respondents</w:t>
      </w:r>
    </w:p>
    <w:p w:rsidR="00F90AB6" w:rsidRPr="00F90AB6" w:rsidRDefault="00F90AB6" w:rsidP="00F90AB6">
      <w:pPr>
        <w:jc w:val="center"/>
        <w:rPr>
          <w:rFonts w:eastAsiaTheme="minorHAnsi" w:cstheme="minorBidi"/>
          <w:szCs w:val="24"/>
          <w:lang w:eastAsia="en-US"/>
        </w:rPr>
      </w:pPr>
      <w:r w:rsidRPr="00F90AB6">
        <w:rPr>
          <w:rFonts w:eastAsiaTheme="minorHAnsi" w:cstheme="minorBidi"/>
          <w:szCs w:val="24"/>
          <w:lang w:eastAsia="en-US"/>
        </w:rPr>
        <w:t xml:space="preserve">- </w:t>
      </w:r>
      <w:proofErr w:type="gramStart"/>
      <w:r w:rsidRPr="00F90AB6">
        <w:rPr>
          <w:rFonts w:eastAsiaTheme="minorHAnsi" w:cstheme="minorBidi"/>
          <w:szCs w:val="24"/>
          <w:lang w:eastAsia="en-US"/>
        </w:rPr>
        <w:t>and</w:t>
      </w:r>
      <w:proofErr w:type="gramEnd"/>
      <w:r w:rsidRPr="00F90AB6">
        <w:rPr>
          <w:rFonts w:eastAsiaTheme="minorHAnsi" w:cstheme="minorBidi"/>
          <w:szCs w:val="24"/>
          <w:lang w:eastAsia="en-US"/>
        </w:rPr>
        <w:t xml:space="preserve"> -</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 xml:space="preserve">Attorney General of Ontario, Attorney General of British Columbia, </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 xml:space="preserve">Attorney General of Alberta, Public Service Alliance of Canada, </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 xml:space="preserve">Privacy Commissioner of Canada, Canadian Association of Counsel to Employers, Canadian Civil Liberties Association, Canadian Constitution Foundation, </w:t>
      </w:r>
    </w:p>
    <w:p w:rsidR="00F90AB6" w:rsidRPr="00F90AB6" w:rsidRDefault="00F90AB6" w:rsidP="00F90AB6">
      <w:pPr>
        <w:jc w:val="center"/>
        <w:rPr>
          <w:rFonts w:eastAsiaTheme="minorHAnsi" w:cstheme="minorBidi"/>
          <w:b/>
          <w:szCs w:val="24"/>
          <w:lang w:eastAsia="en-US"/>
        </w:rPr>
      </w:pPr>
      <w:r w:rsidRPr="00F90AB6">
        <w:rPr>
          <w:rFonts w:eastAsiaTheme="minorHAnsi" w:cstheme="minorBidi"/>
          <w:b/>
          <w:szCs w:val="24"/>
          <w:lang w:eastAsia="en-US"/>
        </w:rPr>
        <w:t>Alberta Federation of Labour, Coalition of British Columbia Businesses, Merit Canada and Public Service Labour Relations Board</w:t>
      </w:r>
    </w:p>
    <w:p w:rsidR="00F90AB6" w:rsidRPr="00F90AB6" w:rsidRDefault="00F90AB6" w:rsidP="00F90AB6">
      <w:pPr>
        <w:jc w:val="center"/>
        <w:rPr>
          <w:rFonts w:eastAsiaTheme="minorHAnsi" w:cstheme="minorBidi"/>
          <w:szCs w:val="24"/>
          <w:lang w:eastAsia="en-US"/>
        </w:rPr>
      </w:pPr>
      <w:r w:rsidRPr="00F90AB6">
        <w:rPr>
          <w:rFonts w:eastAsiaTheme="minorHAnsi" w:cstheme="minorBidi"/>
          <w:szCs w:val="24"/>
          <w:lang w:eastAsia="en-US"/>
        </w:rPr>
        <w:t>Interveners</w:t>
      </w:r>
    </w:p>
    <w:p w:rsidR="00F90AB6" w:rsidRPr="00F90AB6" w:rsidRDefault="00F90AB6" w:rsidP="00F90AB6">
      <w:pPr>
        <w:rPr>
          <w:rFonts w:eastAsiaTheme="minorHAnsi" w:cstheme="minorBidi"/>
          <w:szCs w:val="24"/>
          <w:lang w:eastAsia="en-US"/>
        </w:rPr>
      </w:pPr>
    </w:p>
    <w:p w:rsidR="00F90AB6" w:rsidRPr="00F90AB6" w:rsidRDefault="00F90AB6" w:rsidP="00F90AB6">
      <w:pPr>
        <w:rPr>
          <w:rFonts w:eastAsiaTheme="minorHAnsi" w:cstheme="minorBidi"/>
          <w:szCs w:val="24"/>
          <w:lang w:eastAsia="en-US"/>
        </w:rPr>
      </w:pPr>
    </w:p>
    <w:p w:rsidR="00F90AB6" w:rsidRPr="00F90AB6" w:rsidRDefault="00F90AB6" w:rsidP="00F90AB6">
      <w:pPr>
        <w:rPr>
          <w:rFonts w:eastAsiaTheme="minorHAnsi" w:cstheme="minorBidi"/>
          <w:szCs w:val="24"/>
          <w:lang w:eastAsia="en-US"/>
        </w:rPr>
      </w:pPr>
    </w:p>
    <w:p w:rsidR="00F90AB6" w:rsidRPr="00F90AB6" w:rsidRDefault="00F90AB6" w:rsidP="00F90AB6">
      <w:pPr>
        <w:rPr>
          <w:rFonts w:eastAsiaTheme="minorHAnsi" w:cstheme="minorBidi"/>
          <w:szCs w:val="24"/>
          <w:lang w:eastAsia="en-US"/>
        </w:rPr>
      </w:pPr>
      <w:r w:rsidRPr="00F90AB6">
        <w:rPr>
          <w:rFonts w:eastAsiaTheme="minorHAnsi" w:cstheme="minorBidi"/>
          <w:b/>
          <w:smallCaps/>
          <w:szCs w:val="24"/>
          <w:lang w:eastAsia="en-US"/>
        </w:rPr>
        <w:t>Coram:</w:t>
      </w:r>
      <w:r w:rsidRPr="00F90AB6">
        <w:rPr>
          <w:rFonts w:eastAsiaTheme="minorHAnsi" w:cstheme="minorBidi"/>
          <w:szCs w:val="24"/>
          <w:lang w:eastAsia="en-US"/>
        </w:rPr>
        <w:t xml:space="preserve">  LeBel, Abella, Rothstein, Cromwell, </w:t>
      </w:r>
      <w:proofErr w:type="spellStart"/>
      <w:r w:rsidRPr="00F90AB6">
        <w:rPr>
          <w:rFonts w:eastAsiaTheme="minorHAnsi" w:cstheme="minorBidi"/>
          <w:szCs w:val="24"/>
          <w:lang w:eastAsia="en-US"/>
        </w:rPr>
        <w:t>Moldaver</w:t>
      </w:r>
      <w:proofErr w:type="spellEnd"/>
      <w:r w:rsidRPr="00F90AB6">
        <w:rPr>
          <w:rFonts w:eastAsiaTheme="minorHAnsi" w:cstheme="minorBidi"/>
          <w:szCs w:val="24"/>
          <w:lang w:eastAsia="en-US"/>
        </w:rPr>
        <w:t xml:space="preserve">, </w:t>
      </w:r>
      <w:proofErr w:type="spellStart"/>
      <w:r w:rsidRPr="00F90AB6">
        <w:rPr>
          <w:rFonts w:eastAsiaTheme="minorHAnsi" w:cstheme="minorBidi"/>
          <w:szCs w:val="24"/>
          <w:lang w:eastAsia="en-US"/>
        </w:rPr>
        <w:t>Karakatsanis</w:t>
      </w:r>
      <w:proofErr w:type="spellEnd"/>
      <w:r w:rsidRPr="00F90AB6">
        <w:rPr>
          <w:rFonts w:eastAsiaTheme="minorHAnsi" w:cstheme="minorBidi"/>
          <w:szCs w:val="24"/>
          <w:lang w:eastAsia="en-US"/>
        </w:rPr>
        <w:t xml:space="preserve"> and Wagner JJ.</w:t>
      </w:r>
    </w:p>
    <w:p w:rsidR="00F90AB6" w:rsidRPr="00F90AB6" w:rsidRDefault="00F90AB6" w:rsidP="00F90AB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90AB6" w:rsidRPr="00F90AB6" w:rsidTr="00D84EB0">
        <w:trPr>
          <w:cantSplit/>
        </w:trPr>
        <w:tc>
          <w:tcPr>
            <w:tcW w:w="3618" w:type="dxa"/>
          </w:tcPr>
          <w:p w:rsidR="00F90AB6" w:rsidRPr="00F90AB6" w:rsidRDefault="00F90AB6" w:rsidP="00F90AB6">
            <w:pPr>
              <w:rPr>
                <w:b/>
                <w:smallCaps/>
              </w:rPr>
            </w:pPr>
            <w:r w:rsidRPr="00F90AB6">
              <w:rPr>
                <w:b/>
                <w:smallCaps/>
              </w:rPr>
              <w:t>Reasons for Judgment:</w:t>
            </w:r>
          </w:p>
          <w:p w:rsidR="00F90AB6" w:rsidRPr="00F90AB6" w:rsidRDefault="00F90AB6" w:rsidP="00F90AB6">
            <w:r w:rsidRPr="00F90AB6">
              <w:t>(</w:t>
            </w:r>
            <w:proofErr w:type="spellStart"/>
            <w:r w:rsidRPr="00F90AB6">
              <w:t>paras</w:t>
            </w:r>
            <w:proofErr w:type="spellEnd"/>
            <w:r w:rsidRPr="00F90AB6">
              <w:t>. 1 to 42)</w:t>
            </w:r>
          </w:p>
          <w:p w:rsidR="00F90AB6" w:rsidRPr="00F90AB6" w:rsidRDefault="00F90AB6" w:rsidP="00F90AB6"/>
          <w:p w:rsidR="00F90AB6" w:rsidRPr="00F90AB6" w:rsidRDefault="00F90AB6" w:rsidP="00F90AB6">
            <w:pPr>
              <w:rPr>
                <w:b/>
                <w:smallCaps/>
              </w:rPr>
            </w:pPr>
            <w:r w:rsidRPr="00F90AB6">
              <w:rPr>
                <w:b/>
                <w:smallCaps/>
              </w:rPr>
              <w:t>Reasons Dissenting in Part:</w:t>
            </w:r>
          </w:p>
          <w:p w:rsidR="00F90AB6" w:rsidRPr="00F90AB6" w:rsidRDefault="00F90AB6" w:rsidP="00F90AB6">
            <w:pPr>
              <w:rPr>
                <w:b/>
                <w:smallCaps/>
              </w:rPr>
            </w:pPr>
            <w:r w:rsidRPr="00F90AB6">
              <w:t>(</w:t>
            </w:r>
            <w:proofErr w:type="spellStart"/>
            <w:r w:rsidRPr="00F90AB6">
              <w:t>paras</w:t>
            </w:r>
            <w:proofErr w:type="spellEnd"/>
            <w:r w:rsidRPr="00F90AB6">
              <w:t>. 43 to 114)</w:t>
            </w:r>
          </w:p>
          <w:p w:rsidR="00F90AB6" w:rsidRPr="00F90AB6" w:rsidRDefault="00F90AB6" w:rsidP="00F90AB6"/>
        </w:tc>
        <w:tc>
          <w:tcPr>
            <w:tcW w:w="5958" w:type="dxa"/>
          </w:tcPr>
          <w:p w:rsidR="00F90AB6" w:rsidRPr="00F90AB6" w:rsidRDefault="00F90AB6" w:rsidP="00F90AB6">
            <w:r w:rsidRPr="00F90AB6">
              <w:t xml:space="preserve">Abella and Cromwell JJ. (LeBel, </w:t>
            </w:r>
            <w:proofErr w:type="spellStart"/>
            <w:r w:rsidRPr="00F90AB6">
              <w:t>Karakatsanis</w:t>
            </w:r>
            <w:proofErr w:type="spellEnd"/>
            <w:r w:rsidRPr="00F90AB6">
              <w:t xml:space="preserve"> and Wagner JJ. concurring)</w:t>
            </w:r>
          </w:p>
          <w:p w:rsidR="00F90AB6" w:rsidRPr="00F90AB6" w:rsidRDefault="00F90AB6" w:rsidP="00F90AB6"/>
          <w:p w:rsidR="00F90AB6" w:rsidRPr="00F90AB6" w:rsidRDefault="00F90AB6" w:rsidP="00F90AB6">
            <w:r w:rsidRPr="00F90AB6">
              <w:t>Rothstein J. (</w:t>
            </w:r>
            <w:proofErr w:type="spellStart"/>
            <w:r w:rsidRPr="00F90AB6">
              <w:t>Moldaver</w:t>
            </w:r>
            <w:proofErr w:type="spellEnd"/>
            <w:r w:rsidRPr="00F90AB6">
              <w:t> J. concurring)</w:t>
            </w:r>
          </w:p>
        </w:tc>
      </w:tr>
    </w:tbl>
    <w:p w:rsidR="00F90AB6" w:rsidRPr="00F90AB6" w:rsidRDefault="00F90AB6" w:rsidP="00F90AB6">
      <w:pPr>
        <w:rPr>
          <w:rFonts w:eastAsiaTheme="minorHAnsi" w:cstheme="minorBidi"/>
          <w:szCs w:val="24"/>
          <w:lang w:eastAsia="en-US"/>
        </w:rPr>
      </w:pPr>
      <w:r w:rsidRPr="00F90AB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F90AB6" w:rsidRDefault="00F90AB6" w:rsidP="008C0F21">
      <w:pPr>
        <w:spacing w:after="720"/>
        <w:jc w:val="both"/>
      </w:pPr>
    </w:p>
    <w:p w:rsidR="008322BD" w:rsidRPr="008C35F7" w:rsidRDefault="008C35F7" w:rsidP="008C0F21">
      <w:pPr>
        <w:spacing w:after="720"/>
        <w:jc w:val="both"/>
        <w:rPr>
          <w:smallCaps/>
        </w:rPr>
      </w:pPr>
      <w:r w:rsidRPr="008C35F7">
        <w:t xml:space="preserve">Bernard </w:t>
      </w:r>
      <w:r w:rsidRPr="008C35F7">
        <w:rPr>
          <w:i/>
        </w:rPr>
        <w:t>v.</w:t>
      </w:r>
      <w:r w:rsidRPr="008C35F7">
        <w:t xml:space="preserve"> Canada (Attorney General)</w:t>
      </w:r>
      <w:r>
        <w:t>, 2014 SCC 13, [2014] 1 S.C.R. 227</w:t>
      </w:r>
    </w:p>
    <w:p w:rsidR="00636568" w:rsidRPr="000D22B6" w:rsidRDefault="000D5D71" w:rsidP="008C0F21">
      <w:pPr>
        <w:pStyle w:val="SCCLsocLastPartyInRole"/>
      </w:pPr>
      <w:r w:rsidRPr="000D22B6">
        <w:t>Elizabeth Bernard</w:t>
      </w:r>
      <w:r w:rsidRPr="000D22B6">
        <w:rPr>
          <w:rStyle w:val="SCCLsocPartyRole"/>
        </w:rPr>
        <w:tab/>
        <w:t>Appellant</w:t>
      </w:r>
    </w:p>
    <w:p w:rsidR="00636568" w:rsidRPr="000D22B6" w:rsidRDefault="000D5D71" w:rsidP="008C0F21">
      <w:pPr>
        <w:pStyle w:val="SCCLsocVersus"/>
      </w:pPr>
      <w:proofErr w:type="gramStart"/>
      <w:r w:rsidRPr="000D22B6">
        <w:lastRenderedPageBreak/>
        <w:t>v</w:t>
      </w:r>
      <w:proofErr w:type="gramEnd"/>
      <w:r w:rsidRPr="000D22B6">
        <w:t>.</w:t>
      </w:r>
    </w:p>
    <w:p w:rsidR="00636568" w:rsidRPr="000D22B6" w:rsidRDefault="00261061">
      <w:pPr>
        <w:pStyle w:val="SCCLsocParty"/>
      </w:pPr>
      <w:r w:rsidRPr="000D22B6">
        <w:t>Attorney General of Canada and</w:t>
      </w:r>
    </w:p>
    <w:p w:rsidR="00636568" w:rsidRPr="000D22B6" w:rsidRDefault="000D5D71">
      <w:pPr>
        <w:pStyle w:val="SCCLsocLastPartyInRole"/>
      </w:pPr>
      <w:r w:rsidRPr="000D22B6">
        <w:t>Professional Institute of the Public Service of Canada</w:t>
      </w:r>
      <w:r w:rsidRPr="000D22B6">
        <w:rPr>
          <w:rStyle w:val="SCCLsocPartyRole"/>
        </w:rPr>
        <w:tab/>
        <w:t>Respondents</w:t>
      </w:r>
    </w:p>
    <w:p w:rsidR="00636568" w:rsidRPr="000D22B6" w:rsidRDefault="000D5D71">
      <w:pPr>
        <w:pStyle w:val="SCCLsocOtherPartySeparator"/>
      </w:pPr>
      <w:proofErr w:type="gramStart"/>
      <w:r w:rsidRPr="000D22B6">
        <w:t>and</w:t>
      </w:r>
      <w:proofErr w:type="gramEnd"/>
    </w:p>
    <w:p w:rsidR="00636568" w:rsidRPr="000D22B6" w:rsidRDefault="000D5D71">
      <w:pPr>
        <w:pStyle w:val="SCCLsocParty"/>
      </w:pPr>
      <w:r w:rsidRPr="000D22B6">
        <w:t>Attorney General of Ontario,</w:t>
      </w:r>
    </w:p>
    <w:p w:rsidR="00636568" w:rsidRPr="000D22B6" w:rsidRDefault="000D5D71">
      <w:pPr>
        <w:pStyle w:val="SCCLsocParty"/>
      </w:pPr>
      <w:r w:rsidRPr="000D22B6">
        <w:t>Attorney General of British Columbia,</w:t>
      </w:r>
    </w:p>
    <w:p w:rsidR="00636568" w:rsidRPr="000D22B6" w:rsidRDefault="000D5D71">
      <w:pPr>
        <w:pStyle w:val="SCCLsocParty"/>
      </w:pPr>
      <w:r w:rsidRPr="000D22B6">
        <w:t>Attorney General of Alberta,</w:t>
      </w:r>
    </w:p>
    <w:p w:rsidR="00636568" w:rsidRPr="000D22B6" w:rsidRDefault="000D5D71">
      <w:pPr>
        <w:pStyle w:val="SCCLsocParty"/>
      </w:pPr>
      <w:r w:rsidRPr="000D22B6">
        <w:t>Public Service Alliance of Canada,</w:t>
      </w:r>
    </w:p>
    <w:p w:rsidR="00636568" w:rsidRPr="000D22B6" w:rsidRDefault="000D5D71">
      <w:pPr>
        <w:pStyle w:val="SCCLsocParty"/>
      </w:pPr>
      <w:r w:rsidRPr="000D22B6">
        <w:t>Privacy Commissioner of Canada,</w:t>
      </w:r>
    </w:p>
    <w:p w:rsidR="00636568" w:rsidRPr="000D22B6" w:rsidRDefault="000D5D71">
      <w:pPr>
        <w:pStyle w:val="SCCLsocParty"/>
      </w:pPr>
      <w:r w:rsidRPr="000D22B6">
        <w:t>Canadian Association of Counsel to Employers,</w:t>
      </w:r>
    </w:p>
    <w:p w:rsidR="00636568" w:rsidRPr="000D22B6" w:rsidRDefault="000D5D71">
      <w:pPr>
        <w:pStyle w:val="SCCLsocParty"/>
      </w:pPr>
      <w:r w:rsidRPr="000D22B6">
        <w:t>Canadian Civil Liberties Association,</w:t>
      </w:r>
    </w:p>
    <w:p w:rsidR="00636568" w:rsidRPr="000D22B6" w:rsidRDefault="000D5D71">
      <w:pPr>
        <w:pStyle w:val="SCCLsocParty"/>
      </w:pPr>
      <w:r w:rsidRPr="000D22B6">
        <w:t>Canadian Constitution Foundation,</w:t>
      </w:r>
    </w:p>
    <w:p w:rsidR="00636568" w:rsidRPr="000D22B6" w:rsidRDefault="000D5D71">
      <w:pPr>
        <w:pStyle w:val="SCCLsocParty"/>
      </w:pPr>
      <w:r w:rsidRPr="000D22B6">
        <w:t>Alberta Federation of Labour,</w:t>
      </w:r>
    </w:p>
    <w:p w:rsidR="003D465E" w:rsidRPr="000D22B6" w:rsidRDefault="000D5D71">
      <w:pPr>
        <w:pStyle w:val="SCCLsocParty"/>
      </w:pPr>
      <w:r w:rsidRPr="000D22B6">
        <w:t>Coalition of British Colum</w:t>
      </w:r>
      <w:r w:rsidR="00261061" w:rsidRPr="000D22B6">
        <w:t>bia Businesses</w:t>
      </w:r>
      <w:r w:rsidR="00E848BA" w:rsidRPr="000D22B6">
        <w:t>,</w:t>
      </w:r>
    </w:p>
    <w:p w:rsidR="00636568" w:rsidRPr="000D22B6" w:rsidRDefault="00261061">
      <w:pPr>
        <w:pStyle w:val="SCCLsocParty"/>
      </w:pPr>
      <w:r w:rsidRPr="000D22B6">
        <w:t>Merit Canada and</w:t>
      </w:r>
    </w:p>
    <w:p w:rsidR="00636568" w:rsidRPr="000D22B6" w:rsidRDefault="000D5D71">
      <w:pPr>
        <w:pStyle w:val="SCCLsocLastPartyInRole"/>
      </w:pPr>
      <w:r w:rsidRPr="000D22B6">
        <w:t>Public Service Labour Relations Board</w:t>
      </w:r>
      <w:r w:rsidRPr="000D22B6">
        <w:rPr>
          <w:rStyle w:val="SCCLsocPartyRole"/>
        </w:rPr>
        <w:tab/>
        <w:t>Interveners</w:t>
      </w:r>
    </w:p>
    <w:p w:rsidR="00426659" w:rsidRPr="000D22B6" w:rsidRDefault="00426659" w:rsidP="008C0F21">
      <w:pPr>
        <w:spacing w:after="720"/>
        <w:jc w:val="both"/>
        <w:rPr>
          <w:b/>
        </w:rPr>
      </w:pPr>
      <w:r w:rsidRPr="000D22B6">
        <w:rPr>
          <w:b/>
        </w:rPr>
        <w:t xml:space="preserve">Indexed as:  </w:t>
      </w:r>
      <w:r w:rsidRPr="00F841DE">
        <w:rPr>
          <w:b/>
        </w:rPr>
        <w:t>Bernard</w:t>
      </w:r>
      <w:r w:rsidRPr="000D22B6">
        <w:rPr>
          <w:b/>
        </w:rPr>
        <w:t xml:space="preserve"> </w:t>
      </w:r>
      <w:r w:rsidRPr="000D22B6">
        <w:rPr>
          <w:b/>
          <w:i/>
        </w:rPr>
        <w:t>v.</w:t>
      </w:r>
      <w:r w:rsidRPr="000D22B6">
        <w:rPr>
          <w:b/>
        </w:rPr>
        <w:t xml:space="preserve"> </w:t>
      </w:r>
      <w:r w:rsidR="00261061" w:rsidRPr="000D22B6">
        <w:rPr>
          <w:b/>
        </w:rPr>
        <w:t>Canada (</w:t>
      </w:r>
      <w:r w:rsidRPr="00F841DE">
        <w:rPr>
          <w:b/>
        </w:rPr>
        <w:t>Attorney General</w:t>
      </w:r>
      <w:r w:rsidR="00261061" w:rsidRPr="00F841DE">
        <w:rPr>
          <w:b/>
        </w:rPr>
        <w:t>)</w:t>
      </w:r>
    </w:p>
    <w:p w:rsidR="00426659" w:rsidRPr="000D22B6" w:rsidRDefault="004F36FF" w:rsidP="008C0F21">
      <w:pPr>
        <w:pStyle w:val="SCCSystemYear"/>
        <w:spacing w:after="720"/>
        <w:jc w:val="both"/>
      </w:pPr>
      <w:r w:rsidRPr="000D22B6">
        <w:t>201</w:t>
      </w:r>
      <w:r w:rsidR="00A474F2" w:rsidRPr="000D22B6">
        <w:t>4</w:t>
      </w:r>
      <w:r w:rsidR="003D0399" w:rsidRPr="000D22B6">
        <w:t xml:space="preserve"> </w:t>
      </w:r>
      <w:r w:rsidR="00426659" w:rsidRPr="000D22B6">
        <w:t>SCC </w:t>
      </w:r>
      <w:r w:rsidR="00B17FA1" w:rsidRPr="000D22B6">
        <w:t>13</w:t>
      </w:r>
    </w:p>
    <w:p w:rsidR="008322BD" w:rsidRPr="000D22B6" w:rsidRDefault="009B57B3" w:rsidP="008C0F21">
      <w:pPr>
        <w:spacing w:after="720"/>
        <w:jc w:val="both"/>
      </w:pPr>
      <w:r w:rsidRPr="000D22B6">
        <w:t>File No.:  34819.</w:t>
      </w:r>
    </w:p>
    <w:p w:rsidR="008322BD" w:rsidRPr="000D22B6" w:rsidRDefault="00545BFB" w:rsidP="008C0F21">
      <w:pPr>
        <w:spacing w:after="720"/>
        <w:jc w:val="both"/>
      </w:pPr>
      <w:r w:rsidRPr="000D22B6">
        <w:t>2013:  November </w:t>
      </w:r>
      <w:r w:rsidR="004F36FF" w:rsidRPr="000D22B6">
        <w:t>4</w:t>
      </w:r>
      <w:r w:rsidRPr="000D22B6">
        <w:t>; 2014:  </w:t>
      </w:r>
      <w:r w:rsidR="00D17CF4" w:rsidRPr="000D22B6">
        <w:t>February</w:t>
      </w:r>
      <w:r w:rsidRPr="000D22B6">
        <w:t> </w:t>
      </w:r>
      <w:r w:rsidR="00D17CF4" w:rsidRPr="000D22B6">
        <w:t>7</w:t>
      </w:r>
      <w:r w:rsidR="009B57B3" w:rsidRPr="000D22B6">
        <w:t>.</w:t>
      </w:r>
    </w:p>
    <w:p w:rsidR="008322BD" w:rsidRPr="000D22B6" w:rsidRDefault="009B57B3" w:rsidP="008C0F21">
      <w:pPr>
        <w:spacing w:after="720"/>
        <w:jc w:val="both"/>
      </w:pPr>
      <w:r w:rsidRPr="000D22B6">
        <w:t xml:space="preserve">Present:  LeBel, Abella, Rothstein, Cromwell, </w:t>
      </w:r>
      <w:proofErr w:type="spellStart"/>
      <w:r w:rsidRPr="000D22B6">
        <w:t>Moldaver</w:t>
      </w:r>
      <w:proofErr w:type="spellEnd"/>
      <w:r w:rsidRPr="000D22B6">
        <w:t xml:space="preserve">, </w:t>
      </w:r>
      <w:proofErr w:type="spellStart"/>
      <w:r w:rsidRPr="000D22B6">
        <w:t>Karakatsanis</w:t>
      </w:r>
      <w:proofErr w:type="spellEnd"/>
      <w:r w:rsidRPr="000D22B6">
        <w:t xml:space="preserve"> and Wagner JJ.</w:t>
      </w:r>
    </w:p>
    <w:p w:rsidR="008322BD" w:rsidRPr="000D22B6" w:rsidRDefault="00656313" w:rsidP="008C0F21">
      <w:pPr>
        <w:pStyle w:val="SCCLowerCourtNameLowercase"/>
        <w:spacing w:after="720" w:line="240" w:lineRule="auto"/>
      </w:pPr>
      <w:r w:rsidRPr="000D22B6">
        <w:t>o</w:t>
      </w:r>
      <w:r w:rsidR="00170592" w:rsidRPr="000D22B6">
        <w:t>n</w:t>
      </w:r>
      <w:r w:rsidR="00224FC0" w:rsidRPr="000D22B6">
        <w:t xml:space="preserve"> </w:t>
      </w:r>
      <w:r w:rsidRPr="000D22B6">
        <w:t>a</w:t>
      </w:r>
      <w:r w:rsidR="00170592" w:rsidRPr="000D22B6">
        <w:t>ppeal</w:t>
      </w:r>
      <w:r w:rsidR="00224FC0" w:rsidRPr="000D22B6">
        <w:t xml:space="preserve"> </w:t>
      </w:r>
      <w:r w:rsidR="00170592" w:rsidRPr="000D22B6">
        <w:t>from</w:t>
      </w:r>
      <w:r w:rsidR="009567AA" w:rsidRPr="000D22B6">
        <w:t xml:space="preserve"> the</w:t>
      </w:r>
      <w:r w:rsidR="00224FC0" w:rsidRPr="000D22B6">
        <w:t xml:space="preserve"> </w:t>
      </w:r>
      <w:r w:rsidR="009B57B3" w:rsidRPr="000D22B6">
        <w:t>federal court of appeal</w:t>
      </w:r>
    </w:p>
    <w:p w:rsidR="008322BD" w:rsidRPr="000D22B6" w:rsidRDefault="009B57B3" w:rsidP="008C0F21">
      <w:pPr>
        <w:pStyle w:val="SCCNormalDoubleSpacing"/>
        <w:spacing w:before="480" w:after="480"/>
      </w:pPr>
      <w:r w:rsidRPr="000D22B6">
        <w:lastRenderedPageBreak/>
        <w:tab/>
      </w:r>
      <w:proofErr w:type="spellStart"/>
      <w:r w:rsidR="00B75C82">
        <w:rPr>
          <w:i/>
          <w:lang w:val="en-US"/>
        </w:rPr>
        <w:t>Labour</w:t>
      </w:r>
      <w:proofErr w:type="spellEnd"/>
      <w:r w:rsidR="00B75C82">
        <w:rPr>
          <w:i/>
          <w:lang w:val="en-US"/>
        </w:rPr>
        <w:t xml:space="preserve"> relations — Administrative l</w:t>
      </w:r>
      <w:r w:rsidR="00750E85" w:rsidRPr="000D22B6">
        <w:rPr>
          <w:i/>
          <w:lang w:val="en-US"/>
        </w:rPr>
        <w:t xml:space="preserve">aw — Standard of review — Unions — Representational duties — </w:t>
      </w:r>
      <w:proofErr w:type="spellStart"/>
      <w:r w:rsidR="00750E85" w:rsidRPr="000D22B6">
        <w:rPr>
          <w:i/>
          <w:lang w:val="en-US"/>
        </w:rPr>
        <w:t>Labour</w:t>
      </w:r>
      <w:proofErr w:type="spellEnd"/>
      <w:r w:rsidR="00750E85" w:rsidRPr="000D22B6">
        <w:rPr>
          <w:i/>
          <w:lang w:val="en-US"/>
        </w:rPr>
        <w:t xml:space="preserve"> relations board ordering employer to disclose home contact information of members of bargaining unit to union — Board holding that disclosure necessary to permit union to carry out representational duties — Individual employee challenging order on grounds that it violated her </w:t>
      </w:r>
      <w:r w:rsidR="00545BFB" w:rsidRPr="000D22B6">
        <w:rPr>
          <w:i/>
          <w:lang w:val="en-US"/>
        </w:rPr>
        <w:t>rights under Privacy Act and s. </w:t>
      </w:r>
      <w:r w:rsidR="00B75C82">
        <w:rPr>
          <w:i/>
          <w:lang w:val="en-US"/>
        </w:rPr>
        <w:t>2(d) of Charter — Whether b</w:t>
      </w:r>
      <w:r w:rsidR="00750E85" w:rsidRPr="000D22B6">
        <w:rPr>
          <w:i/>
          <w:lang w:val="en-US"/>
        </w:rPr>
        <w:t>oard</w:t>
      </w:r>
      <w:r w:rsidR="000D22B6" w:rsidRPr="000D22B6">
        <w:rPr>
          <w:i/>
          <w:lang w:val="en-US"/>
        </w:rPr>
        <w:t>’</w:t>
      </w:r>
      <w:r w:rsidR="00750E85" w:rsidRPr="000D22B6">
        <w:rPr>
          <w:i/>
          <w:lang w:val="en-US"/>
        </w:rPr>
        <w:t xml:space="preserve">s decision determining that order did not contravene Privacy Act was reasonable — Public Service </w:t>
      </w:r>
      <w:proofErr w:type="spellStart"/>
      <w:r w:rsidR="00750E85" w:rsidRPr="000D22B6">
        <w:rPr>
          <w:i/>
          <w:lang w:val="en-US"/>
        </w:rPr>
        <w:t>Labour</w:t>
      </w:r>
      <w:proofErr w:type="spellEnd"/>
      <w:r w:rsidR="00750E85" w:rsidRPr="000D22B6">
        <w:rPr>
          <w:i/>
          <w:lang w:val="en-US"/>
        </w:rPr>
        <w:t xml:space="preserve"> Relations Act, S.C. 2003, c.</w:t>
      </w:r>
      <w:r w:rsidR="008C0F21" w:rsidRPr="000D22B6">
        <w:rPr>
          <w:i/>
          <w:lang w:val="en-US"/>
        </w:rPr>
        <w:t> </w:t>
      </w:r>
      <w:r w:rsidR="00750E85" w:rsidRPr="000D22B6">
        <w:rPr>
          <w:i/>
          <w:lang w:val="en-US"/>
        </w:rPr>
        <w:t xml:space="preserve">22, </w:t>
      </w:r>
      <w:r w:rsidR="00FC7D19">
        <w:rPr>
          <w:i/>
          <w:lang w:val="en-US"/>
        </w:rPr>
        <w:t>s</w:t>
      </w:r>
      <w:r w:rsidR="00750E85" w:rsidRPr="000D22B6">
        <w:rPr>
          <w:i/>
          <w:lang w:val="en-US"/>
        </w:rPr>
        <w:t>s.</w:t>
      </w:r>
      <w:r w:rsidR="008C0F21" w:rsidRPr="000D22B6">
        <w:rPr>
          <w:i/>
          <w:lang w:val="en-US"/>
        </w:rPr>
        <w:t> </w:t>
      </w:r>
      <w:r w:rsidR="00750E85" w:rsidRPr="000D22B6">
        <w:rPr>
          <w:i/>
          <w:lang w:val="en-US"/>
        </w:rPr>
        <w:t>2, 186(1)(a) — Privacy Act, R.S.C. 1985, c.</w:t>
      </w:r>
      <w:r w:rsidR="008C0F21" w:rsidRPr="000D22B6">
        <w:rPr>
          <w:i/>
          <w:lang w:val="en-US"/>
        </w:rPr>
        <w:t> </w:t>
      </w:r>
      <w:r w:rsidR="00750E85" w:rsidRPr="000D22B6">
        <w:rPr>
          <w:i/>
          <w:lang w:val="en-US"/>
        </w:rPr>
        <w:t>P</w:t>
      </w:r>
      <w:r w:rsidR="008C0F21" w:rsidRPr="000D22B6">
        <w:rPr>
          <w:i/>
          <w:lang w:val="en-US"/>
        </w:rPr>
        <w:noBreakHyphen/>
      </w:r>
      <w:r w:rsidR="00750E85" w:rsidRPr="000D22B6">
        <w:rPr>
          <w:i/>
          <w:lang w:val="en-US"/>
        </w:rPr>
        <w:t>21, s.</w:t>
      </w:r>
      <w:r w:rsidR="008C0F21" w:rsidRPr="000D22B6">
        <w:rPr>
          <w:i/>
          <w:lang w:val="en-US"/>
        </w:rPr>
        <w:t> </w:t>
      </w:r>
      <w:r w:rsidR="00750E85" w:rsidRPr="000D22B6">
        <w:rPr>
          <w:i/>
          <w:lang w:val="en-US"/>
        </w:rPr>
        <w:t>8(2)(a)</w:t>
      </w:r>
      <w:r w:rsidR="00B17FA1" w:rsidRPr="000D22B6">
        <w:rPr>
          <w:i/>
          <w:lang w:val="en-US"/>
        </w:rPr>
        <w:t>.</w:t>
      </w:r>
      <w:r w:rsidR="00750E85" w:rsidRPr="000D22B6">
        <w:t xml:space="preserve"> </w:t>
      </w:r>
    </w:p>
    <w:p w:rsidR="00750E85" w:rsidRPr="000D22B6" w:rsidRDefault="009B57B3" w:rsidP="008C0F21">
      <w:pPr>
        <w:pStyle w:val="SCCNormalDoubleSpacing"/>
        <w:spacing w:before="480" w:after="480"/>
        <w:rPr>
          <w:lang w:val="en-US"/>
        </w:rPr>
      </w:pPr>
      <w:r w:rsidRPr="000D22B6">
        <w:tab/>
      </w:r>
      <w:r w:rsidR="00750E85" w:rsidRPr="000D22B6">
        <w:rPr>
          <w:lang w:val="en-US"/>
        </w:rPr>
        <w:t xml:space="preserve">B is a member of a bargaining unit in the federal public service, but does not belong to the union which has exclusive bargaining rights for her bargaining unit.  In other words, she is a “Rand Formula employee” who, although not a union member, is entitled to the benefits of the collective agreement and representation by the union and is required to pay union dues.  The union is </w:t>
      </w:r>
      <w:r w:rsidR="00B75C82">
        <w:rPr>
          <w:lang w:val="en-US"/>
        </w:rPr>
        <w:t xml:space="preserve">the </w:t>
      </w:r>
      <w:r w:rsidR="00750E85" w:rsidRPr="000D22B6">
        <w:rPr>
          <w:lang w:val="en-US"/>
        </w:rPr>
        <w:t>exclusive bargaining agent for all members of the bargaining unit and has representational duties — such as in collective bargaining, the grievance process, workforce adjustments, prosecuting complaints, and conducting strike votes — which are owed to all bargaining unit members, whether or not they are members of the union.</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In 2005, as a result of amendments to the </w:t>
      </w:r>
      <w:r w:rsidR="00750E85" w:rsidRPr="000D22B6">
        <w:rPr>
          <w:i/>
          <w:lang w:val="en-US"/>
        </w:rPr>
        <w:t xml:space="preserve">Public Service </w:t>
      </w:r>
      <w:proofErr w:type="spellStart"/>
      <w:r w:rsidR="00750E85" w:rsidRPr="000D22B6">
        <w:rPr>
          <w:i/>
          <w:lang w:val="en-US"/>
        </w:rPr>
        <w:t>Labour</w:t>
      </w:r>
      <w:proofErr w:type="spellEnd"/>
      <w:r w:rsidR="00750E85" w:rsidRPr="000D22B6">
        <w:rPr>
          <w:i/>
          <w:lang w:val="en-US"/>
        </w:rPr>
        <w:t xml:space="preserve"> Relations Act</w:t>
      </w:r>
      <w:r w:rsidR="00750E85" w:rsidRPr="000D22B6">
        <w:rPr>
          <w:lang w:val="en-US"/>
        </w:rPr>
        <w:t xml:space="preserve"> which significantly expanded the union</w:t>
      </w:r>
      <w:r w:rsidR="000D22B6" w:rsidRPr="000D22B6">
        <w:rPr>
          <w:lang w:val="en-US"/>
        </w:rPr>
        <w:t>’</w:t>
      </w:r>
      <w:r w:rsidR="00750E85" w:rsidRPr="000D22B6">
        <w:rPr>
          <w:lang w:val="en-US"/>
        </w:rPr>
        <w:t xml:space="preserve">s representational obligations, the union sought home contact information for bargaining unit members from the employer.  The employer refused.  This led to complaints to the Public Service </w:t>
      </w:r>
      <w:proofErr w:type="spellStart"/>
      <w:r w:rsidR="00750E85" w:rsidRPr="000D22B6">
        <w:rPr>
          <w:lang w:val="en-US"/>
        </w:rPr>
        <w:t>Labour</w:t>
      </w:r>
      <w:proofErr w:type="spellEnd"/>
      <w:r w:rsidR="00750E85" w:rsidRPr="000D22B6">
        <w:rPr>
          <w:lang w:val="en-US"/>
        </w:rPr>
        <w:t xml:space="preserve"> Relations Board by the union alleging that the refusal to provide this </w:t>
      </w:r>
      <w:r w:rsidR="00750E85" w:rsidRPr="000D22B6">
        <w:rPr>
          <w:lang w:val="en-US"/>
        </w:rPr>
        <w:lastRenderedPageBreak/>
        <w:t xml:space="preserve">information constituted an unfair </w:t>
      </w:r>
      <w:proofErr w:type="spellStart"/>
      <w:r w:rsidR="00750E85" w:rsidRPr="000D22B6">
        <w:rPr>
          <w:lang w:val="en-US"/>
        </w:rPr>
        <w:t>labour</w:t>
      </w:r>
      <w:proofErr w:type="spellEnd"/>
      <w:r w:rsidR="00750E85" w:rsidRPr="000D22B6">
        <w:rPr>
          <w:lang w:val="en-US"/>
        </w:rPr>
        <w:t xml:space="preserve"> practice.  The union alleged that failure to provide it with home contact information for bargaining unit members improperly interfered with its ability to represent them.  The Board decided that the employer</w:t>
      </w:r>
      <w:r w:rsidR="000D22B6" w:rsidRPr="000D22B6">
        <w:rPr>
          <w:lang w:val="en-US"/>
        </w:rPr>
        <w:t>’</w:t>
      </w:r>
      <w:r w:rsidR="00750E85" w:rsidRPr="000D22B6">
        <w:rPr>
          <w:lang w:val="en-US"/>
        </w:rPr>
        <w:t xml:space="preserve">s failure to provide the union “with at least some of the employee contact information that it requested” was an unfair </w:t>
      </w:r>
      <w:proofErr w:type="spellStart"/>
      <w:r w:rsidR="00750E85" w:rsidRPr="000D22B6">
        <w:rPr>
          <w:lang w:val="en-US"/>
        </w:rPr>
        <w:t>labour</w:t>
      </w:r>
      <w:proofErr w:type="spellEnd"/>
      <w:r w:rsidR="00750E85" w:rsidRPr="000D22B6">
        <w:rPr>
          <w:lang w:val="en-US"/>
        </w:rPr>
        <w:t xml:space="preserve"> practice because it interfered with the representation of employees by the union. </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But on remedy, the Board asked for more information about several privacy</w:t>
      </w:r>
      <w:r w:rsidR="008C0F21" w:rsidRPr="000D22B6">
        <w:rPr>
          <w:lang w:val="en-US"/>
        </w:rPr>
        <w:noBreakHyphen/>
      </w:r>
      <w:proofErr w:type="spellStart"/>
      <w:r w:rsidR="00750E85" w:rsidRPr="000D22B6">
        <w:rPr>
          <w:lang w:val="en-US"/>
        </w:rPr>
        <w:t>related</w:t>
      </w:r>
      <w:proofErr w:type="spellEnd"/>
      <w:r w:rsidR="00750E85" w:rsidRPr="000D22B6">
        <w:rPr>
          <w:lang w:val="en-US"/>
        </w:rPr>
        <w:t xml:space="preserve"> issues: what information the union required for its representational obligations; what employee contact information the employer had in its possession and its accuracy; and whether the employer could meet its obligation to provide information in a way that reasonably addressed any concerns under the </w:t>
      </w:r>
      <w:r w:rsidR="00750E85" w:rsidRPr="000D22B6">
        <w:rPr>
          <w:i/>
          <w:lang w:val="en-US"/>
        </w:rPr>
        <w:t>Privacy Act</w:t>
      </w:r>
      <w:r w:rsidR="00750E85" w:rsidRPr="000D22B6">
        <w:rPr>
          <w:lang w:val="en-US"/>
        </w:rPr>
        <w:t>.  The Board directed the parties to consult in order to determine whether they could agree on disclosure terms, failing which the Board would hold a further hearing to address the question of remedy.  The parties did in fact reach an agreement about the remedy, which the Board incorporated into a consent order.</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Under the terms of the agreement, the employer was required to disclose to the union, on a quarterly basis, the home mailing addresses and home telephone numbers of members of the bargaining unit, subject to a number of conditions, all of which related to the security and privacy of the information.  The union undertook not to disclose the information to anyone other than the appropriate union officials; not to </w:t>
      </w:r>
      <w:proofErr w:type="gramStart"/>
      <w:r w:rsidR="00750E85" w:rsidRPr="000D22B6">
        <w:rPr>
          <w:lang w:val="en-US"/>
        </w:rPr>
        <w:t>use,</w:t>
      </w:r>
      <w:proofErr w:type="gramEnd"/>
      <w:r w:rsidR="00750E85" w:rsidRPr="000D22B6">
        <w:rPr>
          <w:lang w:val="en-US"/>
        </w:rPr>
        <w:t xml:space="preserve"> copy or compile the information for any other purpose; and to ensure that its officials who had access to the information would comply with all the provisions of the agreement.  The employer and the union also agreed that they would jointly </w:t>
      </w:r>
      <w:r w:rsidR="00750E85" w:rsidRPr="000D22B6">
        <w:rPr>
          <w:lang w:val="en-US"/>
        </w:rPr>
        <w:lastRenderedPageBreak/>
        <w:t>advise employees as to what information would be disclosed prior to its disclosure, and agreed on the text of that notice.  An email was accordingly sent to all bargaining unit members, including B.  She responded by seeking judicial review of the consent order.</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The Federal Court of Appeal concluded that the Board should have considered the application of the </w:t>
      </w:r>
      <w:r w:rsidR="00750E85" w:rsidRPr="000D22B6">
        <w:rPr>
          <w:i/>
          <w:lang w:val="en-US"/>
        </w:rPr>
        <w:t>Privacy Act</w:t>
      </w:r>
      <w:r w:rsidR="00750E85" w:rsidRPr="000D22B6">
        <w:rPr>
          <w:lang w:val="en-US"/>
        </w:rPr>
        <w:t xml:space="preserve"> to the disclosure of home contact information, rather than simply adopting the agreement of the parties.  It therefore remitted the matter to the Board for redetermination, and directed that the Office of the Privacy Commissioner and B be given notice of the redetermination proceedings and an opportunity to make submissions.  At that redetermination hearing, B</w:t>
      </w:r>
      <w:r w:rsidR="000D22B6" w:rsidRPr="000D22B6">
        <w:rPr>
          <w:lang w:val="en-US"/>
        </w:rPr>
        <w:t>’</w:t>
      </w:r>
      <w:r w:rsidR="00750E85" w:rsidRPr="000D22B6">
        <w:rPr>
          <w:lang w:val="en-US"/>
        </w:rPr>
        <w:t xml:space="preserve">s position was that disclosure of her home telephone number and address breached her privacy rights and her </w:t>
      </w:r>
      <w:r w:rsidR="00750E85" w:rsidRPr="000D22B6">
        <w:rPr>
          <w:i/>
          <w:lang w:val="en-US"/>
        </w:rPr>
        <w:t>Charter</w:t>
      </w:r>
      <w:r w:rsidR="00750E85" w:rsidRPr="000D22B6">
        <w:rPr>
          <w:lang w:val="en-US"/>
        </w:rPr>
        <w:t xml:space="preserve"> right not to associate with the union.  </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The Board concluded that workplace contact information was insufficient to allow a bargaining agent to meet its obligations to represent all employees in the bargaining unit and that a bargaining agent had a right to contact all employees directly.  It also found that there was no breach of the </w:t>
      </w:r>
      <w:r w:rsidR="00750E85" w:rsidRPr="000D22B6">
        <w:rPr>
          <w:i/>
          <w:lang w:val="en-US"/>
        </w:rPr>
        <w:t xml:space="preserve">Privacy Act </w:t>
      </w:r>
      <w:r w:rsidR="00750E85" w:rsidRPr="000D22B6">
        <w:rPr>
          <w:lang w:val="en-US"/>
        </w:rPr>
        <w:t xml:space="preserve">in disclosing home telephone numbers and addresses to bargaining agents because that disclosure was consistent with the purpose for which the information was obtained and was, as a result, a “consistent use” of the information under </w:t>
      </w:r>
      <w:r w:rsidR="00E163C4" w:rsidRPr="000D22B6">
        <w:rPr>
          <w:lang w:val="en-US"/>
        </w:rPr>
        <w:t>s. </w:t>
      </w:r>
      <w:r w:rsidR="00750E85" w:rsidRPr="000D22B6">
        <w:rPr>
          <w:lang w:val="en-US"/>
        </w:rPr>
        <w:t>8(2)(</w:t>
      </w:r>
      <w:r w:rsidR="00750E85" w:rsidRPr="000D22B6">
        <w:rPr>
          <w:i/>
          <w:lang w:val="en-US"/>
        </w:rPr>
        <w:t>a</w:t>
      </w:r>
      <w:r w:rsidR="00750E85" w:rsidRPr="000D22B6">
        <w:rPr>
          <w:lang w:val="en-US"/>
        </w:rPr>
        <w:t xml:space="preserve">) of the </w:t>
      </w:r>
      <w:r w:rsidR="00750E85" w:rsidRPr="000D22B6">
        <w:rPr>
          <w:i/>
          <w:lang w:val="en-US"/>
        </w:rPr>
        <w:t>Privacy Act</w:t>
      </w:r>
      <w:r w:rsidR="00750E85" w:rsidRPr="000D22B6">
        <w:rPr>
          <w:lang w:val="en-US"/>
        </w:rPr>
        <w:t xml:space="preserve">.  But it put two additional safeguards in place: </w:t>
      </w:r>
      <w:r w:rsidR="000D22B6" w:rsidRPr="000D22B6">
        <w:rPr>
          <w:lang w:val="en-US"/>
        </w:rPr>
        <w:t xml:space="preserve"> </w:t>
      </w:r>
      <w:r w:rsidR="00750E85" w:rsidRPr="000D22B6">
        <w:rPr>
          <w:lang w:val="en-US"/>
        </w:rPr>
        <w:t>the information was to be provided to the union only on an encrypted or password</w:t>
      </w:r>
      <w:r w:rsidR="008C0F21" w:rsidRPr="000D22B6">
        <w:rPr>
          <w:lang w:val="en-US"/>
        </w:rPr>
        <w:noBreakHyphen/>
      </w:r>
      <w:proofErr w:type="spellStart"/>
      <w:r w:rsidR="00750E85" w:rsidRPr="000D22B6">
        <w:rPr>
          <w:lang w:val="en-US"/>
        </w:rPr>
        <w:t>protected</w:t>
      </w:r>
      <w:proofErr w:type="spellEnd"/>
      <w:r w:rsidR="00750E85" w:rsidRPr="000D22B6">
        <w:rPr>
          <w:lang w:val="en-US"/>
        </w:rPr>
        <w:t xml:space="preserve"> basis, and expired home contact information was to be appropriately disposed of after updated information was provided.  Because the Board concluded that the directions of the Federal Court of </w:t>
      </w:r>
      <w:r w:rsidR="00750E85" w:rsidRPr="000D22B6">
        <w:rPr>
          <w:lang w:val="en-US"/>
        </w:rPr>
        <w:lastRenderedPageBreak/>
        <w:t>Appeal required it to undertake only the assessment of the privacy rights of the employees in the bargaining unit, it did not address B</w:t>
      </w:r>
      <w:r w:rsidR="000D22B6" w:rsidRPr="000D22B6">
        <w:rPr>
          <w:lang w:val="en-US"/>
        </w:rPr>
        <w:t>’</w:t>
      </w:r>
      <w:r w:rsidR="00750E85" w:rsidRPr="000D22B6">
        <w:rPr>
          <w:lang w:val="en-US"/>
        </w:rPr>
        <w:t xml:space="preserve">s </w:t>
      </w:r>
      <w:r w:rsidR="00750E85" w:rsidRPr="000D22B6">
        <w:rPr>
          <w:i/>
          <w:lang w:val="en-US"/>
        </w:rPr>
        <w:t>Charter</w:t>
      </w:r>
      <w:r w:rsidR="00750E85" w:rsidRPr="000D22B6">
        <w:rPr>
          <w:lang w:val="en-US"/>
        </w:rPr>
        <w:t xml:space="preserve"> arguments.</w:t>
      </w:r>
    </w:p>
    <w:p w:rsidR="008322BD" w:rsidRPr="000D22B6" w:rsidRDefault="00B17FA1" w:rsidP="008C0F21">
      <w:pPr>
        <w:pStyle w:val="SCCNormalDoubleSpacing"/>
        <w:spacing w:before="480" w:after="480"/>
      </w:pPr>
      <w:r w:rsidRPr="000D22B6">
        <w:rPr>
          <w:lang w:val="en-US"/>
        </w:rPr>
        <w:tab/>
      </w:r>
      <w:r w:rsidR="00750E85" w:rsidRPr="000D22B6">
        <w:rPr>
          <w:lang w:val="en-US"/>
        </w:rPr>
        <w:t>B again sought judicial review.  The Federal Court of Appeal concluded that the Board</w:t>
      </w:r>
      <w:r w:rsidR="000D22B6" w:rsidRPr="000D22B6">
        <w:rPr>
          <w:lang w:val="en-US"/>
        </w:rPr>
        <w:t>’</w:t>
      </w:r>
      <w:r w:rsidR="00750E85" w:rsidRPr="000D22B6">
        <w:rPr>
          <w:lang w:val="en-US"/>
        </w:rPr>
        <w:t>s decision that the union needed employees</w:t>
      </w:r>
      <w:r w:rsidR="000D22B6" w:rsidRPr="000D22B6">
        <w:rPr>
          <w:lang w:val="en-US"/>
        </w:rPr>
        <w:t>’</w:t>
      </w:r>
      <w:r w:rsidR="00750E85" w:rsidRPr="000D22B6">
        <w:rPr>
          <w:lang w:val="en-US"/>
        </w:rPr>
        <w:t xml:space="preserve"> home contact information in order to fulfill its representational duties was reasonable, and that the union</w:t>
      </w:r>
      <w:r w:rsidR="000D22B6" w:rsidRPr="000D22B6">
        <w:rPr>
          <w:lang w:val="en-US"/>
        </w:rPr>
        <w:t>’</w:t>
      </w:r>
      <w:r w:rsidR="00750E85" w:rsidRPr="000D22B6">
        <w:rPr>
          <w:lang w:val="en-US"/>
        </w:rPr>
        <w:t xml:space="preserve">s use of home contact information was a “consistent use” under </w:t>
      </w:r>
      <w:r w:rsidR="00E163C4" w:rsidRPr="000D22B6">
        <w:rPr>
          <w:lang w:val="en-US"/>
        </w:rPr>
        <w:t>s. </w:t>
      </w:r>
      <w:r w:rsidR="00750E85" w:rsidRPr="000D22B6">
        <w:rPr>
          <w:lang w:val="en-US"/>
        </w:rPr>
        <w:t>8(2)(</w:t>
      </w:r>
      <w:r w:rsidR="00750E85" w:rsidRPr="000D22B6">
        <w:rPr>
          <w:i/>
          <w:lang w:val="en-US"/>
        </w:rPr>
        <w:t>a</w:t>
      </w:r>
      <w:r w:rsidR="00750E85" w:rsidRPr="000D22B6">
        <w:rPr>
          <w:lang w:val="en-US"/>
        </w:rPr>
        <w:t xml:space="preserve">) of the </w:t>
      </w:r>
      <w:r w:rsidR="00750E85" w:rsidRPr="000D22B6">
        <w:rPr>
          <w:i/>
          <w:lang w:val="en-US"/>
        </w:rPr>
        <w:t>Privacy Act</w:t>
      </w:r>
      <w:r w:rsidR="00750E85" w:rsidRPr="000D22B6">
        <w:rPr>
          <w:lang w:val="en-US"/>
        </w:rPr>
        <w:t>.</w:t>
      </w:r>
      <w:r w:rsidR="00750E85" w:rsidRPr="000D22B6">
        <w:t xml:space="preserve"> </w:t>
      </w:r>
    </w:p>
    <w:p w:rsidR="008322BD" w:rsidRPr="000D22B6" w:rsidRDefault="009B57B3" w:rsidP="008C0F21">
      <w:pPr>
        <w:pStyle w:val="SCCNormalDoubleSpacing"/>
        <w:spacing w:before="480" w:after="480"/>
      </w:pPr>
      <w:r w:rsidRPr="000D22B6">
        <w:tab/>
      </w:r>
      <w:r w:rsidRPr="00F841DE">
        <w:rPr>
          <w:i/>
        </w:rPr>
        <w:t>Held</w:t>
      </w:r>
      <w:r w:rsidR="00750E85" w:rsidRPr="00F841DE">
        <w:rPr>
          <w:i/>
        </w:rPr>
        <w:t xml:space="preserve"> </w:t>
      </w:r>
      <w:r w:rsidR="00750E85" w:rsidRPr="00B75C82">
        <w:t>(</w:t>
      </w:r>
      <w:r w:rsidR="00750E85" w:rsidRPr="000D22B6">
        <w:rPr>
          <w:lang w:val="en-US"/>
        </w:rPr>
        <w:t xml:space="preserve">Rothstein and </w:t>
      </w:r>
      <w:proofErr w:type="spellStart"/>
      <w:r w:rsidR="00750E85" w:rsidRPr="000D22B6">
        <w:rPr>
          <w:lang w:val="en-US"/>
        </w:rPr>
        <w:t>Moldaver</w:t>
      </w:r>
      <w:proofErr w:type="spellEnd"/>
      <w:r w:rsidR="00545BFB" w:rsidRPr="000D22B6">
        <w:rPr>
          <w:lang w:val="en-US"/>
        </w:rPr>
        <w:t> </w:t>
      </w:r>
      <w:r w:rsidR="00750E85" w:rsidRPr="000D22B6">
        <w:rPr>
          <w:lang w:val="en-US"/>
        </w:rPr>
        <w:t xml:space="preserve">JJ. dissenting in part): </w:t>
      </w:r>
      <w:r w:rsidR="00B17FA1" w:rsidRPr="000D22B6">
        <w:rPr>
          <w:lang w:val="en-US"/>
        </w:rPr>
        <w:t xml:space="preserve"> </w:t>
      </w:r>
      <w:r w:rsidR="00750E85" w:rsidRPr="000D22B6">
        <w:rPr>
          <w:lang w:val="en-US"/>
        </w:rPr>
        <w:t>The appeal should be dismissed.</w:t>
      </w:r>
    </w:p>
    <w:p w:rsidR="00750E85" w:rsidRPr="000D22B6" w:rsidRDefault="009B57B3" w:rsidP="008C0F21">
      <w:pPr>
        <w:pStyle w:val="SCCNormalDoubleSpacing"/>
        <w:spacing w:before="480" w:after="480"/>
        <w:rPr>
          <w:lang w:val="en-US"/>
        </w:rPr>
      </w:pPr>
      <w:r w:rsidRPr="000D22B6">
        <w:tab/>
      </w:r>
      <w:r w:rsidR="00750E85" w:rsidRPr="000D22B6">
        <w:rPr>
          <w:i/>
          <w:lang w:val="en-US"/>
        </w:rPr>
        <w:t>Per</w:t>
      </w:r>
      <w:r w:rsidR="00750E85" w:rsidRPr="000D22B6">
        <w:rPr>
          <w:lang w:val="en-US"/>
        </w:rPr>
        <w:t xml:space="preserve"> LeBel, </w:t>
      </w:r>
      <w:r w:rsidR="00750E85" w:rsidRPr="00B75C82">
        <w:rPr>
          <w:lang w:val="en-US"/>
        </w:rPr>
        <w:t>Abella</w:t>
      </w:r>
      <w:r w:rsidR="00750E85" w:rsidRPr="000D22B6">
        <w:rPr>
          <w:lang w:val="en-US"/>
        </w:rPr>
        <w:t xml:space="preserve">, </w:t>
      </w:r>
      <w:r w:rsidR="00750E85" w:rsidRPr="00B75C82">
        <w:rPr>
          <w:lang w:val="en-US"/>
        </w:rPr>
        <w:t>Cromwell</w:t>
      </w:r>
      <w:r w:rsidR="008C0F21" w:rsidRPr="000D22B6">
        <w:rPr>
          <w:lang w:val="en-US"/>
        </w:rPr>
        <w:t xml:space="preserve">, </w:t>
      </w:r>
      <w:proofErr w:type="spellStart"/>
      <w:r w:rsidR="008C0F21" w:rsidRPr="000D22B6">
        <w:rPr>
          <w:lang w:val="en-US"/>
        </w:rPr>
        <w:t>Karakatsanis</w:t>
      </w:r>
      <w:proofErr w:type="spellEnd"/>
      <w:r w:rsidR="008C0F21" w:rsidRPr="000D22B6">
        <w:rPr>
          <w:lang w:val="en-US"/>
        </w:rPr>
        <w:t xml:space="preserve"> and Wagner </w:t>
      </w:r>
      <w:r w:rsidR="00750E85" w:rsidRPr="000D22B6">
        <w:rPr>
          <w:lang w:val="en-US"/>
        </w:rPr>
        <w:t>JJ.:</w:t>
      </w:r>
      <w:r w:rsidR="00D17CF4" w:rsidRPr="000D22B6">
        <w:rPr>
          <w:lang w:val="en-US"/>
        </w:rPr>
        <w:t xml:space="preserve">  </w:t>
      </w:r>
      <w:r w:rsidR="00750E85" w:rsidRPr="000D22B6">
        <w:rPr>
          <w:lang w:val="en-US"/>
        </w:rPr>
        <w:t>The standard of review applicable to the Board</w:t>
      </w:r>
      <w:r w:rsidR="000D22B6" w:rsidRPr="000D22B6">
        <w:rPr>
          <w:lang w:val="en-US"/>
        </w:rPr>
        <w:t>’</w:t>
      </w:r>
      <w:r w:rsidR="00750E85" w:rsidRPr="000D22B6">
        <w:rPr>
          <w:lang w:val="en-US"/>
        </w:rPr>
        <w:t>s decision is reasonablene</w:t>
      </w:r>
      <w:r w:rsidR="008C0F21" w:rsidRPr="000D22B6">
        <w:rPr>
          <w:lang w:val="en-US"/>
        </w:rPr>
        <w:t xml:space="preserve">ss. </w:t>
      </w:r>
      <w:r w:rsidR="00750E85" w:rsidRPr="000D22B6">
        <w:rPr>
          <w:lang w:val="en-US"/>
        </w:rPr>
        <w:t xml:space="preserve"> In the </w:t>
      </w:r>
      <w:proofErr w:type="spellStart"/>
      <w:r w:rsidR="00750E85" w:rsidRPr="000D22B6">
        <w:rPr>
          <w:lang w:val="en-US"/>
        </w:rPr>
        <w:t>labour</w:t>
      </w:r>
      <w:proofErr w:type="spellEnd"/>
      <w:r w:rsidR="00750E85" w:rsidRPr="000D22B6">
        <w:rPr>
          <w:lang w:val="en-US"/>
        </w:rPr>
        <w:t xml:space="preserve"> relations context in which B</w:t>
      </w:r>
      <w:r w:rsidR="000D22B6" w:rsidRPr="000D22B6">
        <w:rPr>
          <w:lang w:val="en-US"/>
        </w:rPr>
        <w:t>’</w:t>
      </w:r>
      <w:r w:rsidR="00750E85" w:rsidRPr="000D22B6">
        <w:rPr>
          <w:lang w:val="en-US"/>
        </w:rPr>
        <w:t>s privacy complaints arose, the Board</w:t>
      </w:r>
      <w:r w:rsidR="000D22B6" w:rsidRPr="000D22B6">
        <w:rPr>
          <w:lang w:val="en-US"/>
        </w:rPr>
        <w:t>’</w:t>
      </w:r>
      <w:r w:rsidR="00750E85" w:rsidRPr="000D22B6">
        <w:rPr>
          <w:lang w:val="en-US"/>
        </w:rPr>
        <w:t xml:space="preserve">s decision was reasonable. </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A union has the exclusive right to bargain on behalf of all employees in a given bargaining unit, including Rand employees.  The union is the exclusive agent for those employees with respect to their rights under the collective agreement and the union must represent those employees fairly and in good faith.  While an employee is undoubtedly free not to join the union and to decide to become a Rand employee, he or she may not opt out of the exclusive bargaining relationship, </w:t>
      </w:r>
      <w:proofErr w:type="gramStart"/>
      <w:r w:rsidR="00750E85" w:rsidRPr="000D22B6">
        <w:rPr>
          <w:lang w:val="en-US"/>
        </w:rPr>
        <w:t>nor</w:t>
      </w:r>
      <w:proofErr w:type="gramEnd"/>
      <w:r w:rsidR="00750E85" w:rsidRPr="000D22B6">
        <w:rPr>
          <w:lang w:val="en-US"/>
        </w:rPr>
        <w:t xml:space="preserve"> the representational duties that a union owes to employees.</w:t>
      </w:r>
    </w:p>
    <w:p w:rsidR="00750E85" w:rsidRPr="000D22B6" w:rsidRDefault="00B17FA1" w:rsidP="008C0F21">
      <w:pPr>
        <w:pStyle w:val="SCCNormalDoubleSpacing"/>
        <w:spacing w:before="480" w:after="480"/>
        <w:rPr>
          <w:lang w:val="en-US"/>
        </w:rPr>
      </w:pPr>
      <w:r w:rsidRPr="000D22B6">
        <w:rPr>
          <w:lang w:val="en-US"/>
        </w:rPr>
        <w:lastRenderedPageBreak/>
        <w:tab/>
      </w:r>
      <w:r w:rsidR="00750E85" w:rsidRPr="000D22B6">
        <w:rPr>
          <w:lang w:val="en-US"/>
        </w:rPr>
        <w:t xml:space="preserve">The </w:t>
      </w:r>
      <w:r w:rsidR="00750E85" w:rsidRPr="000D22B6">
        <w:rPr>
          <w:i/>
          <w:lang w:val="en-US"/>
        </w:rPr>
        <w:t xml:space="preserve">Public Service </w:t>
      </w:r>
      <w:proofErr w:type="spellStart"/>
      <w:r w:rsidR="00750E85" w:rsidRPr="000D22B6">
        <w:rPr>
          <w:i/>
          <w:lang w:val="en-US"/>
        </w:rPr>
        <w:t>Labour</w:t>
      </w:r>
      <w:proofErr w:type="spellEnd"/>
      <w:r w:rsidR="00750E85" w:rsidRPr="000D22B6">
        <w:rPr>
          <w:i/>
          <w:lang w:val="en-US"/>
        </w:rPr>
        <w:t xml:space="preserve"> Relations Act</w:t>
      </w:r>
      <w:r w:rsidR="00750E85" w:rsidRPr="000D22B6">
        <w:rPr>
          <w:lang w:val="en-US"/>
        </w:rPr>
        <w:t xml:space="preserve"> imposes a number of specific duties on a union with respect to employees in the bargaining unit.  These include a duty to provide all employees in the bargaining unit with a reasonable opportunity to participate in strike votes and to be notified of the results of such votes.  An employee cannot waive his or her right to be fairly — and exclusively — represented by the union.  Given that the union owes legal obligations to all employees — whether or not they are Rand employees — and may have to communicate with them quickly, the union should not be deprived of information in the hands of the employer that could assist in fulfilling those obligations.</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The union needs effective means of contacting employees in order to discharge its representational duties.  Work contact information is insufficient to enable the union to carry out its duties to bargaining unit employees for a number of reasons: it is not appropriate for a bargaining agent to use employer facilities for its business; workplace communications from bargaining agents must be vetted by the employer before posting; there is no expectation of privacy in electronic communications at the workplace; and the union must be able to communicate with employees quickly and effectively.  An employer can control the means of workplace communication, can implement policies that restrict all workplace communications, including with the union, and can monitor communications.  In addition, the union may have representational duties to employees whom it cannot contact at work, such as employees who are on leave, or who are not at work because of a </w:t>
      </w:r>
      <w:proofErr w:type="spellStart"/>
      <w:r w:rsidR="00750E85" w:rsidRPr="000D22B6">
        <w:rPr>
          <w:lang w:val="en-US"/>
        </w:rPr>
        <w:t>labour</w:t>
      </w:r>
      <w:proofErr w:type="spellEnd"/>
      <w:r w:rsidR="00750E85" w:rsidRPr="000D22B6">
        <w:rPr>
          <w:lang w:val="en-US"/>
        </w:rPr>
        <w:t xml:space="preserve"> dispute.</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 xml:space="preserve">The intersecting privacy concerns emerge from the </w:t>
      </w:r>
      <w:r w:rsidR="00750E85" w:rsidRPr="000D22B6">
        <w:rPr>
          <w:i/>
          <w:lang w:val="en-US"/>
        </w:rPr>
        <w:t>Privacy Act</w:t>
      </w:r>
      <w:r w:rsidR="00750E85" w:rsidRPr="000D22B6">
        <w:rPr>
          <w:lang w:val="en-US"/>
        </w:rPr>
        <w:t>.  It imposes a ban on disclosure of government</w:t>
      </w:r>
      <w:r w:rsidR="008C0F21" w:rsidRPr="000D22B6">
        <w:rPr>
          <w:lang w:val="en-US"/>
        </w:rPr>
        <w:noBreakHyphen/>
      </w:r>
      <w:proofErr w:type="spellStart"/>
      <w:r w:rsidR="00750E85" w:rsidRPr="000D22B6">
        <w:rPr>
          <w:lang w:val="en-US"/>
        </w:rPr>
        <w:t>held</w:t>
      </w:r>
      <w:proofErr w:type="spellEnd"/>
      <w:r w:rsidR="00750E85" w:rsidRPr="000D22B6">
        <w:rPr>
          <w:lang w:val="en-US"/>
        </w:rPr>
        <w:t xml:space="preserve"> personal information, which </w:t>
      </w:r>
      <w:r w:rsidR="00750E85" w:rsidRPr="000D22B6">
        <w:rPr>
          <w:lang w:val="en-US"/>
        </w:rPr>
        <w:lastRenderedPageBreak/>
        <w:t xml:space="preserve">includes home addresses and telephone numbers, subject to a number of exceptions listed in </w:t>
      </w:r>
      <w:r w:rsidR="00E163C4" w:rsidRPr="000D22B6">
        <w:rPr>
          <w:lang w:val="en-US"/>
        </w:rPr>
        <w:t>s. </w:t>
      </w:r>
      <w:r w:rsidR="00750E85" w:rsidRPr="000D22B6">
        <w:rPr>
          <w:lang w:val="en-US"/>
        </w:rPr>
        <w:t>8(2), including the “consistent use” exception.  A use need not be identical to the purpose for which information was obt</w:t>
      </w:r>
      <w:r w:rsidR="008C0F21" w:rsidRPr="000D22B6">
        <w:rPr>
          <w:lang w:val="en-US"/>
        </w:rPr>
        <w:t>ained in order to fall under s. </w:t>
      </w:r>
      <w:r w:rsidR="00750E85" w:rsidRPr="000D22B6">
        <w:rPr>
          <w:lang w:val="en-US"/>
        </w:rPr>
        <w:t>8(2</w:t>
      </w:r>
      <w:proofErr w:type="gramStart"/>
      <w:r w:rsidR="00750E85" w:rsidRPr="000D22B6">
        <w:rPr>
          <w:lang w:val="en-US"/>
        </w:rPr>
        <w:t>)(</w:t>
      </w:r>
      <w:proofErr w:type="gramEnd"/>
      <w:r w:rsidR="00750E85" w:rsidRPr="000D22B6">
        <w:rPr>
          <w:i/>
          <w:lang w:val="en-US"/>
        </w:rPr>
        <w:t>a</w:t>
      </w:r>
      <w:r w:rsidR="00750E85" w:rsidRPr="000D22B6">
        <w:rPr>
          <w:lang w:val="en-US"/>
        </w:rPr>
        <w:t xml:space="preserve">) of the </w:t>
      </w:r>
      <w:r w:rsidR="00750E85" w:rsidRPr="000D22B6">
        <w:rPr>
          <w:i/>
          <w:lang w:val="en-US"/>
        </w:rPr>
        <w:t>Privacy Act</w:t>
      </w:r>
      <w:r w:rsidR="00750E85" w:rsidRPr="000D22B6">
        <w:rPr>
          <w:lang w:val="en-US"/>
        </w:rPr>
        <w:t>; it must only be consistent with that purpose.  There need only be a sufficiently direct connection between the purpose and the proposed use, such that an employee would reasonably expect that the information could be used in the manner proposed.  The union needed employee home contact information to represent the interests of employees, a use consistent with the purpose for which the government employer collected the information, namely, to contact employees about the terms and conditions of their employment.  The information collected by the employer was for the appropriate administration of the employment relationshi</w:t>
      </w:r>
      <w:r w:rsidR="000D22B6" w:rsidRPr="000D22B6">
        <w:rPr>
          <w:lang w:val="en-US"/>
        </w:rPr>
        <w:t xml:space="preserve">p. </w:t>
      </w:r>
      <w:r w:rsidR="00750E85" w:rsidRPr="000D22B6">
        <w:rPr>
          <w:lang w:val="en-US"/>
        </w:rPr>
        <w:t xml:space="preserve"> This purpose is consistent with the union</w:t>
      </w:r>
      <w:r w:rsidR="000D22B6" w:rsidRPr="000D22B6">
        <w:rPr>
          <w:lang w:val="en-US"/>
        </w:rPr>
        <w:t>’</w:t>
      </w:r>
      <w:r w:rsidR="00750E85" w:rsidRPr="000D22B6">
        <w:rPr>
          <w:lang w:val="en-US"/>
        </w:rPr>
        <w:t>s intended use of the contact information.</w:t>
      </w:r>
    </w:p>
    <w:p w:rsidR="00750E85" w:rsidRPr="000D22B6" w:rsidRDefault="00B17FA1" w:rsidP="008C0F21">
      <w:pPr>
        <w:pStyle w:val="SCCNormalDoubleSpacing"/>
        <w:spacing w:before="480" w:after="480"/>
        <w:rPr>
          <w:lang w:val="en-US"/>
        </w:rPr>
      </w:pPr>
      <w:r w:rsidRPr="000D22B6">
        <w:rPr>
          <w:lang w:val="en-US"/>
        </w:rPr>
        <w:tab/>
      </w:r>
      <w:r w:rsidR="00750E85" w:rsidRPr="000D22B6">
        <w:rPr>
          <w:lang w:val="en-US"/>
        </w:rPr>
        <w:t>The Board was entitled to conclude that its mandate on the redetermination was limited to the question of how much home contact information the employer could disclose to the union without infringing an employee</w:t>
      </w:r>
      <w:r w:rsidR="000D22B6" w:rsidRPr="000D22B6">
        <w:rPr>
          <w:lang w:val="en-US"/>
        </w:rPr>
        <w:t>’</w:t>
      </w:r>
      <w:r w:rsidR="00750E85" w:rsidRPr="000D22B6">
        <w:rPr>
          <w:lang w:val="en-US"/>
        </w:rPr>
        <w:t xml:space="preserve">s rights under the </w:t>
      </w:r>
      <w:r w:rsidR="00750E85" w:rsidRPr="000D22B6">
        <w:rPr>
          <w:i/>
          <w:lang w:val="en-US"/>
        </w:rPr>
        <w:t>Privacy Act</w:t>
      </w:r>
      <w:r w:rsidR="00750E85" w:rsidRPr="000D22B6">
        <w:rPr>
          <w:lang w:val="en-US"/>
        </w:rPr>
        <w:t>, and did not include B</w:t>
      </w:r>
      <w:r w:rsidR="000D22B6" w:rsidRPr="000D22B6">
        <w:rPr>
          <w:lang w:val="en-US"/>
        </w:rPr>
        <w:t>’</w:t>
      </w:r>
      <w:r w:rsidR="00750E85" w:rsidRPr="000D22B6">
        <w:rPr>
          <w:lang w:val="en-US"/>
        </w:rPr>
        <w:t xml:space="preserve">s argument that requiring an employer to provide a bargaining agent with the home address and phone number of its employees breached her right to freedom of association under </w:t>
      </w:r>
      <w:r w:rsidR="00E163C4" w:rsidRPr="000D22B6">
        <w:rPr>
          <w:lang w:val="en-US"/>
        </w:rPr>
        <w:t>s. </w:t>
      </w:r>
      <w:r w:rsidR="00750E85" w:rsidRPr="000D22B6">
        <w:rPr>
          <w:lang w:val="en-US"/>
        </w:rPr>
        <w:t>2(</w:t>
      </w:r>
      <w:r w:rsidR="00750E85" w:rsidRPr="000D22B6">
        <w:rPr>
          <w:i/>
          <w:lang w:val="en-US"/>
        </w:rPr>
        <w:t>d</w:t>
      </w:r>
      <w:r w:rsidR="00750E85" w:rsidRPr="000D22B6">
        <w:rPr>
          <w:lang w:val="en-US"/>
        </w:rPr>
        <w:t xml:space="preserve">) of the </w:t>
      </w:r>
      <w:r w:rsidR="00750E85" w:rsidRPr="000D22B6">
        <w:rPr>
          <w:i/>
          <w:lang w:val="en-US"/>
        </w:rPr>
        <w:t>Charter</w:t>
      </w:r>
      <w:r w:rsidR="00750E85" w:rsidRPr="000D22B6">
        <w:rPr>
          <w:lang w:val="en-US"/>
        </w:rPr>
        <w:t>.  The compelled disclosure of home contact information in order to allow a union to carry out its representational obligations to all bargaining unit members does not engage B</w:t>
      </w:r>
      <w:r w:rsidR="000D22B6" w:rsidRPr="000D22B6">
        <w:rPr>
          <w:lang w:val="en-US"/>
        </w:rPr>
        <w:t>’</w:t>
      </w:r>
      <w:r w:rsidR="00750E85" w:rsidRPr="000D22B6">
        <w:rPr>
          <w:lang w:val="en-US"/>
        </w:rPr>
        <w:t>s freedom not to associate with the union.  In any event, that argument had no merit and was clearly bound to fail, whenever and wherever asserted.  B</w:t>
      </w:r>
      <w:r w:rsidR="000D22B6" w:rsidRPr="000D22B6">
        <w:rPr>
          <w:lang w:val="en-US"/>
        </w:rPr>
        <w:t>’</w:t>
      </w:r>
      <w:r w:rsidR="00750E85" w:rsidRPr="000D22B6">
        <w:rPr>
          <w:lang w:val="en-US"/>
        </w:rPr>
        <w:t xml:space="preserve">s </w:t>
      </w:r>
      <w:r w:rsidR="00E163C4" w:rsidRPr="000D22B6">
        <w:rPr>
          <w:lang w:val="en-US"/>
        </w:rPr>
        <w:t>s. </w:t>
      </w:r>
      <w:r w:rsidR="00750E85" w:rsidRPr="000D22B6">
        <w:rPr>
          <w:lang w:val="en-US"/>
        </w:rPr>
        <w:t xml:space="preserve">8 </w:t>
      </w:r>
      <w:r w:rsidR="00750E85" w:rsidRPr="000D22B6">
        <w:rPr>
          <w:i/>
          <w:lang w:val="en-US"/>
        </w:rPr>
        <w:t>Charter</w:t>
      </w:r>
      <w:r w:rsidR="00750E85" w:rsidRPr="000D22B6">
        <w:rPr>
          <w:lang w:val="en-US"/>
        </w:rPr>
        <w:t xml:space="preserve"> argument alleging that the disclosure constituted an unconstitutional search and seizure similarly had no merit.  </w:t>
      </w:r>
    </w:p>
    <w:p w:rsidR="00A73E41" w:rsidRPr="000D22B6" w:rsidRDefault="00D17CF4" w:rsidP="008C0F21">
      <w:pPr>
        <w:pStyle w:val="SCCNormalDoubleSpacing"/>
        <w:spacing w:before="480" w:after="480"/>
      </w:pPr>
      <w:r w:rsidRPr="000D22B6">
        <w:rPr>
          <w:i/>
          <w:lang w:val="en-US"/>
        </w:rPr>
        <w:lastRenderedPageBreak/>
        <w:tab/>
      </w:r>
      <w:proofErr w:type="gramStart"/>
      <w:r w:rsidR="00750E85" w:rsidRPr="000D22B6">
        <w:rPr>
          <w:i/>
          <w:lang w:val="en-US"/>
        </w:rPr>
        <w:t>Per</w:t>
      </w:r>
      <w:r w:rsidR="00750E85" w:rsidRPr="000D22B6">
        <w:rPr>
          <w:lang w:val="en-US"/>
        </w:rPr>
        <w:t xml:space="preserve"> </w:t>
      </w:r>
      <w:r w:rsidR="00750E85" w:rsidRPr="00D5569C">
        <w:rPr>
          <w:lang w:val="en-US"/>
        </w:rPr>
        <w:t>Rothstein</w:t>
      </w:r>
      <w:r w:rsidR="008C0F21" w:rsidRPr="000D22B6">
        <w:rPr>
          <w:lang w:val="en-US"/>
        </w:rPr>
        <w:t xml:space="preserve"> and </w:t>
      </w:r>
      <w:proofErr w:type="spellStart"/>
      <w:r w:rsidR="008C0F21" w:rsidRPr="000D22B6">
        <w:rPr>
          <w:lang w:val="en-US"/>
        </w:rPr>
        <w:t>Moldaver</w:t>
      </w:r>
      <w:proofErr w:type="spellEnd"/>
      <w:r w:rsidR="008C0F21" w:rsidRPr="000D22B6">
        <w:rPr>
          <w:lang w:val="en-US"/>
        </w:rPr>
        <w:t> </w:t>
      </w:r>
      <w:r w:rsidR="00750E85" w:rsidRPr="000D22B6">
        <w:rPr>
          <w:lang w:val="en-US"/>
        </w:rPr>
        <w:t>JJ.</w:t>
      </w:r>
      <w:proofErr w:type="gramEnd"/>
      <w:r w:rsidR="00750E85" w:rsidRPr="000D22B6">
        <w:rPr>
          <w:lang w:val="en-US"/>
        </w:rPr>
        <w:t xml:space="preserve"> (</w:t>
      </w:r>
      <w:proofErr w:type="gramStart"/>
      <w:r w:rsidR="00750E85" w:rsidRPr="000D22B6">
        <w:rPr>
          <w:lang w:val="en-US"/>
        </w:rPr>
        <w:t>dissenting</w:t>
      </w:r>
      <w:proofErr w:type="gramEnd"/>
      <w:r w:rsidR="00750E85" w:rsidRPr="000D22B6">
        <w:rPr>
          <w:lang w:val="en-US"/>
        </w:rPr>
        <w:t xml:space="preserve"> in part): </w:t>
      </w:r>
      <w:r w:rsidRPr="000D22B6">
        <w:rPr>
          <w:lang w:val="en-US"/>
        </w:rPr>
        <w:t xml:space="preserve"> </w:t>
      </w:r>
      <w:r w:rsidR="00A73E41" w:rsidRPr="000D22B6">
        <w:t xml:space="preserve">This appeal is about a tribunal wrongly declining to exercise its jurisdiction to consider </w:t>
      </w:r>
      <w:r w:rsidR="00A73E41" w:rsidRPr="000D22B6">
        <w:rPr>
          <w:i/>
        </w:rPr>
        <w:t xml:space="preserve">Charter </w:t>
      </w:r>
      <w:r w:rsidR="00A73E41" w:rsidRPr="000D22B6">
        <w:t xml:space="preserve">arguments. </w:t>
      </w:r>
      <w:r w:rsidR="00A73E41" w:rsidRPr="000D22B6">
        <w:rPr>
          <w:lang w:val="en-US"/>
        </w:rPr>
        <w:t xml:space="preserve"> Where a tribunal does not respond to a constitutional challenge because of a mistaken understanding of its jurisdiction, it is wrongfully declining the jurisdiction that it not only has, but that it must exercise.  That constitutes </w:t>
      </w:r>
      <w:r w:rsidR="00A73E41" w:rsidRPr="000D22B6">
        <w:t xml:space="preserve">an error of law. </w:t>
      </w:r>
    </w:p>
    <w:p w:rsidR="00A73E41" w:rsidRPr="000D22B6" w:rsidRDefault="00B17FA1" w:rsidP="008C0F21">
      <w:pPr>
        <w:pStyle w:val="SCCNormalDoubleSpacing"/>
        <w:spacing w:before="480" w:after="480"/>
      </w:pPr>
      <w:r w:rsidRPr="000D22B6">
        <w:tab/>
      </w:r>
      <w:r w:rsidR="00A73E41" w:rsidRPr="000D22B6">
        <w:t>The Public Service Labour Relations Board made a reasonable decision in holding that s. 186(1)(</w:t>
      </w:r>
      <w:r w:rsidR="00A73E41" w:rsidRPr="000D22B6">
        <w:rPr>
          <w:i/>
        </w:rPr>
        <w:t>a</w:t>
      </w:r>
      <w:r w:rsidR="00A73E41" w:rsidRPr="000D22B6">
        <w:t xml:space="preserve">) of the </w:t>
      </w:r>
      <w:r w:rsidR="00A73E41" w:rsidRPr="000D22B6">
        <w:rPr>
          <w:i/>
        </w:rPr>
        <w:t xml:space="preserve">Public Service Labour Relations Act </w:t>
      </w:r>
      <w:r w:rsidR="00A73E41" w:rsidRPr="000D22B6">
        <w:t xml:space="preserve">requires the employer to disclose some employee contact information to the union and that this complies with </w:t>
      </w:r>
      <w:r w:rsidR="00E163C4" w:rsidRPr="000D22B6">
        <w:t>s. </w:t>
      </w:r>
      <w:r w:rsidR="00A73E41" w:rsidRPr="000D22B6">
        <w:t>8(2)(</w:t>
      </w:r>
      <w:r w:rsidR="00A73E41" w:rsidRPr="000D22B6">
        <w:rPr>
          <w:i/>
        </w:rPr>
        <w:t>a</w:t>
      </w:r>
      <w:r w:rsidR="00A73E41" w:rsidRPr="000D22B6">
        <w:t xml:space="preserve">) of the </w:t>
      </w:r>
      <w:r w:rsidR="00A73E41" w:rsidRPr="000D22B6">
        <w:rPr>
          <w:i/>
        </w:rPr>
        <w:t>Privacy Act</w:t>
      </w:r>
      <w:r w:rsidR="00A73E41" w:rsidRPr="000D22B6">
        <w:t>.  The Board, however, incorrectly declined to determine B</w:t>
      </w:r>
      <w:r w:rsidR="000D22B6" w:rsidRPr="000D22B6">
        <w:t>’</w:t>
      </w:r>
      <w:r w:rsidR="00A73E41" w:rsidRPr="000D22B6">
        <w:t xml:space="preserve">s </w:t>
      </w:r>
      <w:r w:rsidR="00E163C4" w:rsidRPr="000D22B6">
        <w:t>s. </w:t>
      </w:r>
      <w:r w:rsidR="00A73E41" w:rsidRPr="000D22B6">
        <w:t>2(</w:t>
      </w:r>
      <w:r w:rsidR="00A73E41" w:rsidRPr="000D22B6">
        <w:rPr>
          <w:i/>
        </w:rPr>
        <w:t>d</w:t>
      </w:r>
      <w:r w:rsidR="00A73E41" w:rsidRPr="000D22B6">
        <w:t xml:space="preserve">) </w:t>
      </w:r>
      <w:r w:rsidR="00A73E41" w:rsidRPr="000D22B6">
        <w:rPr>
          <w:i/>
        </w:rPr>
        <w:t xml:space="preserve">Charter </w:t>
      </w:r>
      <w:r w:rsidR="00A73E41" w:rsidRPr="000D22B6">
        <w:t xml:space="preserve">arguments.  The Board possessed both the authority and the duty to decide her </w:t>
      </w:r>
      <w:r w:rsidR="00A73E41" w:rsidRPr="000D22B6">
        <w:rPr>
          <w:i/>
        </w:rPr>
        <w:t>Charter</w:t>
      </w:r>
      <w:r w:rsidR="00A73E41" w:rsidRPr="000D22B6">
        <w:t xml:space="preserve"> arguments.  It would be inconsistent with this Court</w:t>
      </w:r>
      <w:r w:rsidR="000D22B6" w:rsidRPr="000D22B6">
        <w:t>’</w:t>
      </w:r>
      <w:r w:rsidR="00A73E41" w:rsidRPr="000D22B6">
        <w:t>s jurisprudence to hold that a reviewing court can exclude such a fundamental aspect of the Board</w:t>
      </w:r>
      <w:r w:rsidR="000D22B6" w:rsidRPr="000D22B6">
        <w:t>’</w:t>
      </w:r>
      <w:r w:rsidR="00A73E41" w:rsidRPr="000D22B6">
        <w:t>s jurisdiction.  In holding that the Board was barred from determining B</w:t>
      </w:r>
      <w:r w:rsidR="000D22B6" w:rsidRPr="000D22B6">
        <w:t>’</w:t>
      </w:r>
      <w:r w:rsidR="00A73E41" w:rsidRPr="000D22B6">
        <w:t xml:space="preserve">s </w:t>
      </w:r>
      <w:r w:rsidR="00A73E41" w:rsidRPr="000D22B6">
        <w:rPr>
          <w:i/>
        </w:rPr>
        <w:t>Charter</w:t>
      </w:r>
      <w:r w:rsidR="00A73E41" w:rsidRPr="000D22B6">
        <w:t xml:space="preserve"> arguments on reconsideration, both the Board and the Federal Court of Appeal erred in law.  This </w:t>
      </w:r>
      <w:r w:rsidR="00CF6685" w:rsidRPr="000D22B6">
        <w:t xml:space="preserve">jurisdictional </w:t>
      </w:r>
      <w:r w:rsidR="00A73E41" w:rsidRPr="000D22B6">
        <w:t xml:space="preserve">error resulted in a denial of procedural fairness insofar as B was deprived of her right to make her </w:t>
      </w:r>
      <w:r w:rsidR="00A73E41" w:rsidRPr="000D22B6">
        <w:rPr>
          <w:i/>
        </w:rPr>
        <w:t xml:space="preserve">Charter </w:t>
      </w:r>
      <w:r w:rsidR="00A73E41" w:rsidRPr="000D22B6">
        <w:t>submissions and have them considered and ruled upon.</w:t>
      </w:r>
    </w:p>
    <w:p w:rsidR="00A73E41" w:rsidRPr="000D22B6" w:rsidRDefault="00B17FA1" w:rsidP="008C0F21">
      <w:pPr>
        <w:pStyle w:val="SCCNormalDoubleSpacing"/>
        <w:spacing w:before="480" w:after="480"/>
      </w:pPr>
      <w:r w:rsidRPr="000D22B6">
        <w:tab/>
      </w:r>
      <w:r w:rsidR="00A73E41" w:rsidRPr="000D22B6">
        <w:t>Pursuant to the two</w:t>
      </w:r>
      <w:r w:rsidR="008C0F21" w:rsidRPr="000D22B6">
        <w:noBreakHyphen/>
      </w:r>
      <w:r w:rsidR="00A73E41" w:rsidRPr="000D22B6">
        <w:t xml:space="preserve">step test in </w:t>
      </w:r>
      <w:proofErr w:type="spellStart"/>
      <w:r w:rsidR="00A73E41" w:rsidRPr="000D22B6">
        <w:rPr>
          <w:i/>
        </w:rPr>
        <w:t>Quan</w:t>
      </w:r>
      <w:proofErr w:type="spellEnd"/>
      <w:r w:rsidR="00A73E41" w:rsidRPr="000D22B6">
        <w:rPr>
          <w:i/>
        </w:rPr>
        <w:t xml:space="preserve"> v. </w:t>
      </w:r>
      <w:proofErr w:type="spellStart"/>
      <w:r w:rsidR="00A73E41" w:rsidRPr="000D22B6">
        <w:rPr>
          <w:i/>
        </w:rPr>
        <w:t>Cusson</w:t>
      </w:r>
      <w:proofErr w:type="spellEnd"/>
      <w:r w:rsidR="00A73E41" w:rsidRPr="000D22B6">
        <w:t>, this Court should address B</w:t>
      </w:r>
      <w:r w:rsidR="000D22B6" w:rsidRPr="000D22B6">
        <w:t>’</w:t>
      </w:r>
      <w:r w:rsidR="00A73E41" w:rsidRPr="000D22B6">
        <w:t xml:space="preserve">s </w:t>
      </w:r>
      <w:r w:rsidR="00E163C4" w:rsidRPr="000D22B6">
        <w:t>s. </w:t>
      </w:r>
      <w:r w:rsidR="00A73E41" w:rsidRPr="000D22B6">
        <w:t>2(</w:t>
      </w:r>
      <w:r w:rsidR="00A73E41" w:rsidRPr="000D22B6">
        <w:rPr>
          <w:i/>
        </w:rPr>
        <w:t>d</w:t>
      </w:r>
      <w:r w:rsidR="00A73E41" w:rsidRPr="000D22B6">
        <w:t xml:space="preserve">) and </w:t>
      </w:r>
      <w:r w:rsidR="00E163C4" w:rsidRPr="000D22B6">
        <w:t>s. </w:t>
      </w:r>
      <w:r w:rsidR="00A73E41" w:rsidRPr="000D22B6">
        <w:t xml:space="preserve">8 </w:t>
      </w:r>
      <w:r w:rsidR="00A73E41" w:rsidRPr="00D5569C">
        <w:rPr>
          <w:i/>
        </w:rPr>
        <w:t>C</w:t>
      </w:r>
      <w:r w:rsidR="00A73E41" w:rsidRPr="000D22B6">
        <w:rPr>
          <w:i/>
        </w:rPr>
        <w:t>harter</w:t>
      </w:r>
      <w:r w:rsidR="00A73E41" w:rsidRPr="000D22B6">
        <w:t xml:space="preserve"> arguments.  The mere provision of B</w:t>
      </w:r>
      <w:r w:rsidR="000D22B6" w:rsidRPr="000D22B6">
        <w:t>’</w:t>
      </w:r>
      <w:r w:rsidR="00A73E41" w:rsidRPr="000D22B6">
        <w:t xml:space="preserve">s home address and telephone number to the bargaining agent cannot be characterized as forced association, nor does it amount to compelled ideological conformity.  Accordingly, there is no violation of freedom from association under </w:t>
      </w:r>
      <w:r w:rsidR="00E163C4" w:rsidRPr="000D22B6">
        <w:t>s. </w:t>
      </w:r>
      <w:r w:rsidR="00A73E41" w:rsidRPr="000D22B6">
        <w:t>2(</w:t>
      </w:r>
      <w:r w:rsidR="00A73E41" w:rsidRPr="000D22B6">
        <w:rPr>
          <w:i/>
        </w:rPr>
        <w:t>d</w:t>
      </w:r>
      <w:r w:rsidR="00A73E41" w:rsidRPr="000D22B6">
        <w:t xml:space="preserve">) of the </w:t>
      </w:r>
      <w:r w:rsidR="00A73E41" w:rsidRPr="000D22B6">
        <w:rPr>
          <w:i/>
        </w:rPr>
        <w:t>Charter</w:t>
      </w:r>
      <w:r w:rsidR="00A73E41" w:rsidRPr="000D22B6">
        <w:t xml:space="preserve">. </w:t>
      </w:r>
      <w:r w:rsidR="00D17CF4" w:rsidRPr="000D22B6">
        <w:t xml:space="preserve"> </w:t>
      </w:r>
      <w:r w:rsidR="00A73E41" w:rsidRPr="000D22B6">
        <w:t xml:space="preserve">The </w:t>
      </w:r>
      <w:r w:rsidR="00A73E41" w:rsidRPr="000D22B6">
        <w:lastRenderedPageBreak/>
        <w:t>disclosure of B</w:t>
      </w:r>
      <w:r w:rsidR="000D22B6" w:rsidRPr="000D22B6">
        <w:t>’</w:t>
      </w:r>
      <w:r w:rsidR="00A73E41" w:rsidRPr="000D22B6">
        <w:t xml:space="preserve">s home contact information to the union does not trigger the protection of </w:t>
      </w:r>
      <w:r w:rsidR="00E163C4" w:rsidRPr="000D22B6">
        <w:t>s. </w:t>
      </w:r>
      <w:r w:rsidR="00A73E41" w:rsidRPr="000D22B6">
        <w:t xml:space="preserve">8 of the </w:t>
      </w:r>
      <w:r w:rsidR="00A73E41" w:rsidRPr="000D22B6">
        <w:rPr>
          <w:i/>
        </w:rPr>
        <w:t>Charter</w:t>
      </w:r>
      <w:r w:rsidR="00A73E41" w:rsidRPr="000D22B6">
        <w:t xml:space="preserve"> because B did not have a reasonable expectation of privacy in the personal information disclosed.  In any event, the disclosure cannot constitute a “seizure” for the purposes of </w:t>
      </w:r>
      <w:r w:rsidR="00E163C4" w:rsidRPr="000D22B6">
        <w:t>s. </w:t>
      </w:r>
      <w:r w:rsidR="00A73E41" w:rsidRPr="000D22B6">
        <w:t xml:space="preserve">8 of the </w:t>
      </w:r>
      <w:r w:rsidR="00A73E41" w:rsidRPr="000D22B6">
        <w:rPr>
          <w:i/>
        </w:rPr>
        <w:t>Charter</w:t>
      </w:r>
      <w:r w:rsidR="00A73E41" w:rsidRPr="000D22B6">
        <w:t xml:space="preserve"> since the information was disclosed to an employee organization and not the state.</w:t>
      </w:r>
    </w:p>
    <w:p w:rsidR="00A73E41" w:rsidRPr="000D22B6" w:rsidRDefault="00B17FA1" w:rsidP="008C0F21">
      <w:pPr>
        <w:pStyle w:val="SCCNormalDoubleSpacing"/>
        <w:spacing w:before="480" w:after="480"/>
        <w:rPr>
          <w:lang w:val="en-US"/>
        </w:rPr>
      </w:pPr>
      <w:r w:rsidRPr="000D22B6">
        <w:tab/>
      </w:r>
      <w:r w:rsidR="00A73E41" w:rsidRPr="000D22B6">
        <w:t xml:space="preserve">The appeal should be allowed, </w:t>
      </w:r>
      <w:r w:rsidR="00A73E41" w:rsidRPr="000D22B6">
        <w:rPr>
          <w:lang w:val="en-US"/>
        </w:rPr>
        <w:t>but only in respect of the Federal Court of Appeal</w:t>
      </w:r>
      <w:r w:rsidR="000D22B6" w:rsidRPr="000D22B6">
        <w:rPr>
          <w:lang w:val="en-US"/>
        </w:rPr>
        <w:t>’</w:t>
      </w:r>
      <w:r w:rsidR="00A73E41" w:rsidRPr="000D22B6">
        <w:rPr>
          <w:lang w:val="en-US"/>
        </w:rPr>
        <w:t>s order of costs payable by B to the respondents.</w:t>
      </w:r>
    </w:p>
    <w:p w:rsidR="007E1C47" w:rsidRPr="000D22B6" w:rsidRDefault="002E6705" w:rsidP="008C0F21">
      <w:pPr>
        <w:pStyle w:val="SCCNormalDoubleSpacing"/>
        <w:keepNext/>
        <w:spacing w:after="720" w:line="240" w:lineRule="auto"/>
        <w:rPr>
          <w:b/>
        </w:rPr>
      </w:pPr>
      <w:r w:rsidRPr="000D22B6">
        <w:rPr>
          <w:b/>
        </w:rPr>
        <w:t>Cases Cited</w:t>
      </w:r>
    </w:p>
    <w:p w:rsidR="001A596C" w:rsidRPr="000D22B6" w:rsidRDefault="008C0F21" w:rsidP="008C0F21">
      <w:pPr>
        <w:pStyle w:val="SCCNormalDoubleSpacing"/>
        <w:keepNext/>
        <w:spacing w:after="720" w:line="240" w:lineRule="auto"/>
      </w:pPr>
      <w:proofErr w:type="gramStart"/>
      <w:r w:rsidRPr="000D22B6">
        <w:t>By Abella and Cromwell </w:t>
      </w:r>
      <w:r w:rsidR="001A596C" w:rsidRPr="000D22B6">
        <w:t>JJ.</w:t>
      </w:r>
      <w:proofErr w:type="gramEnd"/>
    </w:p>
    <w:p w:rsidR="004E2C26" w:rsidRPr="000D22B6" w:rsidRDefault="002E6705" w:rsidP="008C0F21">
      <w:pPr>
        <w:pStyle w:val="SCCNormalDoubleSpacing"/>
        <w:spacing w:before="480" w:after="480"/>
      </w:pPr>
      <w:r w:rsidRPr="000D22B6">
        <w:tab/>
      </w:r>
      <w:r w:rsidRPr="000D22B6">
        <w:rPr>
          <w:b/>
        </w:rPr>
        <w:t>Referred to:</w:t>
      </w:r>
      <w:r w:rsidR="00BD0E9E" w:rsidRPr="000D22B6">
        <w:t xml:space="preserve"> </w:t>
      </w:r>
      <w:r w:rsidR="003D465E" w:rsidRPr="000D22B6">
        <w:t xml:space="preserve"> </w:t>
      </w:r>
      <w:proofErr w:type="spellStart"/>
      <w:r w:rsidR="00C301C8" w:rsidRPr="000D22B6">
        <w:rPr>
          <w:i/>
        </w:rPr>
        <w:t>Millcroft</w:t>
      </w:r>
      <w:proofErr w:type="spellEnd"/>
      <w:r w:rsidR="00C301C8" w:rsidRPr="000D22B6">
        <w:rPr>
          <w:i/>
        </w:rPr>
        <w:t xml:space="preserve"> Inn Ltd.</w:t>
      </w:r>
      <w:r w:rsidR="002E05C8" w:rsidRPr="000D22B6">
        <w:rPr>
          <w:i/>
        </w:rPr>
        <w:t xml:space="preserve"> </w:t>
      </w:r>
      <w:r w:rsidR="003F5101" w:rsidRPr="000D22B6">
        <w:rPr>
          <w:i/>
        </w:rPr>
        <w:t>and CAW</w:t>
      </w:r>
      <w:r w:rsidR="008C0F21" w:rsidRPr="000D22B6">
        <w:rPr>
          <w:i/>
        </w:rPr>
        <w:noBreakHyphen/>
        <w:t>Canada, Local </w:t>
      </w:r>
      <w:r w:rsidR="003F5101" w:rsidRPr="000D22B6">
        <w:rPr>
          <w:i/>
        </w:rPr>
        <w:t>448</w:t>
      </w:r>
      <w:r w:rsidR="003F5101" w:rsidRPr="000D22B6">
        <w:t xml:space="preserve"> </w:t>
      </w:r>
      <w:r w:rsidR="002E05C8" w:rsidRPr="000D22B6">
        <w:t>(2000)</w:t>
      </w:r>
      <w:r w:rsidR="00C301C8" w:rsidRPr="000D22B6">
        <w:t xml:space="preserve">, </w:t>
      </w:r>
      <w:r w:rsidR="0013782B" w:rsidRPr="000D22B6">
        <w:t>63 C.L.R.B.R. (2d) 181</w:t>
      </w:r>
      <w:r w:rsidR="00C301C8" w:rsidRPr="000D22B6">
        <w:t xml:space="preserve">; </w:t>
      </w:r>
      <w:r w:rsidR="002D704D" w:rsidRPr="000D22B6">
        <w:rPr>
          <w:i/>
        </w:rPr>
        <w:t>Monarch Transport Inc. and Dempsey Freight Systems Ltd</w:t>
      </w:r>
      <w:r w:rsidR="00C301C8" w:rsidRPr="000D22B6">
        <w:rPr>
          <w:i/>
        </w:rPr>
        <w:t>.</w:t>
      </w:r>
      <w:r w:rsidR="00C301C8" w:rsidRPr="000D22B6">
        <w:t>, 2003 CIRB 249</w:t>
      </w:r>
      <w:r w:rsidR="002D704D" w:rsidRPr="000D22B6">
        <w:t xml:space="preserve"> (CanLII)</w:t>
      </w:r>
      <w:r w:rsidR="00C301C8" w:rsidRPr="000D22B6">
        <w:t xml:space="preserve">; </w:t>
      </w:r>
      <w:r w:rsidR="008C0F21" w:rsidRPr="000D22B6">
        <w:rPr>
          <w:i/>
        </w:rPr>
        <w:t>P. </w:t>
      </w:r>
      <w:r w:rsidR="00C301C8" w:rsidRPr="000D22B6">
        <w:rPr>
          <w:i/>
        </w:rPr>
        <w:t>Sun</w:t>
      </w:r>
      <w:r w:rsidR="000D22B6" w:rsidRPr="000D22B6">
        <w:rPr>
          <w:i/>
        </w:rPr>
        <w:t>’</w:t>
      </w:r>
      <w:r w:rsidR="00C301C8" w:rsidRPr="000D22B6">
        <w:rPr>
          <w:i/>
        </w:rPr>
        <w:t xml:space="preserve">s Enterprises (Vancouver) Ltd. </w:t>
      </w:r>
      <w:r w:rsidR="00AA3EE6" w:rsidRPr="000D22B6">
        <w:rPr>
          <w:i/>
        </w:rPr>
        <w:t>and</w:t>
      </w:r>
      <w:r w:rsidR="00C301C8" w:rsidRPr="000D22B6">
        <w:rPr>
          <w:i/>
        </w:rPr>
        <w:t xml:space="preserve"> CAW</w:t>
      </w:r>
      <w:r w:rsidR="008C0F21" w:rsidRPr="000D22B6">
        <w:rPr>
          <w:i/>
        </w:rPr>
        <w:noBreakHyphen/>
      </w:r>
      <w:r w:rsidR="00C301C8" w:rsidRPr="000D22B6">
        <w:rPr>
          <w:i/>
        </w:rPr>
        <w:t>Canada, Local 114</w:t>
      </w:r>
      <w:r w:rsidR="002E05C8" w:rsidRPr="000D22B6">
        <w:t xml:space="preserve"> (2003)</w:t>
      </w:r>
      <w:r w:rsidR="00C301C8" w:rsidRPr="000D22B6">
        <w:t xml:space="preserve">, </w:t>
      </w:r>
      <w:r w:rsidR="0013782B" w:rsidRPr="000D22B6">
        <w:t>99 C.L.R.B.R. (2d) 110</w:t>
      </w:r>
      <w:r w:rsidR="00C301C8" w:rsidRPr="000D22B6">
        <w:t xml:space="preserve">; </w:t>
      </w:r>
      <w:proofErr w:type="spellStart"/>
      <w:r w:rsidR="00C301C8" w:rsidRPr="000D22B6">
        <w:rPr>
          <w:i/>
        </w:rPr>
        <w:t>Lavigne</w:t>
      </w:r>
      <w:proofErr w:type="spellEnd"/>
      <w:r w:rsidR="00C301C8" w:rsidRPr="000D22B6">
        <w:rPr>
          <w:i/>
        </w:rPr>
        <w:t xml:space="preserve"> v. Ontario Public Service Employees Union</w:t>
      </w:r>
      <w:r w:rsidR="00C301C8" w:rsidRPr="000D22B6">
        <w:t xml:space="preserve">, [1991] 2 S.C.R. 211; </w:t>
      </w:r>
      <w:r w:rsidR="00C301C8" w:rsidRPr="000D22B6">
        <w:rPr>
          <w:i/>
        </w:rPr>
        <w:t xml:space="preserve">R. v. Advance Cutting </w:t>
      </w:r>
      <w:r w:rsidR="00B45695" w:rsidRPr="000D22B6">
        <w:rPr>
          <w:i/>
        </w:rPr>
        <w:t>&amp;</w:t>
      </w:r>
      <w:r w:rsidR="00C301C8" w:rsidRPr="000D22B6">
        <w:rPr>
          <w:i/>
        </w:rPr>
        <w:t xml:space="preserve"> Coring Ltd.</w:t>
      </w:r>
      <w:r w:rsidR="00C301C8" w:rsidRPr="000D22B6">
        <w:t xml:space="preserve">, </w:t>
      </w:r>
      <w:r w:rsidR="00B45695" w:rsidRPr="000D22B6">
        <w:t xml:space="preserve">2001 SCC 70, </w:t>
      </w:r>
      <w:r w:rsidR="00C301C8" w:rsidRPr="000D22B6">
        <w:t>[2001] 3 S.C.R. 209.</w:t>
      </w:r>
    </w:p>
    <w:p w:rsidR="001A596C" w:rsidRPr="000D22B6" w:rsidRDefault="008C0F21" w:rsidP="008C0F21">
      <w:pPr>
        <w:pStyle w:val="SCCNormalDoubleSpacing"/>
        <w:keepNext/>
        <w:spacing w:after="720" w:line="240" w:lineRule="auto"/>
      </w:pPr>
      <w:r w:rsidRPr="000D22B6">
        <w:t>By Rothstein </w:t>
      </w:r>
      <w:r w:rsidR="001A596C" w:rsidRPr="000D22B6">
        <w:t>J.</w:t>
      </w:r>
      <w:r w:rsidR="005728E7" w:rsidRPr="000D22B6">
        <w:t xml:space="preserve"> (dissenting in part)</w:t>
      </w:r>
    </w:p>
    <w:p w:rsidR="001A596C" w:rsidRPr="000D22B6" w:rsidRDefault="001A596C" w:rsidP="008C0F21">
      <w:pPr>
        <w:pStyle w:val="SCCNormalDoubleSpacing"/>
        <w:spacing w:before="480" w:after="480"/>
      </w:pPr>
      <w:r w:rsidRPr="000D22B6">
        <w:tab/>
      </w:r>
      <w:r w:rsidR="00223DF8" w:rsidRPr="000D22B6">
        <w:rPr>
          <w:i/>
        </w:rPr>
        <w:t>Public Service Alliance of Canada v. Treasury Board (Canada Border Services Agency)</w:t>
      </w:r>
      <w:r w:rsidR="00223DF8" w:rsidRPr="000D22B6">
        <w:t xml:space="preserve">, 2012 </w:t>
      </w:r>
      <w:r w:rsidR="00B66C3F" w:rsidRPr="000D22B6">
        <w:t>PSLRB</w:t>
      </w:r>
      <w:r w:rsidR="00223DF8" w:rsidRPr="000D22B6">
        <w:t xml:space="preserve"> 58</w:t>
      </w:r>
      <w:r w:rsidR="00B66C3F" w:rsidRPr="000D22B6">
        <w:t xml:space="preserve"> (CanLII)</w:t>
      </w:r>
      <w:r w:rsidR="00223DF8" w:rsidRPr="000D22B6">
        <w:t xml:space="preserve">; </w:t>
      </w:r>
      <w:r w:rsidR="00223DF8" w:rsidRPr="000D22B6">
        <w:rPr>
          <w:i/>
        </w:rPr>
        <w:t>Canadian National Railway Company</w:t>
      </w:r>
      <w:r w:rsidR="00223DF8" w:rsidRPr="000D22B6">
        <w:t xml:space="preserve"> (1994), 95 </w:t>
      </w:r>
      <w:proofErr w:type="spellStart"/>
      <w:r w:rsidR="00223DF8" w:rsidRPr="000D22B6">
        <w:t>di</w:t>
      </w:r>
      <w:proofErr w:type="spellEnd"/>
      <w:r w:rsidR="00223DF8" w:rsidRPr="000D22B6">
        <w:t xml:space="preserve"> 78; </w:t>
      </w:r>
      <w:r w:rsidR="00223DF8" w:rsidRPr="000D22B6">
        <w:rPr>
          <w:i/>
        </w:rPr>
        <w:t>Consolidated Bathurst Packaging Ltd.</w:t>
      </w:r>
      <w:r w:rsidR="00223DF8" w:rsidRPr="000D22B6">
        <w:t>, [1983] OLRB Re</w:t>
      </w:r>
      <w:r w:rsidR="008C0F21" w:rsidRPr="000D22B6">
        <w:t>p. </w:t>
      </w:r>
      <w:r w:rsidR="00223DF8" w:rsidRPr="000D22B6">
        <w:t xml:space="preserve">1411; </w:t>
      </w:r>
      <w:r w:rsidR="00223DF8" w:rsidRPr="000D22B6">
        <w:rPr>
          <w:i/>
        </w:rPr>
        <w:t>CFTO</w:t>
      </w:r>
      <w:r w:rsidR="008C0F21" w:rsidRPr="000D22B6">
        <w:rPr>
          <w:i/>
        </w:rPr>
        <w:noBreakHyphen/>
      </w:r>
      <w:r w:rsidR="00223DF8" w:rsidRPr="000D22B6">
        <w:rPr>
          <w:i/>
        </w:rPr>
        <w:t>TV L</w:t>
      </w:r>
      <w:r w:rsidR="00967E19" w:rsidRPr="000D22B6">
        <w:rPr>
          <w:i/>
        </w:rPr>
        <w:t>imi</w:t>
      </w:r>
      <w:r w:rsidR="00223DF8" w:rsidRPr="000D22B6">
        <w:rPr>
          <w:i/>
        </w:rPr>
        <w:t>t</w:t>
      </w:r>
      <w:r w:rsidR="00967E19" w:rsidRPr="000D22B6">
        <w:rPr>
          <w:i/>
        </w:rPr>
        <w:t>e</w:t>
      </w:r>
      <w:r w:rsidR="00223DF8" w:rsidRPr="000D22B6">
        <w:rPr>
          <w:i/>
        </w:rPr>
        <w:t>d</w:t>
      </w:r>
      <w:r w:rsidR="00223DF8" w:rsidRPr="000D22B6">
        <w:t xml:space="preserve"> (1995), 97 </w:t>
      </w:r>
      <w:proofErr w:type="spellStart"/>
      <w:r w:rsidR="00223DF8" w:rsidRPr="000D22B6">
        <w:t>di</w:t>
      </w:r>
      <w:proofErr w:type="spellEnd"/>
      <w:r w:rsidR="00223DF8" w:rsidRPr="000D22B6">
        <w:t xml:space="preserve"> 35; </w:t>
      </w:r>
      <w:r w:rsidR="00223DF8" w:rsidRPr="000D22B6">
        <w:rPr>
          <w:i/>
        </w:rPr>
        <w:t>Ford Glass L</w:t>
      </w:r>
      <w:r w:rsidR="009A252B" w:rsidRPr="000D22B6">
        <w:rPr>
          <w:i/>
        </w:rPr>
        <w:t>imi</w:t>
      </w:r>
      <w:r w:rsidR="00223DF8" w:rsidRPr="000D22B6">
        <w:rPr>
          <w:i/>
        </w:rPr>
        <w:t>t</w:t>
      </w:r>
      <w:r w:rsidR="009A252B" w:rsidRPr="000D22B6">
        <w:rPr>
          <w:i/>
        </w:rPr>
        <w:t>e</w:t>
      </w:r>
      <w:r w:rsidR="00223DF8" w:rsidRPr="000D22B6">
        <w:rPr>
          <w:i/>
        </w:rPr>
        <w:t>d</w:t>
      </w:r>
      <w:r w:rsidR="00223DF8" w:rsidRPr="000D22B6">
        <w:t>, [1986] OLRB Re</w:t>
      </w:r>
      <w:r w:rsidR="008C0F21" w:rsidRPr="000D22B6">
        <w:t>p. </w:t>
      </w:r>
      <w:r w:rsidR="00223DF8" w:rsidRPr="000D22B6">
        <w:t xml:space="preserve">624; </w:t>
      </w:r>
      <w:r w:rsidR="00223DF8" w:rsidRPr="000D22B6">
        <w:rPr>
          <w:i/>
        </w:rPr>
        <w:lastRenderedPageBreak/>
        <w:t>Canada Post Corporation</w:t>
      </w:r>
      <w:r w:rsidR="00223DF8" w:rsidRPr="000D22B6">
        <w:t xml:space="preserve"> (1994), 96 </w:t>
      </w:r>
      <w:proofErr w:type="spellStart"/>
      <w:r w:rsidR="00223DF8" w:rsidRPr="000D22B6">
        <w:t>di</w:t>
      </w:r>
      <w:proofErr w:type="spellEnd"/>
      <w:r w:rsidR="00223DF8" w:rsidRPr="000D22B6">
        <w:t xml:space="preserve"> 48; </w:t>
      </w:r>
      <w:r w:rsidR="00223DF8" w:rsidRPr="000D22B6">
        <w:rPr>
          <w:i/>
        </w:rPr>
        <w:t>York University</w:t>
      </w:r>
      <w:r w:rsidR="00223DF8" w:rsidRPr="000D22B6">
        <w:t>, [2007] OLRB Re</w:t>
      </w:r>
      <w:r w:rsidR="008C0F21" w:rsidRPr="000D22B6">
        <w:t>p. </w:t>
      </w:r>
      <w:r w:rsidR="00223DF8" w:rsidRPr="000D22B6">
        <w:t xml:space="preserve">659; </w:t>
      </w:r>
      <w:r w:rsidR="00223DF8" w:rsidRPr="000D22B6">
        <w:rPr>
          <w:i/>
        </w:rPr>
        <w:t>R. v. Conway</w:t>
      </w:r>
      <w:r w:rsidR="00223DF8" w:rsidRPr="000D22B6">
        <w:t xml:space="preserve">, 2010 SCC 22, [2010] </w:t>
      </w:r>
      <w:r w:rsidR="00650431" w:rsidRPr="000D22B6">
        <w:t>1 S.C.R. 765</w:t>
      </w:r>
      <w:r w:rsidR="00223DF8" w:rsidRPr="000D22B6">
        <w:t xml:space="preserve">; </w:t>
      </w:r>
      <w:proofErr w:type="spellStart"/>
      <w:r w:rsidR="00223DF8" w:rsidRPr="000D22B6">
        <w:rPr>
          <w:i/>
        </w:rPr>
        <w:t>Quan</w:t>
      </w:r>
      <w:proofErr w:type="spellEnd"/>
      <w:r w:rsidR="00223DF8" w:rsidRPr="000D22B6">
        <w:rPr>
          <w:i/>
        </w:rPr>
        <w:t xml:space="preserve"> v. </w:t>
      </w:r>
      <w:proofErr w:type="spellStart"/>
      <w:r w:rsidR="00223DF8" w:rsidRPr="000D22B6">
        <w:rPr>
          <w:i/>
        </w:rPr>
        <w:t>Cusson</w:t>
      </w:r>
      <w:proofErr w:type="spellEnd"/>
      <w:r w:rsidR="00223DF8" w:rsidRPr="000D22B6">
        <w:t>, 2009 SCC 62, [2009] 3 S.C.R.</w:t>
      </w:r>
      <w:r w:rsidR="00FC729E" w:rsidRPr="000D22B6">
        <w:t xml:space="preserve"> 712</w:t>
      </w:r>
      <w:r w:rsidR="00223DF8" w:rsidRPr="000D22B6">
        <w:t xml:space="preserve">; </w:t>
      </w:r>
      <w:r w:rsidR="00223DF8" w:rsidRPr="000D22B6">
        <w:rPr>
          <w:i/>
        </w:rPr>
        <w:t>Alberta (Information and Privacy Commissioner) v. Alberta Teachers</w:t>
      </w:r>
      <w:r w:rsidR="000D22B6" w:rsidRPr="000D22B6">
        <w:rPr>
          <w:i/>
        </w:rPr>
        <w:t>’</w:t>
      </w:r>
      <w:r w:rsidR="00223DF8" w:rsidRPr="000D22B6">
        <w:rPr>
          <w:i/>
        </w:rPr>
        <w:t xml:space="preserve"> Association</w:t>
      </w:r>
      <w:r w:rsidR="00223DF8" w:rsidRPr="000D22B6">
        <w:t>, 2011 SCC 61, [2011] 3 S.C.R.</w:t>
      </w:r>
      <w:r w:rsidR="00FC729E" w:rsidRPr="000D22B6">
        <w:t xml:space="preserve"> 654</w:t>
      </w:r>
      <w:r w:rsidR="00223DF8" w:rsidRPr="000D22B6">
        <w:t xml:space="preserve">; </w:t>
      </w:r>
      <w:proofErr w:type="spellStart"/>
      <w:r w:rsidR="008F6566" w:rsidRPr="000D22B6">
        <w:rPr>
          <w:i/>
        </w:rPr>
        <w:t>Lavigne</w:t>
      </w:r>
      <w:proofErr w:type="spellEnd"/>
      <w:r w:rsidR="008F6566" w:rsidRPr="000D22B6">
        <w:rPr>
          <w:i/>
        </w:rPr>
        <w:t xml:space="preserve"> v. Ontario Public Service Employees Union</w:t>
      </w:r>
      <w:r w:rsidR="008F6566" w:rsidRPr="000D22B6">
        <w:t xml:space="preserve">, [1991] 2 S.C.R. 211; </w:t>
      </w:r>
      <w:r w:rsidR="00223DF8" w:rsidRPr="000D22B6">
        <w:rPr>
          <w:i/>
        </w:rPr>
        <w:t>R. v. Advance Cutting &amp; Coring Ltd.</w:t>
      </w:r>
      <w:r w:rsidR="00223DF8" w:rsidRPr="000D22B6">
        <w:t xml:space="preserve">, 2001 SCC 70, [2001] 3 S.C.R. 209; </w:t>
      </w:r>
      <w:r w:rsidR="00223DF8" w:rsidRPr="000D22B6">
        <w:rPr>
          <w:i/>
        </w:rPr>
        <w:t>R</w:t>
      </w:r>
      <w:r w:rsidR="000E3C47" w:rsidRPr="000D22B6">
        <w:rPr>
          <w:i/>
        </w:rPr>
        <w:t>.</w:t>
      </w:r>
      <w:r w:rsidR="00223DF8" w:rsidRPr="000D22B6">
        <w:rPr>
          <w:i/>
        </w:rPr>
        <w:t>W</w:t>
      </w:r>
      <w:r w:rsidR="000E3C47" w:rsidRPr="000D22B6">
        <w:rPr>
          <w:i/>
        </w:rPr>
        <w:t>.</w:t>
      </w:r>
      <w:r w:rsidR="00223DF8" w:rsidRPr="000D22B6">
        <w:rPr>
          <w:i/>
        </w:rPr>
        <w:t>D</w:t>
      </w:r>
      <w:r w:rsidR="000E3C47" w:rsidRPr="000D22B6">
        <w:rPr>
          <w:i/>
        </w:rPr>
        <w:t>.</w:t>
      </w:r>
      <w:r w:rsidR="00223DF8" w:rsidRPr="000D22B6">
        <w:rPr>
          <w:i/>
        </w:rPr>
        <w:t>S</w:t>
      </w:r>
      <w:r w:rsidR="000E3C47" w:rsidRPr="000D22B6">
        <w:rPr>
          <w:i/>
        </w:rPr>
        <w:t>.</w:t>
      </w:r>
      <w:r w:rsidR="00223DF8" w:rsidRPr="000D22B6">
        <w:rPr>
          <w:i/>
        </w:rPr>
        <w:t>U</w:t>
      </w:r>
      <w:r w:rsidR="000E3C47" w:rsidRPr="000D22B6">
        <w:rPr>
          <w:i/>
        </w:rPr>
        <w:t>.</w:t>
      </w:r>
      <w:r w:rsidR="00223DF8" w:rsidRPr="000D22B6">
        <w:rPr>
          <w:i/>
        </w:rPr>
        <w:t>, Local 558 v. Pepsi</w:t>
      </w:r>
      <w:r w:rsidR="008C0F21" w:rsidRPr="000D22B6">
        <w:rPr>
          <w:i/>
        </w:rPr>
        <w:noBreakHyphen/>
      </w:r>
      <w:r w:rsidR="00223DF8" w:rsidRPr="000D22B6">
        <w:rPr>
          <w:i/>
        </w:rPr>
        <w:t>Cola Canada Beverages (West) Ltd.</w:t>
      </w:r>
      <w:r w:rsidR="00223DF8" w:rsidRPr="000D22B6">
        <w:t>, 2002 SCC 8, [2002] 1 S.C.R.</w:t>
      </w:r>
      <w:r w:rsidR="000E3C47" w:rsidRPr="000D22B6">
        <w:t xml:space="preserve"> 156</w:t>
      </w:r>
      <w:r w:rsidR="00223DF8" w:rsidRPr="000D22B6">
        <w:t xml:space="preserve">; </w:t>
      </w:r>
      <w:r w:rsidR="00223DF8" w:rsidRPr="000D22B6">
        <w:rPr>
          <w:i/>
        </w:rPr>
        <w:t>R. v. Cole</w:t>
      </w:r>
      <w:r w:rsidR="00223DF8" w:rsidRPr="000D22B6">
        <w:t>, 2012 SCC 53, [2012] 3 S.C.R.</w:t>
      </w:r>
      <w:r w:rsidR="00A35E53" w:rsidRPr="000D22B6">
        <w:t xml:space="preserve"> 34</w:t>
      </w:r>
      <w:r w:rsidR="00223DF8" w:rsidRPr="000D22B6">
        <w:t xml:space="preserve">; </w:t>
      </w:r>
      <w:r w:rsidR="00223DF8" w:rsidRPr="000D22B6">
        <w:rPr>
          <w:i/>
        </w:rPr>
        <w:t>R. v. Plant</w:t>
      </w:r>
      <w:r w:rsidR="00223DF8" w:rsidRPr="000D22B6">
        <w:t xml:space="preserve">, [1993] 3 S.C.R. 281; </w:t>
      </w:r>
      <w:r w:rsidR="00223DF8" w:rsidRPr="000D22B6">
        <w:rPr>
          <w:i/>
        </w:rPr>
        <w:t xml:space="preserve">R. v. </w:t>
      </w:r>
      <w:proofErr w:type="spellStart"/>
      <w:r w:rsidR="00223DF8" w:rsidRPr="000D22B6">
        <w:rPr>
          <w:i/>
        </w:rPr>
        <w:t>Dyment</w:t>
      </w:r>
      <w:proofErr w:type="spellEnd"/>
      <w:r w:rsidR="00223DF8" w:rsidRPr="000D22B6">
        <w:t>, [1988] 2 S.C.R. 417.</w:t>
      </w:r>
    </w:p>
    <w:p w:rsidR="003B215F" w:rsidRPr="000D22B6" w:rsidRDefault="002E6705" w:rsidP="008C0F21">
      <w:pPr>
        <w:pStyle w:val="SCCNormalDoubleSpacing"/>
        <w:keepNext/>
        <w:spacing w:after="720" w:line="240" w:lineRule="auto"/>
      </w:pPr>
      <w:r w:rsidRPr="000D22B6">
        <w:rPr>
          <w:b/>
        </w:rPr>
        <w:t>Statutes and Regulations Cite</w:t>
      </w:r>
      <w:r w:rsidR="00A41805" w:rsidRPr="000D22B6">
        <w:rPr>
          <w:b/>
        </w:rPr>
        <w:t>d</w:t>
      </w:r>
    </w:p>
    <w:p w:rsidR="00C301C8" w:rsidRPr="000D22B6" w:rsidRDefault="00C301C8" w:rsidP="008C0F21">
      <w:pPr>
        <w:pStyle w:val="SCCNormalDoubleSpacing"/>
        <w:spacing w:after="240" w:line="240" w:lineRule="auto"/>
        <w:ind w:left="547" w:hanging="547"/>
      </w:pPr>
      <w:proofErr w:type="gramStart"/>
      <w:r w:rsidRPr="000D22B6">
        <w:rPr>
          <w:i/>
        </w:rPr>
        <w:t>Canadian Charter of Rights and Freedoms</w:t>
      </w:r>
      <w:r w:rsidRPr="000D22B6">
        <w:t xml:space="preserve">, </w:t>
      </w:r>
      <w:r w:rsidR="008C0F21" w:rsidRPr="000D22B6">
        <w:t>ss. </w:t>
      </w:r>
      <w:r w:rsidRPr="000D22B6">
        <w:t>2(</w:t>
      </w:r>
      <w:r w:rsidRPr="000D22B6">
        <w:rPr>
          <w:i/>
        </w:rPr>
        <w:t>d</w:t>
      </w:r>
      <w:r w:rsidRPr="000D22B6">
        <w:t>)</w:t>
      </w:r>
      <w:r w:rsidR="001A596C" w:rsidRPr="000D22B6">
        <w:t>, 8</w:t>
      </w:r>
      <w:r w:rsidRPr="000D22B6">
        <w:t>.</w:t>
      </w:r>
      <w:proofErr w:type="gramEnd"/>
    </w:p>
    <w:p w:rsidR="00A149DF" w:rsidRPr="000D22B6" w:rsidRDefault="00C301C8" w:rsidP="008C0F21">
      <w:pPr>
        <w:pStyle w:val="SCCNormalDoubleSpacing"/>
        <w:spacing w:after="240" w:line="240" w:lineRule="auto"/>
        <w:ind w:left="547" w:hanging="547"/>
      </w:pPr>
      <w:r w:rsidRPr="000D22B6">
        <w:rPr>
          <w:i/>
        </w:rPr>
        <w:t>Privacy Act</w:t>
      </w:r>
      <w:r w:rsidR="008C0F21" w:rsidRPr="000D22B6">
        <w:t>, R.S.C. 1985, c. </w:t>
      </w:r>
      <w:r w:rsidRPr="000D22B6">
        <w:t>P</w:t>
      </w:r>
      <w:r w:rsidR="008C0F21" w:rsidRPr="000D22B6">
        <w:noBreakHyphen/>
      </w:r>
      <w:r w:rsidRPr="000D22B6">
        <w:t>21</w:t>
      </w:r>
      <w:r w:rsidR="008C0F21" w:rsidRPr="000D22B6">
        <w:t>, s. </w:t>
      </w:r>
      <w:r w:rsidRPr="000D22B6">
        <w:t>8(2</w:t>
      </w:r>
      <w:proofErr w:type="gramStart"/>
      <w:r w:rsidRPr="000D22B6">
        <w:t>)(</w:t>
      </w:r>
      <w:proofErr w:type="gramEnd"/>
      <w:r w:rsidRPr="000D22B6">
        <w:rPr>
          <w:i/>
        </w:rPr>
        <w:t>a</w:t>
      </w:r>
      <w:r w:rsidRPr="000D22B6">
        <w:t>).</w:t>
      </w:r>
    </w:p>
    <w:p w:rsidR="00C301C8" w:rsidRPr="000D22B6" w:rsidRDefault="00C301C8" w:rsidP="008C0F21">
      <w:pPr>
        <w:pStyle w:val="SCCNormalDoubleSpacing"/>
        <w:spacing w:after="720" w:line="240" w:lineRule="auto"/>
        <w:ind w:left="547" w:hanging="547"/>
      </w:pPr>
      <w:r w:rsidRPr="000D22B6">
        <w:rPr>
          <w:i/>
        </w:rPr>
        <w:t>Public Service Labour Relations Act</w:t>
      </w:r>
      <w:r w:rsidRPr="000D22B6">
        <w:t>, S.C. 2003, c.</w:t>
      </w:r>
      <w:r w:rsidR="008C0F21" w:rsidRPr="000D22B6">
        <w:t> </w:t>
      </w:r>
      <w:r w:rsidRPr="000D22B6">
        <w:t>22</w:t>
      </w:r>
      <w:r w:rsidR="002C11EA" w:rsidRPr="000D22B6">
        <w:t xml:space="preserve"> [as en. by </w:t>
      </w:r>
      <w:r w:rsidR="002C11EA" w:rsidRPr="000D22B6">
        <w:rPr>
          <w:i/>
        </w:rPr>
        <w:t>Public Service Modernization Act</w:t>
      </w:r>
      <w:r w:rsidR="008C0F21" w:rsidRPr="000D22B6">
        <w:t>, S.C. 2003, c. </w:t>
      </w:r>
      <w:r w:rsidR="002C11EA" w:rsidRPr="000D22B6">
        <w:t>22, s.</w:t>
      </w:r>
      <w:r w:rsidR="008C0F21" w:rsidRPr="000D22B6">
        <w:t> </w:t>
      </w:r>
      <w:r w:rsidR="002C11EA" w:rsidRPr="000D22B6">
        <w:t>2]</w:t>
      </w:r>
      <w:r w:rsidRPr="000D22B6">
        <w:t xml:space="preserve">, </w:t>
      </w:r>
      <w:r w:rsidR="008C0F21" w:rsidRPr="000D22B6">
        <w:t>ss. </w:t>
      </w:r>
      <w:r w:rsidR="001A596C" w:rsidRPr="000D22B6">
        <w:t xml:space="preserve">36, 42, </w:t>
      </w:r>
      <w:r w:rsidRPr="000D22B6">
        <w:t>183, 184, 185, 186(1)(</w:t>
      </w:r>
      <w:r w:rsidRPr="000D22B6">
        <w:rPr>
          <w:i/>
        </w:rPr>
        <w:t>a</w:t>
      </w:r>
      <w:r w:rsidRPr="000D22B6">
        <w:t>)</w:t>
      </w:r>
      <w:r w:rsidR="001A596C" w:rsidRPr="000D22B6">
        <w:t>, 190(1)(</w:t>
      </w:r>
      <w:r w:rsidR="001A596C" w:rsidRPr="000D22B6">
        <w:rPr>
          <w:i/>
        </w:rPr>
        <w:t>b</w:t>
      </w:r>
      <w:r w:rsidR="001A596C" w:rsidRPr="000D22B6">
        <w:t>), (</w:t>
      </w:r>
      <w:r w:rsidR="001A596C" w:rsidRPr="000D22B6">
        <w:rPr>
          <w:i/>
        </w:rPr>
        <w:t>g</w:t>
      </w:r>
      <w:r w:rsidR="001A596C" w:rsidRPr="000D22B6">
        <w:t>)</w:t>
      </w:r>
      <w:r w:rsidRPr="000D22B6">
        <w:t>.</w:t>
      </w:r>
    </w:p>
    <w:p w:rsidR="00656313" w:rsidRPr="000D22B6" w:rsidRDefault="00F25E80" w:rsidP="008C0F21">
      <w:pPr>
        <w:pStyle w:val="SCCNormalDoubleSpacing"/>
        <w:spacing w:before="480" w:after="480"/>
      </w:pPr>
      <w:r w:rsidRPr="000D22B6">
        <w:tab/>
      </w:r>
      <w:r w:rsidR="009B57B3" w:rsidRPr="000D22B6">
        <w:t>APPEAL from a judgment of the Federal Court of Appeal</w:t>
      </w:r>
      <w:r w:rsidRPr="000D22B6">
        <w:t xml:space="preserve"> (Blais</w:t>
      </w:r>
      <w:r w:rsidR="008C0F21" w:rsidRPr="000D22B6">
        <w:t> </w:t>
      </w:r>
      <w:r w:rsidRPr="000D22B6">
        <w:t>C.J.</w:t>
      </w:r>
      <w:r w:rsidR="00E848BA" w:rsidRPr="000D22B6">
        <w:t xml:space="preserve"> and</w:t>
      </w:r>
      <w:r w:rsidRPr="000D22B6">
        <w:t xml:space="preserve"> Evans and </w:t>
      </w:r>
      <w:proofErr w:type="spellStart"/>
      <w:r w:rsidRPr="000D22B6">
        <w:t>Sharlow</w:t>
      </w:r>
      <w:proofErr w:type="spellEnd"/>
      <w:r w:rsidR="008C0F21" w:rsidRPr="000D22B6">
        <w:t> </w:t>
      </w:r>
      <w:r w:rsidRPr="000D22B6">
        <w:t xml:space="preserve">JJ.A.), 2012 FCA 92, </w:t>
      </w:r>
      <w:r w:rsidR="00D96B95" w:rsidRPr="000D22B6">
        <w:t xml:space="preserve">431 N.R. 317, </w:t>
      </w:r>
      <w:r w:rsidRPr="000D22B6">
        <w:t xml:space="preserve">347 D.L.R. (4th) 577, [2012] F.C.J. </w:t>
      </w:r>
      <w:r w:rsidR="008C0F21" w:rsidRPr="000D22B6">
        <w:t>No. </w:t>
      </w:r>
      <w:r w:rsidRPr="000D22B6">
        <w:t xml:space="preserve">467 (QL), 2012 </w:t>
      </w:r>
      <w:proofErr w:type="spellStart"/>
      <w:r w:rsidRPr="000D22B6">
        <w:t>CarswellNat</w:t>
      </w:r>
      <w:proofErr w:type="spellEnd"/>
      <w:r w:rsidRPr="000D22B6">
        <w:t xml:space="preserve"> 1077, </w:t>
      </w:r>
      <w:r w:rsidR="0013782B" w:rsidRPr="000D22B6">
        <w:t>affirming</w:t>
      </w:r>
      <w:r w:rsidRPr="000D22B6">
        <w:t xml:space="preserve"> a decision of </w:t>
      </w:r>
      <w:r w:rsidR="00AD3C17" w:rsidRPr="000D22B6">
        <w:t xml:space="preserve">the </w:t>
      </w:r>
      <w:r w:rsidR="00426FC7" w:rsidRPr="000D22B6">
        <w:t>Public Service Labour Relations Board</w:t>
      </w:r>
      <w:r w:rsidRPr="000D22B6">
        <w:t xml:space="preserve">, 2011 PSLRB 34, [2011] C.P.S.L.R.B. </w:t>
      </w:r>
      <w:r w:rsidR="008C0F21" w:rsidRPr="000D22B6">
        <w:t>No. </w:t>
      </w:r>
      <w:r w:rsidRPr="000D22B6">
        <w:t xml:space="preserve">36 (QL), 2011 </w:t>
      </w:r>
      <w:proofErr w:type="spellStart"/>
      <w:r w:rsidRPr="000D22B6">
        <w:t>CarswellNat</w:t>
      </w:r>
      <w:proofErr w:type="spellEnd"/>
      <w:r w:rsidRPr="000D22B6">
        <w:t xml:space="preserve"> 1296. </w:t>
      </w:r>
      <w:r w:rsidR="00E848BA" w:rsidRPr="000D22B6">
        <w:t xml:space="preserve"> Appeal </w:t>
      </w:r>
      <w:r w:rsidR="00B17FA1" w:rsidRPr="000D22B6">
        <w:t>dismissed</w:t>
      </w:r>
      <w:r w:rsidR="005728E7" w:rsidRPr="000D22B6">
        <w:t xml:space="preserve">, Rothstein </w:t>
      </w:r>
      <w:r w:rsidR="008C0F21" w:rsidRPr="000D22B6">
        <w:t xml:space="preserve">and </w:t>
      </w:r>
      <w:proofErr w:type="spellStart"/>
      <w:r w:rsidR="008C0F21" w:rsidRPr="000D22B6">
        <w:t>Moldaver</w:t>
      </w:r>
      <w:proofErr w:type="spellEnd"/>
      <w:r w:rsidR="008C0F21" w:rsidRPr="000D22B6">
        <w:t> </w:t>
      </w:r>
      <w:r w:rsidR="00B17FA1" w:rsidRPr="000D22B6">
        <w:t>J</w:t>
      </w:r>
      <w:r w:rsidR="005728E7" w:rsidRPr="000D22B6">
        <w:t xml:space="preserve">J. </w:t>
      </w:r>
      <w:proofErr w:type="gramStart"/>
      <w:r w:rsidR="005728E7" w:rsidRPr="000D22B6">
        <w:t>dissenting</w:t>
      </w:r>
      <w:proofErr w:type="gramEnd"/>
      <w:r w:rsidR="005728E7" w:rsidRPr="000D22B6">
        <w:t xml:space="preserve"> in part</w:t>
      </w:r>
      <w:r w:rsidR="00E848BA" w:rsidRPr="000D22B6">
        <w:t>.</w:t>
      </w:r>
    </w:p>
    <w:p w:rsidR="007950E0" w:rsidRPr="000D22B6" w:rsidRDefault="007950E0" w:rsidP="008C0F21">
      <w:pPr>
        <w:pStyle w:val="SCCNormalDoubleSpacing"/>
        <w:spacing w:before="480" w:after="480"/>
      </w:pPr>
      <w:r w:rsidRPr="00F841DE">
        <w:rPr>
          <w:i/>
        </w:rPr>
        <w:tab/>
        <w:t>Elizabeth Bernard</w:t>
      </w:r>
      <w:r w:rsidRPr="000D22B6">
        <w:t>, on her own behalf.</w:t>
      </w:r>
    </w:p>
    <w:p w:rsidR="00636568" w:rsidRPr="000D22B6" w:rsidRDefault="008C0F21" w:rsidP="008C0F21">
      <w:pPr>
        <w:pStyle w:val="SCCNormalDoubleSpacing"/>
        <w:spacing w:before="480" w:after="480"/>
      </w:pPr>
      <w:r w:rsidRPr="00F841DE">
        <w:rPr>
          <w:i/>
        </w:rPr>
        <w:lastRenderedPageBreak/>
        <w:tab/>
      </w:r>
      <w:proofErr w:type="gramStart"/>
      <w:r w:rsidRPr="00F841DE">
        <w:rPr>
          <w:i/>
        </w:rPr>
        <w:t>Anne </w:t>
      </w:r>
      <w:r w:rsidR="007950E0" w:rsidRPr="00F841DE">
        <w:rPr>
          <w:i/>
        </w:rPr>
        <w:t xml:space="preserve">M. </w:t>
      </w:r>
      <w:r w:rsidR="000D5D71" w:rsidRPr="00F841DE">
        <w:rPr>
          <w:i/>
        </w:rPr>
        <w:t>Turley</w:t>
      </w:r>
      <w:r w:rsidR="000D5D71" w:rsidRPr="000D22B6">
        <w:t>, for the respondent</w:t>
      </w:r>
      <w:r w:rsidR="007950E0" w:rsidRPr="000D22B6">
        <w:t xml:space="preserve"> </w:t>
      </w:r>
      <w:r w:rsidR="00E848BA" w:rsidRPr="000D22B6">
        <w:t>the Attorney General of Canada</w:t>
      </w:r>
      <w:r w:rsidR="000D5D71" w:rsidRPr="000D22B6">
        <w:t>.</w:t>
      </w:r>
      <w:proofErr w:type="gramEnd"/>
    </w:p>
    <w:p w:rsidR="00636568" w:rsidRPr="000D22B6" w:rsidRDefault="008C0F21" w:rsidP="008C0F21">
      <w:pPr>
        <w:pStyle w:val="SCCNormalDoubleSpacing"/>
        <w:spacing w:before="480" w:after="480"/>
      </w:pPr>
      <w:r w:rsidRPr="00F841DE">
        <w:rPr>
          <w:i/>
        </w:rPr>
        <w:tab/>
      </w:r>
      <w:proofErr w:type="gramStart"/>
      <w:r w:rsidRPr="00F841DE">
        <w:rPr>
          <w:i/>
        </w:rPr>
        <w:t>Peter </w:t>
      </w:r>
      <w:r w:rsidR="000D5D71" w:rsidRPr="00F841DE">
        <w:rPr>
          <w:i/>
        </w:rPr>
        <w:t>C. Engelmann</w:t>
      </w:r>
      <w:r w:rsidR="000D5D71" w:rsidRPr="000D22B6">
        <w:t xml:space="preserve">, </w:t>
      </w:r>
      <w:r w:rsidR="000D5D71" w:rsidRPr="00F841DE">
        <w:rPr>
          <w:i/>
        </w:rPr>
        <w:t>Colleen Bauman</w:t>
      </w:r>
      <w:r w:rsidR="000D5D71" w:rsidRPr="000D22B6">
        <w:t xml:space="preserve"> and </w:t>
      </w:r>
      <w:r w:rsidR="000D5D71" w:rsidRPr="00F841DE">
        <w:rPr>
          <w:i/>
        </w:rPr>
        <w:t>Isabelle</w:t>
      </w:r>
      <w:r w:rsidR="007950E0" w:rsidRPr="00F841DE">
        <w:rPr>
          <w:i/>
        </w:rPr>
        <w:t xml:space="preserve"> </w:t>
      </w:r>
      <w:r w:rsidR="000D5D71" w:rsidRPr="00F841DE">
        <w:rPr>
          <w:i/>
        </w:rPr>
        <w:t>Roy</w:t>
      </w:r>
      <w:r w:rsidR="000D5D71" w:rsidRPr="000D22B6">
        <w:t>, for the respondent</w:t>
      </w:r>
      <w:r w:rsidR="00884A80" w:rsidRPr="000D22B6">
        <w:t xml:space="preserve"> the Professional Institute of the Public Service of Canada</w:t>
      </w:r>
      <w:r w:rsidR="000D5D71" w:rsidRPr="000D22B6">
        <w:t>.</w:t>
      </w:r>
      <w:proofErr w:type="gramEnd"/>
    </w:p>
    <w:p w:rsidR="009E5B4B" w:rsidRPr="000D22B6" w:rsidRDefault="009E5B4B" w:rsidP="009E5B4B">
      <w:pPr>
        <w:pStyle w:val="SCCNormalDoubleSpacing"/>
        <w:spacing w:before="480" w:after="480"/>
      </w:pPr>
      <w:r w:rsidRPr="00F841DE">
        <w:rPr>
          <w:i/>
        </w:rPr>
        <w:tab/>
      </w:r>
      <w:proofErr w:type="gramStart"/>
      <w:r w:rsidRPr="00F841DE">
        <w:rPr>
          <w:i/>
        </w:rPr>
        <w:t xml:space="preserve">Michael A. </w:t>
      </w:r>
      <w:proofErr w:type="spellStart"/>
      <w:r w:rsidRPr="00F841DE">
        <w:rPr>
          <w:i/>
        </w:rPr>
        <w:t>Feder</w:t>
      </w:r>
      <w:proofErr w:type="spellEnd"/>
      <w:r w:rsidRPr="000D22B6">
        <w:t xml:space="preserve"> and </w:t>
      </w:r>
      <w:r w:rsidRPr="00F841DE">
        <w:rPr>
          <w:i/>
        </w:rPr>
        <w:t>Angela M. Juba</w:t>
      </w:r>
      <w:r w:rsidRPr="000D22B6">
        <w:t xml:space="preserve">, </w:t>
      </w:r>
      <w:r w:rsidR="00AC3AFE" w:rsidRPr="000D22B6">
        <w:t>for the</w:t>
      </w:r>
      <w:r w:rsidRPr="000D22B6">
        <w:t xml:space="preserve"> </w:t>
      </w:r>
      <w:r w:rsidRPr="000D22B6">
        <w:rPr>
          <w:i/>
        </w:rPr>
        <w:t>amicus curiae</w:t>
      </w:r>
      <w:r w:rsidRPr="000D22B6">
        <w:t>.</w:t>
      </w:r>
      <w:proofErr w:type="gramEnd"/>
    </w:p>
    <w:p w:rsidR="00636568" w:rsidRPr="000D22B6" w:rsidRDefault="000D5D71" w:rsidP="008C0F21">
      <w:pPr>
        <w:pStyle w:val="SCCNormalDoubleSpacing"/>
        <w:spacing w:before="480" w:after="480"/>
      </w:pPr>
      <w:r w:rsidRPr="00F841DE">
        <w:rPr>
          <w:i/>
        </w:rPr>
        <w:tab/>
      </w:r>
      <w:proofErr w:type="gramStart"/>
      <w:r w:rsidRPr="00F841DE">
        <w:rPr>
          <w:i/>
        </w:rPr>
        <w:t>S.</w:t>
      </w:r>
      <w:r w:rsidR="008C0F21" w:rsidRPr="00F841DE">
        <w:rPr>
          <w:i/>
        </w:rPr>
        <w:t> </w:t>
      </w:r>
      <w:r w:rsidRPr="00F841DE">
        <w:rPr>
          <w:i/>
        </w:rPr>
        <w:t>Zachary Green</w:t>
      </w:r>
      <w:r w:rsidRPr="000D22B6">
        <w:t xml:space="preserve">, for the intervener </w:t>
      </w:r>
      <w:r w:rsidR="004F7689" w:rsidRPr="000D22B6">
        <w:t xml:space="preserve">the </w:t>
      </w:r>
      <w:r w:rsidRPr="000D22B6">
        <w:t>Attorney General of Ontario.</w:t>
      </w:r>
      <w:proofErr w:type="gramEnd"/>
    </w:p>
    <w:p w:rsidR="00636568" w:rsidRPr="000D22B6" w:rsidRDefault="000D5D71" w:rsidP="008C0F21">
      <w:pPr>
        <w:pStyle w:val="SCCNormalDoubleSpacing"/>
        <w:spacing w:before="480" w:after="480"/>
      </w:pPr>
      <w:r w:rsidRPr="00F841DE">
        <w:rPr>
          <w:i/>
        </w:rPr>
        <w:tab/>
      </w:r>
      <w:proofErr w:type="gramStart"/>
      <w:r w:rsidRPr="00F841DE">
        <w:rPr>
          <w:i/>
        </w:rPr>
        <w:t>Keith Evans</w:t>
      </w:r>
      <w:r w:rsidRPr="000D22B6">
        <w:t xml:space="preserve">, for the intervener </w:t>
      </w:r>
      <w:r w:rsidR="00DF68AA" w:rsidRPr="000D22B6">
        <w:t xml:space="preserve">the </w:t>
      </w:r>
      <w:r w:rsidRPr="000D22B6">
        <w:t>Attorney General of British Columbia.</w:t>
      </w:r>
      <w:proofErr w:type="gramEnd"/>
    </w:p>
    <w:p w:rsidR="00636568" w:rsidRPr="000D22B6" w:rsidRDefault="000D5D71" w:rsidP="008C0F21">
      <w:pPr>
        <w:pStyle w:val="SCCNormalDoubleSpacing"/>
        <w:spacing w:before="480" w:after="480"/>
      </w:pPr>
      <w:r w:rsidRPr="00F841DE">
        <w:rPr>
          <w:i/>
        </w:rPr>
        <w:tab/>
      </w:r>
      <w:proofErr w:type="gramStart"/>
      <w:r w:rsidR="008C0F21" w:rsidRPr="00F841DE">
        <w:rPr>
          <w:i/>
        </w:rPr>
        <w:t>Roderick </w:t>
      </w:r>
      <w:r w:rsidR="00DF68AA" w:rsidRPr="00F841DE">
        <w:rPr>
          <w:i/>
        </w:rPr>
        <w:t xml:space="preserve">S. </w:t>
      </w:r>
      <w:r w:rsidRPr="00F841DE">
        <w:rPr>
          <w:i/>
        </w:rPr>
        <w:t>Wiltshire</w:t>
      </w:r>
      <w:r w:rsidRPr="000D22B6">
        <w:t xml:space="preserve">, for the intervener </w:t>
      </w:r>
      <w:r w:rsidR="00DF68AA" w:rsidRPr="000D22B6">
        <w:t xml:space="preserve">the </w:t>
      </w:r>
      <w:r w:rsidRPr="000D22B6">
        <w:t>Attorney General of Alberta.</w:t>
      </w:r>
      <w:proofErr w:type="gramEnd"/>
    </w:p>
    <w:p w:rsidR="00DF68AA" w:rsidRPr="000D22B6" w:rsidRDefault="00DF68AA" w:rsidP="008C0F21">
      <w:pPr>
        <w:pStyle w:val="SCCNormalDoubleSpacing"/>
        <w:spacing w:before="480" w:after="480"/>
      </w:pPr>
      <w:r w:rsidRPr="00F841DE">
        <w:rPr>
          <w:i/>
        </w:rPr>
        <w:tab/>
      </w:r>
      <w:proofErr w:type="gramStart"/>
      <w:r w:rsidRPr="00F841DE">
        <w:rPr>
          <w:i/>
        </w:rPr>
        <w:t>Andrew Raven</w:t>
      </w:r>
      <w:r w:rsidRPr="000D22B6">
        <w:t>, for the intervener the Public Service Alliance of Canada.</w:t>
      </w:r>
      <w:proofErr w:type="gramEnd"/>
    </w:p>
    <w:p w:rsidR="00636568" w:rsidRPr="000D22B6" w:rsidRDefault="000D5D71" w:rsidP="008C0F21">
      <w:pPr>
        <w:pStyle w:val="SCCNormalDoubleSpacing"/>
        <w:spacing w:before="480" w:after="480"/>
      </w:pPr>
      <w:r w:rsidRPr="00F841DE">
        <w:rPr>
          <w:i/>
        </w:rPr>
        <w:tab/>
      </w:r>
      <w:proofErr w:type="gramStart"/>
      <w:r w:rsidRPr="00F841DE">
        <w:rPr>
          <w:i/>
        </w:rPr>
        <w:t>Eugene Meehan</w:t>
      </w:r>
      <w:r w:rsidRPr="00760603">
        <w:t xml:space="preserve">, </w:t>
      </w:r>
      <w:r w:rsidRPr="00F841DE">
        <w:rPr>
          <w:i/>
        </w:rPr>
        <w:t>Q.C.</w:t>
      </w:r>
      <w:r w:rsidRPr="000D22B6">
        <w:t xml:space="preserve">, </w:t>
      </w:r>
      <w:r w:rsidRPr="00F841DE">
        <w:rPr>
          <w:i/>
        </w:rPr>
        <w:t xml:space="preserve">Patricia </w:t>
      </w:r>
      <w:proofErr w:type="spellStart"/>
      <w:r w:rsidRPr="00F841DE">
        <w:rPr>
          <w:i/>
        </w:rPr>
        <w:t>Kosseim</w:t>
      </w:r>
      <w:proofErr w:type="spellEnd"/>
      <w:r w:rsidRPr="000D22B6">
        <w:t xml:space="preserve"> and </w:t>
      </w:r>
      <w:r w:rsidRPr="00F841DE">
        <w:rPr>
          <w:i/>
        </w:rPr>
        <w:t>Kate Wilson</w:t>
      </w:r>
      <w:r w:rsidRPr="000D22B6">
        <w:t xml:space="preserve">, for the intervener </w:t>
      </w:r>
      <w:r w:rsidR="006A6B59" w:rsidRPr="000D22B6">
        <w:t xml:space="preserve">the </w:t>
      </w:r>
      <w:r w:rsidRPr="000D22B6">
        <w:t>Privacy Commissioner of Canada.</w:t>
      </w:r>
      <w:proofErr w:type="gramEnd"/>
    </w:p>
    <w:p w:rsidR="00636568" w:rsidRPr="000D22B6" w:rsidRDefault="000D5D71" w:rsidP="008C0F21">
      <w:pPr>
        <w:pStyle w:val="SCCNormalDoubleSpacing"/>
        <w:spacing w:before="480" w:after="480"/>
      </w:pPr>
      <w:r w:rsidRPr="00F841DE">
        <w:rPr>
          <w:i/>
        </w:rPr>
        <w:tab/>
      </w:r>
      <w:proofErr w:type="gramStart"/>
      <w:r w:rsidR="00B91673" w:rsidRPr="00760603">
        <w:t xml:space="preserve">Written submissions only by </w:t>
      </w:r>
      <w:r w:rsidR="008C0F21" w:rsidRPr="00F841DE">
        <w:rPr>
          <w:i/>
        </w:rPr>
        <w:t>Hugh </w:t>
      </w:r>
      <w:r w:rsidRPr="00F841DE">
        <w:rPr>
          <w:i/>
        </w:rPr>
        <w:t>J.</w:t>
      </w:r>
      <w:r w:rsidR="00AD3C17" w:rsidRPr="00F841DE">
        <w:rPr>
          <w:i/>
        </w:rPr>
        <w:t> </w:t>
      </w:r>
      <w:r w:rsidRPr="00F841DE">
        <w:rPr>
          <w:i/>
        </w:rPr>
        <w:t xml:space="preserve">D. </w:t>
      </w:r>
      <w:proofErr w:type="spellStart"/>
      <w:r w:rsidRPr="00F841DE">
        <w:rPr>
          <w:i/>
        </w:rPr>
        <w:t>McPhail</w:t>
      </w:r>
      <w:proofErr w:type="spellEnd"/>
      <w:r w:rsidRPr="00010DE2">
        <w:t>,</w:t>
      </w:r>
      <w:r w:rsidRPr="00F841DE">
        <w:rPr>
          <w:i/>
        </w:rPr>
        <w:t xml:space="preserve"> Q.C.</w:t>
      </w:r>
      <w:r w:rsidRPr="000D22B6">
        <w:t xml:space="preserve">, for the intervener </w:t>
      </w:r>
      <w:r w:rsidR="00B91673" w:rsidRPr="000D22B6">
        <w:t xml:space="preserve">the </w:t>
      </w:r>
      <w:r w:rsidRPr="000D22B6">
        <w:t>Canadian Association of Counsel to Employers.</w:t>
      </w:r>
      <w:proofErr w:type="gramEnd"/>
    </w:p>
    <w:p w:rsidR="00636568" w:rsidRPr="000D22B6" w:rsidRDefault="000D5D71" w:rsidP="008C0F21">
      <w:pPr>
        <w:pStyle w:val="SCCNormalDoubleSpacing"/>
        <w:spacing w:before="480" w:after="480"/>
      </w:pPr>
      <w:r w:rsidRPr="00F841DE">
        <w:rPr>
          <w:i/>
        </w:rPr>
        <w:tab/>
      </w:r>
      <w:proofErr w:type="gramStart"/>
      <w:r w:rsidRPr="00F841DE">
        <w:rPr>
          <w:i/>
        </w:rPr>
        <w:t>Tim</w:t>
      </w:r>
      <w:r w:rsidR="00B91673" w:rsidRPr="00F841DE">
        <w:rPr>
          <w:i/>
        </w:rPr>
        <w:t>othy</w:t>
      </w:r>
      <w:r w:rsidRPr="00F841DE">
        <w:rPr>
          <w:i/>
        </w:rPr>
        <w:t xml:space="preserve"> Gleason</w:t>
      </w:r>
      <w:r w:rsidR="00B91673" w:rsidRPr="00760603">
        <w:t xml:space="preserve"> and</w:t>
      </w:r>
      <w:r w:rsidR="00B91673" w:rsidRPr="00F841DE">
        <w:rPr>
          <w:i/>
        </w:rPr>
        <w:t xml:space="preserve"> Sean </w:t>
      </w:r>
      <w:proofErr w:type="spellStart"/>
      <w:r w:rsidR="00B91673" w:rsidRPr="00F841DE">
        <w:rPr>
          <w:i/>
        </w:rPr>
        <w:t>Dewart</w:t>
      </w:r>
      <w:proofErr w:type="spellEnd"/>
      <w:r w:rsidRPr="000D22B6">
        <w:t xml:space="preserve">, for the intervener </w:t>
      </w:r>
      <w:r w:rsidR="00B91673" w:rsidRPr="000D22B6">
        <w:t xml:space="preserve">the </w:t>
      </w:r>
      <w:r w:rsidRPr="000D22B6">
        <w:t>Canadian Civil Liberties Association.</w:t>
      </w:r>
      <w:proofErr w:type="gramEnd"/>
    </w:p>
    <w:p w:rsidR="00636568" w:rsidRPr="000D22B6" w:rsidRDefault="008C0F21" w:rsidP="008C0F21">
      <w:pPr>
        <w:pStyle w:val="SCCNormalDoubleSpacing"/>
        <w:spacing w:before="480" w:after="480"/>
      </w:pPr>
      <w:r w:rsidRPr="00F841DE">
        <w:rPr>
          <w:i/>
        </w:rPr>
        <w:tab/>
      </w:r>
      <w:proofErr w:type="gramStart"/>
      <w:r w:rsidRPr="00F841DE">
        <w:rPr>
          <w:i/>
        </w:rPr>
        <w:t>Mark </w:t>
      </w:r>
      <w:r w:rsidR="000D5D71" w:rsidRPr="00F841DE">
        <w:rPr>
          <w:i/>
        </w:rPr>
        <w:t xml:space="preserve">A. </w:t>
      </w:r>
      <w:proofErr w:type="spellStart"/>
      <w:r w:rsidR="000D5D71" w:rsidRPr="00F841DE">
        <w:rPr>
          <w:i/>
        </w:rPr>
        <w:t>Gelowitz</w:t>
      </w:r>
      <w:proofErr w:type="spellEnd"/>
      <w:r w:rsidR="000D5D71" w:rsidRPr="000D22B6">
        <w:t xml:space="preserve"> and </w:t>
      </w:r>
      <w:r w:rsidRPr="00F841DE">
        <w:rPr>
          <w:i/>
        </w:rPr>
        <w:t>Gerard </w:t>
      </w:r>
      <w:r w:rsidR="000D5D71" w:rsidRPr="00F841DE">
        <w:rPr>
          <w:i/>
        </w:rPr>
        <w:t>J. Kennedy</w:t>
      </w:r>
      <w:r w:rsidR="000D5D71" w:rsidRPr="000D22B6">
        <w:t xml:space="preserve">, for the intervener </w:t>
      </w:r>
      <w:r w:rsidR="00B91673" w:rsidRPr="000D22B6">
        <w:t xml:space="preserve">the </w:t>
      </w:r>
      <w:r w:rsidR="000D5D71" w:rsidRPr="000D22B6">
        <w:t>Canadian Constitution Foundation.</w:t>
      </w:r>
      <w:proofErr w:type="gramEnd"/>
    </w:p>
    <w:p w:rsidR="00636568" w:rsidRPr="000D22B6" w:rsidRDefault="008C0F21" w:rsidP="008C0F21">
      <w:pPr>
        <w:pStyle w:val="SCCNormalDoubleSpacing"/>
        <w:spacing w:before="480" w:after="480"/>
      </w:pPr>
      <w:r w:rsidRPr="00F841DE">
        <w:rPr>
          <w:i/>
        </w:rPr>
        <w:lastRenderedPageBreak/>
        <w:tab/>
      </w:r>
      <w:proofErr w:type="gramStart"/>
      <w:r w:rsidRPr="00F841DE">
        <w:rPr>
          <w:i/>
        </w:rPr>
        <w:t>John </w:t>
      </w:r>
      <w:r w:rsidR="000D5D71" w:rsidRPr="00F841DE">
        <w:rPr>
          <w:i/>
        </w:rPr>
        <w:t>R. Carpenter</w:t>
      </w:r>
      <w:r w:rsidR="000D5D71" w:rsidRPr="000D22B6">
        <w:t xml:space="preserve"> and </w:t>
      </w:r>
      <w:r w:rsidR="000D5D71" w:rsidRPr="00F841DE">
        <w:rPr>
          <w:i/>
        </w:rPr>
        <w:t xml:space="preserve">Kara </w:t>
      </w:r>
      <w:proofErr w:type="spellStart"/>
      <w:r w:rsidR="000D5D71" w:rsidRPr="00F841DE">
        <w:rPr>
          <w:i/>
        </w:rPr>
        <w:t>O</w:t>
      </w:r>
      <w:r w:rsidR="000D22B6" w:rsidRPr="00F841DE">
        <w:rPr>
          <w:i/>
        </w:rPr>
        <w:t>’</w:t>
      </w:r>
      <w:r w:rsidR="000D5D71" w:rsidRPr="00F841DE">
        <w:rPr>
          <w:i/>
        </w:rPr>
        <w:t>Halloran</w:t>
      </w:r>
      <w:proofErr w:type="spellEnd"/>
      <w:r w:rsidR="000D5D71" w:rsidRPr="000D22B6">
        <w:t xml:space="preserve">, for the intervener </w:t>
      </w:r>
      <w:r w:rsidR="005B712D" w:rsidRPr="000D22B6">
        <w:t xml:space="preserve">the </w:t>
      </w:r>
      <w:r w:rsidR="000D5D71" w:rsidRPr="000D22B6">
        <w:t>Alberta Federation of Labour.</w:t>
      </w:r>
      <w:proofErr w:type="gramEnd"/>
    </w:p>
    <w:p w:rsidR="00636568" w:rsidRPr="000D22B6" w:rsidRDefault="000D5D71" w:rsidP="008C0F21">
      <w:pPr>
        <w:pStyle w:val="SCCNormalDoubleSpacing"/>
        <w:spacing w:before="480" w:after="480"/>
      </w:pPr>
      <w:r w:rsidRPr="00F841DE">
        <w:rPr>
          <w:i/>
        </w:rPr>
        <w:tab/>
      </w:r>
      <w:proofErr w:type="gramStart"/>
      <w:r w:rsidR="005B712D" w:rsidRPr="00760603">
        <w:t xml:space="preserve">Written submissions only by </w:t>
      </w:r>
      <w:r w:rsidR="00606427" w:rsidRPr="00F841DE">
        <w:rPr>
          <w:i/>
        </w:rPr>
        <w:t xml:space="preserve">Andrea </w:t>
      </w:r>
      <w:proofErr w:type="spellStart"/>
      <w:r w:rsidR="00606427" w:rsidRPr="00F841DE">
        <w:rPr>
          <w:i/>
        </w:rPr>
        <w:t>Zwack</w:t>
      </w:r>
      <w:proofErr w:type="spellEnd"/>
      <w:r w:rsidR="00606427" w:rsidRPr="00F841DE">
        <w:rPr>
          <w:i/>
        </w:rPr>
        <w:t xml:space="preserve"> </w:t>
      </w:r>
      <w:r w:rsidR="00606427" w:rsidRPr="000D22B6">
        <w:t>and</w:t>
      </w:r>
      <w:r w:rsidR="00606427" w:rsidRPr="00F841DE">
        <w:rPr>
          <w:i/>
        </w:rPr>
        <w:t xml:space="preserve"> </w:t>
      </w:r>
      <w:r w:rsidRPr="00F841DE">
        <w:rPr>
          <w:i/>
        </w:rPr>
        <w:t xml:space="preserve">Simon </w:t>
      </w:r>
      <w:proofErr w:type="spellStart"/>
      <w:r w:rsidRPr="00F841DE">
        <w:rPr>
          <w:i/>
        </w:rPr>
        <w:t>Ruel</w:t>
      </w:r>
      <w:proofErr w:type="spellEnd"/>
      <w:r w:rsidRPr="000D22B6">
        <w:t>, for the intervener</w:t>
      </w:r>
      <w:r w:rsidR="00E848BA" w:rsidRPr="000D22B6">
        <w:t>s</w:t>
      </w:r>
      <w:r w:rsidRPr="000D22B6">
        <w:t xml:space="preserve"> </w:t>
      </w:r>
      <w:r w:rsidR="005B712D" w:rsidRPr="000D22B6">
        <w:t xml:space="preserve">the </w:t>
      </w:r>
      <w:r w:rsidRPr="000D22B6">
        <w:t>Coalition of British Columbia Businesses and Merit Canada.</w:t>
      </w:r>
      <w:proofErr w:type="gramEnd"/>
    </w:p>
    <w:p w:rsidR="00CB7E04" w:rsidRDefault="008C0F21" w:rsidP="00CB7E04">
      <w:pPr>
        <w:pStyle w:val="SCCNormalDoubleSpacing"/>
        <w:spacing w:before="480" w:after="480"/>
      </w:pPr>
      <w:r w:rsidRPr="00F841DE">
        <w:rPr>
          <w:i/>
        </w:rPr>
        <w:tab/>
      </w:r>
      <w:proofErr w:type="gramStart"/>
      <w:r w:rsidRPr="00F841DE">
        <w:rPr>
          <w:i/>
        </w:rPr>
        <w:t>John </w:t>
      </w:r>
      <w:r w:rsidR="000D5D71" w:rsidRPr="00F841DE">
        <w:rPr>
          <w:i/>
        </w:rPr>
        <w:t xml:space="preserve">B. </w:t>
      </w:r>
      <w:proofErr w:type="spellStart"/>
      <w:r w:rsidR="000D5D71" w:rsidRPr="00F841DE">
        <w:rPr>
          <w:i/>
        </w:rPr>
        <w:t>Laskin</w:t>
      </w:r>
      <w:proofErr w:type="spellEnd"/>
      <w:r w:rsidR="000D5D71" w:rsidRPr="000D22B6">
        <w:t xml:space="preserve">, for the intervener </w:t>
      </w:r>
      <w:r w:rsidR="00D61394" w:rsidRPr="000D22B6">
        <w:t xml:space="preserve">the </w:t>
      </w:r>
      <w:r w:rsidR="000D5D71" w:rsidRPr="000D22B6">
        <w:t>Public Service Labour Relations Board.</w:t>
      </w:r>
      <w:proofErr w:type="gramEnd"/>
    </w:p>
    <w:p w:rsidR="00CB7E04" w:rsidRDefault="00760603" w:rsidP="00CB7E04">
      <w:pPr>
        <w:pStyle w:val="SCCNormalDoubleSpacing"/>
        <w:spacing w:before="480" w:after="480"/>
      </w:pPr>
      <w:r>
        <w:tab/>
      </w:r>
      <w:proofErr w:type="gramStart"/>
      <w:r>
        <w:t xml:space="preserve">The judgment of LeBel, Abella, Cromwell, </w:t>
      </w:r>
      <w:proofErr w:type="spellStart"/>
      <w:r>
        <w:t>Karakatsanis</w:t>
      </w:r>
      <w:proofErr w:type="spellEnd"/>
      <w:r>
        <w:t xml:space="preserve"> and Wagner JJ.</w:t>
      </w:r>
      <w:proofErr w:type="gramEnd"/>
      <w:r>
        <w:t xml:space="preserve"> </w:t>
      </w:r>
      <w:proofErr w:type="gramStart"/>
      <w:r>
        <w:t>was</w:t>
      </w:r>
      <w:proofErr w:type="gramEnd"/>
      <w:r>
        <w:t xml:space="preserve"> delivered by</w:t>
      </w:r>
    </w:p>
    <w:p w:rsidR="00E052E3" w:rsidRPr="005B63BB" w:rsidRDefault="00760603" w:rsidP="00E052E3">
      <w:pPr>
        <w:pStyle w:val="ParaNoNdepar-AltN"/>
        <w:rPr>
          <w:rFonts w:cs="Times New Roman"/>
        </w:rPr>
      </w:pPr>
      <w:r w:rsidRPr="00CB7E04">
        <w:rPr>
          <w:smallCaps/>
        </w:rPr>
        <w:t>Abella and Cromwell JJ.</w:t>
      </w:r>
      <w:r w:rsidRPr="005B63BB">
        <w:t xml:space="preserve"> —</w:t>
      </w:r>
      <w:r w:rsidR="00E052E3" w:rsidRPr="005B63BB">
        <w:rPr>
          <w:rFonts w:cs="Times New Roman"/>
        </w:rPr>
        <w:t>The Public Service Labour Relations Board concluded that an employer was required to provide home contact information about bargaining unit members to the union which represents them because this information is needed by the union in order to carry out its representational duties. At the same time, however, the union must ensure that the information is kept secure and is used only for representational purposes. The main issue in this appeal is whether that decision was reasonable. We conclude that it was.</w:t>
      </w:r>
    </w:p>
    <w:p w:rsidR="00E052E3" w:rsidRPr="005B63BB" w:rsidRDefault="00E052E3" w:rsidP="00E052E3">
      <w:pPr>
        <w:pStyle w:val="TitleTitre-AltT"/>
        <w:rPr>
          <w:rFonts w:cs="Times New Roman"/>
          <w:u w:val="single"/>
        </w:rPr>
      </w:pPr>
      <w:r w:rsidRPr="005B63BB">
        <w:rPr>
          <w:rFonts w:cs="Times New Roman"/>
          <w:u w:val="single"/>
        </w:rPr>
        <w:t>Background</w:t>
      </w:r>
    </w:p>
    <w:p w:rsidR="00E052E3" w:rsidRPr="005B63BB" w:rsidRDefault="00E052E3" w:rsidP="00E052E3">
      <w:pPr>
        <w:pStyle w:val="ParaNoNdepar-AltN"/>
        <w:rPr>
          <w:rFonts w:cs="Times New Roman"/>
        </w:rPr>
      </w:pPr>
      <w:r w:rsidRPr="005B63BB">
        <w:rPr>
          <w:rFonts w:cs="Times New Roman"/>
        </w:rPr>
        <w:t xml:space="preserve">Elizabeth Bernard is the protagonist in a legal odyssey which has found its way through three administrative tribunal proceedings, two rounds of judicial review in the Federal Court of Appeal and now an appeal to this Court. She is a member of a bargaining unit in the federal public service, but does not belong to the </w:t>
      </w:r>
      <w:r w:rsidRPr="005B63BB">
        <w:rPr>
          <w:rFonts w:cs="Times New Roman"/>
        </w:rPr>
        <w:lastRenderedPageBreak/>
        <w:t>union which has exclusive bargaining rights for her bargaining unit. In labour relations terms, this means that Ms. Bernard is a “Rand Formula employee”; in other words, although she is not a union member, she is entitled to the benefits of the collective agreement and representation by the union and is required to pay union dues. The union is</w:t>
      </w:r>
      <w:r w:rsidR="00760603">
        <w:rPr>
          <w:rFonts w:cs="Times New Roman"/>
        </w:rPr>
        <w:t xml:space="preserve"> the</w:t>
      </w:r>
      <w:r w:rsidRPr="005B63BB">
        <w:rPr>
          <w:rFonts w:cs="Times New Roman"/>
        </w:rPr>
        <w:t xml:space="preserve"> </w:t>
      </w:r>
      <w:r w:rsidRPr="005B63BB">
        <w:rPr>
          <w:rFonts w:cs="Times New Roman"/>
          <w:i/>
        </w:rPr>
        <w:t>exclusive</w:t>
      </w:r>
      <w:r w:rsidRPr="005B63BB">
        <w:rPr>
          <w:rFonts w:cs="Times New Roman"/>
        </w:rPr>
        <w:t xml:space="preserve"> bargaining agent for </w:t>
      </w:r>
      <w:r w:rsidRPr="005B63BB">
        <w:rPr>
          <w:rFonts w:cs="Times New Roman"/>
          <w:i/>
        </w:rPr>
        <w:t>all</w:t>
      </w:r>
      <w:r w:rsidRPr="005B63BB">
        <w:rPr>
          <w:rFonts w:cs="Times New Roman"/>
        </w:rPr>
        <w:t xml:space="preserve"> members of the bargaining unit and has representational duties — such as in collective bargaining, the grievance process, workforce adjustments, prosecuting complaints, and conducting strike votes.  Those duties are owed to </w:t>
      </w:r>
      <w:r w:rsidRPr="005B63BB">
        <w:rPr>
          <w:rFonts w:cs="Times New Roman"/>
          <w:i/>
        </w:rPr>
        <w:t>all</w:t>
      </w:r>
      <w:r w:rsidRPr="005B63BB">
        <w:rPr>
          <w:rFonts w:cs="Times New Roman"/>
        </w:rPr>
        <w:t xml:space="preserve"> bargaining unit members, whether or not they are members of the union.  While Ms. Bernard has a right not to become a union member, she does not have the right to opt out of the union’s role as exclusive bargaining agent for all bargaining unit employees, including her.</w:t>
      </w:r>
    </w:p>
    <w:p w:rsidR="00E052E3" w:rsidRPr="005B63BB" w:rsidRDefault="00E052E3" w:rsidP="00E052E3">
      <w:pPr>
        <w:pStyle w:val="ParaNoNdepar-AltN"/>
        <w:rPr>
          <w:rFonts w:cs="Times New Roman"/>
        </w:rPr>
      </w:pPr>
      <w:r w:rsidRPr="005B63BB">
        <w:rPr>
          <w:rFonts w:cs="Times New Roman"/>
        </w:rPr>
        <w:t xml:space="preserve">In early 1992, Ms. Bernard filed a complaint with the Office of the Privacy Commissioner because her employer was giving her home address to the union. In May 1993, the Office of the Privacy Commissioner concluded that such disclosure was not permitted under the </w:t>
      </w:r>
      <w:r w:rsidRPr="005B63BB">
        <w:rPr>
          <w:rFonts w:cs="Times New Roman"/>
          <w:i/>
        </w:rPr>
        <w:t>Privacy Act</w:t>
      </w:r>
      <w:r w:rsidRPr="005B63BB">
        <w:rPr>
          <w:rFonts w:cs="Times New Roman"/>
        </w:rPr>
        <w:t xml:space="preserve">, R.S.C. 1985, </w:t>
      </w:r>
      <w:proofErr w:type="gramStart"/>
      <w:r w:rsidRPr="005B63BB">
        <w:rPr>
          <w:rFonts w:cs="Times New Roman"/>
        </w:rPr>
        <w:t>c</w:t>
      </w:r>
      <w:proofErr w:type="gramEnd"/>
      <w:r w:rsidRPr="005B63BB">
        <w:rPr>
          <w:rFonts w:cs="Times New Roman"/>
        </w:rPr>
        <w:t>. P-21,</w:t>
      </w:r>
      <w:r w:rsidRPr="005B63BB">
        <w:rPr>
          <w:rFonts w:cs="Times New Roman"/>
          <w:i/>
        </w:rPr>
        <w:t xml:space="preserve"> </w:t>
      </w:r>
      <w:r w:rsidRPr="005B63BB">
        <w:rPr>
          <w:rFonts w:cs="Times New Roman"/>
        </w:rPr>
        <w:t>without the employee’s consent. As a result, the employer decided to discontinue the practice. The Office of the Privacy Commissioner had no adjudicative or order-making authority and the conclusions reached by that office did not confer any rights on Ms. Bernard or anyone else.</w:t>
      </w:r>
    </w:p>
    <w:p w:rsidR="00E052E3" w:rsidRPr="005B63BB" w:rsidRDefault="00E052E3" w:rsidP="00E052E3">
      <w:pPr>
        <w:pStyle w:val="ParaNoNdepar-AltN"/>
        <w:rPr>
          <w:rFonts w:cs="Times New Roman"/>
        </w:rPr>
      </w:pPr>
      <w:r w:rsidRPr="005B63BB">
        <w:rPr>
          <w:rFonts w:cs="Times New Roman"/>
        </w:rPr>
        <w:t>In 1995, Ms. Bernard changed jobs within the federal public service and became a member of a bargaining unit represented by the Professional Institute of the Public Service of Canada. Once again, she did not join the union and was a “Rand Formula employee” in her new bargaining unit.</w:t>
      </w:r>
    </w:p>
    <w:p w:rsidR="00E052E3" w:rsidRPr="005B63BB" w:rsidRDefault="00E052E3" w:rsidP="00E052E3">
      <w:pPr>
        <w:pStyle w:val="ParaNoNdepar-AltN"/>
        <w:rPr>
          <w:rFonts w:cs="Times New Roman"/>
        </w:rPr>
      </w:pPr>
      <w:r w:rsidRPr="005B63BB">
        <w:rPr>
          <w:rFonts w:cs="Times New Roman"/>
        </w:rPr>
        <w:lastRenderedPageBreak/>
        <w:t xml:space="preserve">In 2005, there were amendments to the </w:t>
      </w:r>
      <w:r w:rsidRPr="005B63BB">
        <w:rPr>
          <w:rFonts w:cs="Times New Roman"/>
          <w:i/>
        </w:rPr>
        <w:t>Public Service Labour Relations Act</w:t>
      </w:r>
      <w:r w:rsidRPr="005B63BB">
        <w:rPr>
          <w:rFonts w:cs="Times New Roman"/>
        </w:rPr>
        <w:t xml:space="preserve">, S.C. 2003, c. 22, </w:t>
      </w:r>
      <w:proofErr w:type="gramStart"/>
      <w:r w:rsidRPr="005B63BB">
        <w:rPr>
          <w:rFonts w:cs="Times New Roman"/>
        </w:rPr>
        <w:t>s</w:t>
      </w:r>
      <w:proofErr w:type="gramEnd"/>
      <w:r w:rsidRPr="005B63BB">
        <w:rPr>
          <w:rFonts w:cs="Times New Roman"/>
        </w:rPr>
        <w:t>. 2, which significantly expanded the union’s representational obligations. Because of these new duties the union was of the view that it required home contact information for bargaining unit members. It sought that information from the employer in order to carry out these obligations. The employer refused. This led to consolidated complaints in September 2007 by the union alleging that the refusal to provide this information constituted an unfair labour practice. The union alleged that failure to provide it with bargaining unit member home contact information improperly interfered with its ability to represent bargaining unit members. The parties to the consolidated complaints were, as is always the case, the employers (the Treasury Board of Canada and the Canada Revenue Agency) and the union in its capacity as exclusive bargaining agent for the bargaining unit members. As is the usual practice, Ms. Bernard was not given individual notice of the proceedings at this point, in common with the tens of thousands of other bargaining unit members for whom the union had exclusive bargaining rights and whose personal information was at issue in the consolidated complaints.</w:t>
      </w:r>
    </w:p>
    <w:p w:rsidR="00E052E3" w:rsidRPr="005B63BB" w:rsidRDefault="00E052E3" w:rsidP="00E052E3">
      <w:pPr>
        <w:pStyle w:val="ParaNoNdepar-AltN"/>
        <w:rPr>
          <w:rFonts w:cs="Times New Roman"/>
        </w:rPr>
      </w:pPr>
      <w:r w:rsidRPr="005B63BB">
        <w:rPr>
          <w:rFonts w:cs="Times New Roman"/>
        </w:rPr>
        <w:t xml:space="preserve">As a remedy, the union sought an order requiring the employer to provide the names, position titles, telephone numbers, and home and email addresses for all employees in six nation-wide bargaining units, including the bargaining unit of which Ms. Bernard was a member. </w:t>
      </w:r>
    </w:p>
    <w:p w:rsidR="00E052E3" w:rsidRPr="005B63BB" w:rsidRDefault="00E052E3" w:rsidP="00E052E3">
      <w:pPr>
        <w:pStyle w:val="ParaNoNdepar-AltN"/>
        <w:rPr>
          <w:rFonts w:cs="Times New Roman"/>
        </w:rPr>
      </w:pPr>
      <w:r w:rsidRPr="005B63BB">
        <w:rPr>
          <w:rFonts w:cs="Times New Roman"/>
        </w:rPr>
        <w:t xml:space="preserve">In response, the employer did not dispute the jurisprudence relied on by the union endorsing the requirement to disclose personal information to unions for legitimate bargaining purposes. In other words, the employer did not dispute the </w:t>
      </w:r>
      <w:r w:rsidRPr="005B63BB">
        <w:rPr>
          <w:rFonts w:cs="Times New Roman"/>
        </w:rPr>
        <w:lastRenderedPageBreak/>
        <w:t>premise of the union’s complaint that it had to provide some employee information and that failure to do so could constitute an unfair labour practice. However, the employer raised some practical concerns about employee privacy and about the accuracy and completeness of its own information. The employer placed before the Board an opinion obtained from the Office of the Privacy Commissioner addressing these points. The Board decided that “in principle”, the employer’s failure to provide the union “with at least some of the employee contact information that it requested” was an unfair labour practice because it interfered with the representation of employees by the union within the meaning of s. 186(1)(</w:t>
      </w:r>
      <w:r w:rsidRPr="005B63BB">
        <w:rPr>
          <w:rFonts w:cs="Times New Roman"/>
          <w:i/>
        </w:rPr>
        <w:t>a</w:t>
      </w:r>
      <w:r w:rsidRPr="005B63BB">
        <w:rPr>
          <w:rFonts w:cs="Times New Roman"/>
        </w:rPr>
        <w:t>) of the</w:t>
      </w:r>
      <w:r w:rsidRPr="005B63BB">
        <w:rPr>
          <w:rFonts w:cs="Times New Roman"/>
          <w:i/>
        </w:rPr>
        <w:t xml:space="preserve"> Public Service Labour Relations Act</w:t>
      </w:r>
      <w:r w:rsidRPr="005B63BB">
        <w:rPr>
          <w:rFonts w:cs="Times New Roman"/>
        </w:rPr>
        <w:t>. It pointed particularly to the union’s responsibilities in connection with the conduct of a strike vote (s. 184) and a final-offer vote (s. 183) as “legitimate representational purposes” that justified the disclosure of the kind of personal information sought by the union. In so concluding, the Board relied on an extensive body of jurisprudence holding that employee contact information must be disclosed to the union by the employer for these purposes:</w:t>
      </w:r>
      <w:r w:rsidRPr="005B63BB">
        <w:rPr>
          <w:rFonts w:cs="Times New Roman"/>
          <w:i/>
        </w:rPr>
        <w:t xml:space="preserve"> </w:t>
      </w:r>
      <w:proofErr w:type="spellStart"/>
      <w:r w:rsidRPr="005B63BB">
        <w:rPr>
          <w:rFonts w:cs="Times New Roman"/>
          <w:i/>
        </w:rPr>
        <w:t>Millcroft</w:t>
      </w:r>
      <w:proofErr w:type="spellEnd"/>
      <w:r w:rsidRPr="005B63BB">
        <w:rPr>
          <w:rFonts w:cs="Times New Roman"/>
          <w:i/>
        </w:rPr>
        <w:t xml:space="preserve"> Inn Ltd.</w:t>
      </w:r>
      <w:r>
        <w:rPr>
          <w:rFonts w:cs="Times New Roman"/>
          <w:i/>
        </w:rPr>
        <w:t xml:space="preserve"> and CAW-Canada, Local 448 </w:t>
      </w:r>
      <w:r w:rsidRPr="005B63BB">
        <w:rPr>
          <w:rFonts w:cs="Times New Roman"/>
        </w:rPr>
        <w:t>(2000)</w:t>
      </w:r>
      <w:r>
        <w:rPr>
          <w:rFonts w:cs="Times New Roman"/>
        </w:rPr>
        <w:t xml:space="preserve">, 63 C.L.R.B.R. (2d) 181 (Ont.) </w:t>
      </w:r>
      <w:r w:rsidRPr="005B63BB">
        <w:rPr>
          <w:rFonts w:cs="Times New Roman"/>
        </w:rPr>
        <w:t>(“</w:t>
      </w:r>
      <w:proofErr w:type="spellStart"/>
      <w:r w:rsidRPr="005B63BB">
        <w:rPr>
          <w:rFonts w:cs="Times New Roman"/>
          <w:i/>
        </w:rPr>
        <w:t>Millcroft</w:t>
      </w:r>
      <w:proofErr w:type="spellEnd"/>
      <w:r w:rsidRPr="005B63BB">
        <w:rPr>
          <w:rFonts w:cs="Times New Roman"/>
        </w:rPr>
        <w:t>”);</w:t>
      </w:r>
      <w:r w:rsidRPr="005B63BB">
        <w:rPr>
          <w:rFonts w:cs="Times New Roman"/>
          <w:i/>
        </w:rPr>
        <w:t xml:space="preserve"> </w:t>
      </w:r>
      <w:r w:rsidRPr="0081742B">
        <w:rPr>
          <w:rFonts w:cs="Times New Roman"/>
          <w:i/>
        </w:rPr>
        <w:t>Monarch Transport</w:t>
      </w:r>
      <w:r>
        <w:rPr>
          <w:rFonts w:cs="Times New Roman"/>
          <w:i/>
        </w:rPr>
        <w:t xml:space="preserve"> Inc. and Dempsey Freight Systems Ltd.</w:t>
      </w:r>
      <w:r w:rsidRPr="0081742B">
        <w:rPr>
          <w:rFonts w:cs="Times New Roman"/>
        </w:rPr>
        <w:t>,</w:t>
      </w:r>
      <w:r>
        <w:rPr>
          <w:rFonts w:cs="Times New Roman"/>
          <w:i/>
        </w:rPr>
        <w:t xml:space="preserve"> </w:t>
      </w:r>
      <w:r>
        <w:rPr>
          <w:rFonts w:cs="Times New Roman"/>
        </w:rPr>
        <w:t>2003 CIRB</w:t>
      </w:r>
      <w:r w:rsidRPr="0081742B">
        <w:rPr>
          <w:rFonts w:cs="Times New Roman"/>
        </w:rPr>
        <w:t xml:space="preserve"> </w:t>
      </w:r>
      <w:r>
        <w:rPr>
          <w:rFonts w:cs="Times New Roman"/>
        </w:rPr>
        <w:t>249 (CanLII);</w:t>
      </w:r>
      <w:r w:rsidRPr="005B63BB">
        <w:rPr>
          <w:rFonts w:cs="Times New Roman"/>
          <w:i/>
        </w:rPr>
        <w:t xml:space="preserve"> P. Sun’s Enterprises (Vancouver) Ltd. </w:t>
      </w:r>
      <w:r w:rsidR="00760603">
        <w:rPr>
          <w:rFonts w:cs="Times New Roman"/>
          <w:i/>
        </w:rPr>
        <w:t>and</w:t>
      </w:r>
      <w:r w:rsidRPr="005B63BB">
        <w:rPr>
          <w:rFonts w:cs="Times New Roman"/>
          <w:i/>
        </w:rPr>
        <w:t xml:space="preserve"> CAW-Canada, Local 114</w:t>
      </w:r>
      <w:r w:rsidR="00760603" w:rsidRPr="005B63BB">
        <w:rPr>
          <w:rFonts w:cs="Times New Roman"/>
        </w:rPr>
        <w:t xml:space="preserve"> </w:t>
      </w:r>
      <w:r>
        <w:rPr>
          <w:rFonts w:cs="Times New Roman"/>
        </w:rPr>
        <w:t>(</w:t>
      </w:r>
      <w:r w:rsidRPr="005B63BB">
        <w:rPr>
          <w:rFonts w:cs="Times New Roman"/>
        </w:rPr>
        <w:t>2003</w:t>
      </w:r>
      <w:r>
        <w:rPr>
          <w:rFonts w:cs="Times New Roman"/>
        </w:rPr>
        <w:t>)</w:t>
      </w:r>
      <w:r w:rsidR="00305CE4">
        <w:rPr>
          <w:rFonts w:cs="Times New Roman"/>
        </w:rPr>
        <w:t>,</w:t>
      </w:r>
      <w:r>
        <w:rPr>
          <w:rFonts w:cs="Times New Roman"/>
        </w:rPr>
        <w:t xml:space="preserve"> 99 </w:t>
      </w:r>
      <w:r w:rsidRPr="005B63BB">
        <w:rPr>
          <w:rFonts w:cs="Times New Roman"/>
        </w:rPr>
        <w:t>C.L.R.B.</w:t>
      </w:r>
      <w:r>
        <w:rPr>
          <w:rFonts w:cs="Times New Roman"/>
        </w:rPr>
        <w:t>R</w:t>
      </w:r>
      <w:r w:rsidRPr="005B63BB">
        <w:rPr>
          <w:rFonts w:cs="Times New Roman"/>
        </w:rPr>
        <w:t xml:space="preserve">. </w:t>
      </w:r>
      <w:r>
        <w:rPr>
          <w:rFonts w:cs="Times New Roman"/>
        </w:rPr>
        <w:t>(2d) 110 (B.C.)</w:t>
      </w:r>
      <w:r w:rsidRPr="005B63BB">
        <w:rPr>
          <w:rFonts w:cs="Times New Roman"/>
        </w:rPr>
        <w:t xml:space="preserve">. </w:t>
      </w:r>
    </w:p>
    <w:p w:rsidR="00E052E3" w:rsidRPr="005B63BB" w:rsidRDefault="00E052E3" w:rsidP="00E052E3">
      <w:pPr>
        <w:pStyle w:val="ParaNoNdepar-AltN"/>
        <w:rPr>
          <w:rFonts w:cs="Times New Roman"/>
        </w:rPr>
      </w:pPr>
      <w:r w:rsidRPr="005B63BB">
        <w:rPr>
          <w:rFonts w:cs="Times New Roman"/>
        </w:rPr>
        <w:t xml:space="preserve">On the question of remedy, the Board was clearly alive to the privacy issues canvassed in the Privacy Commissioner’s opinion and indicated that it did not have a sound basis upon which to address those issues. The Board asked for more information about several privacy-related issues, including: what information the union required for its representational obligations; what employee contact </w:t>
      </w:r>
      <w:r w:rsidRPr="005B63BB">
        <w:rPr>
          <w:rFonts w:cs="Times New Roman"/>
        </w:rPr>
        <w:lastRenderedPageBreak/>
        <w:t xml:space="preserve">information the employer had in its possession and its accuracy; and whether the employer could meet its obligation to provide information in a way that reasonably addressed any concerns under the </w:t>
      </w:r>
      <w:r w:rsidRPr="005B63BB">
        <w:rPr>
          <w:rFonts w:cs="Times New Roman"/>
          <w:i/>
        </w:rPr>
        <w:t>Privacy Act</w:t>
      </w:r>
      <w:r w:rsidRPr="005B63BB">
        <w:rPr>
          <w:rFonts w:cs="Times New Roman"/>
        </w:rPr>
        <w:t xml:space="preserve">. </w:t>
      </w:r>
      <w:r w:rsidRPr="005B63BB">
        <w:rPr>
          <w:rFonts w:cs="Times New Roman"/>
          <w:lang w:val="en-US"/>
        </w:rPr>
        <w:t xml:space="preserve">The Board directed the parties to consult in order to determine whether they could agree on disclosure terms, failing which the Board would hold a further hearing to address the question of remedy.  </w:t>
      </w:r>
      <w:r w:rsidRPr="005B63BB">
        <w:rPr>
          <w:rFonts w:cs="Times New Roman"/>
        </w:rPr>
        <w:t xml:space="preserve"> </w:t>
      </w:r>
    </w:p>
    <w:p w:rsidR="00E052E3" w:rsidRPr="005B63BB" w:rsidRDefault="00E052E3" w:rsidP="00E052E3">
      <w:pPr>
        <w:pStyle w:val="ParaNoNdepar-AltN"/>
        <w:rPr>
          <w:rFonts w:cs="Times New Roman"/>
        </w:rPr>
      </w:pPr>
      <w:r w:rsidRPr="005B63BB">
        <w:rPr>
          <w:rFonts w:cs="Times New Roman"/>
        </w:rPr>
        <w:t xml:space="preserve">The parties did in fact reach an agreement about the remedy and gave the Board a draft consent order, which the Board incorporated into an order on July 18, 2008. </w:t>
      </w:r>
    </w:p>
    <w:p w:rsidR="00E052E3" w:rsidRPr="005B63BB" w:rsidRDefault="00E052E3" w:rsidP="00E052E3">
      <w:pPr>
        <w:pStyle w:val="ParaNoNdepar-AltN"/>
        <w:rPr>
          <w:rFonts w:cs="Times New Roman"/>
        </w:rPr>
      </w:pPr>
      <w:r w:rsidRPr="005B63BB">
        <w:rPr>
          <w:rFonts w:cs="Times New Roman"/>
        </w:rPr>
        <w:t xml:space="preserve">Under the terms of the agreement, the employer was required to disclose to the union, on a quarterly basis, the home mailing addresses and home telephone numbers of members of the bargaining unit, subject to a number of conditions, all of which related to the security and privacy of the information.  The union recognized “the sensitivity of the information being disclosed” and undertook in the agreement to “ensure vigilant management and monitoring controls on this information at all times”.  In particular, it undertook not to disclose the information to anyone other than the appropriate union officials; not to </w:t>
      </w:r>
      <w:proofErr w:type="gramStart"/>
      <w:r w:rsidRPr="005B63BB">
        <w:rPr>
          <w:rFonts w:cs="Times New Roman"/>
        </w:rPr>
        <w:t>use,</w:t>
      </w:r>
      <w:proofErr w:type="gramEnd"/>
      <w:r w:rsidRPr="005B63BB">
        <w:rPr>
          <w:rFonts w:cs="Times New Roman"/>
        </w:rPr>
        <w:t xml:space="preserve"> copy or compile the information for any other purpose; and to ensure that its officials who had access to the information would comply with all the provisions of the agreement. </w:t>
      </w:r>
    </w:p>
    <w:p w:rsidR="00E052E3" w:rsidRPr="005B63BB" w:rsidRDefault="00E052E3" w:rsidP="00E052E3">
      <w:pPr>
        <w:pStyle w:val="ParaNoNdepar-AltN"/>
        <w:rPr>
          <w:rFonts w:cs="Times New Roman"/>
        </w:rPr>
      </w:pPr>
      <w:r w:rsidRPr="005B63BB">
        <w:rPr>
          <w:rFonts w:cs="Times New Roman"/>
        </w:rPr>
        <w:t xml:space="preserve">The employer and the union also agreed that they would jointly advise employees as to what information would be disclosed prior to its disclosure, and agreed on the text of that notice. An email was accordingly sent to all bargaining unit members on October 16, 2008, including Ms. Bernard, who responded by seeking </w:t>
      </w:r>
      <w:r w:rsidRPr="005B63BB">
        <w:rPr>
          <w:rFonts w:cs="Times New Roman"/>
        </w:rPr>
        <w:lastRenderedPageBreak/>
        <w:t xml:space="preserve">judicial review of the consent order, claiming that (a) the Board’s order required the employer to violate the </w:t>
      </w:r>
      <w:r w:rsidRPr="005B63BB">
        <w:rPr>
          <w:rFonts w:cs="Times New Roman"/>
          <w:i/>
        </w:rPr>
        <w:t>Privacy Act</w:t>
      </w:r>
      <w:r w:rsidRPr="005B63BB">
        <w:rPr>
          <w:rFonts w:cs="Times New Roman"/>
        </w:rPr>
        <w:t xml:space="preserve"> by disclosing her personal information without her consent; (b) the Board must defer to the Office of the Privacy Commissioner and in particular its 1993 disposition of her complaint; (c) she ought to have been given notice of the proceedings before the Board; and (d) the Board’s order breached her </w:t>
      </w:r>
      <w:r w:rsidRPr="005B63BB">
        <w:rPr>
          <w:rFonts w:cs="Times New Roman"/>
          <w:i/>
        </w:rPr>
        <w:t>Charter</w:t>
      </w:r>
      <w:r w:rsidRPr="005B63BB">
        <w:rPr>
          <w:rFonts w:cs="Times New Roman"/>
        </w:rPr>
        <w:t xml:space="preserve"> right not to associate with the union.  </w:t>
      </w:r>
    </w:p>
    <w:p w:rsidR="00E052E3" w:rsidRPr="005B63BB" w:rsidRDefault="00E052E3" w:rsidP="00E052E3">
      <w:pPr>
        <w:pStyle w:val="ParaNoNdepar-AltN"/>
        <w:rPr>
          <w:rFonts w:cs="Times New Roman"/>
        </w:rPr>
      </w:pPr>
      <w:r w:rsidRPr="005B63BB">
        <w:rPr>
          <w:rFonts w:cs="Times New Roman"/>
        </w:rPr>
        <w:t xml:space="preserve">The Federal Court of Appeal (Blais C.J., Pelletier and </w:t>
      </w:r>
      <w:proofErr w:type="spellStart"/>
      <w:r w:rsidRPr="005B63BB">
        <w:rPr>
          <w:rFonts w:cs="Times New Roman"/>
        </w:rPr>
        <w:t>Trudel</w:t>
      </w:r>
      <w:proofErr w:type="spellEnd"/>
      <w:r w:rsidRPr="005B63BB">
        <w:rPr>
          <w:rFonts w:cs="Times New Roman"/>
        </w:rPr>
        <w:t xml:space="preserve"> JJ.A.) confirmed that the Board’s initial decision was that “some” contact information must be provided, and noted that that decision was not under review. Nor was the Board’s decision that the failure to provide such information amounts to interference in the administration of the union. The issue before it, instead, was “the nature of the information to be provided and the circumstances under which it must be provided”.  </w:t>
      </w:r>
    </w:p>
    <w:p w:rsidR="00E052E3" w:rsidRPr="005B63BB" w:rsidRDefault="00E052E3" w:rsidP="00E052E3">
      <w:pPr>
        <w:pStyle w:val="ParaNoNdepar-AltN"/>
        <w:rPr>
          <w:rFonts w:cs="Times New Roman"/>
        </w:rPr>
      </w:pPr>
      <w:r w:rsidRPr="005B63BB">
        <w:rPr>
          <w:rFonts w:cs="Times New Roman"/>
        </w:rPr>
        <w:t xml:space="preserve">The Federal Court of Appeal concluded that the Board should have considered the application of the </w:t>
      </w:r>
      <w:r w:rsidRPr="005B63BB">
        <w:rPr>
          <w:rFonts w:cs="Times New Roman"/>
          <w:i/>
        </w:rPr>
        <w:t>Privacy Act</w:t>
      </w:r>
      <w:r w:rsidRPr="005B63BB">
        <w:rPr>
          <w:rFonts w:cs="Times New Roman"/>
        </w:rPr>
        <w:t xml:space="preserve"> to the disclosure of home contact information under the </w:t>
      </w:r>
      <w:r w:rsidRPr="005B63BB">
        <w:rPr>
          <w:rFonts w:cs="Times New Roman"/>
          <w:i/>
        </w:rPr>
        <w:t>Public Service Labour Relations Act</w:t>
      </w:r>
      <w:r w:rsidRPr="005B63BB">
        <w:rPr>
          <w:rFonts w:cs="Times New Roman"/>
        </w:rPr>
        <w:t>,</w:t>
      </w:r>
      <w:r w:rsidRPr="005B63BB">
        <w:rPr>
          <w:rFonts w:cs="Times New Roman"/>
          <w:i/>
        </w:rPr>
        <w:t xml:space="preserve"> </w:t>
      </w:r>
      <w:r w:rsidRPr="005B63BB">
        <w:rPr>
          <w:rFonts w:cs="Times New Roman"/>
        </w:rPr>
        <w:t xml:space="preserve">rather than simply adopting the agreement arrived at by the parties. It therefore remitted the matter to the Board for redetermination, and directed that the Office of the Privacy Commissioner and Ms. Bernard be given notice of the redetermination proceedings and an opportunity to make submissions. It did not deal with Ms. Bernard’s freedom of association argument, </w:t>
      </w:r>
      <w:proofErr w:type="gramStart"/>
      <w:r w:rsidRPr="005B63BB">
        <w:rPr>
          <w:rFonts w:cs="Times New Roman"/>
        </w:rPr>
        <w:t>nor</w:t>
      </w:r>
      <w:proofErr w:type="gramEnd"/>
      <w:r w:rsidRPr="005B63BB">
        <w:rPr>
          <w:rFonts w:cs="Times New Roman"/>
        </w:rPr>
        <w:t xml:space="preserve"> with her argument that she ought to have been given notice of the prior proceedings before the Board.</w:t>
      </w:r>
    </w:p>
    <w:p w:rsidR="00E052E3" w:rsidRPr="005B63BB" w:rsidRDefault="00E052E3" w:rsidP="00E052E3">
      <w:pPr>
        <w:pStyle w:val="ParaNoNdepar-AltN"/>
        <w:rPr>
          <w:rFonts w:cs="Times New Roman"/>
        </w:rPr>
      </w:pPr>
      <w:r w:rsidRPr="005B63BB">
        <w:rPr>
          <w:rFonts w:cs="Times New Roman"/>
        </w:rPr>
        <w:lastRenderedPageBreak/>
        <w:t xml:space="preserve">At the redetermination hearing, the Privacy Commissioner acknowledged that the Board was entitled to order disclosure of personal information pursuant to the </w:t>
      </w:r>
      <w:r w:rsidRPr="005B63BB">
        <w:rPr>
          <w:rFonts w:cs="Times New Roman"/>
          <w:i/>
        </w:rPr>
        <w:t>Public Service Labour Relations Act</w:t>
      </w:r>
      <w:r w:rsidRPr="005B63BB">
        <w:rPr>
          <w:rFonts w:cs="Times New Roman"/>
        </w:rPr>
        <w:t>, referring to its 1993 decision as a “</w:t>
      </w:r>
      <w:r w:rsidRPr="005B63BB">
        <w:rPr>
          <w:rFonts w:cs="Times New Roman"/>
          <w:i/>
        </w:rPr>
        <w:t>non-binding report of findings</w:t>
      </w:r>
      <w:r w:rsidRPr="005B63BB">
        <w:rPr>
          <w:rFonts w:cs="Times New Roman"/>
        </w:rPr>
        <w:t>” to Ms. Bernard and her employer (emphasis added).  However, the Commissioner urged the Board “to carefully consider what personal information is minimally required from the employer” to satisfy the union’s representational obligations, to explore “alternative ways” for the union to meet its statutory obligations, and to “ensure adequate safeguards for all employee personal information, and the implementation of privacy best practices”.</w:t>
      </w:r>
    </w:p>
    <w:p w:rsidR="00E052E3" w:rsidRPr="005B63BB" w:rsidRDefault="00E052E3" w:rsidP="00E052E3">
      <w:pPr>
        <w:pStyle w:val="ParaNoNdepar-AltN"/>
        <w:rPr>
          <w:rFonts w:cs="Times New Roman"/>
        </w:rPr>
      </w:pPr>
      <w:r w:rsidRPr="005B63BB">
        <w:rPr>
          <w:rFonts w:cs="Times New Roman"/>
        </w:rPr>
        <w:t>Ms. Bernard’s position was that disclosure of her home telephone number and address breached her privacy rights and her right not to associate with the union.   The Board addressed all of the privacy concerns raised by Ms. Bernard and the Commissioner. It concluded that work contact information was insufficient to allow a bargaining agent to meet its obligations to represent all employees in the bargaining unit.  In its view, “a bargaining agent has a right to contact all employees directly — relying on employees going to a website or talking to a steward does not meet that obligation”: 2011 PSLRB 34 (</w:t>
      </w:r>
      <w:proofErr w:type="spellStart"/>
      <w:r w:rsidRPr="005B63BB">
        <w:rPr>
          <w:rFonts w:cs="Times New Roman"/>
        </w:rPr>
        <w:t>CanLII</w:t>
      </w:r>
      <w:proofErr w:type="spellEnd"/>
      <w:r w:rsidRPr="005B63BB">
        <w:rPr>
          <w:rFonts w:cs="Times New Roman"/>
        </w:rPr>
        <w:t xml:space="preserve">), at </w:t>
      </w:r>
      <w:proofErr w:type="spellStart"/>
      <w:r w:rsidRPr="005B63BB">
        <w:rPr>
          <w:rFonts w:cs="Times New Roman"/>
        </w:rPr>
        <w:t>para</w:t>
      </w:r>
      <w:proofErr w:type="spellEnd"/>
      <w:r w:rsidRPr="005B63BB">
        <w:rPr>
          <w:rFonts w:cs="Times New Roman"/>
        </w:rPr>
        <w:t xml:space="preserve">. 164. </w:t>
      </w:r>
    </w:p>
    <w:p w:rsidR="00E052E3" w:rsidRPr="005B63BB" w:rsidRDefault="00E052E3" w:rsidP="00E052E3">
      <w:pPr>
        <w:pStyle w:val="ParaNoNdepar-AltN"/>
        <w:rPr>
          <w:rFonts w:cs="Times New Roman"/>
        </w:rPr>
      </w:pPr>
      <w:r w:rsidRPr="005B63BB">
        <w:rPr>
          <w:rFonts w:cs="Times New Roman"/>
        </w:rPr>
        <w:t xml:space="preserve">The Board ultimately turned to the question of whether the consent order properly protected the privacy interests of employees. It noted the following privacy-enhancing features of the original consent order: the union could use the home contact information only for legitimate purposes under the </w:t>
      </w:r>
      <w:r w:rsidRPr="005B63BB">
        <w:rPr>
          <w:rFonts w:cs="Times New Roman"/>
          <w:i/>
        </w:rPr>
        <w:t>Public Service Labour Relations Act</w:t>
      </w:r>
      <w:r w:rsidRPr="005B63BB">
        <w:rPr>
          <w:rFonts w:cs="Times New Roman"/>
        </w:rPr>
        <w:t xml:space="preserve"> and not for any other purposes; and it could not disclose the information to anyone other than those officials responsible for fulfilling its obligations. The </w:t>
      </w:r>
      <w:r w:rsidRPr="005B63BB">
        <w:rPr>
          <w:rFonts w:cs="Times New Roman"/>
        </w:rPr>
        <w:lastRenderedPageBreak/>
        <w:t xml:space="preserve">Board also noted that the union had specifically undertaken to be bound by the principles of the </w:t>
      </w:r>
      <w:r w:rsidRPr="005B63BB">
        <w:rPr>
          <w:rFonts w:cs="Times New Roman"/>
          <w:i/>
        </w:rPr>
        <w:t xml:space="preserve">Privacy Act </w:t>
      </w:r>
      <w:r w:rsidRPr="005B63BB">
        <w:rPr>
          <w:rFonts w:cs="Times New Roman"/>
        </w:rPr>
        <w:t>and regulations and the principles of the Government Security Policy in effect at the time. Nonetheless, it put two additional safeguards in place: the information should be provided to the union only on an encrypted or password-protected basis, and expired home contact information had to be appropriately disposed of after updated information was provided.</w:t>
      </w:r>
    </w:p>
    <w:p w:rsidR="00E052E3" w:rsidRPr="005B63BB" w:rsidRDefault="00E052E3" w:rsidP="00E052E3">
      <w:pPr>
        <w:pStyle w:val="ParaNoNdepar-AltN"/>
        <w:rPr>
          <w:rFonts w:cs="Times New Roman"/>
        </w:rPr>
      </w:pPr>
      <w:r w:rsidRPr="005B63BB">
        <w:rPr>
          <w:rFonts w:cs="Times New Roman"/>
        </w:rPr>
        <w:t xml:space="preserve">There was no breach of the </w:t>
      </w:r>
      <w:r w:rsidRPr="005B63BB">
        <w:rPr>
          <w:rFonts w:cs="Times New Roman"/>
          <w:i/>
        </w:rPr>
        <w:t xml:space="preserve">Privacy Act </w:t>
      </w:r>
      <w:r w:rsidRPr="005B63BB">
        <w:rPr>
          <w:rFonts w:cs="Times New Roman"/>
        </w:rPr>
        <w:t>in disclosing home telephone numbers and addresses to bargaining agents because that disclosure was consistent with the purpose for which the information was obtained and was, as a result, a “consistent use” of the information under s. 8(2)(</w:t>
      </w:r>
      <w:r w:rsidRPr="005B63BB">
        <w:rPr>
          <w:rFonts w:cs="Times New Roman"/>
          <w:i/>
        </w:rPr>
        <w:t>a</w:t>
      </w:r>
      <w:r w:rsidRPr="005B63BB">
        <w:rPr>
          <w:rFonts w:cs="Times New Roman"/>
        </w:rPr>
        <w:t xml:space="preserve">) of the </w:t>
      </w:r>
      <w:r w:rsidRPr="005B63BB">
        <w:rPr>
          <w:rFonts w:cs="Times New Roman"/>
          <w:i/>
        </w:rPr>
        <w:t>Privacy Act</w:t>
      </w:r>
      <w:r w:rsidRPr="005B63BB">
        <w:rPr>
          <w:rFonts w:cs="Times New Roman"/>
        </w:rPr>
        <w:t xml:space="preserve">.     </w:t>
      </w:r>
    </w:p>
    <w:p w:rsidR="00E052E3" w:rsidRPr="005B63BB" w:rsidRDefault="00E052E3" w:rsidP="00E052E3">
      <w:pPr>
        <w:pStyle w:val="ParaNoNdepar-AltN"/>
        <w:rPr>
          <w:rFonts w:cs="Times New Roman"/>
        </w:rPr>
      </w:pPr>
      <w:r w:rsidRPr="005B63BB">
        <w:rPr>
          <w:rFonts w:cs="Times New Roman"/>
        </w:rPr>
        <w:t>Because the Board concluded that the directions of the Federal Court of Appeal required it to undertake only the assessment of the privacy rights of the employees in the bargaining unit, it did not address Ms. Bernard’s freedom of association argument.</w:t>
      </w:r>
    </w:p>
    <w:p w:rsidR="00E052E3" w:rsidRPr="005B63BB" w:rsidRDefault="00E052E3" w:rsidP="00E052E3">
      <w:pPr>
        <w:pStyle w:val="ParaNoNdepar-AltN"/>
        <w:tabs>
          <w:tab w:val="clear" w:pos="1152"/>
          <w:tab w:val="left" w:pos="1166"/>
        </w:tabs>
        <w:rPr>
          <w:rFonts w:cs="Times New Roman"/>
        </w:rPr>
      </w:pPr>
      <w:r w:rsidRPr="005B63BB">
        <w:rPr>
          <w:rFonts w:cs="Times New Roman"/>
        </w:rPr>
        <w:t xml:space="preserve">Ms. Bernard again sought judicial review. The Federal Court of Appeal (Blais C.J., Evans and </w:t>
      </w:r>
      <w:proofErr w:type="spellStart"/>
      <w:r w:rsidRPr="005B63BB">
        <w:rPr>
          <w:rFonts w:cs="Times New Roman"/>
        </w:rPr>
        <w:t>Sharlow</w:t>
      </w:r>
      <w:proofErr w:type="spellEnd"/>
      <w:r w:rsidRPr="005B63BB">
        <w:rPr>
          <w:rFonts w:cs="Times New Roman"/>
        </w:rPr>
        <w:t xml:space="preserve"> JJ.A.) concluded that the Board’s decision was subject to a reasonableness standard of review. It also concluded that the Board’s decision was reasonable in finding that the union needed employees’ home contact information in order to fulfill its representational duties and that the union’s use of home contact information was a “consistent use” under s. 8(2)(</w:t>
      </w:r>
      <w:r w:rsidRPr="005B63BB">
        <w:rPr>
          <w:rFonts w:cs="Times New Roman"/>
          <w:i/>
        </w:rPr>
        <w:t>a</w:t>
      </w:r>
      <w:r w:rsidRPr="005B63BB">
        <w:rPr>
          <w:rFonts w:cs="Times New Roman"/>
        </w:rPr>
        <w:t xml:space="preserve">) of the </w:t>
      </w:r>
      <w:r w:rsidRPr="005B63BB">
        <w:rPr>
          <w:rFonts w:cs="Times New Roman"/>
          <w:i/>
        </w:rPr>
        <w:t>Privacy Act</w:t>
      </w:r>
      <w:r w:rsidRPr="005B63BB">
        <w:rPr>
          <w:rFonts w:cs="Times New Roman"/>
        </w:rPr>
        <w:t xml:space="preserve">.  </w:t>
      </w:r>
    </w:p>
    <w:p w:rsidR="00E052E3" w:rsidRPr="005B63BB" w:rsidRDefault="00E052E3" w:rsidP="00E052E3">
      <w:pPr>
        <w:pStyle w:val="ParaNoNdepar-AltN"/>
        <w:tabs>
          <w:tab w:val="clear" w:pos="1152"/>
          <w:tab w:val="left" w:pos="1166"/>
        </w:tabs>
        <w:rPr>
          <w:rFonts w:cs="Times New Roman"/>
        </w:rPr>
      </w:pPr>
      <w:r w:rsidRPr="005B63BB">
        <w:rPr>
          <w:rFonts w:cs="Times New Roman"/>
        </w:rPr>
        <w:t>We agree that the standard of review is reasonableness. For the following reasons, we also agree with the conclusion that the Board’s decision was reasonable.</w:t>
      </w:r>
    </w:p>
    <w:p w:rsidR="00E052E3" w:rsidRPr="005B63BB" w:rsidRDefault="00E052E3" w:rsidP="00E052E3">
      <w:pPr>
        <w:pStyle w:val="TitleTitre-AltT"/>
        <w:rPr>
          <w:rFonts w:cs="Times New Roman"/>
          <w:u w:val="single"/>
        </w:rPr>
      </w:pPr>
      <w:r w:rsidRPr="005B63BB">
        <w:rPr>
          <w:rFonts w:cs="Times New Roman"/>
          <w:u w:val="single"/>
        </w:rPr>
        <w:lastRenderedPageBreak/>
        <w:t>Analysis</w:t>
      </w:r>
    </w:p>
    <w:p w:rsidR="00E052E3" w:rsidRPr="005B63BB" w:rsidRDefault="00E052E3" w:rsidP="00E052E3">
      <w:pPr>
        <w:pStyle w:val="ParaNoNdepar-AltN"/>
        <w:rPr>
          <w:rFonts w:cs="Times New Roman"/>
          <w:lang w:val="en-US"/>
        </w:rPr>
      </w:pPr>
      <w:r w:rsidRPr="005B63BB">
        <w:rPr>
          <w:rFonts w:cs="Times New Roman"/>
          <w:lang w:val="en-US"/>
        </w:rPr>
        <w:t xml:space="preserve">It is important to understand the </w:t>
      </w:r>
      <w:proofErr w:type="spellStart"/>
      <w:r w:rsidRPr="005B63BB">
        <w:rPr>
          <w:rFonts w:cs="Times New Roman"/>
          <w:lang w:val="en-US"/>
        </w:rPr>
        <w:t>labour</w:t>
      </w:r>
      <w:proofErr w:type="spellEnd"/>
      <w:r w:rsidRPr="005B63BB">
        <w:rPr>
          <w:rFonts w:cs="Times New Roman"/>
          <w:lang w:val="en-US"/>
        </w:rPr>
        <w:t xml:space="preserve"> relations context in which Ms. Bernard’s privacy complaints arise. A key aspect of that context is the </w:t>
      </w:r>
      <w:r w:rsidRPr="005B63BB">
        <w:rPr>
          <w:rFonts w:cs="Times New Roman"/>
        </w:rPr>
        <w:t xml:space="preserve">principle of </w:t>
      </w:r>
      <w:proofErr w:type="spellStart"/>
      <w:r w:rsidRPr="005B63BB">
        <w:rPr>
          <w:rFonts w:cs="Times New Roman"/>
        </w:rPr>
        <w:t>majoritarian</w:t>
      </w:r>
      <w:proofErr w:type="spellEnd"/>
      <w:r w:rsidRPr="005B63BB">
        <w:rPr>
          <w:rFonts w:cs="Times New Roman"/>
        </w:rPr>
        <w:t xml:space="preserve"> exclusivity, a cornerstone of labour relations law in this country. A union has the </w:t>
      </w:r>
      <w:r w:rsidRPr="005B63BB">
        <w:rPr>
          <w:rFonts w:cs="Times New Roman"/>
          <w:i/>
        </w:rPr>
        <w:t>exclusive</w:t>
      </w:r>
      <w:r w:rsidRPr="005B63BB">
        <w:rPr>
          <w:rFonts w:cs="Times New Roman"/>
        </w:rPr>
        <w:t xml:space="preserve"> right to bargain on behalf of </w:t>
      </w:r>
      <w:r w:rsidRPr="005B63BB">
        <w:rPr>
          <w:rFonts w:cs="Times New Roman"/>
          <w:i/>
        </w:rPr>
        <w:t>all</w:t>
      </w:r>
      <w:r w:rsidRPr="005B63BB">
        <w:rPr>
          <w:rFonts w:cs="Times New Roman"/>
        </w:rPr>
        <w:t xml:space="preserve"> employees in a given bargaining unit, including Rand employees. </w:t>
      </w:r>
      <w:r w:rsidRPr="005B63BB">
        <w:rPr>
          <w:rFonts w:cs="Times New Roman"/>
          <w:lang w:val="en-US"/>
        </w:rPr>
        <w:t xml:space="preserve">The union is the exclusive agent for those employees with respect to their rights under the collective agreement. </w:t>
      </w:r>
      <w:r w:rsidRPr="005B63BB">
        <w:rPr>
          <w:rFonts w:cs="Times New Roman"/>
        </w:rPr>
        <w:t xml:space="preserve">While an employee is undoubtedly free not to join the union and to decide to become a Rand employee, he or she may not opt out of the exclusive bargaining relationship, </w:t>
      </w:r>
      <w:proofErr w:type="gramStart"/>
      <w:r w:rsidRPr="005B63BB">
        <w:rPr>
          <w:rFonts w:cs="Times New Roman"/>
        </w:rPr>
        <w:t>nor</w:t>
      </w:r>
      <w:proofErr w:type="gramEnd"/>
      <w:r w:rsidRPr="005B63BB">
        <w:rPr>
          <w:rFonts w:cs="Times New Roman"/>
        </w:rPr>
        <w:t xml:space="preserve"> the representational duties that a union owes to employees.</w:t>
      </w:r>
    </w:p>
    <w:p w:rsidR="00E052E3" w:rsidRPr="005B63BB" w:rsidRDefault="00E052E3" w:rsidP="00E052E3">
      <w:pPr>
        <w:pStyle w:val="ParaNoNdepar-AltN"/>
        <w:rPr>
          <w:rFonts w:cs="Times New Roman"/>
        </w:rPr>
      </w:pPr>
      <w:r w:rsidRPr="005B63BB">
        <w:rPr>
          <w:rFonts w:cs="Times New Roman"/>
          <w:lang w:val="en-US"/>
        </w:rPr>
        <w:t>The nature of the union’s representational duties is</w:t>
      </w:r>
      <w:r>
        <w:rPr>
          <w:rFonts w:cs="Times New Roman"/>
          <w:lang w:val="en-US"/>
        </w:rPr>
        <w:t xml:space="preserve"> </w:t>
      </w:r>
      <w:r w:rsidRPr="005B63BB">
        <w:rPr>
          <w:rFonts w:cs="Times New Roman"/>
          <w:lang w:val="en-US"/>
        </w:rPr>
        <w:t>an important part of the context for the Board’s decision. The union must represent all bargaining unit employees fairly and in good faith. T</w:t>
      </w:r>
      <w:r w:rsidRPr="005B63BB">
        <w:rPr>
          <w:rFonts w:cs="Times New Roman"/>
        </w:rPr>
        <w:t xml:space="preserve">he </w:t>
      </w:r>
      <w:r w:rsidRPr="005B63BB">
        <w:rPr>
          <w:rFonts w:cs="Times New Roman"/>
          <w:i/>
        </w:rPr>
        <w:t>Public Service Labour Relations Act</w:t>
      </w:r>
      <w:r w:rsidRPr="005B63BB">
        <w:rPr>
          <w:rFonts w:cs="Times New Roman"/>
        </w:rPr>
        <w:t xml:space="preserve"> imposes a number of specific duties on a union with respect to employees in the bargaining unit. These include a duty to provide all employees in the bargaining unit with a reasonable opportunity to participate in strike votes and to be notified of the results of such votes (s. 184). According to the Board, similar obligations apply to the conduct of final-offer votes under s. 183 of the</w:t>
      </w:r>
      <w:r>
        <w:rPr>
          <w:rFonts w:cs="Times New Roman"/>
        </w:rPr>
        <w:t xml:space="preserve"> </w:t>
      </w:r>
      <w:r w:rsidRPr="005B63BB">
        <w:rPr>
          <w:rFonts w:cs="Times New Roman"/>
          <w:i/>
        </w:rPr>
        <w:t>Act</w:t>
      </w:r>
      <w:r w:rsidRPr="005B63BB">
        <w:rPr>
          <w:rFonts w:cs="Times New Roman"/>
        </w:rPr>
        <w:t xml:space="preserve">. </w:t>
      </w:r>
    </w:p>
    <w:p w:rsidR="00E052E3" w:rsidRPr="005B63BB" w:rsidRDefault="00E052E3" w:rsidP="00E052E3">
      <w:pPr>
        <w:pStyle w:val="ParaNoNdepar-AltN"/>
        <w:rPr>
          <w:rFonts w:cs="Times New Roman"/>
        </w:rPr>
      </w:pPr>
      <w:r w:rsidRPr="005B63BB">
        <w:rPr>
          <w:rFonts w:cs="Times New Roman"/>
        </w:rPr>
        <w:t xml:space="preserve">This is the context in which to consider the reasonableness of the Board’s findings that disclosure of home contact information is required under the </w:t>
      </w:r>
      <w:r w:rsidRPr="005B63BB">
        <w:rPr>
          <w:rFonts w:cs="Times New Roman"/>
          <w:i/>
        </w:rPr>
        <w:t>Public Service Labour Relations Act</w:t>
      </w:r>
      <w:r w:rsidRPr="005B63BB">
        <w:rPr>
          <w:rFonts w:cs="Times New Roman"/>
        </w:rPr>
        <w:t xml:space="preserve"> and authorized by s. 8(2)(</w:t>
      </w:r>
      <w:r w:rsidRPr="005B63BB">
        <w:rPr>
          <w:rFonts w:cs="Times New Roman"/>
          <w:i/>
        </w:rPr>
        <w:t>a</w:t>
      </w:r>
      <w:r w:rsidRPr="005B63BB">
        <w:rPr>
          <w:rFonts w:cs="Times New Roman"/>
        </w:rPr>
        <w:t xml:space="preserve">) of the </w:t>
      </w:r>
      <w:r w:rsidRPr="005B63BB">
        <w:rPr>
          <w:rFonts w:cs="Times New Roman"/>
          <w:i/>
        </w:rPr>
        <w:t>Privacy Act</w:t>
      </w:r>
      <w:r w:rsidRPr="005B63BB">
        <w:rPr>
          <w:rFonts w:cs="Times New Roman"/>
        </w:rPr>
        <w:t xml:space="preserve">. The relevant provisions of the </w:t>
      </w:r>
      <w:r w:rsidRPr="005B63BB">
        <w:rPr>
          <w:rFonts w:cs="Times New Roman"/>
          <w:i/>
        </w:rPr>
        <w:t>Public Service Labour Relations Act</w:t>
      </w:r>
      <w:r w:rsidRPr="005B63BB">
        <w:rPr>
          <w:rFonts w:cs="Times New Roman"/>
        </w:rPr>
        <w:t xml:space="preserve"> state: </w:t>
      </w:r>
    </w:p>
    <w:p w:rsidR="00E052E3" w:rsidRPr="005B63BB" w:rsidRDefault="00E052E3" w:rsidP="00760603">
      <w:pPr>
        <w:pStyle w:val="Citation-AltC"/>
        <w:ind w:left="720" w:firstLine="360"/>
        <w:rPr>
          <w:lang w:val="en-US"/>
        </w:rPr>
      </w:pPr>
      <w:r w:rsidRPr="008739E1">
        <w:rPr>
          <w:b/>
          <w:bCs/>
          <w:lang w:val="en-US"/>
        </w:rPr>
        <w:lastRenderedPageBreak/>
        <w:t>185.</w:t>
      </w:r>
      <w:r w:rsidRPr="005B63BB">
        <w:rPr>
          <w:lang w:val="en-US"/>
        </w:rPr>
        <w:t xml:space="preserve"> </w:t>
      </w:r>
      <w:r w:rsidR="00760603">
        <w:rPr>
          <w:lang w:val="en-US"/>
        </w:rPr>
        <w:t>[</w:t>
      </w:r>
      <w:r w:rsidR="00760603" w:rsidRPr="005B63BB">
        <w:rPr>
          <w:lang w:val="en-US"/>
        </w:rPr>
        <w:t xml:space="preserve">Meaning of “unfair </w:t>
      </w:r>
      <w:proofErr w:type="spellStart"/>
      <w:r w:rsidR="00760603" w:rsidRPr="005B63BB">
        <w:rPr>
          <w:lang w:val="en-US"/>
        </w:rPr>
        <w:t>labour</w:t>
      </w:r>
      <w:proofErr w:type="spellEnd"/>
      <w:r w:rsidR="00760603" w:rsidRPr="005B63BB">
        <w:rPr>
          <w:lang w:val="en-US"/>
        </w:rPr>
        <w:t xml:space="preserve"> practice”</w:t>
      </w:r>
      <w:r w:rsidR="00760603">
        <w:rPr>
          <w:lang w:val="en-US"/>
        </w:rPr>
        <w:t xml:space="preserve">] </w:t>
      </w:r>
      <w:proofErr w:type="gramStart"/>
      <w:r w:rsidRPr="005B63BB">
        <w:rPr>
          <w:lang w:val="en-US"/>
        </w:rPr>
        <w:t>In</w:t>
      </w:r>
      <w:proofErr w:type="gramEnd"/>
      <w:r w:rsidRPr="005B63BB">
        <w:rPr>
          <w:lang w:val="en-US"/>
        </w:rPr>
        <w:t xml:space="preserve"> this Division, </w:t>
      </w:r>
      <w:r w:rsidRPr="00760603">
        <w:rPr>
          <w:iCs/>
          <w:lang w:val="en-US"/>
        </w:rPr>
        <w:t>“</w:t>
      </w:r>
      <w:r w:rsidRPr="005B63BB">
        <w:rPr>
          <w:i/>
          <w:iCs/>
          <w:lang w:val="en-US"/>
        </w:rPr>
        <w:t xml:space="preserve">unfair </w:t>
      </w:r>
      <w:proofErr w:type="spellStart"/>
      <w:r w:rsidRPr="005B63BB">
        <w:rPr>
          <w:i/>
          <w:iCs/>
          <w:lang w:val="en-US"/>
        </w:rPr>
        <w:t>labour</w:t>
      </w:r>
      <w:proofErr w:type="spellEnd"/>
      <w:r w:rsidRPr="005B63BB">
        <w:rPr>
          <w:i/>
          <w:iCs/>
          <w:lang w:val="en-US"/>
        </w:rPr>
        <w:t xml:space="preserve"> practice</w:t>
      </w:r>
      <w:r w:rsidRPr="00760603">
        <w:rPr>
          <w:iCs/>
          <w:lang w:val="en-US"/>
        </w:rPr>
        <w:t>”</w:t>
      </w:r>
      <w:r w:rsidRPr="005B63BB">
        <w:rPr>
          <w:lang w:val="en-US"/>
        </w:rPr>
        <w:t xml:space="preserve"> means anything that is prohibited by subsection 186(1) or (2), section 187 or 188 or subsection 189(1).</w:t>
      </w:r>
    </w:p>
    <w:p w:rsidR="00E052E3" w:rsidRPr="005B63BB" w:rsidRDefault="00E052E3" w:rsidP="00E052E3">
      <w:pPr>
        <w:pStyle w:val="Citation-AltC"/>
        <w:rPr>
          <w:lang w:val="en-US"/>
        </w:rPr>
      </w:pPr>
    </w:p>
    <w:p w:rsidR="00E052E3" w:rsidRPr="005B63BB" w:rsidRDefault="00E052E3" w:rsidP="00760603">
      <w:pPr>
        <w:pStyle w:val="Citation-AltC"/>
        <w:ind w:left="720" w:firstLine="360"/>
      </w:pPr>
      <w:r w:rsidRPr="008739E1">
        <w:rPr>
          <w:b/>
        </w:rPr>
        <w:t>186.</w:t>
      </w:r>
      <w:r w:rsidR="00760603" w:rsidRPr="00760603">
        <w:t xml:space="preserve"> </w:t>
      </w:r>
      <w:r w:rsidR="00760603">
        <w:t>[</w:t>
      </w:r>
      <w:r w:rsidR="00760603" w:rsidRPr="00760603">
        <w:rPr>
          <w:lang w:val="en-US"/>
        </w:rPr>
        <w:t>Unfair</w:t>
      </w:r>
      <w:r w:rsidR="00760603" w:rsidRPr="005B63BB">
        <w:t xml:space="preserve"> labour practices — employer</w:t>
      </w:r>
      <w:r w:rsidR="00760603">
        <w:t>]</w:t>
      </w:r>
      <w:r w:rsidRPr="005B63BB">
        <w:t xml:space="preserve"> (1) Neither the employer nor a person who occupies a managerial or confidential position, whether or not the person is acting on behalf of the employer, shall</w:t>
      </w:r>
    </w:p>
    <w:p w:rsidR="00E052E3" w:rsidRPr="005B63BB" w:rsidRDefault="00E052E3" w:rsidP="00E052E3">
      <w:pPr>
        <w:pStyle w:val="Citation-AltC"/>
      </w:pPr>
    </w:p>
    <w:p w:rsidR="00E052E3" w:rsidRPr="005B63BB" w:rsidRDefault="00E052E3" w:rsidP="00760603">
      <w:pPr>
        <w:pStyle w:val="Citation-AltC"/>
        <w:ind w:left="1170"/>
      </w:pPr>
      <w:r w:rsidRPr="005B63BB">
        <w:t>(</w:t>
      </w:r>
      <w:r w:rsidRPr="005B63BB">
        <w:rPr>
          <w:i/>
        </w:rPr>
        <w:t>a</w:t>
      </w:r>
      <w:r w:rsidRPr="005B63BB">
        <w:t xml:space="preserve">) </w:t>
      </w:r>
      <w:proofErr w:type="gramStart"/>
      <w:r w:rsidRPr="005B63BB">
        <w:t>participate</w:t>
      </w:r>
      <w:proofErr w:type="gramEnd"/>
      <w:r w:rsidRPr="005B63BB">
        <w:t xml:space="preserve"> in or interfere with the formation or administration of an employee organization or the representation of employees by an employee organization . . .</w:t>
      </w:r>
    </w:p>
    <w:p w:rsidR="00E052E3" w:rsidRPr="005B63BB" w:rsidRDefault="00E052E3" w:rsidP="00E052E3">
      <w:pPr>
        <w:pStyle w:val="ParaNoNdepar-AltN"/>
        <w:rPr>
          <w:rFonts w:cs="Times New Roman"/>
        </w:rPr>
      </w:pPr>
      <w:r w:rsidRPr="005B63BB">
        <w:rPr>
          <w:rFonts w:cs="Times New Roman"/>
        </w:rPr>
        <w:t xml:space="preserve">The Board found that the employer’s refusal to disclose employee home contact information constituted an unfair labour practice because it interfered with the union’s representation of employees. Two rationales fueled this conclusion. The first is that the union needs </w:t>
      </w:r>
      <w:r w:rsidRPr="005B63BB">
        <w:rPr>
          <w:rFonts w:cs="Times New Roman"/>
          <w:i/>
        </w:rPr>
        <w:t>effective</w:t>
      </w:r>
      <w:r w:rsidRPr="005B63BB">
        <w:rPr>
          <w:rFonts w:cs="Times New Roman"/>
        </w:rPr>
        <w:t xml:space="preserve"> means of contacting employees in order to discharge its representational duties. This was explained in </w:t>
      </w:r>
      <w:proofErr w:type="spellStart"/>
      <w:r w:rsidRPr="005B63BB">
        <w:rPr>
          <w:rFonts w:cs="Times New Roman"/>
          <w:i/>
        </w:rPr>
        <w:t>Millcroft</w:t>
      </w:r>
      <w:proofErr w:type="spellEnd"/>
      <w:r w:rsidRPr="005B63BB">
        <w:rPr>
          <w:rFonts w:cs="Times New Roman"/>
        </w:rPr>
        <w:t xml:space="preserve">, where the Ontario Labour Relations Board extensively reviewed a union’s duties and concluded that the union “must be able to communicate effortlessly with the employees” and “should have [their contact information] without the need to pass through the obstacles suggested by the employer” in order to discharge those representational duties: </w:t>
      </w:r>
      <w:proofErr w:type="spellStart"/>
      <w:r w:rsidRPr="005B63BB">
        <w:rPr>
          <w:rFonts w:cs="Times New Roman"/>
        </w:rPr>
        <w:t>para</w:t>
      </w:r>
      <w:proofErr w:type="spellEnd"/>
      <w:r w:rsidRPr="005B63BB">
        <w:rPr>
          <w:rFonts w:cs="Times New Roman"/>
        </w:rPr>
        <w:t xml:space="preserve">. 33. </w:t>
      </w:r>
    </w:p>
    <w:p w:rsidR="00E052E3" w:rsidRPr="005B63BB" w:rsidRDefault="00E052E3" w:rsidP="00E052E3">
      <w:pPr>
        <w:pStyle w:val="ParaNoNdepar-AltN"/>
        <w:rPr>
          <w:rFonts w:cs="Times New Roman"/>
        </w:rPr>
      </w:pPr>
      <w:r w:rsidRPr="005B63BB">
        <w:rPr>
          <w:rFonts w:cs="Times New Roman"/>
        </w:rPr>
        <w:t>The Board</w:t>
      </w:r>
      <w:r w:rsidRPr="005B63BB">
        <w:rPr>
          <w:rFonts w:cs="Times New Roman"/>
          <w:b/>
        </w:rPr>
        <w:t xml:space="preserve"> </w:t>
      </w:r>
      <w:r w:rsidRPr="005B63BB">
        <w:rPr>
          <w:rFonts w:cs="Times New Roman"/>
        </w:rPr>
        <w:t xml:space="preserve">explained why employee work contact information was insufficient to enable the union to carry out its duties to bargaining unit employees: it is not appropriate for a bargaining agent to use employer facilities for its business; workplace communications from bargaining agents must be vetted by the employer before posting; there is no expectation of privacy in electronic communications at the workplace; and the union must be able to communicate with employees quickly and effectively, particularly when they are dispersed. </w:t>
      </w:r>
    </w:p>
    <w:p w:rsidR="00E052E3" w:rsidRPr="005B63BB" w:rsidRDefault="00E052E3" w:rsidP="00E052E3">
      <w:pPr>
        <w:pStyle w:val="ParaNoNdepar-AltN"/>
        <w:rPr>
          <w:rFonts w:cs="Times New Roman"/>
        </w:rPr>
      </w:pPr>
      <w:r w:rsidRPr="005B63BB">
        <w:rPr>
          <w:rFonts w:cs="Times New Roman"/>
        </w:rPr>
        <w:lastRenderedPageBreak/>
        <w:t xml:space="preserve">The second and more theoretical rationale for the employer’s obligation to disclose home contact information is that the union must be on an equal footing with the employer with respect to information relevant to the collective bargaining relationship. Disclosure of personal information to the union is not like disclosure of personal information to the public because of the tripartite relationship between the employee, the employer and the union. To the extent that the employer has information which is of value to the union in representing employees, the union is entitled to it. This was explained as follows in </w:t>
      </w:r>
      <w:proofErr w:type="spellStart"/>
      <w:r w:rsidRPr="005B63BB">
        <w:rPr>
          <w:rFonts w:cs="Times New Roman"/>
          <w:i/>
        </w:rPr>
        <w:t>Millcroft</w:t>
      </w:r>
      <w:proofErr w:type="spellEnd"/>
      <w:r w:rsidRPr="005B63BB">
        <w:rPr>
          <w:rFonts w:cs="Times New Roman"/>
        </w:rPr>
        <w:t>:</w:t>
      </w:r>
    </w:p>
    <w:p w:rsidR="00E052E3" w:rsidRPr="005B63BB" w:rsidRDefault="00E052E3" w:rsidP="00E052E3">
      <w:pPr>
        <w:pStyle w:val="Citation-AltC"/>
      </w:pPr>
      <w:r w:rsidRPr="005B63BB">
        <w:tab/>
        <w:t xml:space="preserve">A consequence of the union possessing exclusive bargaining status on behalf of the employees is that the union is placed in an equal bargaining position with the employer in its collective bargaining relationship. </w:t>
      </w:r>
      <w:proofErr w:type="gramStart"/>
      <w:r w:rsidRPr="005B63BB">
        <w:t>To the extent that the employer has information which is of value to the union in its capacity to represent the employees (such as their names, addresses and telephone numbers), the union too should have that information.</w:t>
      </w:r>
      <w:proofErr w:type="gramEnd"/>
      <w:r w:rsidRPr="005B63BB">
        <w:t xml:space="preserve"> The employees’ privacy rights are compromised (no doubt legitimately) by the employer having details of their names, addresses and telephone numbers. The union’s acquisition of that information would be no greater compromise, nor any less legitimate. [</w:t>
      </w:r>
      <w:proofErr w:type="spellStart"/>
      <w:r w:rsidRPr="005B63BB">
        <w:t>para</w:t>
      </w:r>
      <w:proofErr w:type="spellEnd"/>
      <w:r w:rsidRPr="005B63BB">
        <w:t>. 31]</w:t>
      </w:r>
    </w:p>
    <w:p w:rsidR="00E052E3" w:rsidRPr="005B63BB" w:rsidRDefault="00E052E3" w:rsidP="00E052E3">
      <w:pPr>
        <w:pStyle w:val="ParaNoNdepar-AltN"/>
        <w:rPr>
          <w:rFonts w:cs="Times New Roman"/>
        </w:rPr>
      </w:pPr>
      <w:r w:rsidRPr="005B63BB">
        <w:rPr>
          <w:rFonts w:cs="Times New Roman"/>
        </w:rPr>
        <w:t xml:space="preserve">The Board’s conclusions are clearly justified. The union’s need to be able to communicate with employees in the bargaining unit cannot be satisfied by reliance on the employer’s facilities. As the Board observed, the employer can control the means of workplace communication, can implement policies that restrict all workplace communications, including with the union, and can monitor communications. Moreover, the union may have representational duties to employees whom it cannot contact at work, such as employees who are on leave, or who are not at work because of a labour dispute. </w:t>
      </w:r>
    </w:p>
    <w:p w:rsidR="00E052E3" w:rsidRPr="005B63BB" w:rsidRDefault="00E052E3" w:rsidP="00E052E3">
      <w:pPr>
        <w:pStyle w:val="ParaNoNdepar-AltN"/>
        <w:rPr>
          <w:rFonts w:cs="Times New Roman"/>
        </w:rPr>
      </w:pPr>
      <w:r w:rsidRPr="005B63BB">
        <w:rPr>
          <w:rFonts w:cs="Times New Roman"/>
        </w:rPr>
        <w:lastRenderedPageBreak/>
        <w:t xml:space="preserve">The second rationale — equality of information between the employer and the union — further supports the Board’s conclusion. The tripartite nature of the employment relationship means that information disclosed to the employer that is necessary for the union to carry out its representational duties should be disclosed to the union in order to ensure that the union and employer are on an equal footing with respect to information relevant to the collective bargaining relationship. </w:t>
      </w:r>
    </w:p>
    <w:p w:rsidR="00E052E3" w:rsidRPr="005B63BB" w:rsidRDefault="00E052E3" w:rsidP="00E052E3">
      <w:pPr>
        <w:pStyle w:val="ParaNoNdepar-AltN"/>
        <w:rPr>
          <w:rFonts w:cs="Times New Roman"/>
        </w:rPr>
      </w:pPr>
      <w:r w:rsidRPr="005B63BB">
        <w:rPr>
          <w:rFonts w:cs="Times New Roman"/>
        </w:rPr>
        <w:t xml:space="preserve">Moreover, an employee cannot waive his or her right to be fairly — and exclusively — represented by the union.  Given that the union owes legal obligations to </w:t>
      </w:r>
      <w:r w:rsidRPr="005B63BB">
        <w:rPr>
          <w:rFonts w:cs="Times New Roman"/>
          <w:i/>
        </w:rPr>
        <w:t>all</w:t>
      </w:r>
      <w:r w:rsidRPr="005B63BB">
        <w:rPr>
          <w:rFonts w:cs="Times New Roman"/>
        </w:rPr>
        <w:t xml:space="preserve"> employees — whether or not they are Rand employees — and may have to communicate with them quickly, the union should not be deprived of information in the hands of the employer that could assist in fulfilling these obligations. </w:t>
      </w:r>
    </w:p>
    <w:p w:rsidR="00E052E3" w:rsidRPr="005B63BB" w:rsidRDefault="00E052E3" w:rsidP="00E052E3">
      <w:pPr>
        <w:pStyle w:val="ParaNoNdepar-AltN"/>
        <w:rPr>
          <w:rFonts w:cs="Times New Roman"/>
        </w:rPr>
      </w:pPr>
      <w:r w:rsidRPr="005B63BB">
        <w:rPr>
          <w:rFonts w:cs="Times New Roman"/>
        </w:rPr>
        <w:t xml:space="preserve">This brings us to the intersecting privacy concerns. The </w:t>
      </w:r>
      <w:r w:rsidRPr="005B63BB">
        <w:rPr>
          <w:rFonts w:cs="Times New Roman"/>
          <w:i/>
        </w:rPr>
        <w:t>Privacy Act</w:t>
      </w:r>
      <w:r w:rsidRPr="005B63BB">
        <w:rPr>
          <w:rFonts w:cs="Times New Roman"/>
        </w:rPr>
        <w:t xml:space="preserve"> imposes a ban on disclosure of government-held personal information, which includes home addresses and telephone numbers, subject to a number of exceptions listed in s. 8(2), including the consistent use exception:</w:t>
      </w:r>
    </w:p>
    <w:p w:rsidR="00E052E3" w:rsidRPr="005B63BB" w:rsidRDefault="00E052E3" w:rsidP="00E052E3">
      <w:pPr>
        <w:pStyle w:val="Citation-AltC"/>
      </w:pPr>
      <w:r w:rsidRPr="005B63BB">
        <w:rPr>
          <w:b/>
        </w:rPr>
        <w:tab/>
        <w:t>8.</w:t>
      </w:r>
      <w:r w:rsidRPr="005B63BB">
        <w:t xml:space="preserve"> . . . </w:t>
      </w:r>
    </w:p>
    <w:p w:rsidR="00E052E3" w:rsidRPr="005B63BB" w:rsidRDefault="00E052E3" w:rsidP="00E052E3">
      <w:pPr>
        <w:pStyle w:val="Citation-AltC"/>
      </w:pPr>
    </w:p>
    <w:p w:rsidR="00E052E3" w:rsidRPr="005B63BB" w:rsidRDefault="00E052E3" w:rsidP="00E052E3">
      <w:pPr>
        <w:pStyle w:val="Citation-AltC"/>
      </w:pPr>
      <w:r w:rsidRPr="005B63BB">
        <w:tab/>
        <w:t>(2) Subject to any other Act of Parliament, personal information under the control of a government institution may be disclosed</w:t>
      </w:r>
    </w:p>
    <w:p w:rsidR="00E052E3" w:rsidRPr="005B63BB" w:rsidRDefault="00E052E3" w:rsidP="00E052E3">
      <w:pPr>
        <w:pStyle w:val="Citation-AltC"/>
      </w:pPr>
    </w:p>
    <w:p w:rsidR="00E052E3" w:rsidRPr="005B63BB" w:rsidRDefault="00E052E3" w:rsidP="00E052E3">
      <w:pPr>
        <w:pStyle w:val="Citation-AltC"/>
        <w:ind w:left="1440"/>
      </w:pPr>
      <w:r w:rsidRPr="005B63BB">
        <w:t>(</w:t>
      </w:r>
      <w:r w:rsidRPr="005B63BB">
        <w:rPr>
          <w:i/>
        </w:rPr>
        <w:t>a</w:t>
      </w:r>
      <w:r w:rsidRPr="005B63BB">
        <w:t xml:space="preserve">) </w:t>
      </w:r>
      <w:proofErr w:type="gramStart"/>
      <w:r w:rsidRPr="005B63BB">
        <w:t>for</w:t>
      </w:r>
      <w:proofErr w:type="gramEnd"/>
      <w:r w:rsidRPr="005B63BB">
        <w:t xml:space="preserve"> the purpose for which the information was obtained or compiled by the institution or </w:t>
      </w:r>
      <w:r w:rsidRPr="005B63BB">
        <w:rPr>
          <w:i/>
        </w:rPr>
        <w:t>for a use consistent with that purpose</w:t>
      </w:r>
      <w:r w:rsidRPr="005B63BB">
        <w:t>;</w:t>
      </w:r>
    </w:p>
    <w:p w:rsidR="00E052E3" w:rsidRPr="005B63BB" w:rsidRDefault="00E052E3" w:rsidP="00E052E3">
      <w:pPr>
        <w:pStyle w:val="ParaNoNdepar-AltN"/>
        <w:rPr>
          <w:rFonts w:cs="Times New Roman"/>
        </w:rPr>
      </w:pPr>
      <w:r w:rsidRPr="005B63BB">
        <w:rPr>
          <w:rFonts w:cs="Times New Roman"/>
        </w:rPr>
        <w:t>A use need not be identical to the purpose for which information was obtained in order to fall under s. 8(2</w:t>
      </w:r>
      <w:proofErr w:type="gramStart"/>
      <w:r w:rsidRPr="005B63BB">
        <w:rPr>
          <w:rFonts w:cs="Times New Roman"/>
        </w:rPr>
        <w:t>)(</w:t>
      </w:r>
      <w:proofErr w:type="gramEnd"/>
      <w:r w:rsidRPr="005B63BB">
        <w:rPr>
          <w:rFonts w:cs="Times New Roman"/>
          <w:i/>
        </w:rPr>
        <w:t>a</w:t>
      </w:r>
      <w:r w:rsidRPr="005B63BB">
        <w:rPr>
          <w:rFonts w:cs="Times New Roman"/>
        </w:rPr>
        <w:t xml:space="preserve">) of the </w:t>
      </w:r>
      <w:r w:rsidRPr="005B63BB">
        <w:rPr>
          <w:rFonts w:cs="Times New Roman"/>
          <w:i/>
        </w:rPr>
        <w:t>Privacy Act</w:t>
      </w:r>
      <w:r w:rsidRPr="005B63BB">
        <w:rPr>
          <w:rFonts w:cs="Times New Roman"/>
        </w:rPr>
        <w:t xml:space="preserve">; it must only be </w:t>
      </w:r>
      <w:r w:rsidRPr="005B63BB">
        <w:rPr>
          <w:rFonts w:cs="Times New Roman"/>
          <w:i/>
        </w:rPr>
        <w:t>consistent</w:t>
      </w:r>
      <w:r w:rsidRPr="005B63BB">
        <w:rPr>
          <w:rFonts w:cs="Times New Roman"/>
        </w:rPr>
        <w:t xml:space="preserve"> with that purpose. As the Federal Court of Appeal held, there need only be a </w:t>
      </w:r>
      <w:r w:rsidRPr="005B63BB">
        <w:rPr>
          <w:rFonts w:cs="Times New Roman"/>
        </w:rPr>
        <w:lastRenderedPageBreak/>
        <w:t>sufficiently direct connection between the purpose and the proposed use, such that an employee would reasonably expect that the information could be used in the manner proposed.</w:t>
      </w:r>
    </w:p>
    <w:p w:rsidR="00E052E3" w:rsidRPr="005B63BB" w:rsidRDefault="00E052E3" w:rsidP="00E052E3">
      <w:pPr>
        <w:pStyle w:val="ParaNoNdepar-AltN"/>
        <w:rPr>
          <w:rFonts w:cs="Times New Roman"/>
        </w:rPr>
      </w:pPr>
      <w:r w:rsidRPr="005B63BB">
        <w:rPr>
          <w:rFonts w:cs="Times New Roman"/>
        </w:rPr>
        <w:t>The Board concluded that the union needed employee home contact information to represent the interests of employees, a use consistent with the purpose for which the government employer collected the information, namely, to contact employees about the terms and conditions of their employment. The information collected by the employer was for the appropriate administration of the employment relationship. As the Board noted, “[e]</w:t>
      </w:r>
      <w:proofErr w:type="spellStart"/>
      <w:r w:rsidRPr="005B63BB">
        <w:rPr>
          <w:rFonts w:cs="Times New Roman"/>
        </w:rPr>
        <w:t>mployees</w:t>
      </w:r>
      <w:proofErr w:type="spellEnd"/>
      <w:r w:rsidRPr="005B63BB">
        <w:rPr>
          <w:rFonts w:cs="Times New Roman"/>
        </w:rPr>
        <w:t xml:space="preserve"> provide home contact information to their employers for the purpose of being contacted about their terms and conditions of employment. </w:t>
      </w:r>
      <w:r w:rsidRPr="005B63BB">
        <w:rPr>
          <w:rFonts w:cs="Times New Roman"/>
          <w:i/>
        </w:rPr>
        <w:t>This purpose is consistent with the [union]’s intended use of the contact information in this case</w:t>
      </w:r>
      <w:r w:rsidRPr="005B63BB">
        <w:rPr>
          <w:rFonts w:cs="Times New Roman"/>
        </w:rPr>
        <w:t xml:space="preserve">”: </w:t>
      </w:r>
      <w:proofErr w:type="spellStart"/>
      <w:r w:rsidRPr="005B63BB">
        <w:rPr>
          <w:rFonts w:cs="Times New Roman"/>
        </w:rPr>
        <w:t>para</w:t>
      </w:r>
      <w:proofErr w:type="spellEnd"/>
      <w:r w:rsidRPr="005B63BB">
        <w:rPr>
          <w:rFonts w:cs="Times New Roman"/>
        </w:rPr>
        <w:t>. 168 (emphasis added).</w:t>
      </w:r>
    </w:p>
    <w:p w:rsidR="00E052E3" w:rsidRPr="005B63BB" w:rsidRDefault="00E052E3" w:rsidP="00E052E3">
      <w:pPr>
        <w:pStyle w:val="ParaNoNdepar-AltN"/>
        <w:rPr>
          <w:rFonts w:cs="Times New Roman"/>
        </w:rPr>
      </w:pPr>
      <w:r w:rsidRPr="005B63BB">
        <w:rPr>
          <w:rFonts w:cs="Times New Roman"/>
        </w:rPr>
        <w:t xml:space="preserve">In our view, the Board made a reasonable determination in identifying the union’s proposed use as being consistent with the purpose of contacting employees about terms and conditions of employment and in concluding that the union needed this home contact information to carry out its representational obligations “quickly and effectively”: </w:t>
      </w:r>
      <w:proofErr w:type="spellStart"/>
      <w:r w:rsidRPr="005B63BB">
        <w:rPr>
          <w:rFonts w:cs="Times New Roman"/>
        </w:rPr>
        <w:t>para</w:t>
      </w:r>
      <w:proofErr w:type="spellEnd"/>
      <w:r w:rsidRPr="005B63BB">
        <w:rPr>
          <w:rFonts w:cs="Times New Roman"/>
        </w:rPr>
        <w:t>. 167.</w:t>
      </w:r>
    </w:p>
    <w:p w:rsidR="00E052E3" w:rsidRPr="005B63BB" w:rsidRDefault="00E052E3" w:rsidP="00E052E3">
      <w:pPr>
        <w:pStyle w:val="ParaNoNdepar-AltN"/>
        <w:rPr>
          <w:rFonts w:cs="Times New Roman"/>
        </w:rPr>
      </w:pPr>
      <w:r w:rsidRPr="005B63BB">
        <w:rPr>
          <w:rFonts w:cs="Times New Roman"/>
        </w:rPr>
        <w:t>Ms. Bernard also argued that requiring an employer to provide a bargaining agent with the home address and home phone number of its employees breaches her right to freedom of association under s. 2(</w:t>
      </w:r>
      <w:r w:rsidRPr="005B63BB">
        <w:rPr>
          <w:rFonts w:cs="Times New Roman"/>
          <w:i/>
        </w:rPr>
        <w:t>d</w:t>
      </w:r>
      <w:r w:rsidRPr="005B63BB">
        <w:rPr>
          <w:rFonts w:cs="Times New Roman"/>
        </w:rPr>
        <w:t xml:space="preserve">) of the </w:t>
      </w:r>
      <w:r w:rsidRPr="005B63BB">
        <w:rPr>
          <w:rFonts w:cs="Times New Roman"/>
          <w:i/>
        </w:rPr>
        <w:t xml:space="preserve">Charter </w:t>
      </w:r>
      <w:r w:rsidRPr="005B63BB">
        <w:rPr>
          <w:rFonts w:cs="Times New Roman"/>
        </w:rPr>
        <w:t xml:space="preserve">and that the Board should have considered this point.   </w:t>
      </w:r>
    </w:p>
    <w:p w:rsidR="00E052E3" w:rsidRPr="005B63BB" w:rsidRDefault="00E052E3" w:rsidP="00E052E3">
      <w:pPr>
        <w:pStyle w:val="ParaNoNdepar-AltN"/>
        <w:rPr>
          <w:rFonts w:cs="Times New Roman"/>
        </w:rPr>
      </w:pPr>
      <w:r w:rsidRPr="005B63BB">
        <w:rPr>
          <w:rFonts w:cs="Times New Roman"/>
        </w:rPr>
        <w:lastRenderedPageBreak/>
        <w:t xml:space="preserve">The Federal Court of Appeal agreed with the Board that its mandate on the redetermination as set out in the Court of Appeal’s earlier decision was limited to the question of how much home contact information the employer could disclose to the union without infringing an employee’s rights under the </w:t>
      </w:r>
      <w:r w:rsidRPr="005B63BB">
        <w:rPr>
          <w:rFonts w:cs="Times New Roman"/>
          <w:i/>
        </w:rPr>
        <w:t>Privacy Act</w:t>
      </w:r>
      <w:r w:rsidRPr="005B63BB">
        <w:rPr>
          <w:rFonts w:cs="Times New Roman"/>
        </w:rPr>
        <w:t xml:space="preserve">.  It was argued that the Court of Appeal erred in this regard. However, that view was clearly not shared by Blais C.J., who was the president of the panel in </w:t>
      </w:r>
      <w:r w:rsidRPr="005B63BB">
        <w:rPr>
          <w:rFonts w:cs="Times New Roman"/>
          <w:i/>
        </w:rPr>
        <w:t>both</w:t>
      </w:r>
      <w:r w:rsidRPr="005B63BB">
        <w:rPr>
          <w:rFonts w:cs="Times New Roman"/>
        </w:rPr>
        <w:t xml:space="preserve"> proceedings before the Court of Appeal. Giving some weight to the Court of Appeal’s interpretation of its own order in these circumstances is not so much a matter of deference as of operating on the common-sense assumption that the Court knew what it meant. We would hesitate to say that the Board made a reviewable error by interpreting the Court of Appeal’s order in the same way that court itself did or by failing to deal with an issue that manifestly has no merit. But we see no need to reach any final view on this point.</w:t>
      </w:r>
    </w:p>
    <w:p w:rsidR="00E052E3" w:rsidRPr="005B63BB" w:rsidRDefault="00E052E3" w:rsidP="00E052E3">
      <w:pPr>
        <w:pStyle w:val="ParaNoNdepar-AltN"/>
        <w:rPr>
          <w:rFonts w:cs="Times New Roman"/>
        </w:rPr>
      </w:pPr>
      <w:r w:rsidRPr="005B63BB">
        <w:rPr>
          <w:rFonts w:cs="Times New Roman"/>
        </w:rPr>
        <w:t>This is one of the exceptional cases in which this Court is in a position to address those arguments now, and it can be done very summarily. They have no merit. Even if the Federal Court of Appeal erred with respect to the scope of the Board’s reconsideration, Ms. Bernard’s s. 2(</w:t>
      </w:r>
      <w:r w:rsidRPr="005B63BB">
        <w:rPr>
          <w:rFonts w:cs="Times New Roman"/>
          <w:i/>
        </w:rPr>
        <w:t>d</w:t>
      </w:r>
      <w:r w:rsidRPr="005B63BB">
        <w:rPr>
          <w:rFonts w:cs="Times New Roman"/>
        </w:rPr>
        <w:t xml:space="preserve">) and s. 8 </w:t>
      </w:r>
      <w:r w:rsidRPr="005B63BB">
        <w:rPr>
          <w:rFonts w:cs="Times New Roman"/>
          <w:i/>
        </w:rPr>
        <w:t>Charter</w:t>
      </w:r>
      <w:r w:rsidRPr="005B63BB">
        <w:rPr>
          <w:rFonts w:cs="Times New Roman"/>
        </w:rPr>
        <w:t xml:space="preserve"> arguments that were supposedly neglected were clearly bound to fail, whenever and wherever asserted.</w:t>
      </w:r>
    </w:p>
    <w:p w:rsidR="00E052E3" w:rsidRPr="005B63BB" w:rsidRDefault="00E052E3" w:rsidP="00E052E3">
      <w:pPr>
        <w:pStyle w:val="ParaNoNdepar-AltN"/>
        <w:rPr>
          <w:rFonts w:cs="Times New Roman"/>
        </w:rPr>
      </w:pPr>
      <w:r w:rsidRPr="005B63BB">
        <w:rPr>
          <w:rFonts w:cs="Times New Roman"/>
        </w:rPr>
        <w:t>Ms. Bernard’s freedom of association argument has no legal foundation. Her argument was that since the Board’s order required the employer to provide her personal information to the union, she was thereby being compelled to associate with the union, contrary to s. 2(</w:t>
      </w:r>
      <w:r w:rsidRPr="005B63BB">
        <w:rPr>
          <w:rFonts w:cs="Times New Roman"/>
          <w:i/>
        </w:rPr>
        <w:t>d</w:t>
      </w:r>
      <w:r w:rsidRPr="005B63BB">
        <w:rPr>
          <w:rFonts w:cs="Times New Roman"/>
        </w:rPr>
        <w:t xml:space="preserve">) of the </w:t>
      </w:r>
      <w:r w:rsidRPr="005B63BB">
        <w:rPr>
          <w:rFonts w:cs="Times New Roman"/>
          <w:i/>
        </w:rPr>
        <w:t>Charter</w:t>
      </w:r>
      <w:r w:rsidRPr="005B63BB">
        <w:rPr>
          <w:rFonts w:cs="Times New Roman"/>
        </w:rPr>
        <w:t xml:space="preserve">. In our view, the compelled disclosure of home contact information in order to allow a union to carry out its representational </w:t>
      </w:r>
      <w:r w:rsidRPr="005B63BB">
        <w:rPr>
          <w:rFonts w:cs="Times New Roman"/>
        </w:rPr>
        <w:lastRenderedPageBreak/>
        <w:t xml:space="preserve">obligations to all bargaining unit members does not engage Ms. Bernard’s freedom not to associate with the union. This Court’s decision in </w:t>
      </w:r>
      <w:proofErr w:type="spellStart"/>
      <w:r w:rsidRPr="005B63BB">
        <w:rPr>
          <w:rFonts w:cs="Times New Roman"/>
          <w:i/>
        </w:rPr>
        <w:t>Lavigne</w:t>
      </w:r>
      <w:proofErr w:type="spellEnd"/>
      <w:r w:rsidRPr="005B63BB">
        <w:rPr>
          <w:rFonts w:cs="Times New Roman"/>
          <w:i/>
        </w:rPr>
        <w:t xml:space="preserve"> v. Ontario Public Service Employees Union</w:t>
      </w:r>
      <w:r w:rsidRPr="005B63BB">
        <w:rPr>
          <w:rFonts w:cs="Times New Roman"/>
        </w:rPr>
        <w:t>, [1991] 2 S.C.R. 211, is determinative and its conclusion is supported by the more recent decision in</w:t>
      </w:r>
      <w:r w:rsidRPr="005B63BB">
        <w:rPr>
          <w:rFonts w:cs="Times New Roman"/>
          <w:i/>
        </w:rPr>
        <w:t xml:space="preserve"> R. v. Advance Cutting &amp; Coring Ltd</w:t>
      </w:r>
      <w:r w:rsidRPr="00DD14FD">
        <w:rPr>
          <w:rFonts w:cs="Times New Roman"/>
          <w:i/>
        </w:rPr>
        <w:t>.</w:t>
      </w:r>
      <w:r w:rsidRPr="005B63BB">
        <w:rPr>
          <w:rFonts w:cs="Times New Roman"/>
        </w:rPr>
        <w:t xml:space="preserve">, 2001 SCC 70, [2001] 3 S.C.R. 209.  </w:t>
      </w:r>
    </w:p>
    <w:p w:rsidR="00E052E3" w:rsidRPr="005B63BB" w:rsidRDefault="00E052E3" w:rsidP="00E052E3">
      <w:pPr>
        <w:pStyle w:val="ParaNoNdepar-AltN"/>
        <w:rPr>
          <w:rFonts w:cs="Times New Roman"/>
        </w:rPr>
      </w:pPr>
      <w:r w:rsidRPr="005B63BB">
        <w:rPr>
          <w:rFonts w:cs="Times New Roman"/>
        </w:rPr>
        <w:t xml:space="preserve">In </w:t>
      </w:r>
      <w:proofErr w:type="spellStart"/>
      <w:r w:rsidRPr="005B63BB">
        <w:rPr>
          <w:rFonts w:cs="Times New Roman"/>
          <w:i/>
        </w:rPr>
        <w:t>Lavigne</w:t>
      </w:r>
      <w:proofErr w:type="spellEnd"/>
      <w:r w:rsidRPr="005B63BB">
        <w:rPr>
          <w:rFonts w:cs="Times New Roman"/>
        </w:rPr>
        <w:t>, the Court concluded that the payment by Rand Formula employees of union dues for the purposes of collective bargaining did not amount to unjustified “compelled association” under s. 2(</w:t>
      </w:r>
      <w:r w:rsidRPr="005B63BB">
        <w:rPr>
          <w:rFonts w:cs="Times New Roman"/>
          <w:i/>
        </w:rPr>
        <w:t>d</w:t>
      </w:r>
      <w:r w:rsidRPr="005B63BB">
        <w:rPr>
          <w:rFonts w:cs="Times New Roman"/>
        </w:rPr>
        <w:t>). Even though s. 2(</w:t>
      </w:r>
      <w:r w:rsidRPr="005B63BB">
        <w:rPr>
          <w:rFonts w:cs="Times New Roman"/>
          <w:i/>
        </w:rPr>
        <w:t>d</w:t>
      </w:r>
      <w:r w:rsidRPr="005B63BB">
        <w:rPr>
          <w:rFonts w:cs="Times New Roman"/>
        </w:rPr>
        <w:t xml:space="preserve">) protected freedom </w:t>
      </w:r>
      <w:r w:rsidRPr="005B63BB">
        <w:rPr>
          <w:rFonts w:cs="Times New Roman"/>
          <w:i/>
        </w:rPr>
        <w:t>from</w:t>
      </w:r>
      <w:r w:rsidRPr="005B63BB">
        <w:rPr>
          <w:rFonts w:cs="Times New Roman"/>
        </w:rPr>
        <w:t xml:space="preserve"> association as well as freedom </w:t>
      </w:r>
      <w:r w:rsidRPr="005B63BB">
        <w:rPr>
          <w:rFonts w:cs="Times New Roman"/>
          <w:i/>
        </w:rPr>
        <w:t>of</w:t>
      </w:r>
      <w:r w:rsidRPr="005B63BB">
        <w:rPr>
          <w:rFonts w:cs="Times New Roman"/>
        </w:rPr>
        <w:t xml:space="preserve"> association, the majority concluded that s. 2(</w:t>
      </w:r>
      <w:r w:rsidRPr="005B63BB">
        <w:rPr>
          <w:rFonts w:cs="Times New Roman"/>
          <w:i/>
        </w:rPr>
        <w:t>d</w:t>
      </w:r>
      <w:r w:rsidRPr="005B63BB">
        <w:rPr>
          <w:rFonts w:cs="Times New Roman"/>
        </w:rPr>
        <w:t>) does not provide protection from all forms of involuntary association, and was not intended to protect against association with others that is a necessary and inevitable part of membership in a modern democratic community. In other words, s. 2(</w:t>
      </w:r>
      <w:r w:rsidRPr="005B63BB">
        <w:rPr>
          <w:rFonts w:cs="Times New Roman"/>
          <w:i/>
        </w:rPr>
        <w:t>d</w:t>
      </w:r>
      <w:r w:rsidRPr="005B63BB">
        <w:rPr>
          <w:rFonts w:cs="Times New Roman"/>
        </w:rPr>
        <w:t xml:space="preserve">) is not a constitutional right to isolation: </w:t>
      </w:r>
      <w:proofErr w:type="spellStart"/>
      <w:r w:rsidRPr="005B63BB">
        <w:rPr>
          <w:rFonts w:cs="Times New Roman"/>
          <w:i/>
        </w:rPr>
        <w:t>Lavigne</w:t>
      </w:r>
      <w:proofErr w:type="spellEnd"/>
      <w:r w:rsidRPr="005B63BB">
        <w:rPr>
          <w:rFonts w:cs="Times New Roman"/>
        </w:rPr>
        <w:t xml:space="preserve">, at pp. 320-21. While in </w:t>
      </w:r>
      <w:r w:rsidRPr="005B63BB">
        <w:rPr>
          <w:rFonts w:cs="Times New Roman"/>
          <w:i/>
        </w:rPr>
        <w:t>Advance Cutting &amp; Coring</w:t>
      </w:r>
      <w:r w:rsidRPr="005B63BB">
        <w:rPr>
          <w:rFonts w:cs="Times New Roman"/>
        </w:rPr>
        <w:t xml:space="preserve"> three different approaches to the right not to associate emerged, on none of them would Ms. Bernard have a plausible s. 2(</w:t>
      </w:r>
      <w:r w:rsidRPr="005B63BB">
        <w:rPr>
          <w:rFonts w:cs="Times New Roman"/>
          <w:i/>
        </w:rPr>
        <w:t>d</w:t>
      </w:r>
      <w:r w:rsidRPr="005B63BB">
        <w:rPr>
          <w:rFonts w:cs="Times New Roman"/>
        </w:rPr>
        <w:t xml:space="preserve">) claim. </w:t>
      </w:r>
    </w:p>
    <w:p w:rsidR="00E052E3" w:rsidRPr="005B63BB" w:rsidRDefault="00E052E3" w:rsidP="00E052E3">
      <w:pPr>
        <w:pStyle w:val="ParaNoNdepar-AltN"/>
        <w:rPr>
          <w:rFonts w:cs="Times New Roman"/>
        </w:rPr>
      </w:pPr>
      <w:r w:rsidRPr="005B63BB">
        <w:rPr>
          <w:rFonts w:cs="Times New Roman"/>
        </w:rPr>
        <w:t xml:space="preserve">As La Forest J. explained in </w:t>
      </w:r>
      <w:proofErr w:type="spellStart"/>
      <w:r w:rsidRPr="005B63BB">
        <w:rPr>
          <w:rFonts w:cs="Times New Roman"/>
          <w:i/>
        </w:rPr>
        <w:t>Lavigne</w:t>
      </w:r>
      <w:proofErr w:type="spellEnd"/>
      <w:r w:rsidRPr="005B63BB">
        <w:rPr>
          <w:rFonts w:cs="Times New Roman"/>
        </w:rPr>
        <w:t xml:space="preserve">: </w:t>
      </w:r>
      <w:r w:rsidR="00DD14FD">
        <w:rPr>
          <w:rFonts w:cs="Times New Roman"/>
        </w:rPr>
        <w:t>“</w:t>
      </w:r>
      <w:r w:rsidRPr="005B63BB">
        <w:rPr>
          <w:rFonts w:cs="Times New Roman"/>
        </w:rPr>
        <w:t xml:space="preserve">. . . a [Rand Formula] worker like </w:t>
      </w:r>
      <w:proofErr w:type="spellStart"/>
      <w:r w:rsidRPr="005B63BB">
        <w:rPr>
          <w:rFonts w:cs="Times New Roman"/>
        </w:rPr>
        <w:t>Lavigne</w:t>
      </w:r>
      <w:proofErr w:type="spellEnd"/>
      <w:r w:rsidRPr="005B63BB">
        <w:rPr>
          <w:rFonts w:cs="Times New Roman"/>
        </w:rPr>
        <w:t xml:space="preserve"> would have no chance of succeeding if his objection to his association with the Union was the extent that it addresses itself to the matters, the terms and conditions of employment for members of his bargaining unit, with respect to which he is </w:t>
      </w:r>
      <w:r w:rsidR="00DD14FD">
        <w:rPr>
          <w:rFonts w:cs="Times New Roman"/>
        </w:rPr>
        <w:t>‘</w:t>
      </w:r>
      <w:r w:rsidRPr="005B63BB">
        <w:rPr>
          <w:rFonts w:cs="Times New Roman"/>
        </w:rPr>
        <w:t>naturally</w:t>
      </w:r>
      <w:r w:rsidR="00DD14FD">
        <w:rPr>
          <w:rFonts w:cs="Times New Roman"/>
        </w:rPr>
        <w:t>’</w:t>
      </w:r>
      <w:r w:rsidRPr="005B63BB">
        <w:rPr>
          <w:rFonts w:cs="Times New Roman"/>
        </w:rPr>
        <w:t xml:space="preserve"> associated with his fellow employees. . . .  With respect to these, the Union is simply viewed as a reasonable vehicle by which the necessary interconnectedness of </w:t>
      </w:r>
      <w:proofErr w:type="spellStart"/>
      <w:r w:rsidRPr="005B63BB">
        <w:rPr>
          <w:rFonts w:cs="Times New Roman"/>
        </w:rPr>
        <w:t>Lavigne</w:t>
      </w:r>
      <w:proofErr w:type="spellEnd"/>
      <w:r w:rsidRPr="005B63BB">
        <w:rPr>
          <w:rFonts w:cs="Times New Roman"/>
        </w:rPr>
        <w:t xml:space="preserve"> and his fellow workers is expressed</w:t>
      </w:r>
      <w:r w:rsidR="00DD14FD">
        <w:rPr>
          <w:rFonts w:cs="Times New Roman"/>
        </w:rPr>
        <w:t>” (p. 329).</w:t>
      </w:r>
    </w:p>
    <w:p w:rsidR="00E052E3" w:rsidRPr="005B63BB" w:rsidRDefault="00E052E3" w:rsidP="00E052E3">
      <w:pPr>
        <w:pStyle w:val="ParaNoNdepar-AltN"/>
        <w:rPr>
          <w:rFonts w:cs="Times New Roman"/>
        </w:rPr>
      </w:pPr>
      <w:r w:rsidRPr="005B63BB">
        <w:rPr>
          <w:rFonts w:cs="Times New Roman"/>
        </w:rPr>
        <w:lastRenderedPageBreak/>
        <w:t xml:space="preserve">In the case before us, providing Ms. Bernard’s home contact information to the union was reasonably found by the Board to be a necessary incident of the union’s representational obligations to her as a member of the bargaining unit.  Based on the Court’s jurisprudence, therefore, Ms. Bernard’s freedom from association claim has no legal foundation. </w:t>
      </w:r>
    </w:p>
    <w:p w:rsidR="00E052E3" w:rsidRPr="005B63BB" w:rsidRDefault="00E052E3" w:rsidP="00E052E3">
      <w:pPr>
        <w:pStyle w:val="ParaNoNdepar-AltN"/>
        <w:rPr>
          <w:rFonts w:cs="Times New Roman"/>
        </w:rPr>
      </w:pPr>
      <w:r w:rsidRPr="005B63BB">
        <w:rPr>
          <w:rFonts w:cs="Times New Roman"/>
        </w:rPr>
        <w:t xml:space="preserve">Ms. Bernard’s s. 8 </w:t>
      </w:r>
      <w:r w:rsidRPr="005B63BB">
        <w:rPr>
          <w:rFonts w:cs="Times New Roman"/>
          <w:i/>
        </w:rPr>
        <w:t>Charter</w:t>
      </w:r>
      <w:r w:rsidRPr="005B63BB">
        <w:rPr>
          <w:rFonts w:cs="Times New Roman"/>
        </w:rPr>
        <w:t xml:space="preserve"> argument alleging that the disclosure constituted an unconstitutional search and seizure similarly has no merit.  As the Attorney General of Canada correctly points out, in this context there can be no reasonable expectation of privacy in that information. </w:t>
      </w:r>
    </w:p>
    <w:p w:rsidR="00CB7E04" w:rsidRPr="00CB7E04" w:rsidRDefault="00E052E3" w:rsidP="00CB7E04">
      <w:pPr>
        <w:pStyle w:val="ParaNoNdepar-AltN"/>
      </w:pPr>
      <w:r w:rsidRPr="005B63BB">
        <w:rPr>
          <w:rFonts w:cs="Times New Roman"/>
        </w:rPr>
        <w:t xml:space="preserve">We would dismiss the appeal without costs.  There will be no costs on the application for leave to appeal. </w:t>
      </w:r>
    </w:p>
    <w:p w:rsidR="00CB7E04" w:rsidRPr="00CB7E04" w:rsidRDefault="00E214FC" w:rsidP="00CE76C1">
      <w:pPr>
        <w:pStyle w:val="ParaNoNdepar-AltN"/>
        <w:numPr>
          <w:ilvl w:val="0"/>
          <w:numId w:val="0"/>
        </w:numPr>
        <w:ind w:firstLine="720"/>
      </w:pPr>
      <w:proofErr w:type="gramStart"/>
      <w:r>
        <w:t xml:space="preserve">The reasons of Rothstein and </w:t>
      </w:r>
      <w:proofErr w:type="spellStart"/>
      <w:r>
        <w:t>Moldaver</w:t>
      </w:r>
      <w:proofErr w:type="spellEnd"/>
      <w:r>
        <w:t xml:space="preserve"> JJ.</w:t>
      </w:r>
      <w:proofErr w:type="gramEnd"/>
      <w:r>
        <w:t xml:space="preserve"> </w:t>
      </w:r>
      <w:proofErr w:type="gramStart"/>
      <w:r>
        <w:t>were</w:t>
      </w:r>
      <w:proofErr w:type="gramEnd"/>
      <w:r>
        <w:t xml:space="preserve"> delivered by</w:t>
      </w:r>
    </w:p>
    <w:p w:rsidR="00E052E3" w:rsidRPr="00BA76B1" w:rsidRDefault="00E052E3" w:rsidP="00CB7E04">
      <w:pPr>
        <w:pStyle w:val="ParaNoNdepar-AltN"/>
        <w:numPr>
          <w:ilvl w:val="0"/>
          <w:numId w:val="0"/>
        </w:numPr>
      </w:pPr>
      <w:r w:rsidRPr="00BA76B1">
        <w:tab/>
      </w:r>
      <w:r w:rsidRPr="00E214FC">
        <w:rPr>
          <w:smallCaps/>
        </w:rPr>
        <w:t>Rothstein J.</w:t>
      </w:r>
      <w:r w:rsidRPr="00BA76B1">
        <w:t xml:space="preserve"> </w:t>
      </w:r>
      <w:r w:rsidR="00E214FC">
        <w:t xml:space="preserve">(dissenting in part) </w:t>
      </w:r>
      <w:r w:rsidRPr="00BA76B1">
        <w:t xml:space="preserve">— </w:t>
      </w:r>
    </w:p>
    <w:p w:rsidR="00E052E3" w:rsidRPr="003575CA" w:rsidRDefault="00E052E3" w:rsidP="00E052E3">
      <w:pPr>
        <w:pStyle w:val="Title1LevelTitre1Niveau-AltL"/>
      </w:pPr>
      <w:bookmarkStart w:id="0" w:name="_Toc372276019"/>
      <w:bookmarkStart w:id="1" w:name="_Toc378672397"/>
      <w:r w:rsidRPr="003575CA">
        <w:t>Introductio</w:t>
      </w:r>
      <w:bookmarkEnd w:id="0"/>
      <w:r w:rsidRPr="003575CA">
        <w:t>n</w:t>
      </w:r>
      <w:bookmarkEnd w:id="1"/>
    </w:p>
    <w:p w:rsidR="00E052E3" w:rsidRPr="00BA76B1" w:rsidRDefault="00E052E3" w:rsidP="00E052E3">
      <w:pPr>
        <w:pStyle w:val="ParaNoNdepar-AltN"/>
      </w:pPr>
      <w:r w:rsidRPr="00BA76B1">
        <w:t xml:space="preserve">Where a tribunal does not respond to a constitutional challenge, including a </w:t>
      </w:r>
      <w:r>
        <w:rPr>
          <w:i/>
        </w:rPr>
        <w:t xml:space="preserve">Canadian </w:t>
      </w:r>
      <w:r w:rsidRPr="00BA76B1">
        <w:rPr>
          <w:i/>
        </w:rPr>
        <w:t>Charter</w:t>
      </w:r>
      <w:r>
        <w:rPr>
          <w:i/>
        </w:rPr>
        <w:t xml:space="preserve"> of Rights and Freedoms</w:t>
      </w:r>
      <w:r w:rsidRPr="00BA76B1">
        <w:rPr>
          <w:i/>
        </w:rPr>
        <w:t xml:space="preserve"> </w:t>
      </w:r>
      <w:r w:rsidRPr="00BA76B1">
        <w:t xml:space="preserve">challenge, because of a mistaken understanding of its jurisdiction, it is wrongfully declining the jurisdiction that it not only has, but that it must exercise. And it does not matter whether the tribunal refuses to even listen to the arguments, or says, having listened to </w:t>
      </w:r>
      <w:proofErr w:type="gramStart"/>
      <w:r w:rsidRPr="00BA76B1">
        <w:t>them, that</w:t>
      </w:r>
      <w:proofErr w:type="gramEnd"/>
      <w:r w:rsidRPr="00BA76B1">
        <w:t xml:space="preserve"> it is not responding to the arguments because it is not authorized to do so. In such </w:t>
      </w:r>
      <w:r w:rsidRPr="00BA76B1">
        <w:lastRenderedPageBreak/>
        <w:t xml:space="preserve">circumstances the effect is a denial of procedural fairness to the affected litigant. However, where the reason for the failure is a misapprehension on the part of the tribunal on the scope of its authority, the error is more appropriately branded an error of law. </w:t>
      </w:r>
    </w:p>
    <w:p w:rsidR="00E052E3" w:rsidRPr="00BA76B1" w:rsidRDefault="00E052E3" w:rsidP="00E052E3">
      <w:pPr>
        <w:pStyle w:val="ParaNoNdepar-AltN"/>
        <w:rPr>
          <w:rFonts w:cs="Times New Roman"/>
        </w:rPr>
      </w:pPr>
      <w:r w:rsidRPr="00BA76B1">
        <w:rPr>
          <w:rFonts w:cs="Times New Roman"/>
        </w:rPr>
        <w:t xml:space="preserve">This is the case of a self-represented litigant and the repeated denial by the tribunal and the Federal Court of Appeal to hear and determine the </w:t>
      </w:r>
      <w:r w:rsidRPr="00BA76B1">
        <w:rPr>
          <w:rFonts w:cs="Times New Roman"/>
          <w:i/>
        </w:rPr>
        <w:t xml:space="preserve">Charter </w:t>
      </w:r>
      <w:r w:rsidRPr="00BA76B1">
        <w:rPr>
          <w:rFonts w:cs="Times New Roman"/>
        </w:rPr>
        <w:t>arguments made by her. It is significant in this case that the litigant is attempting to restore the longstanding privacy arrangements that she had p</w:t>
      </w:r>
      <w:r>
        <w:rPr>
          <w:rFonts w:cs="Times New Roman"/>
        </w:rPr>
        <w:t>reviously succeeded in obtaining</w:t>
      </w:r>
      <w:r w:rsidRPr="00BA76B1">
        <w:rPr>
          <w:rFonts w:cs="Times New Roman"/>
        </w:rPr>
        <w:t xml:space="preserve"> and that have now been taken away from her. It is important that such a litigant not be left to question a justice system that does not respond to </w:t>
      </w:r>
      <w:r w:rsidRPr="00BA76B1">
        <w:rPr>
          <w:rFonts w:cs="Times New Roman"/>
          <w:i/>
        </w:rPr>
        <w:t xml:space="preserve">Charter </w:t>
      </w:r>
      <w:r w:rsidRPr="00BA76B1">
        <w:rPr>
          <w:rFonts w:cs="Times New Roman"/>
        </w:rPr>
        <w:t>arguments made in the course of litigation. That is</w:t>
      </w:r>
      <w:bookmarkStart w:id="2" w:name="_Toc372276020"/>
      <w:r w:rsidRPr="00BA76B1">
        <w:rPr>
          <w:rFonts w:cs="Times New Roman"/>
        </w:rPr>
        <w:t xml:space="preserve"> the main issue in this appeal.</w:t>
      </w:r>
    </w:p>
    <w:p w:rsidR="00E052E3" w:rsidRPr="00BA76B1" w:rsidRDefault="00E052E3" w:rsidP="00E052E3">
      <w:pPr>
        <w:pStyle w:val="ParaNoNdepar-AltN"/>
        <w:rPr>
          <w:rFonts w:cs="Times New Roman"/>
        </w:rPr>
      </w:pPr>
      <w:r w:rsidRPr="00BA76B1">
        <w:rPr>
          <w:rFonts w:cs="Times New Roman"/>
        </w:rPr>
        <w:t xml:space="preserve">This is not to say that tribunals do not have discretion to decline to engage in an analysis of </w:t>
      </w:r>
      <w:r w:rsidRPr="00BA76B1">
        <w:rPr>
          <w:rFonts w:cs="Times New Roman"/>
          <w:i/>
        </w:rPr>
        <w:t xml:space="preserve">Charter </w:t>
      </w:r>
      <w:r w:rsidRPr="00BA76B1">
        <w:rPr>
          <w:rFonts w:cs="Times New Roman"/>
        </w:rPr>
        <w:t xml:space="preserve">arguments that are, in their opinion, manifestly without merit. No tribunal is bound to consider such arguments. But that is not this case. This appeal is not about a tribunal exercising its </w:t>
      </w:r>
      <w:r w:rsidRPr="00BA76B1">
        <w:rPr>
          <w:rFonts w:cs="Times New Roman"/>
          <w:i/>
        </w:rPr>
        <w:t>discretion</w:t>
      </w:r>
      <w:r w:rsidRPr="00BA76B1">
        <w:rPr>
          <w:rFonts w:cs="Times New Roman"/>
        </w:rPr>
        <w:t xml:space="preserve"> to decline to address non-meritorious </w:t>
      </w:r>
      <w:r w:rsidRPr="00BA76B1">
        <w:rPr>
          <w:rFonts w:cs="Times New Roman"/>
          <w:i/>
        </w:rPr>
        <w:t xml:space="preserve">Charter </w:t>
      </w:r>
      <w:r w:rsidRPr="00BA76B1">
        <w:rPr>
          <w:rFonts w:cs="Times New Roman"/>
        </w:rPr>
        <w:t xml:space="preserve">arguments. It is about a tribunal wrongly declining to exercise its </w:t>
      </w:r>
      <w:r w:rsidRPr="00BA76B1">
        <w:rPr>
          <w:rFonts w:cs="Times New Roman"/>
          <w:i/>
        </w:rPr>
        <w:t>jurisdiction</w:t>
      </w:r>
      <w:r w:rsidRPr="00BA76B1">
        <w:rPr>
          <w:rFonts w:cs="Times New Roman"/>
        </w:rPr>
        <w:t xml:space="preserve"> to consider </w:t>
      </w:r>
      <w:r w:rsidRPr="00BA76B1">
        <w:rPr>
          <w:rFonts w:cs="Times New Roman"/>
          <w:i/>
        </w:rPr>
        <w:t xml:space="preserve">Charter </w:t>
      </w:r>
      <w:r w:rsidRPr="00BA76B1">
        <w:rPr>
          <w:rFonts w:cs="Times New Roman"/>
        </w:rPr>
        <w:t>arguments.</w:t>
      </w:r>
    </w:p>
    <w:p w:rsidR="00E052E3" w:rsidRPr="00BA76B1" w:rsidRDefault="00E052E3" w:rsidP="00E052E3">
      <w:pPr>
        <w:pStyle w:val="Title1LevelTitre1Niveau-AltL"/>
      </w:pPr>
      <w:bookmarkStart w:id="3" w:name="_Toc378672398"/>
      <w:r w:rsidRPr="00BA76B1">
        <w:t>F</w:t>
      </w:r>
      <w:bookmarkEnd w:id="2"/>
      <w:r w:rsidRPr="00BA76B1">
        <w:t>acts and Decisions Below</w:t>
      </w:r>
      <w:bookmarkEnd w:id="3"/>
    </w:p>
    <w:p w:rsidR="00E052E3" w:rsidRPr="00CD5F50" w:rsidRDefault="00E052E3" w:rsidP="00E052E3">
      <w:pPr>
        <w:pStyle w:val="Title2LevelTitre2Niveau"/>
        <w:rPr>
          <w:rFonts w:cs="Times New Roman"/>
        </w:rPr>
      </w:pPr>
      <w:bookmarkStart w:id="4" w:name="_Toc378672399"/>
      <w:r w:rsidRPr="00CD5F50">
        <w:rPr>
          <w:rFonts w:cs="Times New Roman"/>
        </w:rPr>
        <w:t>Background</w:t>
      </w:r>
      <w:bookmarkEnd w:id="4"/>
    </w:p>
    <w:p w:rsidR="00E052E3" w:rsidRPr="00BA76B1" w:rsidRDefault="00E052E3" w:rsidP="00E052E3">
      <w:pPr>
        <w:pStyle w:val="ParaNoNdepar-AltN"/>
        <w:rPr>
          <w:rFonts w:cs="Times New Roman"/>
        </w:rPr>
      </w:pPr>
      <w:r w:rsidRPr="00BA76B1">
        <w:rPr>
          <w:rFonts w:cs="Times New Roman"/>
        </w:rPr>
        <w:lastRenderedPageBreak/>
        <w:t>The appellant, Elizabeth Bernard, is a self-represented litigant who has diligently sought to protect her privacy rights in the em</w:t>
      </w:r>
      <w:r>
        <w:rPr>
          <w:rFonts w:cs="Times New Roman"/>
        </w:rPr>
        <w:t>ployment context for over 20</w:t>
      </w:r>
      <w:r w:rsidRPr="00BA76B1">
        <w:rPr>
          <w:rFonts w:cs="Times New Roman"/>
        </w:rPr>
        <w:t xml:space="preserve"> years. </w:t>
      </w:r>
    </w:p>
    <w:p w:rsidR="00E052E3" w:rsidRPr="00BA76B1" w:rsidRDefault="00E052E3" w:rsidP="00E052E3">
      <w:pPr>
        <w:pStyle w:val="ParaNoNdepar-AltN"/>
        <w:rPr>
          <w:rFonts w:cs="Times New Roman"/>
        </w:rPr>
      </w:pPr>
      <w:r w:rsidRPr="00BA76B1">
        <w:rPr>
          <w:rFonts w:cs="Times New Roman"/>
        </w:rPr>
        <w:t>Throughout her career as a federal public servant, Ms. Bernard has declined to join a union, as is her right. As an e</w:t>
      </w:r>
      <w:r>
        <w:rPr>
          <w:rFonts w:cs="Times New Roman"/>
        </w:rPr>
        <w:t>mployee under the “Rand formula</w:t>
      </w:r>
      <w:r w:rsidRPr="00BA76B1">
        <w:rPr>
          <w:rFonts w:cs="Times New Roman"/>
        </w:rPr>
        <w:t>”</w:t>
      </w:r>
      <w:r>
        <w:rPr>
          <w:rFonts w:cs="Times New Roman"/>
        </w:rPr>
        <w:t>,</w:t>
      </w:r>
      <w:r w:rsidRPr="00BA76B1">
        <w:rPr>
          <w:rFonts w:cs="Times New Roman"/>
        </w:rPr>
        <w:t xml:space="preserve"> however, Ms. Bernard is still obligated to pay union dues. </w:t>
      </w:r>
    </w:p>
    <w:p w:rsidR="00E052E3" w:rsidRPr="00BA76B1" w:rsidRDefault="00E052E3" w:rsidP="00E052E3">
      <w:pPr>
        <w:pStyle w:val="ParaNoNdepar-AltN"/>
        <w:rPr>
          <w:rFonts w:cs="Times New Roman"/>
        </w:rPr>
      </w:pPr>
      <w:r>
        <w:rPr>
          <w:rFonts w:cs="Times New Roman"/>
        </w:rPr>
        <w:t>Ms. Bernard began her career as a federal public servant with Revenue Canada — Taxation (now the Canada Revenue Agency (“CRA”)) in 1991. She was a member of what was then the Professional and Management group. In 1992, the bargaining agent for that group, the Public Service Alliance of Canada (“PSAC”), sent Ms. Bernard a letter to her home</w:t>
      </w:r>
      <w:r w:rsidRPr="00BA76B1">
        <w:rPr>
          <w:rFonts w:cs="Times New Roman"/>
        </w:rPr>
        <w:t>. Upon inquiry, the CRA’s human resources department told Ms. Bernard that the CRA had provided her home address and other personal information to PSAC. Ms. Bernard thereupon filed a complaint with the Office of the Privacy Commissioner (</w:t>
      </w:r>
      <w:r>
        <w:rPr>
          <w:rFonts w:cs="Times New Roman"/>
        </w:rPr>
        <w:t>“</w:t>
      </w:r>
      <w:r w:rsidRPr="00BA76B1">
        <w:rPr>
          <w:rFonts w:cs="Times New Roman"/>
        </w:rPr>
        <w:t>OPC</w:t>
      </w:r>
      <w:r>
        <w:rPr>
          <w:rFonts w:cs="Times New Roman"/>
        </w:rPr>
        <w:t>”</w:t>
      </w:r>
      <w:r w:rsidRPr="00BA76B1">
        <w:rPr>
          <w:rFonts w:cs="Times New Roman"/>
        </w:rPr>
        <w:t>) alleging that the employer had disclosed her home address and Social Insurance Number (</w:t>
      </w:r>
      <w:r>
        <w:rPr>
          <w:rFonts w:cs="Times New Roman"/>
        </w:rPr>
        <w:t>“</w:t>
      </w:r>
      <w:r w:rsidRPr="00BA76B1">
        <w:rPr>
          <w:rFonts w:cs="Times New Roman"/>
        </w:rPr>
        <w:t>SIN</w:t>
      </w:r>
      <w:r>
        <w:rPr>
          <w:rFonts w:cs="Times New Roman"/>
        </w:rPr>
        <w:t>”</w:t>
      </w:r>
      <w:r w:rsidRPr="00BA76B1">
        <w:rPr>
          <w:rFonts w:cs="Times New Roman"/>
        </w:rPr>
        <w:t xml:space="preserve">) to PSAC without her consent.  </w:t>
      </w:r>
    </w:p>
    <w:p w:rsidR="00E052E3" w:rsidRPr="00BA76B1" w:rsidRDefault="00E052E3" w:rsidP="00E052E3">
      <w:pPr>
        <w:pStyle w:val="ParaNoNdepar-AltN"/>
        <w:rPr>
          <w:rFonts w:cs="Times New Roman"/>
        </w:rPr>
      </w:pPr>
      <w:r w:rsidRPr="00BA76B1">
        <w:rPr>
          <w:rFonts w:cs="Times New Roman"/>
        </w:rPr>
        <w:t xml:space="preserve">In May 1993, </w:t>
      </w:r>
      <w:r>
        <w:rPr>
          <w:rFonts w:cs="Times New Roman"/>
        </w:rPr>
        <w:t xml:space="preserve">the </w:t>
      </w:r>
      <w:r w:rsidRPr="00BA76B1">
        <w:rPr>
          <w:rFonts w:cs="Times New Roman"/>
        </w:rPr>
        <w:t xml:space="preserve">OPC notified Ms. Bernard that her complaint had been upheld. And, in response to the OPC’s recommendations, Treasury Board </w:t>
      </w:r>
      <w:r>
        <w:rPr>
          <w:rFonts w:cs="Times New Roman"/>
        </w:rPr>
        <w:t xml:space="preserve">of Canada </w:t>
      </w:r>
      <w:r w:rsidRPr="00BA76B1">
        <w:rPr>
          <w:rFonts w:cs="Times New Roman"/>
        </w:rPr>
        <w:t xml:space="preserve">officials ceased disclosing employees’ home addresses and SINs. Ms. Bernard thought this concluded the matter.  </w:t>
      </w:r>
    </w:p>
    <w:p w:rsidR="00E052E3" w:rsidRPr="00BA76B1" w:rsidRDefault="00E052E3" w:rsidP="00E052E3">
      <w:pPr>
        <w:pStyle w:val="Title2LevelTitre2Niveau"/>
        <w:jc w:val="both"/>
        <w:rPr>
          <w:rFonts w:cs="Times New Roman"/>
        </w:rPr>
      </w:pPr>
      <w:bookmarkStart w:id="5" w:name="_Toc378672400"/>
      <w:r w:rsidRPr="00BA76B1">
        <w:rPr>
          <w:rFonts w:cs="Times New Roman"/>
        </w:rPr>
        <w:t>Professional Institute of the Public Service of Canada v</w:t>
      </w:r>
      <w:r>
        <w:rPr>
          <w:rFonts w:cs="Times New Roman"/>
        </w:rPr>
        <w:t>.</w:t>
      </w:r>
      <w:r w:rsidRPr="00BA76B1">
        <w:rPr>
          <w:rFonts w:cs="Times New Roman"/>
        </w:rPr>
        <w:t xml:space="preserve"> Treasury Board and Canada Revenue Agency, 2008 PSLRB 13 </w:t>
      </w:r>
      <w:r>
        <w:rPr>
          <w:rFonts w:cs="Times New Roman"/>
        </w:rPr>
        <w:t xml:space="preserve">(CanLII) </w:t>
      </w:r>
      <w:r w:rsidRPr="00CD5F50">
        <w:rPr>
          <w:rFonts w:cs="Times New Roman"/>
        </w:rPr>
        <w:t>(“</w:t>
      </w:r>
      <w:r w:rsidRPr="00BA76B1">
        <w:rPr>
          <w:rFonts w:cs="Times New Roman"/>
        </w:rPr>
        <w:t>PIPSC 1</w:t>
      </w:r>
      <w:r w:rsidRPr="00CD5F50">
        <w:rPr>
          <w:rFonts w:cs="Times New Roman"/>
        </w:rPr>
        <w:t>”)</w:t>
      </w:r>
      <w:bookmarkEnd w:id="5"/>
    </w:p>
    <w:p w:rsidR="00E052E3" w:rsidRPr="00BA76B1" w:rsidRDefault="00E052E3" w:rsidP="00E052E3">
      <w:pPr>
        <w:pStyle w:val="ParaNoNdepar-AltN"/>
        <w:rPr>
          <w:rFonts w:cs="Times New Roman"/>
        </w:rPr>
      </w:pPr>
      <w:r w:rsidRPr="00BA76B1">
        <w:rPr>
          <w:rFonts w:cs="Times New Roman"/>
        </w:rPr>
        <w:lastRenderedPageBreak/>
        <w:t>In 1995, Ms. Bernard accepted a position at the CRA with a different job classification, which was subsequently reclassified as Audit, Financial and Scientific (</w:t>
      </w:r>
      <w:r>
        <w:rPr>
          <w:rFonts w:cs="Times New Roman"/>
        </w:rPr>
        <w:t>“</w:t>
      </w:r>
      <w:r w:rsidRPr="00BA76B1">
        <w:rPr>
          <w:rFonts w:cs="Times New Roman"/>
        </w:rPr>
        <w:t>AFS</w:t>
      </w:r>
      <w:r>
        <w:rPr>
          <w:rFonts w:cs="Times New Roman"/>
        </w:rPr>
        <w:t>”</w:t>
      </w:r>
      <w:r w:rsidRPr="00BA76B1">
        <w:rPr>
          <w:rFonts w:cs="Times New Roman"/>
        </w:rPr>
        <w:t>). The Professional Institute of the Public Service of Canada (</w:t>
      </w:r>
      <w:r>
        <w:rPr>
          <w:rFonts w:cs="Times New Roman"/>
        </w:rPr>
        <w:t>“</w:t>
      </w:r>
      <w:r w:rsidRPr="00BA76B1">
        <w:rPr>
          <w:rFonts w:cs="Times New Roman"/>
        </w:rPr>
        <w:t>PIPSC</w:t>
      </w:r>
      <w:r>
        <w:rPr>
          <w:rFonts w:cs="Times New Roman"/>
        </w:rPr>
        <w:t>”</w:t>
      </w:r>
      <w:r w:rsidRPr="00BA76B1">
        <w:rPr>
          <w:rFonts w:cs="Times New Roman"/>
        </w:rPr>
        <w:t xml:space="preserve">) is the bargaining agent for this group. </w:t>
      </w:r>
    </w:p>
    <w:p w:rsidR="00E052E3" w:rsidRPr="00BA76B1" w:rsidRDefault="00E052E3" w:rsidP="00E052E3">
      <w:pPr>
        <w:pStyle w:val="ParaNoNdepar-AltN"/>
        <w:rPr>
          <w:rFonts w:cs="Times New Roman"/>
        </w:rPr>
      </w:pPr>
      <w:r w:rsidRPr="00BA76B1">
        <w:rPr>
          <w:rFonts w:cs="Times New Roman"/>
        </w:rPr>
        <w:t xml:space="preserve">In 2007, PIPSC filed complaints against the Treasury Board and the CRA under </w:t>
      </w:r>
      <w:r>
        <w:rPr>
          <w:rFonts w:cs="Times New Roman"/>
        </w:rPr>
        <w:t>s.</w:t>
      </w:r>
      <w:r w:rsidRPr="00BA76B1">
        <w:rPr>
          <w:rFonts w:cs="Times New Roman"/>
        </w:rPr>
        <w:t xml:space="preserve"> 190(1)(</w:t>
      </w:r>
      <w:r w:rsidRPr="00BA76B1">
        <w:rPr>
          <w:rFonts w:cs="Times New Roman"/>
          <w:i/>
        </w:rPr>
        <w:t>b</w:t>
      </w:r>
      <w:r w:rsidRPr="00BA76B1">
        <w:rPr>
          <w:rFonts w:cs="Times New Roman"/>
        </w:rPr>
        <w:t>) and (</w:t>
      </w:r>
      <w:r w:rsidRPr="00BA76B1">
        <w:rPr>
          <w:rFonts w:cs="Times New Roman"/>
          <w:i/>
        </w:rPr>
        <w:t>g</w:t>
      </w:r>
      <w:r w:rsidRPr="00BA76B1">
        <w:rPr>
          <w:rFonts w:cs="Times New Roman"/>
        </w:rPr>
        <w:t xml:space="preserve">) of the </w:t>
      </w:r>
      <w:r w:rsidRPr="00BA76B1">
        <w:rPr>
          <w:rFonts w:cs="Times New Roman"/>
          <w:i/>
        </w:rPr>
        <w:t>Public Service Labour Relations Act</w:t>
      </w:r>
      <w:r w:rsidRPr="00BA76B1">
        <w:rPr>
          <w:rFonts w:cs="Times New Roman"/>
        </w:rPr>
        <w:t xml:space="preserve">, </w:t>
      </w:r>
      <w:r>
        <w:rPr>
          <w:rFonts w:cs="Times New Roman"/>
        </w:rPr>
        <w:t xml:space="preserve">enacted by the </w:t>
      </w:r>
      <w:r w:rsidRPr="00E03118">
        <w:rPr>
          <w:rFonts w:cs="Times New Roman"/>
          <w:i/>
        </w:rPr>
        <w:t>Public Service Modernization Act</w:t>
      </w:r>
      <w:r>
        <w:rPr>
          <w:rFonts w:cs="Times New Roman"/>
        </w:rPr>
        <w:t xml:space="preserve">, </w:t>
      </w:r>
      <w:r w:rsidRPr="00BA76B1">
        <w:rPr>
          <w:rFonts w:cs="Times New Roman"/>
        </w:rPr>
        <w:t>S</w:t>
      </w:r>
      <w:r>
        <w:rPr>
          <w:rFonts w:cs="Times New Roman"/>
        </w:rPr>
        <w:t>.</w:t>
      </w:r>
      <w:r w:rsidRPr="00BA76B1">
        <w:rPr>
          <w:rFonts w:cs="Times New Roman"/>
        </w:rPr>
        <w:t>C</w:t>
      </w:r>
      <w:r>
        <w:rPr>
          <w:rFonts w:cs="Times New Roman"/>
        </w:rPr>
        <w:t>.</w:t>
      </w:r>
      <w:r w:rsidRPr="00BA76B1">
        <w:rPr>
          <w:rFonts w:cs="Times New Roman"/>
        </w:rPr>
        <w:t xml:space="preserve"> 2003, c</w:t>
      </w:r>
      <w:r>
        <w:rPr>
          <w:rFonts w:cs="Times New Roman"/>
        </w:rPr>
        <w:t>.</w:t>
      </w:r>
      <w:r w:rsidRPr="00BA76B1">
        <w:rPr>
          <w:rFonts w:cs="Times New Roman"/>
        </w:rPr>
        <w:t xml:space="preserve"> 22 </w:t>
      </w:r>
      <w:r>
        <w:rPr>
          <w:rFonts w:cs="Times New Roman"/>
        </w:rPr>
        <w:t xml:space="preserve">s. 2 </w:t>
      </w:r>
      <w:r w:rsidRPr="00BA76B1">
        <w:rPr>
          <w:rFonts w:cs="Times New Roman"/>
        </w:rPr>
        <w:t>(</w:t>
      </w:r>
      <w:r w:rsidRPr="00CD5F50">
        <w:rPr>
          <w:rFonts w:cs="Times New Roman"/>
        </w:rPr>
        <w:t>“</w:t>
      </w:r>
      <w:r w:rsidRPr="00BA76B1">
        <w:rPr>
          <w:rFonts w:cs="Times New Roman"/>
          <w:i/>
        </w:rPr>
        <w:t>PSLRA</w:t>
      </w:r>
      <w:r w:rsidRPr="00623959">
        <w:rPr>
          <w:rFonts w:cs="Times New Roman"/>
        </w:rPr>
        <w:t>”</w:t>
      </w:r>
      <w:r w:rsidRPr="003E1DA4">
        <w:rPr>
          <w:rFonts w:cs="Times New Roman"/>
        </w:rPr>
        <w:t>).</w:t>
      </w:r>
      <w:r w:rsidRPr="00BA76B1">
        <w:rPr>
          <w:rFonts w:cs="Times New Roman"/>
        </w:rPr>
        <w:t xml:space="preserve"> PIPSC alleged, amongst </w:t>
      </w:r>
      <w:r>
        <w:rPr>
          <w:rFonts w:cs="Times New Roman"/>
        </w:rPr>
        <w:t>other things, that the employer</w:t>
      </w:r>
      <w:r w:rsidRPr="00BA76B1">
        <w:rPr>
          <w:rFonts w:cs="Times New Roman"/>
        </w:rPr>
        <w:t>s</w:t>
      </w:r>
      <w:r>
        <w:rPr>
          <w:rFonts w:cs="Times New Roman"/>
        </w:rPr>
        <w:t>’</w:t>
      </w:r>
      <w:r w:rsidRPr="00BA76B1">
        <w:rPr>
          <w:rFonts w:cs="Times New Roman"/>
        </w:rPr>
        <w:t xml:space="preserve"> failure to provide requested employee contact information meant that it had failed to bargain in good faith and constituted an unfai</w:t>
      </w:r>
      <w:r>
        <w:rPr>
          <w:rFonts w:cs="Times New Roman"/>
        </w:rPr>
        <w:t>r labour practice under ss.</w:t>
      </w:r>
      <w:r w:rsidRPr="00BA76B1">
        <w:rPr>
          <w:rFonts w:cs="Times New Roman"/>
        </w:rPr>
        <w:t xml:space="preserve"> 185 and 186(1) of the </w:t>
      </w:r>
      <w:r w:rsidRPr="00BA76B1">
        <w:rPr>
          <w:rFonts w:cs="Times New Roman"/>
          <w:i/>
        </w:rPr>
        <w:t>PSLRA</w:t>
      </w:r>
      <w:r w:rsidRPr="00BA76B1">
        <w:rPr>
          <w:rFonts w:cs="Times New Roman"/>
        </w:rPr>
        <w:t xml:space="preserve">. The union had requested employees’ names and position titles, as well as work and home telephone numbers, fax numbers, mailing addresses, and email addresses. </w:t>
      </w:r>
    </w:p>
    <w:p w:rsidR="00E052E3" w:rsidRPr="00BA76B1" w:rsidRDefault="00E052E3" w:rsidP="00E052E3">
      <w:pPr>
        <w:pStyle w:val="ParaNoNdepar-AltN"/>
        <w:rPr>
          <w:rFonts w:cs="Times New Roman"/>
        </w:rPr>
      </w:pPr>
      <w:r w:rsidRPr="00BA76B1">
        <w:rPr>
          <w:rFonts w:cs="Times New Roman"/>
        </w:rPr>
        <w:t xml:space="preserve">In its February 2008 interim decision, the Public Service Labour Relations </w:t>
      </w:r>
      <w:r>
        <w:rPr>
          <w:rFonts w:cs="Times New Roman"/>
        </w:rPr>
        <w:t>Board (“Board”) held that the employer</w:t>
      </w:r>
      <w:r w:rsidRPr="00BA76B1">
        <w:rPr>
          <w:rFonts w:cs="Times New Roman"/>
        </w:rPr>
        <w:t>s</w:t>
      </w:r>
      <w:r>
        <w:rPr>
          <w:rFonts w:cs="Times New Roman"/>
        </w:rPr>
        <w:t>’</w:t>
      </w:r>
      <w:r w:rsidRPr="00BA76B1">
        <w:rPr>
          <w:rFonts w:cs="Times New Roman"/>
        </w:rPr>
        <w:t xml:space="preserve"> “failure to provide the complainant with at least some of the employee contact information that it requested” constituted interference in the representation of employees within the meaning of </w:t>
      </w:r>
      <w:r>
        <w:rPr>
          <w:rFonts w:cs="Times New Roman"/>
        </w:rPr>
        <w:t>s. </w:t>
      </w:r>
      <w:r w:rsidRPr="00BA76B1">
        <w:rPr>
          <w:rFonts w:cs="Times New Roman"/>
        </w:rPr>
        <w:t>186(1)(</w:t>
      </w:r>
      <w:r w:rsidRPr="00BA76B1">
        <w:rPr>
          <w:rFonts w:cs="Times New Roman"/>
          <w:i/>
        </w:rPr>
        <w:t>a</w:t>
      </w:r>
      <w:r w:rsidRPr="00BA76B1">
        <w:rPr>
          <w:rFonts w:cs="Times New Roman"/>
        </w:rPr>
        <w:t xml:space="preserve">) of the </w:t>
      </w:r>
      <w:r w:rsidRPr="00BA76B1">
        <w:rPr>
          <w:rFonts w:cs="Times New Roman"/>
          <w:i/>
        </w:rPr>
        <w:t xml:space="preserve">PSLRA </w:t>
      </w:r>
      <w:r w:rsidRPr="00BA76B1">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67). The Board directed the parties to reach an agreement on how much contact information had to be disclosed to the union in order to meet the requirements of the </w:t>
      </w:r>
      <w:r w:rsidRPr="00BA76B1">
        <w:rPr>
          <w:rFonts w:cs="Times New Roman"/>
          <w:i/>
        </w:rPr>
        <w:t>PSLRA</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Ms. Bernard was neither a party to this proceeding, nor did she receive notice of it. </w:t>
      </w:r>
    </w:p>
    <w:p w:rsidR="00E052E3" w:rsidRPr="00BA76B1" w:rsidRDefault="00E052E3" w:rsidP="00E052E3">
      <w:pPr>
        <w:pStyle w:val="Title2LevelTitre2Niveau"/>
        <w:jc w:val="both"/>
        <w:rPr>
          <w:rFonts w:cs="Times New Roman"/>
        </w:rPr>
      </w:pPr>
      <w:bookmarkStart w:id="6" w:name="_Toc372276027"/>
      <w:bookmarkStart w:id="7" w:name="_Toc378672401"/>
      <w:r w:rsidRPr="00BA76B1">
        <w:rPr>
          <w:rFonts w:cs="Times New Roman"/>
        </w:rPr>
        <w:lastRenderedPageBreak/>
        <w:t>Professional Institute of the Public Service of Canada v</w:t>
      </w:r>
      <w:r>
        <w:rPr>
          <w:rFonts w:cs="Times New Roman"/>
        </w:rPr>
        <w:t xml:space="preserve">. </w:t>
      </w:r>
      <w:r w:rsidRPr="00BA76B1">
        <w:rPr>
          <w:rFonts w:cs="Times New Roman"/>
        </w:rPr>
        <w:t xml:space="preserve">Canada Revenue Agency, </w:t>
      </w:r>
      <w:bookmarkEnd w:id="6"/>
      <w:r w:rsidRPr="00BA76B1">
        <w:rPr>
          <w:rFonts w:cs="Times New Roman"/>
        </w:rPr>
        <w:t xml:space="preserve">2008 PSLRB 58 </w:t>
      </w:r>
      <w:r>
        <w:rPr>
          <w:rFonts w:cs="Times New Roman"/>
        </w:rPr>
        <w:t xml:space="preserve">(CanLII) </w:t>
      </w:r>
      <w:r w:rsidRPr="00CD5F50">
        <w:rPr>
          <w:rFonts w:cs="Times New Roman"/>
        </w:rPr>
        <w:t>(“</w:t>
      </w:r>
      <w:r w:rsidRPr="00BA76B1">
        <w:rPr>
          <w:rFonts w:cs="Times New Roman"/>
        </w:rPr>
        <w:t>PIPSC 2</w:t>
      </w:r>
      <w:r w:rsidRPr="00CD5F50">
        <w:rPr>
          <w:rFonts w:cs="Times New Roman"/>
        </w:rPr>
        <w:t>”)</w:t>
      </w:r>
      <w:bookmarkEnd w:id="7"/>
    </w:p>
    <w:p w:rsidR="00E052E3" w:rsidRPr="00BA76B1" w:rsidRDefault="00E052E3" w:rsidP="00E052E3">
      <w:pPr>
        <w:pStyle w:val="ParaNoNdepar-AltN"/>
        <w:rPr>
          <w:rFonts w:cs="Times New Roman"/>
        </w:rPr>
      </w:pPr>
      <w:r w:rsidRPr="00BA76B1">
        <w:rPr>
          <w:rFonts w:cs="Times New Roman"/>
        </w:rPr>
        <w:t xml:space="preserve">Following </w:t>
      </w:r>
      <w:r w:rsidRPr="00BA76B1">
        <w:rPr>
          <w:rFonts w:cs="Times New Roman"/>
          <w:i/>
        </w:rPr>
        <w:t>PIPSC 1</w:t>
      </w:r>
      <w:r w:rsidRPr="00BA76B1">
        <w:rPr>
          <w:rFonts w:cs="Times New Roman"/>
        </w:rPr>
        <w:t>, the CRA and the union came to an agreement and requested that its terms be incorporated into an order of the Board.</w:t>
      </w:r>
    </w:p>
    <w:p w:rsidR="00E052E3" w:rsidRPr="00BA76B1" w:rsidRDefault="00E052E3" w:rsidP="00E052E3">
      <w:pPr>
        <w:pStyle w:val="ParaNoNdepar-AltN"/>
        <w:rPr>
          <w:rFonts w:cs="Times New Roman"/>
        </w:rPr>
      </w:pPr>
      <w:r w:rsidRPr="00BA76B1">
        <w:rPr>
          <w:rFonts w:cs="Times New Roman"/>
        </w:rPr>
        <w:t>Accordingly, on July</w:t>
      </w:r>
      <w:r>
        <w:rPr>
          <w:rFonts w:cs="Times New Roman"/>
        </w:rPr>
        <w:t xml:space="preserve"> 18,</w:t>
      </w:r>
      <w:r w:rsidRPr="00BA76B1">
        <w:rPr>
          <w:rFonts w:cs="Times New Roman"/>
        </w:rPr>
        <w:t xml:space="preserve"> 2008</w:t>
      </w:r>
      <w:r>
        <w:rPr>
          <w:rFonts w:cs="Times New Roman"/>
        </w:rPr>
        <w:t>,</w:t>
      </w:r>
      <w:r w:rsidRPr="00BA76B1">
        <w:rPr>
          <w:rFonts w:cs="Times New Roman"/>
        </w:rPr>
        <w:t xml:space="preserve"> the Board issued a consent order. Under its terms, the CRA undertook to disclose to PIPSC on a quarterly basis the home addresses and telephone numbers of the AFS bargaining unit’s members that the employer had in its human resources information system. PIPSC undertook to use that information only for the purposes of enabling it to fulfil its </w:t>
      </w:r>
      <w:r w:rsidRPr="00BA76B1">
        <w:rPr>
          <w:rFonts w:cs="Times New Roman"/>
          <w:i/>
        </w:rPr>
        <w:t xml:space="preserve">PSLRA </w:t>
      </w:r>
      <w:r w:rsidRPr="00BA76B1">
        <w:rPr>
          <w:rFonts w:cs="Times New Roman"/>
        </w:rPr>
        <w:t xml:space="preserve">representational obligations as exclusive bargaining agent, and to ensure that the personal information was securely stored and protected. </w:t>
      </w:r>
    </w:p>
    <w:p w:rsidR="00E052E3" w:rsidRPr="00BA76B1" w:rsidRDefault="00E052E3" w:rsidP="00E052E3">
      <w:pPr>
        <w:pStyle w:val="ParaNoNdepar-AltN"/>
        <w:rPr>
          <w:rFonts w:cs="Times New Roman"/>
        </w:rPr>
      </w:pPr>
      <w:r w:rsidRPr="00BA76B1">
        <w:rPr>
          <w:rFonts w:cs="Times New Roman"/>
        </w:rPr>
        <w:t>Ms. Bernard was not a party to this proceeding. However, the CRA notified employees by email of the Board’s decision on October</w:t>
      </w:r>
      <w:r>
        <w:rPr>
          <w:rFonts w:cs="Times New Roman"/>
        </w:rPr>
        <w:t xml:space="preserve"> 16, 2008. Ms. </w:t>
      </w:r>
      <w:r w:rsidRPr="00BA76B1">
        <w:rPr>
          <w:rFonts w:cs="Times New Roman"/>
        </w:rPr>
        <w:t>Bernard received this email on October</w:t>
      </w:r>
      <w:r>
        <w:rPr>
          <w:rFonts w:cs="Times New Roman"/>
        </w:rPr>
        <w:t xml:space="preserve"> 20,</w:t>
      </w:r>
      <w:r w:rsidRPr="00BA76B1">
        <w:rPr>
          <w:rFonts w:cs="Times New Roman"/>
        </w:rPr>
        <w:t xml:space="preserve"> 2008</w:t>
      </w:r>
      <w:r>
        <w:rPr>
          <w:rFonts w:cs="Times New Roman"/>
        </w:rPr>
        <w:t>,</w:t>
      </w:r>
      <w:r w:rsidRPr="00BA76B1">
        <w:rPr>
          <w:rFonts w:cs="Times New Roman"/>
        </w:rPr>
        <w:t xml:space="preserve"> upon returning to work from leave. She promptly filed a motion for, and was granted an extension of time to file an application for judicial review of the Board’s </w:t>
      </w:r>
      <w:r w:rsidRPr="00BA76B1">
        <w:rPr>
          <w:rFonts w:cs="Times New Roman"/>
          <w:i/>
        </w:rPr>
        <w:t>PIPSC 2</w:t>
      </w:r>
      <w:r w:rsidRPr="00BA76B1">
        <w:rPr>
          <w:rFonts w:cs="Times New Roman"/>
        </w:rPr>
        <w:t xml:space="preserve"> decision. She filed her application for judicial review on December</w:t>
      </w:r>
      <w:r>
        <w:rPr>
          <w:rFonts w:cs="Times New Roman"/>
        </w:rPr>
        <w:t xml:space="preserve"> 17,</w:t>
      </w:r>
      <w:r w:rsidRPr="00BA76B1">
        <w:rPr>
          <w:rFonts w:cs="Times New Roman"/>
        </w:rPr>
        <w:t xml:space="preserve"> 2008. </w:t>
      </w:r>
    </w:p>
    <w:p w:rsidR="00E052E3" w:rsidRPr="00BA76B1" w:rsidRDefault="00E052E3" w:rsidP="00E214FC">
      <w:pPr>
        <w:pStyle w:val="Title2LevelTitre2Niveau"/>
        <w:jc w:val="both"/>
        <w:rPr>
          <w:rFonts w:cs="Times New Roman"/>
        </w:rPr>
      </w:pPr>
      <w:bookmarkStart w:id="8" w:name="_Toc372276028"/>
      <w:bookmarkStart w:id="9" w:name="_Toc378672402"/>
      <w:r w:rsidRPr="00BA76B1">
        <w:rPr>
          <w:rFonts w:cs="Times New Roman"/>
        </w:rPr>
        <w:t>Bernard v</w:t>
      </w:r>
      <w:r>
        <w:rPr>
          <w:rFonts w:cs="Times New Roman"/>
        </w:rPr>
        <w:t>. Canada</w:t>
      </w:r>
      <w:r w:rsidRPr="00BA76B1">
        <w:rPr>
          <w:rFonts w:cs="Times New Roman"/>
        </w:rPr>
        <w:t xml:space="preserve"> </w:t>
      </w:r>
      <w:r>
        <w:rPr>
          <w:rFonts w:cs="Times New Roman"/>
        </w:rPr>
        <w:t>(</w:t>
      </w:r>
      <w:r w:rsidRPr="00BA76B1">
        <w:rPr>
          <w:rFonts w:cs="Times New Roman"/>
        </w:rPr>
        <w:t>Attorney Genera</w:t>
      </w:r>
      <w:r>
        <w:rPr>
          <w:rFonts w:cs="Times New Roman"/>
        </w:rPr>
        <w:t>l),</w:t>
      </w:r>
      <w:r w:rsidRPr="00BA76B1">
        <w:rPr>
          <w:rFonts w:cs="Times New Roman"/>
        </w:rPr>
        <w:t xml:space="preserve"> 2010 FCA 40</w:t>
      </w:r>
      <w:r w:rsidR="00E214FC">
        <w:rPr>
          <w:rFonts w:cs="Times New Roman"/>
        </w:rPr>
        <w:t>, 398 N.R. 325</w:t>
      </w:r>
      <w:r w:rsidRPr="00BA76B1">
        <w:rPr>
          <w:rFonts w:cs="Times New Roman"/>
        </w:rPr>
        <w:t xml:space="preserve"> </w:t>
      </w:r>
      <w:r w:rsidRPr="005E200B">
        <w:rPr>
          <w:rFonts w:cs="Times New Roman"/>
        </w:rPr>
        <w:t>(“</w:t>
      </w:r>
      <w:r w:rsidR="00E214FC">
        <w:rPr>
          <w:rFonts w:cs="Times New Roman"/>
        </w:rPr>
        <w:t>Bernard 1</w:t>
      </w:r>
      <w:r w:rsidRPr="005E200B">
        <w:rPr>
          <w:rFonts w:cs="Times New Roman"/>
        </w:rPr>
        <w:t>”)</w:t>
      </w:r>
      <w:bookmarkEnd w:id="8"/>
      <w:bookmarkEnd w:id="9"/>
    </w:p>
    <w:p w:rsidR="00E052E3" w:rsidRPr="00BA76B1" w:rsidRDefault="00E052E3" w:rsidP="00E052E3">
      <w:pPr>
        <w:pStyle w:val="ParaNoNdepar-AltN"/>
        <w:rPr>
          <w:rFonts w:cs="Times New Roman"/>
        </w:rPr>
      </w:pPr>
      <w:r w:rsidRPr="00BA76B1">
        <w:rPr>
          <w:rFonts w:cs="Times New Roman"/>
        </w:rPr>
        <w:t>On judicial review, Ms. Bernard argued that the Board’s order, mandating that the employer provide her home address and phone number to PIPSC, violated her privacy rights and infringed</w:t>
      </w:r>
      <w:r>
        <w:rPr>
          <w:rFonts w:cs="Times New Roman"/>
        </w:rPr>
        <w:t xml:space="preserve"> her s.</w:t>
      </w:r>
      <w:r w:rsidRPr="00BA76B1">
        <w:rPr>
          <w:rFonts w:cs="Times New Roman"/>
        </w:rPr>
        <w:t xml:space="preserve"> 2(</w:t>
      </w:r>
      <w:r w:rsidRPr="00B5714E">
        <w:rPr>
          <w:rFonts w:cs="Times New Roman"/>
          <w:i/>
        </w:rPr>
        <w:t>d</w:t>
      </w:r>
      <w:r w:rsidRPr="00BA76B1">
        <w:rPr>
          <w:rFonts w:cs="Times New Roman"/>
        </w:rPr>
        <w:t xml:space="preserve">) </w:t>
      </w:r>
      <w:r w:rsidRPr="00BA76B1">
        <w:rPr>
          <w:rFonts w:cs="Times New Roman"/>
          <w:i/>
        </w:rPr>
        <w:t>Charter</w:t>
      </w:r>
      <w:r w:rsidRPr="00BA76B1">
        <w:rPr>
          <w:rFonts w:cs="Times New Roman"/>
        </w:rPr>
        <w:t xml:space="preserve"> right to freedom from association. </w:t>
      </w:r>
      <w:r w:rsidRPr="00BA76B1">
        <w:rPr>
          <w:rFonts w:cs="Times New Roman"/>
        </w:rPr>
        <w:lastRenderedPageBreak/>
        <w:t>She also argued that, as a party interested in the outcome of the Board’s proceedings, she ought to have been given notice of the proceedings and a chance to participate.</w:t>
      </w:r>
    </w:p>
    <w:p w:rsidR="00E052E3" w:rsidRPr="00BA76B1" w:rsidRDefault="00E052E3" w:rsidP="00E052E3">
      <w:pPr>
        <w:pStyle w:val="ParaNoNdepar-AltN"/>
        <w:rPr>
          <w:rFonts w:cs="Times New Roman"/>
        </w:rPr>
      </w:pPr>
      <w:r w:rsidRPr="00BA76B1">
        <w:rPr>
          <w:rFonts w:cs="Times New Roman"/>
        </w:rPr>
        <w:t xml:space="preserve">The </w:t>
      </w:r>
      <w:r>
        <w:rPr>
          <w:rFonts w:cs="Times New Roman"/>
        </w:rPr>
        <w:t xml:space="preserve">Federal </w:t>
      </w:r>
      <w:r w:rsidRPr="00BA76B1">
        <w:rPr>
          <w:rFonts w:cs="Times New Roman"/>
        </w:rPr>
        <w:t>Court</w:t>
      </w:r>
      <w:r>
        <w:rPr>
          <w:rFonts w:cs="Times New Roman"/>
        </w:rPr>
        <w:t xml:space="preserve"> of Appeal</w:t>
      </w:r>
      <w:r w:rsidRPr="00BA76B1">
        <w:rPr>
          <w:rFonts w:cs="Times New Roman"/>
        </w:rPr>
        <w:t xml:space="preserve"> granted Ms. Bernard’s application for judicial review on the privacy ground, holding that the Board erred by simply adopting the agreement between the employer and the union without considering the privacy rights of parties not involved in the proceedings. The </w:t>
      </w:r>
      <w:r>
        <w:rPr>
          <w:rFonts w:cs="Times New Roman"/>
        </w:rPr>
        <w:t>c</w:t>
      </w:r>
      <w:r w:rsidRPr="00BA76B1">
        <w:rPr>
          <w:rFonts w:cs="Times New Roman"/>
        </w:rPr>
        <w:t xml:space="preserve">ourt declined </w:t>
      </w:r>
      <w:r>
        <w:rPr>
          <w:rFonts w:cs="Times New Roman"/>
        </w:rPr>
        <w:t>to address Ms. Bernard’s s.</w:t>
      </w:r>
      <w:r w:rsidRPr="00BA76B1">
        <w:rPr>
          <w:rFonts w:cs="Times New Roman"/>
        </w:rPr>
        <w:t xml:space="preserve"> 2(</w:t>
      </w:r>
      <w:r w:rsidRPr="005E200B">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argument, stating that it was “premature to deal with the issues of the violation of Ms. Bernard’s right of freedom of association” (</w:t>
      </w:r>
      <w:proofErr w:type="spellStart"/>
      <w:r w:rsidRPr="00BA76B1">
        <w:rPr>
          <w:rFonts w:cs="Times New Roman"/>
        </w:rPr>
        <w:t>para</w:t>
      </w:r>
      <w:proofErr w:type="spellEnd"/>
      <w:r>
        <w:rPr>
          <w:rFonts w:cs="Times New Roman"/>
        </w:rPr>
        <w:t>.</w:t>
      </w:r>
      <w:r w:rsidRPr="00BA76B1">
        <w:rPr>
          <w:rFonts w:cs="Times New Roman"/>
        </w:rPr>
        <w:t xml:space="preserve"> 45). </w:t>
      </w:r>
    </w:p>
    <w:p w:rsidR="00E052E3" w:rsidRPr="00BA76B1" w:rsidRDefault="00E052E3" w:rsidP="00E052E3">
      <w:pPr>
        <w:pStyle w:val="ParaNoNdepar-AltN"/>
        <w:rPr>
          <w:rFonts w:cs="Times New Roman"/>
        </w:rPr>
      </w:pPr>
      <w:r w:rsidRPr="00BA76B1">
        <w:rPr>
          <w:rFonts w:cs="Times New Roman"/>
        </w:rPr>
        <w:t xml:space="preserve">Consequently, the </w:t>
      </w:r>
      <w:r>
        <w:rPr>
          <w:rFonts w:cs="Times New Roman"/>
        </w:rPr>
        <w:t>c</w:t>
      </w:r>
      <w:r w:rsidRPr="00BA76B1">
        <w:rPr>
          <w:rFonts w:cs="Times New Roman"/>
        </w:rPr>
        <w:t>ourt remitted the matter to the Board for “re-determination and for a reasoned decision as to the information which the employer must provide the union in order to allow the latter to discharge its statutory obligations</w:t>
      </w:r>
      <w:r>
        <w:rPr>
          <w:rFonts w:cs="Times New Roman"/>
        </w:rPr>
        <w:t>” (</w:t>
      </w:r>
      <w:proofErr w:type="spellStart"/>
      <w:r w:rsidRPr="00BA76B1">
        <w:rPr>
          <w:rFonts w:cs="Times New Roman"/>
        </w:rPr>
        <w:t>para</w:t>
      </w:r>
      <w:proofErr w:type="spellEnd"/>
      <w:r>
        <w:rPr>
          <w:rFonts w:cs="Times New Roman"/>
        </w:rPr>
        <w:t>.</w:t>
      </w:r>
      <w:r w:rsidRPr="00BA76B1">
        <w:rPr>
          <w:rFonts w:cs="Times New Roman"/>
        </w:rPr>
        <w:t xml:space="preserve"> 42)</w:t>
      </w:r>
      <w:r>
        <w:rPr>
          <w:rFonts w:cs="Times New Roman"/>
        </w:rPr>
        <w:t>. The c</w:t>
      </w:r>
      <w:r w:rsidRPr="00BA76B1">
        <w:rPr>
          <w:rFonts w:cs="Times New Roman"/>
        </w:rPr>
        <w:t xml:space="preserve">ourt further ordered </w:t>
      </w:r>
      <w:r>
        <w:rPr>
          <w:rFonts w:cs="Times New Roman"/>
        </w:rPr>
        <w:t>the Board to give notice to Ms. </w:t>
      </w:r>
      <w:r w:rsidRPr="00BA76B1">
        <w:rPr>
          <w:rFonts w:cs="Times New Roman"/>
        </w:rPr>
        <w:t>Bernard of the proceedings and to give her the opportunity to participate.</w:t>
      </w:r>
    </w:p>
    <w:p w:rsidR="00E052E3" w:rsidRPr="00BA76B1" w:rsidRDefault="00E052E3" w:rsidP="00E052E3">
      <w:pPr>
        <w:pStyle w:val="Title2LevelTitre2Niveau"/>
        <w:jc w:val="both"/>
        <w:rPr>
          <w:rFonts w:cs="Times New Roman"/>
        </w:rPr>
      </w:pPr>
      <w:bookmarkStart w:id="10" w:name="_Toc372276029"/>
      <w:bookmarkStart w:id="11" w:name="_Toc378672403"/>
      <w:r w:rsidRPr="00BA76B1">
        <w:rPr>
          <w:rFonts w:cs="Times New Roman"/>
        </w:rPr>
        <w:t>Professional Institute of the Public Service of Canada v</w:t>
      </w:r>
      <w:r>
        <w:rPr>
          <w:rFonts w:cs="Times New Roman"/>
        </w:rPr>
        <w:t>.</w:t>
      </w:r>
      <w:r w:rsidRPr="00BA76B1">
        <w:rPr>
          <w:rFonts w:cs="Times New Roman"/>
        </w:rPr>
        <w:t xml:space="preserve"> Canada Revenue Agency, 2011 PSLRB 34 </w:t>
      </w:r>
      <w:r>
        <w:rPr>
          <w:rFonts w:cs="Times New Roman"/>
        </w:rPr>
        <w:t xml:space="preserve">(CanLII) </w:t>
      </w:r>
      <w:r w:rsidRPr="005E200B">
        <w:rPr>
          <w:rFonts w:cs="Times New Roman"/>
        </w:rPr>
        <w:t>(“</w:t>
      </w:r>
      <w:r w:rsidRPr="00BA76B1">
        <w:rPr>
          <w:rFonts w:cs="Times New Roman"/>
        </w:rPr>
        <w:t>PIPSC 3</w:t>
      </w:r>
      <w:bookmarkEnd w:id="10"/>
      <w:r w:rsidRPr="005E200B">
        <w:rPr>
          <w:rFonts w:cs="Times New Roman"/>
        </w:rPr>
        <w:t>”)</w:t>
      </w:r>
      <w:bookmarkEnd w:id="11"/>
    </w:p>
    <w:p w:rsidR="00E052E3" w:rsidRPr="00BA76B1" w:rsidRDefault="00E052E3" w:rsidP="00E052E3">
      <w:pPr>
        <w:pStyle w:val="ParaNoNdepar-AltN"/>
        <w:rPr>
          <w:rFonts w:cs="Times New Roman"/>
        </w:rPr>
      </w:pPr>
      <w:r w:rsidRPr="00BA76B1">
        <w:rPr>
          <w:rFonts w:cs="Times New Roman"/>
        </w:rPr>
        <w:t>The Board heard submissions from the parties and from interveners, including Ms. Bernard. Although Ms. Bernard once again raised her s</w:t>
      </w:r>
      <w:r>
        <w:rPr>
          <w:rFonts w:cs="Times New Roman"/>
        </w:rPr>
        <w:t>.</w:t>
      </w:r>
      <w:r w:rsidRPr="00BA76B1">
        <w:rPr>
          <w:rFonts w:cs="Times New Roman"/>
        </w:rPr>
        <w:t xml:space="preserve"> 2(</w:t>
      </w:r>
      <w:r w:rsidRPr="00F55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argument, the Board refused to address it, holding that the Federal Court of Appeal’s directions in </w:t>
      </w:r>
      <w:r w:rsidRPr="00BA76B1">
        <w:rPr>
          <w:rFonts w:cs="Times New Roman"/>
          <w:i/>
        </w:rPr>
        <w:t xml:space="preserve">Bernard I </w:t>
      </w:r>
      <w:r w:rsidRPr="00BA76B1">
        <w:rPr>
          <w:rFonts w:cs="Times New Roman"/>
        </w:rPr>
        <w:t>limited it to a reconsideration of the consent order in light of employees’ privacy rights.</w:t>
      </w:r>
    </w:p>
    <w:p w:rsidR="00E052E3" w:rsidRPr="00BA76B1" w:rsidRDefault="00E052E3" w:rsidP="00E052E3">
      <w:pPr>
        <w:pStyle w:val="ParaNoNdepar-AltN"/>
        <w:rPr>
          <w:rFonts w:cs="Times New Roman"/>
        </w:rPr>
      </w:pPr>
      <w:r w:rsidRPr="00BA76B1">
        <w:rPr>
          <w:rFonts w:cs="Times New Roman"/>
        </w:rPr>
        <w:lastRenderedPageBreak/>
        <w:t xml:space="preserve">The Board concluded that its </w:t>
      </w:r>
      <w:r w:rsidRPr="00BA76B1">
        <w:rPr>
          <w:rFonts w:cs="Times New Roman"/>
          <w:i/>
        </w:rPr>
        <w:t xml:space="preserve">PIPSC 2 </w:t>
      </w:r>
      <w:r w:rsidRPr="00BA76B1">
        <w:rPr>
          <w:rFonts w:cs="Times New Roman"/>
        </w:rPr>
        <w:t>order complied with s</w:t>
      </w:r>
      <w:r>
        <w:rPr>
          <w:rFonts w:cs="Times New Roman"/>
        </w:rPr>
        <w:t>.</w:t>
      </w:r>
      <w:r w:rsidRPr="00BA76B1">
        <w:rPr>
          <w:rFonts w:cs="Times New Roman"/>
        </w:rPr>
        <w:t xml:space="preserve"> 8(2</w:t>
      </w:r>
      <w:proofErr w:type="gramStart"/>
      <w:r w:rsidRPr="00BA76B1">
        <w:rPr>
          <w:rFonts w:cs="Times New Roman"/>
        </w:rPr>
        <w:t>)(</w:t>
      </w:r>
      <w:proofErr w:type="gramEnd"/>
      <w:r w:rsidRPr="00BA76B1">
        <w:rPr>
          <w:rFonts w:cs="Times New Roman"/>
          <w:i/>
        </w:rPr>
        <w:t>a</w:t>
      </w:r>
      <w:r w:rsidRPr="00BA76B1">
        <w:rPr>
          <w:rFonts w:cs="Times New Roman"/>
        </w:rPr>
        <w:t xml:space="preserve">) of the </w:t>
      </w:r>
      <w:r w:rsidRPr="00BA76B1">
        <w:rPr>
          <w:rFonts w:cs="Times New Roman"/>
          <w:i/>
        </w:rPr>
        <w:t>Privacy Act</w:t>
      </w:r>
      <w:r>
        <w:rPr>
          <w:rFonts w:cs="Times New Roman"/>
        </w:rPr>
        <w:t>, R.S.C. 1985, c. P-21</w:t>
      </w:r>
      <w:r w:rsidRPr="00BA76B1">
        <w:rPr>
          <w:rFonts w:cs="Times New Roman"/>
        </w:rPr>
        <w:t xml:space="preserve">. The Board nevertheless amended the order, inserting the following further privacy safeguards: home contact information transmitted by the employer must be password protected or encrypted; the employer must advise employees on their initial appointment to a position in the bargaining unit that their home contact information will be shared with the union; and, when the union receives updated information from the employer, outdated home contact information must be appropriately disposed of.  </w:t>
      </w:r>
    </w:p>
    <w:p w:rsidR="00E052E3" w:rsidRPr="00BA76B1" w:rsidRDefault="00E052E3" w:rsidP="00E052E3">
      <w:pPr>
        <w:pStyle w:val="Title2LevelTitre2Niveau"/>
        <w:jc w:val="both"/>
        <w:rPr>
          <w:rFonts w:cs="Times New Roman"/>
        </w:rPr>
      </w:pPr>
      <w:bookmarkStart w:id="12" w:name="_Toc372276030"/>
      <w:bookmarkStart w:id="13" w:name="_Toc378672404"/>
      <w:r w:rsidRPr="00BA76B1">
        <w:rPr>
          <w:rFonts w:cs="Times New Roman"/>
        </w:rPr>
        <w:t>Bernard v</w:t>
      </w:r>
      <w:r>
        <w:rPr>
          <w:rFonts w:cs="Times New Roman"/>
        </w:rPr>
        <w:t>. Canada (</w:t>
      </w:r>
      <w:r w:rsidRPr="00BA76B1">
        <w:rPr>
          <w:rFonts w:cs="Times New Roman"/>
        </w:rPr>
        <w:t>Attorney General</w:t>
      </w:r>
      <w:r>
        <w:rPr>
          <w:rFonts w:cs="Times New Roman"/>
        </w:rPr>
        <w:t>)</w:t>
      </w:r>
      <w:r w:rsidR="005411AA">
        <w:rPr>
          <w:rFonts w:cs="Times New Roman"/>
        </w:rPr>
        <w:t xml:space="preserve">, 2012 FCA 92, 431 N.R. 317 </w:t>
      </w:r>
      <w:r w:rsidRPr="005E200B">
        <w:rPr>
          <w:rFonts w:cs="Times New Roman"/>
        </w:rPr>
        <w:t>(“</w:t>
      </w:r>
      <w:r w:rsidRPr="00BA76B1">
        <w:rPr>
          <w:rFonts w:cs="Times New Roman"/>
        </w:rPr>
        <w:t>Bernard II</w:t>
      </w:r>
      <w:r w:rsidRPr="005E200B">
        <w:rPr>
          <w:rFonts w:cs="Times New Roman"/>
        </w:rPr>
        <w:t>”)</w:t>
      </w:r>
      <w:bookmarkEnd w:id="12"/>
      <w:bookmarkEnd w:id="13"/>
    </w:p>
    <w:p w:rsidR="00E052E3" w:rsidRPr="00BA76B1" w:rsidRDefault="00E052E3" w:rsidP="00E052E3">
      <w:pPr>
        <w:pStyle w:val="ParaNoNdepar-AltN"/>
        <w:rPr>
          <w:rFonts w:cs="Times New Roman"/>
        </w:rPr>
      </w:pPr>
      <w:r w:rsidRPr="00BA76B1">
        <w:rPr>
          <w:rFonts w:cs="Times New Roman"/>
        </w:rPr>
        <w:t xml:space="preserve">Ms. Bernard brought an application for judicial review to set aside the Board’s decision in </w:t>
      </w:r>
      <w:r w:rsidRPr="00BA76B1">
        <w:rPr>
          <w:rFonts w:cs="Times New Roman"/>
          <w:i/>
        </w:rPr>
        <w:t>PIPSC 3</w:t>
      </w:r>
      <w:r w:rsidRPr="00BA76B1">
        <w:rPr>
          <w:rFonts w:cs="Times New Roman"/>
        </w:rPr>
        <w:t xml:space="preserve">. She argued, amongst other things, that the Board erred in declining to consider her </w:t>
      </w:r>
      <w:r w:rsidRPr="00BA76B1">
        <w:rPr>
          <w:rFonts w:cs="Times New Roman"/>
          <w:i/>
        </w:rPr>
        <w:t xml:space="preserve">Charter </w:t>
      </w:r>
      <w:r w:rsidRPr="00BA76B1">
        <w:rPr>
          <w:rFonts w:cs="Times New Roman"/>
        </w:rPr>
        <w:t xml:space="preserve">arguments. The Federal Court of Appeal rejected this argument on the basis that its order in </w:t>
      </w:r>
      <w:r w:rsidRPr="00BA76B1">
        <w:rPr>
          <w:rFonts w:cs="Times New Roman"/>
          <w:i/>
        </w:rPr>
        <w:t xml:space="preserve">Bernard I </w:t>
      </w:r>
      <w:r w:rsidRPr="00BA76B1">
        <w:rPr>
          <w:rFonts w:cs="Times New Roman"/>
        </w:rPr>
        <w:t xml:space="preserve">limited the Board’s jurisdiction to determining how much contact information the CRA could disclose to PIPSC without infringing employees’ privacy rights.  </w:t>
      </w:r>
    </w:p>
    <w:p w:rsidR="00E052E3" w:rsidRPr="00BA76B1" w:rsidRDefault="00E052E3" w:rsidP="00E052E3">
      <w:pPr>
        <w:pStyle w:val="ParaNoNdepar-AltN"/>
        <w:rPr>
          <w:rFonts w:cs="Times New Roman"/>
        </w:rPr>
      </w:pPr>
      <w:r>
        <w:rPr>
          <w:rFonts w:cs="Times New Roman"/>
        </w:rPr>
        <w:t>The c</w:t>
      </w:r>
      <w:r w:rsidRPr="00BA76B1">
        <w:rPr>
          <w:rFonts w:cs="Times New Roman"/>
        </w:rPr>
        <w:t xml:space="preserve">ourt went on to conclude that the Board’s decision was reasonable, and dismissed the application for judicial review. </w:t>
      </w:r>
    </w:p>
    <w:p w:rsidR="00E052E3" w:rsidRPr="00BA76B1" w:rsidRDefault="00E052E3" w:rsidP="00E052E3">
      <w:pPr>
        <w:pStyle w:val="ParaNoNdepar-AltN"/>
        <w:rPr>
          <w:rFonts w:cs="Times New Roman"/>
        </w:rPr>
      </w:pPr>
      <w:r w:rsidRPr="00BA76B1">
        <w:rPr>
          <w:rFonts w:cs="Times New Roman"/>
        </w:rPr>
        <w:t xml:space="preserve">Ms. Bernard subsequently appealed to this Court, and leave was granted on November </w:t>
      </w:r>
      <w:r>
        <w:rPr>
          <w:rFonts w:cs="Times New Roman"/>
        </w:rPr>
        <w:t xml:space="preserve">22, </w:t>
      </w:r>
      <w:r w:rsidRPr="00BA76B1">
        <w:rPr>
          <w:rFonts w:cs="Times New Roman"/>
        </w:rPr>
        <w:t xml:space="preserve">2012. </w:t>
      </w:r>
    </w:p>
    <w:p w:rsidR="00E052E3" w:rsidRPr="00BA76B1" w:rsidRDefault="00E052E3" w:rsidP="00E052E3">
      <w:pPr>
        <w:pStyle w:val="Title1LevelTitre1Niveau-AltL"/>
      </w:pPr>
      <w:bookmarkStart w:id="14" w:name="_Toc372276032"/>
      <w:bookmarkStart w:id="15" w:name="_Toc378672405"/>
      <w:r w:rsidRPr="00BA76B1">
        <w:t>A</w:t>
      </w:r>
      <w:bookmarkEnd w:id="14"/>
      <w:r>
        <w:t>nalysis</w:t>
      </w:r>
      <w:bookmarkEnd w:id="15"/>
    </w:p>
    <w:p w:rsidR="00E052E3" w:rsidRPr="00BA76B1" w:rsidRDefault="00E052E3" w:rsidP="00E052E3">
      <w:pPr>
        <w:pStyle w:val="Title2LevelTitre2Niveau"/>
        <w:rPr>
          <w:rFonts w:cs="Times New Roman"/>
        </w:rPr>
      </w:pPr>
      <w:bookmarkStart w:id="16" w:name="_Toc378672406"/>
      <w:r w:rsidRPr="00BA76B1">
        <w:rPr>
          <w:rFonts w:cs="Times New Roman"/>
        </w:rPr>
        <w:lastRenderedPageBreak/>
        <w:t>Section 186(1)(a) of the PSLRA</w:t>
      </w:r>
      <w:bookmarkEnd w:id="16"/>
    </w:p>
    <w:p w:rsidR="00E052E3" w:rsidRPr="00BA76B1" w:rsidRDefault="00E052E3" w:rsidP="00E052E3">
      <w:pPr>
        <w:pStyle w:val="ParaNoNdepar-AltN"/>
        <w:rPr>
          <w:rFonts w:cs="Times New Roman"/>
        </w:rPr>
      </w:pPr>
      <w:r w:rsidRPr="00BA76B1">
        <w:rPr>
          <w:rFonts w:cs="Times New Roman"/>
        </w:rPr>
        <w:t>I do not disagree with the conclusion of Justices Abella and Cromwell that the Board made a reasonable decision in holding that s</w:t>
      </w:r>
      <w:r>
        <w:rPr>
          <w:rFonts w:cs="Times New Roman"/>
        </w:rPr>
        <w:t>. </w:t>
      </w:r>
      <w:r w:rsidRPr="00BA76B1">
        <w:rPr>
          <w:rFonts w:cs="Times New Roman"/>
        </w:rPr>
        <w:t>186(1)(</w:t>
      </w:r>
      <w:r w:rsidRPr="00BA76B1">
        <w:rPr>
          <w:rFonts w:cs="Times New Roman"/>
          <w:i/>
        </w:rPr>
        <w:t>a</w:t>
      </w:r>
      <w:r w:rsidRPr="00BA76B1">
        <w:rPr>
          <w:rFonts w:cs="Times New Roman"/>
        </w:rPr>
        <w:t xml:space="preserve">) of the </w:t>
      </w:r>
      <w:r w:rsidRPr="00BA76B1">
        <w:rPr>
          <w:rFonts w:cs="Times New Roman"/>
          <w:i/>
        </w:rPr>
        <w:t xml:space="preserve">PSLRA </w:t>
      </w:r>
      <w:r w:rsidRPr="00BA76B1">
        <w:rPr>
          <w:rFonts w:cs="Times New Roman"/>
        </w:rPr>
        <w:t>requires the employer to disclose some employee contact information to the union and</w:t>
      </w:r>
      <w:r>
        <w:rPr>
          <w:rFonts w:cs="Times New Roman"/>
        </w:rPr>
        <w:t xml:space="preserve"> that this complies with s.</w:t>
      </w:r>
      <w:r w:rsidRPr="00BA76B1">
        <w:rPr>
          <w:rFonts w:cs="Times New Roman"/>
        </w:rPr>
        <w:t xml:space="preserve"> 8(2)(</w:t>
      </w:r>
      <w:r w:rsidRPr="005E200B">
        <w:rPr>
          <w:rFonts w:cs="Times New Roman"/>
          <w:i/>
        </w:rPr>
        <w:t>a</w:t>
      </w:r>
      <w:r w:rsidRPr="00BA76B1">
        <w:rPr>
          <w:rFonts w:cs="Times New Roman"/>
        </w:rPr>
        <w:t xml:space="preserve">) of the </w:t>
      </w:r>
      <w:r w:rsidRPr="00BA76B1">
        <w:rPr>
          <w:rFonts w:cs="Times New Roman"/>
          <w:i/>
        </w:rPr>
        <w:t>Privacy Act</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I would add that the contention of </w:t>
      </w:r>
      <w:r>
        <w:rPr>
          <w:rFonts w:cs="Times New Roman"/>
        </w:rPr>
        <w:t xml:space="preserve">the </w:t>
      </w:r>
      <w:r w:rsidRPr="00BA76B1">
        <w:rPr>
          <w:rFonts w:cs="Times New Roman"/>
          <w:i/>
        </w:rPr>
        <w:t>amicus curiae</w:t>
      </w:r>
      <w:r w:rsidRPr="00BA76B1">
        <w:rPr>
          <w:rFonts w:cs="Times New Roman"/>
        </w:rPr>
        <w:t xml:space="preserve"> that s</w:t>
      </w:r>
      <w:r>
        <w:rPr>
          <w:rFonts w:cs="Times New Roman"/>
        </w:rPr>
        <w:t>. </w:t>
      </w:r>
      <w:r w:rsidRPr="00BA76B1">
        <w:rPr>
          <w:rFonts w:cs="Times New Roman"/>
        </w:rPr>
        <w:t>186(1</w:t>
      </w:r>
      <w:proofErr w:type="gramStart"/>
      <w:r w:rsidRPr="00BA76B1">
        <w:rPr>
          <w:rFonts w:cs="Times New Roman"/>
        </w:rPr>
        <w:t>)(</w:t>
      </w:r>
      <w:proofErr w:type="gramEnd"/>
      <w:r w:rsidRPr="00BA76B1">
        <w:rPr>
          <w:rFonts w:cs="Times New Roman"/>
          <w:i/>
        </w:rPr>
        <w:t>a</w:t>
      </w:r>
      <w:r w:rsidRPr="00BA76B1">
        <w:rPr>
          <w:rFonts w:cs="Times New Roman"/>
        </w:rPr>
        <w:t xml:space="preserve">) of the </w:t>
      </w:r>
      <w:r w:rsidRPr="00BA76B1">
        <w:rPr>
          <w:rFonts w:cs="Times New Roman"/>
          <w:i/>
        </w:rPr>
        <w:t>PSLRA</w:t>
      </w:r>
      <w:r w:rsidRPr="00BA76B1">
        <w:rPr>
          <w:rFonts w:cs="Times New Roman"/>
        </w:rPr>
        <w:t xml:space="preserve"> is a prohibition provision and not a duty-imposing provision cannot be sustained.</w:t>
      </w:r>
    </w:p>
    <w:p w:rsidR="00E052E3" w:rsidRPr="00BA76B1" w:rsidRDefault="00E052E3" w:rsidP="00E052E3">
      <w:pPr>
        <w:pStyle w:val="ParaNoNdepar-AltN"/>
        <w:rPr>
          <w:rFonts w:cs="Times New Roman"/>
        </w:rPr>
      </w:pPr>
      <w:r w:rsidRPr="00BA76B1">
        <w:rPr>
          <w:rFonts w:cs="Times New Roman"/>
        </w:rPr>
        <w:t xml:space="preserve">Labour boards have previously found positive obligations stemming from </w:t>
      </w:r>
      <w:r>
        <w:rPr>
          <w:rFonts w:cs="Times New Roman"/>
        </w:rPr>
        <w:t>s. </w:t>
      </w:r>
      <w:r w:rsidRPr="00BA76B1">
        <w:rPr>
          <w:rFonts w:cs="Times New Roman"/>
        </w:rPr>
        <w:t>186(1)(</w:t>
      </w:r>
      <w:r w:rsidRPr="00BA76B1">
        <w:rPr>
          <w:rFonts w:cs="Times New Roman"/>
          <w:i/>
        </w:rPr>
        <w:t>a</w:t>
      </w:r>
      <w:r w:rsidRPr="00BA76B1">
        <w:rPr>
          <w:rFonts w:cs="Times New Roman"/>
        </w:rPr>
        <w:t xml:space="preserve">) of the </w:t>
      </w:r>
      <w:r w:rsidRPr="00BA76B1">
        <w:rPr>
          <w:rFonts w:cs="Times New Roman"/>
          <w:i/>
        </w:rPr>
        <w:t xml:space="preserve">PSLRA </w:t>
      </w:r>
      <w:r w:rsidRPr="00BA76B1">
        <w:rPr>
          <w:rFonts w:cs="Times New Roman"/>
        </w:rPr>
        <w:t xml:space="preserve">and similar legislative provisions that prohibit employers from interfering with unions: see </w:t>
      </w:r>
      <w:r w:rsidRPr="00BA76B1">
        <w:rPr>
          <w:rFonts w:cs="Times New Roman"/>
          <w:i/>
        </w:rPr>
        <w:t>Public Service Alliance of Canada v</w:t>
      </w:r>
      <w:r>
        <w:rPr>
          <w:rFonts w:cs="Times New Roman"/>
          <w:i/>
        </w:rPr>
        <w:t>.</w:t>
      </w:r>
      <w:r w:rsidRPr="00BA76B1">
        <w:rPr>
          <w:rFonts w:cs="Times New Roman"/>
          <w:i/>
        </w:rPr>
        <w:t xml:space="preserve"> Treasury Board (Canada Border Services Agency)</w:t>
      </w:r>
      <w:r w:rsidRPr="00BA76B1">
        <w:rPr>
          <w:rFonts w:cs="Times New Roman"/>
        </w:rPr>
        <w:t xml:space="preserve">, 2012 </w:t>
      </w:r>
      <w:r>
        <w:rPr>
          <w:rFonts w:cs="Times New Roman"/>
        </w:rPr>
        <w:t>PSLRB</w:t>
      </w:r>
      <w:r w:rsidRPr="00BA76B1">
        <w:rPr>
          <w:rFonts w:cs="Times New Roman"/>
        </w:rPr>
        <w:t xml:space="preserve"> 58</w:t>
      </w:r>
      <w:r>
        <w:rPr>
          <w:rFonts w:cs="Times New Roman"/>
        </w:rPr>
        <w:t xml:space="preserve"> (CanLII)</w:t>
      </w:r>
      <w:r w:rsidRPr="00BA76B1">
        <w:rPr>
          <w:rFonts w:cs="Times New Roman"/>
        </w:rPr>
        <w:t xml:space="preserve">; </w:t>
      </w:r>
      <w:r w:rsidRPr="00BA76B1">
        <w:rPr>
          <w:rFonts w:cs="Times New Roman"/>
          <w:i/>
        </w:rPr>
        <w:t xml:space="preserve">Canadian National Railway Company </w:t>
      </w:r>
      <w:r w:rsidRPr="00BA76B1">
        <w:rPr>
          <w:rFonts w:cs="Times New Roman"/>
        </w:rPr>
        <w:t xml:space="preserve">(1994), 95 </w:t>
      </w:r>
      <w:proofErr w:type="spellStart"/>
      <w:r w:rsidRPr="00BA76B1">
        <w:rPr>
          <w:rFonts w:cs="Times New Roman"/>
        </w:rPr>
        <w:t>di</w:t>
      </w:r>
      <w:proofErr w:type="spellEnd"/>
      <w:r w:rsidRPr="00BA76B1">
        <w:rPr>
          <w:rFonts w:cs="Times New Roman"/>
        </w:rPr>
        <w:t xml:space="preserve"> 78; </w:t>
      </w:r>
      <w:r w:rsidRPr="00BA76B1">
        <w:rPr>
          <w:rFonts w:cs="Times New Roman"/>
          <w:i/>
        </w:rPr>
        <w:t>Consolidated Bathurst Packaging Ltd</w:t>
      </w:r>
      <w:r>
        <w:rPr>
          <w:rFonts w:cs="Times New Roman"/>
          <w:i/>
        </w:rPr>
        <w:t>.</w:t>
      </w:r>
      <w:r w:rsidRPr="00BC2488">
        <w:rPr>
          <w:rFonts w:cs="Times New Roman"/>
        </w:rPr>
        <w:t>,</w:t>
      </w:r>
      <w:r w:rsidRPr="00BA76B1">
        <w:rPr>
          <w:rFonts w:cs="Times New Roman"/>
          <w:i/>
        </w:rPr>
        <w:t xml:space="preserve"> </w:t>
      </w:r>
      <w:r w:rsidRPr="00BA76B1">
        <w:rPr>
          <w:rFonts w:cs="Times New Roman"/>
        </w:rPr>
        <w:t>[1983] OLRB Rep</w:t>
      </w:r>
      <w:r>
        <w:rPr>
          <w:rFonts w:cs="Times New Roman"/>
        </w:rPr>
        <w:t>.</w:t>
      </w:r>
      <w:r w:rsidRPr="00BA76B1">
        <w:rPr>
          <w:rFonts w:cs="Times New Roman"/>
        </w:rPr>
        <w:t xml:space="preserve"> 1411; </w:t>
      </w:r>
      <w:r w:rsidRPr="00BA76B1">
        <w:rPr>
          <w:rFonts w:cs="Times New Roman"/>
          <w:i/>
        </w:rPr>
        <w:t>CFTO-TV L</w:t>
      </w:r>
      <w:r>
        <w:rPr>
          <w:rFonts w:cs="Times New Roman"/>
          <w:i/>
        </w:rPr>
        <w:t>imited</w:t>
      </w:r>
      <w:r w:rsidRPr="00BA76B1">
        <w:rPr>
          <w:rFonts w:cs="Times New Roman"/>
          <w:i/>
        </w:rPr>
        <w:t xml:space="preserve"> </w:t>
      </w:r>
      <w:r w:rsidRPr="00BA76B1">
        <w:rPr>
          <w:rFonts w:cs="Times New Roman"/>
        </w:rPr>
        <w:t xml:space="preserve">(1995), 97 </w:t>
      </w:r>
      <w:proofErr w:type="spellStart"/>
      <w:r w:rsidRPr="00BA76B1">
        <w:rPr>
          <w:rFonts w:cs="Times New Roman"/>
        </w:rPr>
        <w:t>di</w:t>
      </w:r>
      <w:proofErr w:type="spellEnd"/>
      <w:r w:rsidRPr="00BA76B1">
        <w:rPr>
          <w:rFonts w:cs="Times New Roman"/>
        </w:rPr>
        <w:t xml:space="preserve"> 35</w:t>
      </w:r>
      <w:r>
        <w:rPr>
          <w:rFonts w:cs="Times New Roman"/>
        </w:rPr>
        <w:t>;</w:t>
      </w:r>
      <w:r w:rsidRPr="00BA76B1">
        <w:rPr>
          <w:rFonts w:cs="Times New Roman"/>
          <w:i/>
        </w:rPr>
        <w:t xml:space="preserve"> Ford Glass L</w:t>
      </w:r>
      <w:r>
        <w:rPr>
          <w:rFonts w:cs="Times New Roman"/>
          <w:i/>
        </w:rPr>
        <w:t>imited</w:t>
      </w:r>
      <w:r w:rsidRPr="00BA76B1">
        <w:rPr>
          <w:rFonts w:cs="Times New Roman"/>
        </w:rPr>
        <w:t>, [1986] OLRB Rep</w:t>
      </w:r>
      <w:r>
        <w:rPr>
          <w:rFonts w:cs="Times New Roman"/>
        </w:rPr>
        <w:t>.</w:t>
      </w:r>
      <w:r w:rsidRPr="00BA76B1">
        <w:rPr>
          <w:rFonts w:cs="Times New Roman"/>
        </w:rPr>
        <w:t xml:space="preserve"> 624; </w:t>
      </w:r>
      <w:r w:rsidRPr="00BA76B1">
        <w:rPr>
          <w:rFonts w:cs="Times New Roman"/>
          <w:i/>
        </w:rPr>
        <w:t>Canada Post Corporation</w:t>
      </w:r>
      <w:r w:rsidRPr="00BA76B1">
        <w:rPr>
          <w:rFonts w:cs="Times New Roman"/>
        </w:rPr>
        <w:t xml:space="preserve"> (1994), 96 </w:t>
      </w:r>
      <w:proofErr w:type="spellStart"/>
      <w:r w:rsidRPr="00BA76B1">
        <w:rPr>
          <w:rFonts w:cs="Times New Roman"/>
        </w:rPr>
        <w:t>di</w:t>
      </w:r>
      <w:proofErr w:type="spellEnd"/>
      <w:r w:rsidRPr="00BA76B1">
        <w:rPr>
          <w:rFonts w:cs="Times New Roman"/>
        </w:rPr>
        <w:t xml:space="preserve"> 48; </w:t>
      </w:r>
      <w:r w:rsidRPr="00BA76B1">
        <w:rPr>
          <w:rFonts w:cs="Times New Roman"/>
          <w:i/>
        </w:rPr>
        <w:t>York University</w:t>
      </w:r>
      <w:r w:rsidRPr="00BA76B1">
        <w:rPr>
          <w:rFonts w:cs="Times New Roman"/>
        </w:rPr>
        <w:t>, [2007] OLRB Rep</w:t>
      </w:r>
      <w:r>
        <w:rPr>
          <w:rFonts w:cs="Times New Roman"/>
        </w:rPr>
        <w:t>.</w:t>
      </w:r>
      <w:r w:rsidRPr="00BA76B1">
        <w:rPr>
          <w:rFonts w:cs="Times New Roman"/>
        </w:rPr>
        <w:t xml:space="preserve"> 659.</w:t>
      </w:r>
    </w:p>
    <w:p w:rsidR="00E052E3" w:rsidRPr="00BA76B1" w:rsidRDefault="00E052E3" w:rsidP="00E052E3">
      <w:pPr>
        <w:pStyle w:val="ParaNoNdepar-AltN"/>
        <w:rPr>
          <w:rFonts w:cs="Times New Roman"/>
        </w:rPr>
      </w:pPr>
      <w:r w:rsidRPr="00BA76B1">
        <w:rPr>
          <w:rFonts w:cs="Times New Roman"/>
        </w:rPr>
        <w:t xml:space="preserve">It was not unreasonable for the Board in </w:t>
      </w:r>
      <w:r w:rsidRPr="00BA76B1">
        <w:rPr>
          <w:rFonts w:cs="Times New Roman"/>
          <w:i/>
        </w:rPr>
        <w:t xml:space="preserve">PIPSC 1 </w:t>
      </w:r>
      <w:r w:rsidRPr="00BA76B1">
        <w:rPr>
          <w:rFonts w:cs="Times New Roman"/>
        </w:rPr>
        <w:t>to conclude that the employer was required by s</w:t>
      </w:r>
      <w:r>
        <w:rPr>
          <w:rFonts w:cs="Times New Roman"/>
        </w:rPr>
        <w:t>.</w:t>
      </w:r>
      <w:r w:rsidRPr="00BA76B1">
        <w:rPr>
          <w:rFonts w:cs="Times New Roman"/>
        </w:rPr>
        <w:t xml:space="preserve"> 186(1</w:t>
      </w:r>
      <w:proofErr w:type="gramStart"/>
      <w:r w:rsidRPr="00BA76B1">
        <w:rPr>
          <w:rFonts w:cs="Times New Roman"/>
        </w:rPr>
        <w:t>)(</w:t>
      </w:r>
      <w:proofErr w:type="gramEnd"/>
      <w:r w:rsidRPr="00BA76B1">
        <w:rPr>
          <w:rFonts w:cs="Times New Roman"/>
          <w:i/>
        </w:rPr>
        <w:t>a</w:t>
      </w:r>
      <w:r w:rsidRPr="00BA76B1">
        <w:rPr>
          <w:rFonts w:cs="Times New Roman"/>
        </w:rPr>
        <w:t xml:space="preserve">) of the </w:t>
      </w:r>
      <w:r w:rsidRPr="00BA76B1">
        <w:rPr>
          <w:rFonts w:cs="Times New Roman"/>
          <w:i/>
        </w:rPr>
        <w:t>PSL</w:t>
      </w:r>
      <w:r>
        <w:rPr>
          <w:rFonts w:cs="Times New Roman"/>
          <w:i/>
        </w:rPr>
        <w:t>R</w:t>
      </w:r>
      <w:r w:rsidRPr="00BA76B1">
        <w:rPr>
          <w:rFonts w:cs="Times New Roman"/>
          <w:i/>
        </w:rPr>
        <w:t xml:space="preserve">A </w:t>
      </w:r>
      <w:r w:rsidRPr="00BA76B1">
        <w:rPr>
          <w:rFonts w:cs="Times New Roman"/>
        </w:rPr>
        <w:t>to disclose some employee information to the union.</w:t>
      </w:r>
    </w:p>
    <w:p w:rsidR="00E052E3" w:rsidRPr="00BA76B1" w:rsidRDefault="00E052E3" w:rsidP="00E052E3">
      <w:pPr>
        <w:pStyle w:val="Title2LevelTitre2Niveau"/>
        <w:jc w:val="both"/>
        <w:rPr>
          <w:rFonts w:cs="Times New Roman"/>
        </w:rPr>
      </w:pPr>
      <w:bookmarkStart w:id="17" w:name="_Toc372276035"/>
      <w:bookmarkStart w:id="18" w:name="_Toc378672407"/>
      <w:r>
        <w:rPr>
          <w:rFonts w:cs="Times New Roman"/>
        </w:rPr>
        <w:t>The Board Erred in Refusing to Consider Ms. Bernard’s Section 2(d) Charter A</w:t>
      </w:r>
      <w:r w:rsidRPr="00BA76B1">
        <w:rPr>
          <w:rFonts w:cs="Times New Roman"/>
        </w:rPr>
        <w:t>rgument</w:t>
      </w:r>
      <w:bookmarkEnd w:id="17"/>
      <w:r w:rsidRPr="00BA76B1">
        <w:rPr>
          <w:rFonts w:cs="Times New Roman"/>
        </w:rPr>
        <w:t>s</w:t>
      </w:r>
      <w:bookmarkEnd w:id="18"/>
    </w:p>
    <w:p w:rsidR="00E052E3" w:rsidRPr="00BA76B1" w:rsidRDefault="00E052E3" w:rsidP="00E052E3">
      <w:pPr>
        <w:pStyle w:val="ParaNoNdepar-AltN"/>
        <w:rPr>
          <w:rFonts w:cs="Times New Roman"/>
        </w:rPr>
      </w:pPr>
      <w:r w:rsidRPr="00BA76B1">
        <w:rPr>
          <w:rFonts w:cs="Times New Roman"/>
        </w:rPr>
        <w:lastRenderedPageBreak/>
        <w:t xml:space="preserve">My colleagues intimate, at </w:t>
      </w:r>
      <w:proofErr w:type="spellStart"/>
      <w:r w:rsidRPr="00BA76B1">
        <w:rPr>
          <w:rFonts w:cs="Times New Roman"/>
        </w:rPr>
        <w:t>para</w:t>
      </w:r>
      <w:proofErr w:type="spellEnd"/>
      <w:r>
        <w:rPr>
          <w:rFonts w:cs="Times New Roman"/>
        </w:rPr>
        <w:t>.</w:t>
      </w:r>
      <w:r w:rsidRPr="00BA76B1">
        <w:rPr>
          <w:rFonts w:cs="Times New Roman"/>
        </w:rPr>
        <w:t xml:space="preserve"> 35, that the Board correctly declined to determine Ms. Bernard’s s</w:t>
      </w:r>
      <w:r>
        <w:rPr>
          <w:rFonts w:cs="Times New Roman"/>
        </w:rPr>
        <w:t xml:space="preserve">. </w:t>
      </w:r>
      <w:r w:rsidRPr="00BA76B1">
        <w:rPr>
          <w:rFonts w:cs="Times New Roman"/>
        </w:rPr>
        <w:t>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arguments. With respect, I cannot agree.</w:t>
      </w:r>
    </w:p>
    <w:p w:rsidR="00E052E3" w:rsidRPr="00BA76B1" w:rsidRDefault="00E052E3" w:rsidP="00E052E3">
      <w:pPr>
        <w:pStyle w:val="ParaNoNdepar-AltN"/>
        <w:rPr>
          <w:rFonts w:cs="Times New Roman"/>
        </w:rPr>
      </w:pPr>
      <w:r w:rsidRPr="00BA76B1">
        <w:rPr>
          <w:rFonts w:cs="Times New Roman"/>
        </w:rPr>
        <w:t>Ms. Bernard is a</w:t>
      </w:r>
      <w:r>
        <w:rPr>
          <w:rFonts w:cs="Times New Roman"/>
        </w:rPr>
        <w:t xml:space="preserve"> </w:t>
      </w:r>
      <w:r w:rsidRPr="00BA76B1">
        <w:rPr>
          <w:rFonts w:cs="Times New Roman"/>
        </w:rPr>
        <w:t>self-represented litigant. She believes that the Board’s order compelling the disclosure of her home address and telephone number to the bargaining agent forces her to associate with the union she has chosen not to join, and thus violate</w:t>
      </w:r>
      <w:r>
        <w:rPr>
          <w:rFonts w:cs="Times New Roman"/>
        </w:rPr>
        <w:t>s her s.</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right to freedom from association. Ms. Bernard tried to raise </w:t>
      </w:r>
      <w:r>
        <w:rPr>
          <w:rFonts w:cs="Times New Roman"/>
        </w:rPr>
        <w:t>her s.</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claims before both the Board and the Federal Court of Appeal. Despite her assiduous efforts, both the Board and the </w:t>
      </w:r>
      <w:r>
        <w:rPr>
          <w:rFonts w:cs="Times New Roman"/>
        </w:rPr>
        <w:t>c</w:t>
      </w:r>
      <w:r w:rsidRPr="00BA76B1">
        <w:rPr>
          <w:rFonts w:cs="Times New Roman"/>
        </w:rPr>
        <w:t>ourt refused to consider these arguments.</w:t>
      </w:r>
    </w:p>
    <w:p w:rsidR="00E052E3" w:rsidRPr="00BA76B1" w:rsidRDefault="00E052E3" w:rsidP="00E052E3">
      <w:pPr>
        <w:pStyle w:val="ParaNoNdepar-AltN"/>
        <w:rPr>
          <w:rFonts w:cs="Times New Roman"/>
        </w:rPr>
      </w:pPr>
      <w:r w:rsidRPr="00BA76B1">
        <w:rPr>
          <w:rFonts w:cs="Times New Roman"/>
        </w:rPr>
        <w:t xml:space="preserve">In holding that the Board in </w:t>
      </w:r>
      <w:r w:rsidRPr="00BA76B1">
        <w:rPr>
          <w:rFonts w:cs="Times New Roman"/>
          <w:i/>
        </w:rPr>
        <w:t>PIPSC 3</w:t>
      </w:r>
      <w:r w:rsidRPr="00BA76B1">
        <w:rPr>
          <w:rFonts w:cs="Times New Roman"/>
        </w:rPr>
        <w:t xml:space="preserve"> was barred from d</w:t>
      </w:r>
      <w:r>
        <w:rPr>
          <w:rFonts w:cs="Times New Roman"/>
        </w:rPr>
        <w:t>etermining Ms. Bernard’s s.</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arguments, the Board and </w:t>
      </w:r>
      <w:r>
        <w:rPr>
          <w:rFonts w:cs="Times New Roman"/>
        </w:rPr>
        <w:t xml:space="preserve">the </w:t>
      </w:r>
      <w:r w:rsidRPr="00BA76B1">
        <w:rPr>
          <w:rFonts w:cs="Times New Roman"/>
        </w:rPr>
        <w:t xml:space="preserve">Federal Court of Appeal erred in law. This </w:t>
      </w:r>
      <w:r>
        <w:rPr>
          <w:rFonts w:cs="Times New Roman"/>
        </w:rPr>
        <w:t xml:space="preserve">jurisdictional </w:t>
      </w:r>
      <w:r w:rsidRPr="00BA76B1">
        <w:rPr>
          <w:rFonts w:cs="Times New Roman"/>
        </w:rPr>
        <w:t>error resulted in a denial of procedural fairness</w:t>
      </w:r>
      <w:r>
        <w:rPr>
          <w:rFonts w:cs="Times New Roman"/>
        </w:rPr>
        <w:t xml:space="preserve"> insofar as Ms. </w:t>
      </w:r>
      <w:r w:rsidRPr="00BA76B1">
        <w:rPr>
          <w:rFonts w:cs="Times New Roman"/>
        </w:rPr>
        <w:t xml:space="preserve">Bernard was deprived of her right to make her </w:t>
      </w:r>
      <w:r w:rsidRPr="00BA76B1">
        <w:rPr>
          <w:rFonts w:cs="Times New Roman"/>
          <w:i/>
        </w:rPr>
        <w:t>Charter</w:t>
      </w:r>
      <w:r w:rsidRPr="00BA76B1">
        <w:rPr>
          <w:rFonts w:cs="Times New Roman"/>
        </w:rPr>
        <w:t xml:space="preserve"> submissions and have them considered and ruled upon. </w:t>
      </w:r>
    </w:p>
    <w:p w:rsidR="00E052E3" w:rsidRPr="00BA76B1" w:rsidRDefault="00E052E3" w:rsidP="00E052E3">
      <w:pPr>
        <w:pStyle w:val="Title3LevelTitre3Niveau"/>
        <w:jc w:val="both"/>
        <w:rPr>
          <w:rFonts w:cs="Times New Roman"/>
        </w:rPr>
      </w:pPr>
      <w:bookmarkStart w:id="19" w:name="_Toc378672408"/>
      <w:r>
        <w:rPr>
          <w:rFonts w:cs="Times New Roman"/>
        </w:rPr>
        <w:t>The Board Had a D</w:t>
      </w:r>
      <w:r w:rsidRPr="00BA76B1">
        <w:rPr>
          <w:rFonts w:cs="Times New Roman"/>
        </w:rPr>
        <w:t xml:space="preserve">uty to </w:t>
      </w:r>
      <w:r>
        <w:rPr>
          <w:rFonts w:cs="Times New Roman"/>
        </w:rPr>
        <w:t>D</w:t>
      </w:r>
      <w:r w:rsidRPr="00BA76B1">
        <w:rPr>
          <w:rFonts w:cs="Times New Roman"/>
        </w:rPr>
        <w:t xml:space="preserve">ecide </w:t>
      </w:r>
      <w:r>
        <w:rPr>
          <w:rFonts w:cs="Times New Roman"/>
        </w:rPr>
        <w:t>Ms. Bernard’s S</w:t>
      </w:r>
      <w:r w:rsidRPr="00BA76B1">
        <w:rPr>
          <w:rFonts w:cs="Times New Roman"/>
        </w:rPr>
        <w:t>ection 2(</w:t>
      </w:r>
      <w:r w:rsidRPr="00777941">
        <w:rPr>
          <w:rFonts w:cs="Times New Roman"/>
          <w:i/>
        </w:rPr>
        <w:t>d</w:t>
      </w:r>
      <w:r w:rsidRPr="00BA76B1">
        <w:rPr>
          <w:rFonts w:cs="Times New Roman"/>
        </w:rPr>
        <w:t xml:space="preserve">) </w:t>
      </w:r>
      <w:r w:rsidRPr="00BA76B1">
        <w:rPr>
          <w:rFonts w:cs="Times New Roman"/>
          <w:i/>
        </w:rPr>
        <w:t xml:space="preserve">Charter </w:t>
      </w:r>
      <w:r>
        <w:rPr>
          <w:rFonts w:cs="Times New Roman"/>
        </w:rPr>
        <w:t>A</w:t>
      </w:r>
      <w:r w:rsidRPr="00BA76B1">
        <w:rPr>
          <w:rFonts w:cs="Times New Roman"/>
        </w:rPr>
        <w:t>rguments</w:t>
      </w:r>
      <w:bookmarkEnd w:id="19"/>
    </w:p>
    <w:p w:rsidR="00E052E3" w:rsidRPr="00BA76B1" w:rsidRDefault="00E052E3" w:rsidP="00E052E3">
      <w:pPr>
        <w:pStyle w:val="ParaNoNdepar-AltN"/>
        <w:rPr>
          <w:rFonts w:cs="Times New Roman"/>
        </w:rPr>
      </w:pPr>
      <w:r w:rsidRPr="00BA76B1">
        <w:rPr>
          <w:rFonts w:cs="Times New Roman"/>
        </w:rPr>
        <w:t xml:space="preserve">This Court has recently affirmed that “administrative tribunals with the authority to decide questions of law and whose </w:t>
      </w:r>
      <w:r w:rsidRPr="00BA76B1">
        <w:rPr>
          <w:rFonts w:cs="Times New Roman"/>
          <w:i/>
        </w:rPr>
        <w:t xml:space="preserve">Charter </w:t>
      </w:r>
      <w:r w:rsidRPr="00BA76B1">
        <w:rPr>
          <w:rFonts w:cs="Times New Roman"/>
        </w:rPr>
        <w:t>jurisdiction has not been clearly withdrawn ha</w:t>
      </w:r>
      <w:r>
        <w:rPr>
          <w:rFonts w:cs="Times New Roman"/>
        </w:rPr>
        <w:t>ve the corresponding authority —</w:t>
      </w:r>
      <w:r w:rsidRPr="00BA76B1">
        <w:rPr>
          <w:rFonts w:cs="Times New Roman"/>
        </w:rPr>
        <w:t xml:space="preserve"> </w:t>
      </w:r>
      <w:r w:rsidRPr="00BA76B1">
        <w:rPr>
          <w:rFonts w:cs="Times New Roman"/>
          <w:u w:val="single"/>
        </w:rPr>
        <w:t>and duty</w:t>
      </w:r>
      <w:r w:rsidRPr="00BA76B1">
        <w:rPr>
          <w:rFonts w:cs="Times New Roman"/>
        </w:rPr>
        <w:t xml:space="preserve"> </w:t>
      </w:r>
      <w:r>
        <w:rPr>
          <w:rFonts w:cs="Times New Roman"/>
        </w:rPr>
        <w:t>—</w:t>
      </w:r>
      <w:r w:rsidRPr="00BA76B1">
        <w:rPr>
          <w:rFonts w:cs="Times New Roman"/>
        </w:rPr>
        <w:t xml:space="preserve"> to consider and apply the Constitution, including the </w:t>
      </w:r>
      <w:r w:rsidRPr="00BA76B1">
        <w:rPr>
          <w:rFonts w:cs="Times New Roman"/>
          <w:i/>
        </w:rPr>
        <w:t>Charter</w:t>
      </w:r>
      <w:r w:rsidRPr="00BA76B1">
        <w:rPr>
          <w:rFonts w:cs="Times New Roman"/>
        </w:rPr>
        <w:t xml:space="preserve">, when answering those legal questions”: </w:t>
      </w:r>
      <w:r w:rsidRPr="00BA76B1">
        <w:rPr>
          <w:rFonts w:cs="Times New Roman"/>
          <w:i/>
        </w:rPr>
        <w:t>R</w:t>
      </w:r>
      <w:r>
        <w:rPr>
          <w:rFonts w:cs="Times New Roman"/>
          <w:i/>
        </w:rPr>
        <w:t>.</w:t>
      </w:r>
      <w:r w:rsidRPr="00BA76B1">
        <w:rPr>
          <w:rFonts w:cs="Times New Roman"/>
          <w:i/>
        </w:rPr>
        <w:t xml:space="preserve"> </w:t>
      </w:r>
      <w:r>
        <w:rPr>
          <w:rFonts w:cs="Times New Roman"/>
          <w:i/>
        </w:rPr>
        <w:t>v.</w:t>
      </w:r>
      <w:r w:rsidRPr="00BA76B1">
        <w:rPr>
          <w:rFonts w:cs="Times New Roman"/>
          <w:i/>
        </w:rPr>
        <w:t xml:space="preserve"> Conway</w:t>
      </w:r>
      <w:r w:rsidRPr="00BA76B1">
        <w:rPr>
          <w:rFonts w:cs="Times New Roman"/>
        </w:rPr>
        <w:t>, 2010 SCC 22</w:t>
      </w:r>
      <w:r>
        <w:rPr>
          <w:rFonts w:cs="Times New Roman"/>
        </w:rPr>
        <w:t>, [2010] 1 S.C.R. 765,</w:t>
      </w:r>
      <w:r w:rsidRPr="00BA76B1">
        <w:rPr>
          <w:rFonts w:cs="Times New Roman"/>
        </w:rPr>
        <w:t xml:space="preserve"> at </w:t>
      </w:r>
      <w:proofErr w:type="spellStart"/>
      <w:r w:rsidRPr="00BA76B1">
        <w:rPr>
          <w:rFonts w:cs="Times New Roman"/>
        </w:rPr>
        <w:t>para</w:t>
      </w:r>
      <w:proofErr w:type="spellEnd"/>
      <w:r>
        <w:rPr>
          <w:rFonts w:cs="Times New Roman"/>
        </w:rPr>
        <w:t>.</w:t>
      </w:r>
      <w:r w:rsidRPr="00BA76B1">
        <w:rPr>
          <w:rFonts w:cs="Times New Roman"/>
        </w:rPr>
        <w:t xml:space="preserve"> 77 </w:t>
      </w:r>
      <w:r>
        <w:rPr>
          <w:rFonts w:cs="Times New Roman"/>
        </w:rPr>
        <w:t>(</w:t>
      </w:r>
      <w:r w:rsidRPr="00BA76B1">
        <w:rPr>
          <w:rFonts w:cs="Times New Roman"/>
        </w:rPr>
        <w:t>emphasis added</w:t>
      </w:r>
      <w:r>
        <w:rPr>
          <w:rFonts w:cs="Times New Roman"/>
        </w:rPr>
        <w:t>)</w:t>
      </w:r>
      <w:r w:rsidRPr="00BA76B1">
        <w:rPr>
          <w:rFonts w:cs="Times New Roman"/>
        </w:rPr>
        <w:t xml:space="preserve">. This aligns with the principle that Canadians should be permitted to present their </w:t>
      </w:r>
      <w:r w:rsidRPr="00BA76B1">
        <w:rPr>
          <w:rFonts w:cs="Times New Roman"/>
          <w:i/>
        </w:rPr>
        <w:t xml:space="preserve">Charter </w:t>
      </w:r>
      <w:r w:rsidRPr="00BA76B1">
        <w:rPr>
          <w:rFonts w:cs="Times New Roman"/>
        </w:rPr>
        <w:lastRenderedPageBreak/>
        <w:t xml:space="preserve">claims in the most accessible forum available, without having to </w:t>
      </w:r>
      <w:proofErr w:type="gramStart"/>
      <w:r w:rsidRPr="00BA76B1">
        <w:rPr>
          <w:rFonts w:cs="Times New Roman"/>
        </w:rPr>
        <w:t>bifurcate</w:t>
      </w:r>
      <w:proofErr w:type="gramEnd"/>
      <w:r w:rsidRPr="00BA76B1">
        <w:rPr>
          <w:rFonts w:cs="Times New Roman"/>
        </w:rPr>
        <w:t xml:space="preserve"> claims into separate proceedings </w:t>
      </w:r>
      <w:r>
        <w:rPr>
          <w:rFonts w:cs="Times New Roman"/>
        </w:rPr>
        <w:t>(</w:t>
      </w:r>
      <w:r w:rsidRPr="00BA76B1">
        <w:rPr>
          <w:rFonts w:cs="Times New Roman"/>
          <w:i/>
        </w:rPr>
        <w:t>Conway</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79</w:t>
      </w:r>
      <w:r>
        <w:rPr>
          <w:rFonts w:cs="Times New Roman"/>
        </w:rPr>
        <w:t>)</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In this case, the Board possessed the implied jurisdiction to decide questions of law, pursuant to s</w:t>
      </w:r>
      <w:r>
        <w:rPr>
          <w:rFonts w:cs="Times New Roman"/>
        </w:rPr>
        <w:t>.</w:t>
      </w:r>
      <w:r w:rsidRPr="00BA76B1">
        <w:rPr>
          <w:rFonts w:cs="Times New Roman"/>
        </w:rPr>
        <w:t xml:space="preserve"> 36 of the </w:t>
      </w:r>
      <w:r w:rsidRPr="00BA76B1">
        <w:rPr>
          <w:rFonts w:cs="Times New Roman"/>
          <w:i/>
        </w:rPr>
        <w:t>PSLRA</w:t>
      </w:r>
      <w:r w:rsidRPr="00BA76B1">
        <w:rPr>
          <w:rFonts w:cs="Times New Roman"/>
        </w:rPr>
        <w:t>:</w:t>
      </w:r>
    </w:p>
    <w:p w:rsidR="00E052E3" w:rsidRPr="00BA76B1" w:rsidRDefault="00E052E3" w:rsidP="00E052E3">
      <w:pPr>
        <w:pStyle w:val="Citation-AltC"/>
        <w:ind w:firstLine="274"/>
      </w:pPr>
      <w:r w:rsidRPr="00BA76B1">
        <w:rPr>
          <w:b/>
        </w:rPr>
        <w:t xml:space="preserve">36. </w:t>
      </w:r>
      <w:r w:rsidRPr="00BA76B1">
        <w:t>The Board administers this Act and it may exercise the powers and perform the functions that are conferred or imposed on it by this Act, or as are incidental to the attainment of the objects of this Act, including the making of orders requiring compliance with this Act, regulations made under it or decisions made in respect of a matter coming before the Board.</w:t>
      </w:r>
    </w:p>
    <w:p w:rsidR="00E052E3" w:rsidRPr="00BA76B1" w:rsidRDefault="00E052E3" w:rsidP="00E052E3">
      <w:pPr>
        <w:pStyle w:val="ParaNoNdepar-AltN"/>
        <w:numPr>
          <w:ilvl w:val="0"/>
          <w:numId w:val="0"/>
        </w:numPr>
        <w:tabs>
          <w:tab w:val="left" w:pos="1166"/>
        </w:tabs>
        <w:rPr>
          <w:rFonts w:cs="Times New Roman"/>
        </w:rPr>
      </w:pPr>
      <w:r w:rsidRPr="00BA76B1">
        <w:rPr>
          <w:rFonts w:cs="Times New Roman"/>
        </w:rPr>
        <w:t xml:space="preserve">There is no reason why the Board’s power to administer the </w:t>
      </w:r>
      <w:r w:rsidRPr="00BA76B1">
        <w:rPr>
          <w:rFonts w:cs="Times New Roman"/>
          <w:i/>
        </w:rPr>
        <w:t xml:space="preserve">PSLRA </w:t>
      </w:r>
      <w:r w:rsidRPr="00BA76B1">
        <w:rPr>
          <w:rFonts w:cs="Times New Roman"/>
        </w:rPr>
        <w:t xml:space="preserve">would not include the authority to decide questions of law linked to matters properly before </w:t>
      </w:r>
      <w:r>
        <w:rPr>
          <w:rFonts w:cs="Times New Roman"/>
        </w:rPr>
        <w:t>it</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Section 42 of the </w:t>
      </w:r>
      <w:r w:rsidRPr="00BA76B1">
        <w:rPr>
          <w:rFonts w:cs="Times New Roman"/>
          <w:i/>
        </w:rPr>
        <w:t xml:space="preserve">PSLRA </w:t>
      </w:r>
      <w:r w:rsidRPr="00BA76B1">
        <w:rPr>
          <w:rFonts w:cs="Times New Roman"/>
        </w:rPr>
        <w:t xml:space="preserve">further supports the conclusion that the Board is able to decide questions of law: </w:t>
      </w:r>
    </w:p>
    <w:p w:rsidR="00E052E3" w:rsidRPr="00BA76B1" w:rsidRDefault="00E052E3" w:rsidP="00E052E3">
      <w:pPr>
        <w:pStyle w:val="Citation-AltC"/>
        <w:ind w:firstLine="274"/>
      </w:pPr>
      <w:r w:rsidRPr="00BA76B1">
        <w:rPr>
          <w:b/>
        </w:rPr>
        <w:t xml:space="preserve">42. </w:t>
      </w:r>
      <w:r w:rsidRPr="00BA76B1">
        <w:t>In making an order or a decision, or doing any other thing in relation to any person under this Act, the Board may do so either generally or in any particular case or class of cases.</w:t>
      </w:r>
    </w:p>
    <w:p w:rsidR="00E052E3" w:rsidRPr="00BA76B1" w:rsidRDefault="00E052E3" w:rsidP="00E052E3">
      <w:pPr>
        <w:pStyle w:val="ParaNoNdepar-AltN"/>
        <w:numPr>
          <w:ilvl w:val="0"/>
          <w:numId w:val="0"/>
        </w:numPr>
        <w:rPr>
          <w:rFonts w:cs="Times New Roman"/>
        </w:rPr>
      </w:pPr>
      <w:r w:rsidRPr="00BA76B1">
        <w:rPr>
          <w:rFonts w:cs="Times New Roman"/>
        </w:rPr>
        <w:t xml:space="preserve">For a decision of the Board to apply generally or to a class of cases, it must, by necessary implication, involve the determination of legal questions. </w:t>
      </w:r>
    </w:p>
    <w:p w:rsidR="00E052E3" w:rsidRPr="00BA76B1" w:rsidRDefault="00E052E3" w:rsidP="00E052E3">
      <w:pPr>
        <w:pStyle w:val="ParaNoNdepar-AltN"/>
        <w:rPr>
          <w:rFonts w:cs="Times New Roman"/>
        </w:rPr>
      </w:pPr>
      <w:r w:rsidRPr="00BA76B1">
        <w:rPr>
          <w:rFonts w:cs="Times New Roman"/>
        </w:rPr>
        <w:t xml:space="preserve">Nowhere in the </w:t>
      </w:r>
      <w:r w:rsidRPr="00BA76B1">
        <w:rPr>
          <w:rFonts w:cs="Times New Roman"/>
          <w:i/>
        </w:rPr>
        <w:t xml:space="preserve">PSLRA </w:t>
      </w:r>
      <w:r w:rsidRPr="00BA76B1">
        <w:rPr>
          <w:rFonts w:cs="Times New Roman"/>
        </w:rPr>
        <w:t xml:space="preserve">is it “clearly demonstrated that the legislature intended to exclude the </w:t>
      </w:r>
      <w:r w:rsidRPr="00BA76B1">
        <w:rPr>
          <w:rFonts w:cs="Times New Roman"/>
          <w:i/>
        </w:rPr>
        <w:t xml:space="preserve">Charter </w:t>
      </w:r>
      <w:r w:rsidRPr="00BA76B1">
        <w:rPr>
          <w:rFonts w:cs="Times New Roman"/>
        </w:rPr>
        <w:t xml:space="preserve">from the [Board’s] jurisdiction” </w:t>
      </w:r>
      <w:r>
        <w:rPr>
          <w:rFonts w:cs="Times New Roman"/>
        </w:rPr>
        <w:t>(</w:t>
      </w:r>
      <w:r w:rsidRPr="00BA76B1">
        <w:rPr>
          <w:rFonts w:cs="Times New Roman"/>
          <w:i/>
        </w:rPr>
        <w:t>Conway</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81</w:t>
      </w:r>
      <w:r>
        <w:rPr>
          <w:rFonts w:cs="Times New Roman"/>
        </w:rPr>
        <w:t>)</w:t>
      </w:r>
      <w:r w:rsidRPr="00BA76B1">
        <w:rPr>
          <w:rFonts w:cs="Times New Roman"/>
        </w:rPr>
        <w:t>.</w:t>
      </w:r>
    </w:p>
    <w:p w:rsidR="00E052E3" w:rsidRPr="00BA76B1" w:rsidRDefault="00E052E3" w:rsidP="00E052E3">
      <w:pPr>
        <w:pStyle w:val="ParaNoNdepar-AltN"/>
        <w:rPr>
          <w:rFonts w:cs="Times New Roman"/>
        </w:rPr>
      </w:pPr>
      <w:r w:rsidRPr="00BA76B1">
        <w:rPr>
          <w:rFonts w:cs="Times New Roman"/>
        </w:rPr>
        <w:lastRenderedPageBreak/>
        <w:t xml:space="preserve">As explained below, the Board possessed both the authority and the duty to decide Ms. Bernard’s </w:t>
      </w:r>
      <w:r w:rsidRPr="00BA76B1">
        <w:rPr>
          <w:rFonts w:cs="Times New Roman"/>
          <w:i/>
        </w:rPr>
        <w:t xml:space="preserve">Charter </w:t>
      </w:r>
      <w:r w:rsidRPr="00BA76B1">
        <w:rPr>
          <w:rFonts w:cs="Times New Roman"/>
        </w:rPr>
        <w:t xml:space="preserve">arguments. </w:t>
      </w:r>
    </w:p>
    <w:p w:rsidR="00E052E3" w:rsidRPr="00BA76B1" w:rsidRDefault="00E052E3" w:rsidP="00E052E3">
      <w:pPr>
        <w:pStyle w:val="Title3LevelTitre3Niveau"/>
        <w:rPr>
          <w:rFonts w:cs="Times New Roman"/>
        </w:rPr>
      </w:pPr>
      <w:bookmarkStart w:id="20" w:name="_Toc378672409"/>
      <w:r w:rsidRPr="00BA76B1">
        <w:rPr>
          <w:rFonts w:cs="Times New Roman"/>
          <w:i/>
        </w:rPr>
        <w:t xml:space="preserve">PIPSC 1 </w:t>
      </w:r>
      <w:r>
        <w:rPr>
          <w:rFonts w:cs="Times New Roman"/>
        </w:rPr>
        <w:t>I</w:t>
      </w:r>
      <w:r w:rsidRPr="00BA76B1">
        <w:rPr>
          <w:rFonts w:cs="Times New Roman"/>
        </w:rPr>
        <w:t>s</w:t>
      </w:r>
      <w:r w:rsidRPr="00BA76B1">
        <w:rPr>
          <w:rFonts w:cs="Times New Roman"/>
          <w:i/>
        </w:rPr>
        <w:t xml:space="preserve"> </w:t>
      </w:r>
      <w:r>
        <w:rPr>
          <w:rFonts w:cs="Times New Roman"/>
        </w:rPr>
        <w:t>Part of the Same P</w:t>
      </w:r>
      <w:r w:rsidRPr="00BA76B1">
        <w:rPr>
          <w:rFonts w:cs="Times New Roman"/>
        </w:rPr>
        <w:t xml:space="preserve">roceeding as </w:t>
      </w:r>
      <w:r w:rsidRPr="00BA76B1">
        <w:rPr>
          <w:rFonts w:cs="Times New Roman"/>
          <w:i/>
        </w:rPr>
        <w:t xml:space="preserve">PIPSC 2 </w:t>
      </w:r>
      <w:r w:rsidRPr="00BA76B1">
        <w:rPr>
          <w:rFonts w:cs="Times New Roman"/>
        </w:rPr>
        <w:t xml:space="preserve">and </w:t>
      </w:r>
      <w:r w:rsidRPr="00BA76B1">
        <w:rPr>
          <w:rFonts w:cs="Times New Roman"/>
          <w:i/>
        </w:rPr>
        <w:t>PIPSC 3</w:t>
      </w:r>
      <w:bookmarkEnd w:id="20"/>
    </w:p>
    <w:p w:rsidR="00E052E3" w:rsidRPr="00BA76B1" w:rsidRDefault="00E052E3" w:rsidP="00E052E3">
      <w:pPr>
        <w:pStyle w:val="ParaNoNdepar-AltN"/>
        <w:rPr>
          <w:rFonts w:cs="Times New Roman"/>
        </w:rPr>
      </w:pPr>
      <w:r w:rsidRPr="00BA76B1">
        <w:rPr>
          <w:rFonts w:cs="Times New Roman"/>
        </w:rPr>
        <w:t>The government and the union submit that Ms. Bernard’s s</w:t>
      </w:r>
      <w:r>
        <w:rPr>
          <w:rFonts w:cs="Times New Roman"/>
        </w:rPr>
        <w:t>.</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arguments should not be heard because they pertain to the Board’s holding in </w:t>
      </w:r>
      <w:r w:rsidRPr="00BA76B1">
        <w:rPr>
          <w:rFonts w:cs="Times New Roman"/>
          <w:i/>
        </w:rPr>
        <w:t>PIPSC 1</w:t>
      </w:r>
      <w:r w:rsidRPr="00BA76B1">
        <w:rPr>
          <w:rFonts w:cs="Times New Roman"/>
        </w:rPr>
        <w:t>, a decision she did not challenge by way of judicial review and which</w:t>
      </w:r>
      <w:r>
        <w:rPr>
          <w:rFonts w:cs="Times New Roman"/>
        </w:rPr>
        <w:t xml:space="preserve"> </w:t>
      </w:r>
      <w:r w:rsidRPr="00BA76B1">
        <w:rPr>
          <w:rFonts w:cs="Times New Roman"/>
        </w:rPr>
        <w:t>—</w:t>
      </w:r>
      <w:r>
        <w:rPr>
          <w:rFonts w:cs="Times New Roman"/>
        </w:rPr>
        <w:t xml:space="preserve"> </w:t>
      </w:r>
      <w:r w:rsidRPr="00BA76B1">
        <w:rPr>
          <w:rFonts w:cs="Times New Roman"/>
        </w:rPr>
        <w:t>they maintain</w:t>
      </w:r>
      <w:r>
        <w:rPr>
          <w:rFonts w:cs="Times New Roman"/>
        </w:rPr>
        <w:t xml:space="preserve"> </w:t>
      </w:r>
      <w:r w:rsidRPr="00BA76B1">
        <w:rPr>
          <w:rFonts w:cs="Times New Roman"/>
        </w:rPr>
        <w:t>—</w:t>
      </w:r>
      <w:r>
        <w:rPr>
          <w:rFonts w:cs="Times New Roman"/>
        </w:rPr>
        <w:t xml:space="preserve"> </w:t>
      </w:r>
      <w:r w:rsidRPr="00BA76B1">
        <w:rPr>
          <w:rFonts w:cs="Times New Roman"/>
        </w:rPr>
        <w:t xml:space="preserve">was beyond the Board’s reconsideration hearing jurisdiction.  </w:t>
      </w:r>
    </w:p>
    <w:p w:rsidR="00E052E3" w:rsidRPr="00BA76B1" w:rsidRDefault="00E052E3" w:rsidP="00E052E3">
      <w:pPr>
        <w:pStyle w:val="ParaNoNdepar-AltN"/>
        <w:rPr>
          <w:rFonts w:cs="Times New Roman"/>
        </w:rPr>
      </w:pPr>
      <w:r w:rsidRPr="00BA76B1">
        <w:rPr>
          <w:rFonts w:cs="Times New Roman"/>
        </w:rPr>
        <w:t xml:space="preserve">Contrary to their submissions, the Board’s holding in </w:t>
      </w:r>
      <w:r w:rsidRPr="00BA76B1">
        <w:rPr>
          <w:rFonts w:cs="Times New Roman"/>
          <w:i/>
        </w:rPr>
        <w:t xml:space="preserve">PIPSC 1 </w:t>
      </w:r>
      <w:r w:rsidRPr="00BA76B1">
        <w:rPr>
          <w:rFonts w:cs="Times New Roman"/>
        </w:rPr>
        <w:t xml:space="preserve">is not immune from analysis. Although Ms. Bernard did not directly challenge </w:t>
      </w:r>
      <w:r w:rsidRPr="00BA76B1">
        <w:rPr>
          <w:rFonts w:cs="Times New Roman"/>
          <w:i/>
        </w:rPr>
        <w:t>PIPSC 1</w:t>
      </w:r>
      <w:r w:rsidRPr="00BA76B1">
        <w:rPr>
          <w:rFonts w:cs="Times New Roman"/>
        </w:rPr>
        <w:t xml:space="preserve">, that decision is part of the same proceeding as </w:t>
      </w:r>
      <w:r w:rsidRPr="00BA76B1">
        <w:rPr>
          <w:rFonts w:cs="Times New Roman"/>
          <w:i/>
        </w:rPr>
        <w:t>PIPSC 2</w:t>
      </w:r>
      <w:r w:rsidRPr="00BA76B1">
        <w:rPr>
          <w:rFonts w:cs="Times New Roman"/>
        </w:rPr>
        <w:t xml:space="preserve"> and </w:t>
      </w:r>
      <w:r w:rsidRPr="00BA76B1">
        <w:rPr>
          <w:rFonts w:cs="Times New Roman"/>
          <w:i/>
        </w:rPr>
        <w:t>PIPSC 3</w:t>
      </w:r>
      <w:r w:rsidRPr="00BA76B1">
        <w:rPr>
          <w:rFonts w:cs="Times New Roman"/>
        </w:rPr>
        <w:t xml:space="preserve">. The Board repeatedly characterized </w:t>
      </w:r>
      <w:r w:rsidRPr="00BA76B1">
        <w:rPr>
          <w:rFonts w:cs="Times New Roman"/>
          <w:i/>
        </w:rPr>
        <w:t>PIPSC</w:t>
      </w:r>
      <w:r w:rsidRPr="00BA76B1">
        <w:rPr>
          <w:rFonts w:cs="Times New Roman"/>
        </w:rPr>
        <w:t xml:space="preserve"> </w:t>
      </w:r>
      <w:r w:rsidRPr="00BA76B1">
        <w:rPr>
          <w:rFonts w:cs="Times New Roman"/>
          <w:i/>
        </w:rPr>
        <w:t xml:space="preserve">1 </w:t>
      </w:r>
      <w:r w:rsidRPr="00BA76B1">
        <w:rPr>
          <w:rFonts w:cs="Times New Roman"/>
        </w:rPr>
        <w:t>as an “interim decision” (</w:t>
      </w:r>
      <w:r w:rsidRPr="00BA76B1">
        <w:rPr>
          <w:rFonts w:cs="Times New Roman"/>
          <w:i/>
        </w:rPr>
        <w:t>PIPSC 1</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1; </w:t>
      </w:r>
      <w:r w:rsidRPr="00BA76B1">
        <w:rPr>
          <w:rFonts w:cs="Times New Roman"/>
          <w:i/>
        </w:rPr>
        <w:t>PIPSC 2</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2).</w:t>
      </w:r>
      <w:r w:rsidRPr="00BA76B1">
        <w:rPr>
          <w:rFonts w:cs="Times New Roman"/>
          <w:i/>
        </w:rPr>
        <w:t xml:space="preserve"> </w:t>
      </w:r>
      <w:r w:rsidRPr="00BA76B1">
        <w:rPr>
          <w:rFonts w:cs="Times New Roman"/>
        </w:rPr>
        <w:t xml:space="preserve">The Board’s holding in </w:t>
      </w:r>
      <w:r w:rsidRPr="00BA76B1">
        <w:rPr>
          <w:rFonts w:cs="Times New Roman"/>
          <w:i/>
        </w:rPr>
        <w:t>PIPSC 1</w:t>
      </w:r>
      <w:r>
        <w:rPr>
          <w:rFonts w:cs="Times New Roman"/>
          <w:i/>
        </w:rPr>
        <w:t xml:space="preserve"> </w:t>
      </w:r>
      <w:r w:rsidRPr="00BA76B1">
        <w:rPr>
          <w:rFonts w:cs="Times New Roman"/>
        </w:rPr>
        <w:t>—</w:t>
      </w:r>
      <w:r>
        <w:rPr>
          <w:rFonts w:cs="Times New Roman"/>
        </w:rPr>
        <w:t xml:space="preserve"> </w:t>
      </w:r>
      <w:r w:rsidRPr="00BA76B1">
        <w:rPr>
          <w:rFonts w:cs="Times New Roman"/>
        </w:rPr>
        <w:t>that the employer must disclose “some”</w:t>
      </w:r>
      <w:r w:rsidRPr="00BA76B1">
        <w:rPr>
          <w:rFonts w:cs="Times New Roman"/>
          <w:i/>
        </w:rPr>
        <w:t xml:space="preserve"> </w:t>
      </w:r>
      <w:r w:rsidRPr="00BA76B1">
        <w:rPr>
          <w:rFonts w:cs="Times New Roman"/>
        </w:rPr>
        <w:t>employee information to the bargaining agent</w:t>
      </w:r>
      <w:r>
        <w:rPr>
          <w:rFonts w:cs="Times New Roman"/>
        </w:rPr>
        <w:t xml:space="preserve"> </w:t>
      </w:r>
      <w:r w:rsidRPr="00BA76B1">
        <w:rPr>
          <w:rFonts w:cs="Times New Roman"/>
        </w:rPr>
        <w:t>—</w:t>
      </w:r>
      <w:r>
        <w:rPr>
          <w:rFonts w:cs="Times New Roman"/>
        </w:rPr>
        <w:t xml:space="preserve"> </w:t>
      </w:r>
      <w:r w:rsidRPr="00BA76B1">
        <w:rPr>
          <w:rFonts w:cs="Times New Roman"/>
        </w:rPr>
        <w:t xml:space="preserve">is by necessary implication imported into </w:t>
      </w:r>
      <w:r w:rsidRPr="00BA76B1">
        <w:rPr>
          <w:rFonts w:cs="Times New Roman"/>
          <w:i/>
        </w:rPr>
        <w:t>PIPSC 2</w:t>
      </w:r>
      <w:r w:rsidRPr="00BA76B1">
        <w:rPr>
          <w:rFonts w:cs="Times New Roman"/>
        </w:rPr>
        <w:t>,</w:t>
      </w:r>
      <w:r w:rsidRPr="00BA76B1">
        <w:rPr>
          <w:rFonts w:cs="Times New Roman"/>
          <w:i/>
        </w:rPr>
        <w:t xml:space="preserve"> </w:t>
      </w:r>
      <w:r w:rsidRPr="00BA76B1">
        <w:rPr>
          <w:rFonts w:cs="Times New Roman"/>
        </w:rPr>
        <w:t>which clarified the precise content of this duty to disclose.</w:t>
      </w:r>
      <w:r w:rsidRPr="00BA76B1">
        <w:rPr>
          <w:rFonts w:cs="Times New Roman"/>
          <w:i/>
        </w:rPr>
        <w:t xml:space="preserve"> </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Ms. Bernard’s decision to challenge </w:t>
      </w:r>
      <w:r w:rsidRPr="00BA76B1">
        <w:rPr>
          <w:rFonts w:cs="Times New Roman"/>
          <w:i/>
        </w:rPr>
        <w:t>PIPSC 2</w:t>
      </w:r>
      <w:r w:rsidRPr="00BA76B1">
        <w:rPr>
          <w:rFonts w:cs="Times New Roman"/>
        </w:rPr>
        <w:t xml:space="preserve"> by means of judicial review was not an attempt to circumvent proper procedural channels. On the contrary: given that she was not a party to </w:t>
      </w:r>
      <w:r w:rsidRPr="00BA76B1">
        <w:rPr>
          <w:rFonts w:cs="Times New Roman"/>
          <w:i/>
        </w:rPr>
        <w:t>PIPSC 1</w:t>
      </w:r>
      <w:r w:rsidRPr="00BA76B1">
        <w:rPr>
          <w:rFonts w:cs="Times New Roman"/>
        </w:rPr>
        <w:t xml:space="preserve"> and that she</w:t>
      </w:r>
      <w:r w:rsidRPr="00BA76B1">
        <w:rPr>
          <w:rFonts w:cs="Times New Roman"/>
          <w:i/>
        </w:rPr>
        <w:t xml:space="preserve"> </w:t>
      </w:r>
      <w:r w:rsidRPr="00BA76B1">
        <w:rPr>
          <w:rFonts w:cs="Times New Roman"/>
        </w:rPr>
        <w:t xml:space="preserve">only received notice, by email, of </w:t>
      </w:r>
      <w:r w:rsidRPr="00BA76B1">
        <w:rPr>
          <w:rFonts w:cs="Times New Roman"/>
          <w:i/>
        </w:rPr>
        <w:t>PIPSC 2</w:t>
      </w:r>
      <w:r>
        <w:rPr>
          <w:rFonts w:cs="Times New Roman"/>
          <w:i/>
        </w:rPr>
        <w:t xml:space="preserve"> </w:t>
      </w:r>
      <w:r w:rsidRPr="00BA76B1">
        <w:rPr>
          <w:rFonts w:cs="Times New Roman"/>
        </w:rPr>
        <w:t>—</w:t>
      </w:r>
      <w:r>
        <w:rPr>
          <w:rFonts w:cs="Times New Roman"/>
        </w:rPr>
        <w:t xml:space="preserve"> </w:t>
      </w:r>
      <w:r w:rsidRPr="00BA76B1">
        <w:rPr>
          <w:rFonts w:cs="Times New Roman"/>
        </w:rPr>
        <w:t>which included a hyperlink to the Board’s decision and informed her that the employer was now required to disclose employee home contact information to PIPSC</w:t>
      </w:r>
      <w:r>
        <w:rPr>
          <w:rFonts w:cs="Times New Roman"/>
        </w:rPr>
        <w:t xml:space="preserve"> </w:t>
      </w:r>
      <w:r w:rsidRPr="00BA76B1">
        <w:rPr>
          <w:rFonts w:cs="Times New Roman"/>
        </w:rPr>
        <w:t>—</w:t>
      </w:r>
      <w:r>
        <w:rPr>
          <w:rFonts w:cs="Times New Roman"/>
        </w:rPr>
        <w:t xml:space="preserve"> </w:t>
      </w:r>
      <w:r w:rsidRPr="00BA76B1">
        <w:rPr>
          <w:rFonts w:cs="Times New Roman"/>
        </w:rPr>
        <w:t xml:space="preserve">she pursued an eminently logical course of action. </w:t>
      </w:r>
    </w:p>
    <w:p w:rsidR="00E052E3" w:rsidRPr="00BA76B1" w:rsidRDefault="00E052E3" w:rsidP="00E052E3">
      <w:pPr>
        <w:pStyle w:val="ParaNoNdepar-AltN"/>
        <w:rPr>
          <w:rFonts w:cs="Times New Roman"/>
        </w:rPr>
      </w:pPr>
      <w:r w:rsidRPr="00BA76B1">
        <w:rPr>
          <w:rFonts w:cs="Times New Roman"/>
        </w:rPr>
        <w:lastRenderedPageBreak/>
        <w:t xml:space="preserve">The Federal Court of Appeal itself recognized the procedural conundrum in which Ms. Bernard found herself. In </w:t>
      </w:r>
      <w:r w:rsidRPr="00BA76B1">
        <w:rPr>
          <w:rFonts w:cs="Times New Roman"/>
          <w:i/>
        </w:rPr>
        <w:t>Bernard I</w:t>
      </w:r>
      <w:r>
        <w:rPr>
          <w:rFonts w:cs="Times New Roman"/>
        </w:rPr>
        <w:t>, the c</w:t>
      </w:r>
      <w:r w:rsidRPr="00BA76B1">
        <w:rPr>
          <w:rFonts w:cs="Times New Roman"/>
        </w:rPr>
        <w:t xml:space="preserve">ourt pointed out that, with respect to </w:t>
      </w:r>
      <w:r w:rsidRPr="00BA76B1">
        <w:rPr>
          <w:rFonts w:cs="Times New Roman"/>
          <w:i/>
        </w:rPr>
        <w:t>PIPSC 1</w:t>
      </w:r>
      <w:r w:rsidRPr="00BA76B1">
        <w:rPr>
          <w:rFonts w:cs="Times New Roman"/>
        </w:rPr>
        <w:t>, “[n</w:t>
      </w:r>
      <w:r>
        <w:rPr>
          <w:rFonts w:cs="Times New Roman"/>
        </w:rPr>
        <w:t>]</w:t>
      </w:r>
      <w:r w:rsidRPr="00BA76B1">
        <w:rPr>
          <w:rFonts w:cs="Times New Roman"/>
        </w:rPr>
        <w:t>one of the Rand formula employees were given notice of the application, nor given a chance to intervene” (</w:t>
      </w:r>
      <w:proofErr w:type="spellStart"/>
      <w:r w:rsidRPr="00BA76B1">
        <w:rPr>
          <w:rFonts w:cs="Times New Roman"/>
        </w:rPr>
        <w:t>para</w:t>
      </w:r>
      <w:proofErr w:type="spellEnd"/>
      <w:r>
        <w:rPr>
          <w:rFonts w:cs="Times New Roman"/>
        </w:rPr>
        <w:t>.</w:t>
      </w:r>
      <w:r w:rsidRPr="00BA76B1">
        <w:rPr>
          <w:rFonts w:cs="Times New Roman"/>
        </w:rPr>
        <w:t xml:space="preserve"> 9). It also acknowledged that Ms. Bernard did not challenge </w:t>
      </w:r>
      <w:r w:rsidRPr="00BA76B1">
        <w:rPr>
          <w:rFonts w:cs="Times New Roman"/>
          <w:i/>
        </w:rPr>
        <w:t xml:space="preserve">PIPSC 1 </w:t>
      </w:r>
      <w:r w:rsidRPr="00BA76B1">
        <w:rPr>
          <w:rFonts w:cs="Times New Roman"/>
        </w:rPr>
        <w:t xml:space="preserve">by way of judicial review “because she was not aware </w:t>
      </w:r>
      <w:r>
        <w:rPr>
          <w:rFonts w:cs="Times New Roman"/>
        </w:rPr>
        <w:t>of it at the material time” (</w:t>
      </w:r>
      <w:proofErr w:type="spellStart"/>
      <w:r w:rsidRPr="00BA76B1">
        <w:rPr>
          <w:rFonts w:cs="Times New Roman"/>
        </w:rPr>
        <w:t>para</w:t>
      </w:r>
      <w:proofErr w:type="spellEnd"/>
      <w:r>
        <w:rPr>
          <w:rFonts w:cs="Times New Roman"/>
        </w:rPr>
        <w:t>.</w:t>
      </w:r>
      <w:r w:rsidRPr="00BA76B1">
        <w:rPr>
          <w:rFonts w:cs="Times New Roman"/>
        </w:rPr>
        <w:t xml:space="preserve"> 20).  </w:t>
      </w:r>
    </w:p>
    <w:p w:rsidR="00E052E3" w:rsidRPr="00BA76B1" w:rsidRDefault="00E052E3" w:rsidP="00E052E3">
      <w:pPr>
        <w:pStyle w:val="ParaNoNdepar-AltN"/>
        <w:rPr>
          <w:rFonts w:cs="Times New Roman"/>
        </w:rPr>
      </w:pPr>
      <w:r>
        <w:rPr>
          <w:rFonts w:cs="Times New Roman"/>
        </w:rPr>
        <w:t>Ms. Bernard raised her s.</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arguments three times during the course of these proceedings. She is still waiting for an answer. Contrary to the argument of the respondents, this Court should not withhold one simply for the reason</w:t>
      </w:r>
      <w:r>
        <w:rPr>
          <w:rFonts w:cs="Times New Roman"/>
        </w:rPr>
        <w:t xml:space="preserve"> </w:t>
      </w:r>
      <w:r w:rsidRPr="00BA76B1">
        <w:rPr>
          <w:rFonts w:cs="Times New Roman"/>
        </w:rPr>
        <w:t>—</w:t>
      </w:r>
      <w:r>
        <w:rPr>
          <w:rFonts w:cs="Times New Roman"/>
        </w:rPr>
        <w:t xml:space="preserve"> </w:t>
      </w:r>
      <w:r w:rsidRPr="00BA76B1">
        <w:rPr>
          <w:rFonts w:cs="Times New Roman"/>
        </w:rPr>
        <w:t>an erroneous one, in my view</w:t>
      </w:r>
      <w:r>
        <w:rPr>
          <w:rFonts w:cs="Times New Roman"/>
        </w:rPr>
        <w:t xml:space="preserve"> </w:t>
      </w:r>
      <w:r w:rsidRPr="00BA76B1">
        <w:rPr>
          <w:rFonts w:cs="Times New Roman"/>
        </w:rPr>
        <w:t>—</w:t>
      </w:r>
      <w:r>
        <w:rPr>
          <w:rFonts w:cs="Times New Roman"/>
        </w:rPr>
        <w:t xml:space="preserve"> </w:t>
      </w:r>
      <w:r w:rsidRPr="00BA76B1">
        <w:rPr>
          <w:rFonts w:cs="Times New Roman"/>
        </w:rPr>
        <w:t xml:space="preserve">that she should have challenged </w:t>
      </w:r>
      <w:r w:rsidRPr="00BA76B1">
        <w:rPr>
          <w:rFonts w:cs="Times New Roman"/>
          <w:i/>
        </w:rPr>
        <w:t>PIPSC 1</w:t>
      </w:r>
      <w:r w:rsidRPr="00BA76B1">
        <w:rPr>
          <w:rFonts w:cs="Times New Roman"/>
        </w:rPr>
        <w:t xml:space="preserve">, and not </w:t>
      </w:r>
      <w:r w:rsidRPr="00BA76B1">
        <w:rPr>
          <w:rFonts w:cs="Times New Roman"/>
          <w:i/>
        </w:rPr>
        <w:t>PIPSC 2</w:t>
      </w:r>
      <w:r w:rsidRPr="00BA76B1">
        <w:rPr>
          <w:rFonts w:cs="Times New Roman"/>
        </w:rPr>
        <w:t>.</w:t>
      </w:r>
    </w:p>
    <w:p w:rsidR="00E052E3" w:rsidRPr="00BA76B1" w:rsidRDefault="00E052E3" w:rsidP="00E052E3">
      <w:pPr>
        <w:pStyle w:val="ParaNoNdepar-AltN"/>
        <w:rPr>
          <w:rFonts w:cs="Times New Roman"/>
        </w:rPr>
      </w:pPr>
      <w:r w:rsidRPr="00BA76B1">
        <w:rPr>
          <w:rFonts w:cs="Times New Roman"/>
        </w:rPr>
        <w:t>In any event, at its core, Ms. Bernard’s s</w:t>
      </w:r>
      <w:r>
        <w:rPr>
          <w:rFonts w:cs="Times New Roman"/>
        </w:rPr>
        <w:t>.</w:t>
      </w:r>
      <w:r w:rsidRPr="00BA76B1">
        <w:rPr>
          <w:rFonts w:cs="Times New Roman"/>
        </w:rPr>
        <w:t xml:space="preserve"> 2(</w:t>
      </w:r>
      <w:r w:rsidRPr="00777941">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challenge strikes not at the general </w:t>
      </w:r>
      <w:r w:rsidRPr="00BA76B1">
        <w:rPr>
          <w:rFonts w:cs="Times New Roman"/>
          <w:i/>
        </w:rPr>
        <w:t xml:space="preserve">PIPSC 1 </w:t>
      </w:r>
      <w:r w:rsidRPr="00BA76B1">
        <w:rPr>
          <w:rFonts w:cs="Times New Roman"/>
        </w:rPr>
        <w:t xml:space="preserve">holding that the employer must provide “some” employee contact information to the bargaining agent, but rather at the </w:t>
      </w:r>
      <w:r w:rsidRPr="00BA76B1">
        <w:rPr>
          <w:rFonts w:cs="Times New Roman"/>
          <w:i/>
        </w:rPr>
        <w:t>PIPSC</w:t>
      </w:r>
      <w:r>
        <w:rPr>
          <w:rFonts w:cs="Times New Roman"/>
          <w:i/>
        </w:rPr>
        <w:t> </w:t>
      </w:r>
      <w:r w:rsidRPr="00BA76B1">
        <w:rPr>
          <w:rFonts w:cs="Times New Roman"/>
          <w:i/>
        </w:rPr>
        <w:t>2</w:t>
      </w:r>
      <w:r w:rsidRPr="00BA76B1">
        <w:rPr>
          <w:rFonts w:cs="Times New Roman"/>
        </w:rPr>
        <w:t xml:space="preserve"> particularization that the employer must disclose employees’ home </w:t>
      </w:r>
      <w:r>
        <w:rPr>
          <w:rFonts w:cs="Times New Roman"/>
        </w:rPr>
        <w:t xml:space="preserve">addresses </w:t>
      </w:r>
      <w:r w:rsidRPr="00BA76B1">
        <w:rPr>
          <w:rFonts w:cs="Times New Roman"/>
        </w:rPr>
        <w:t>and home telephone number</w:t>
      </w:r>
      <w:r>
        <w:rPr>
          <w:rFonts w:cs="Times New Roman"/>
        </w:rPr>
        <w:t>s</w:t>
      </w:r>
      <w:r w:rsidRPr="00BA76B1">
        <w:rPr>
          <w:rFonts w:cs="Times New Roman"/>
        </w:rPr>
        <w:t xml:space="preserve"> to the bargaining agent. She conceded that “PIPSC is entitled to some contact information, namely, work addresses and work telephone numbers” (</w:t>
      </w:r>
      <w:r w:rsidRPr="00BA76B1">
        <w:rPr>
          <w:rFonts w:cs="Times New Roman"/>
          <w:i/>
        </w:rPr>
        <w:t>PIPSC 3</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130). And, in her submissions during the reconsideration hearing, she requested that the Board change its order of July</w:t>
      </w:r>
      <w:r>
        <w:rPr>
          <w:rFonts w:cs="Times New Roman"/>
        </w:rPr>
        <w:t xml:space="preserve"> 18,</w:t>
      </w:r>
      <w:r w:rsidRPr="00BA76B1">
        <w:rPr>
          <w:rFonts w:cs="Times New Roman"/>
        </w:rPr>
        <w:t xml:space="preserve"> 2008</w:t>
      </w:r>
      <w:r>
        <w:rPr>
          <w:rFonts w:cs="Times New Roman"/>
        </w:rPr>
        <w:t xml:space="preserve"> </w:t>
      </w:r>
      <w:r w:rsidRPr="00BA76B1">
        <w:rPr>
          <w:rFonts w:cs="Times New Roman"/>
        </w:rPr>
        <w:t>—</w:t>
      </w:r>
      <w:r>
        <w:rPr>
          <w:rFonts w:cs="Times New Roman"/>
        </w:rPr>
        <w:t xml:space="preserve"> </w:t>
      </w:r>
      <w:r w:rsidRPr="00BA76B1">
        <w:rPr>
          <w:rFonts w:cs="Times New Roman"/>
        </w:rPr>
        <w:t xml:space="preserve">that is, </w:t>
      </w:r>
      <w:r w:rsidRPr="00BA76B1">
        <w:rPr>
          <w:rFonts w:cs="Times New Roman"/>
          <w:i/>
          <w:u w:val="single"/>
        </w:rPr>
        <w:t>PIPSC 2</w:t>
      </w:r>
      <w:r w:rsidRPr="003700EC">
        <w:rPr>
          <w:rFonts w:cs="Times New Roman"/>
          <w:i/>
        </w:rPr>
        <w:t xml:space="preserve"> </w:t>
      </w:r>
      <w:r w:rsidRPr="00BA76B1">
        <w:rPr>
          <w:rFonts w:cs="Times New Roman"/>
          <w:i/>
        </w:rPr>
        <w:t>—</w:t>
      </w:r>
      <w:r>
        <w:rPr>
          <w:rFonts w:cs="Times New Roman"/>
          <w:i/>
        </w:rPr>
        <w:t xml:space="preserve"> </w:t>
      </w:r>
      <w:r>
        <w:rPr>
          <w:rFonts w:cs="Times New Roman"/>
        </w:rPr>
        <w:t>so that i</w:t>
      </w:r>
      <w:r w:rsidRPr="00BA76B1">
        <w:rPr>
          <w:rFonts w:cs="Times New Roman"/>
        </w:rPr>
        <w:t xml:space="preserve">nstead of home address and </w:t>
      </w:r>
      <w:r>
        <w:rPr>
          <w:rFonts w:cs="Times New Roman"/>
        </w:rPr>
        <w:t>tele</w:t>
      </w:r>
      <w:r w:rsidRPr="00BA76B1">
        <w:rPr>
          <w:rFonts w:cs="Times New Roman"/>
        </w:rPr>
        <w:t xml:space="preserve">phone number, </w:t>
      </w:r>
      <w:r>
        <w:rPr>
          <w:rFonts w:cs="Times New Roman"/>
        </w:rPr>
        <w:t>“</w:t>
      </w:r>
      <w:r w:rsidRPr="00BA76B1">
        <w:rPr>
          <w:rFonts w:cs="Times New Roman"/>
        </w:rPr>
        <w:t xml:space="preserve">only work address and </w:t>
      </w:r>
      <w:r>
        <w:rPr>
          <w:rFonts w:cs="Times New Roman"/>
        </w:rPr>
        <w:t>tele</w:t>
      </w:r>
      <w:r w:rsidRPr="00BA76B1">
        <w:rPr>
          <w:rFonts w:cs="Times New Roman"/>
        </w:rPr>
        <w:t>phone number</w:t>
      </w:r>
      <w:r>
        <w:rPr>
          <w:rFonts w:cs="Times New Roman"/>
        </w:rPr>
        <w:t>s</w:t>
      </w:r>
      <w:r w:rsidRPr="00BA76B1">
        <w:rPr>
          <w:rFonts w:cs="Times New Roman"/>
        </w:rPr>
        <w:t xml:space="preserve"> should be provided”</w:t>
      </w:r>
      <w:r>
        <w:rPr>
          <w:rFonts w:cs="Times New Roman"/>
        </w:rPr>
        <w:t xml:space="preserve"> (</w:t>
      </w:r>
      <w:r w:rsidRPr="00E03118">
        <w:rPr>
          <w:rFonts w:cs="Times New Roman"/>
          <w:i/>
        </w:rPr>
        <w:t>PIPSC 3</w:t>
      </w:r>
      <w:r>
        <w:rPr>
          <w:rFonts w:cs="Times New Roman"/>
        </w:rPr>
        <w:t xml:space="preserve">, at </w:t>
      </w:r>
      <w:proofErr w:type="spellStart"/>
      <w:r>
        <w:rPr>
          <w:rFonts w:cs="Times New Roman"/>
        </w:rPr>
        <w:t>para</w:t>
      </w:r>
      <w:proofErr w:type="spellEnd"/>
      <w:r>
        <w:rPr>
          <w:rFonts w:cs="Times New Roman"/>
        </w:rPr>
        <w:t>. 141)</w:t>
      </w:r>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lastRenderedPageBreak/>
        <w:t xml:space="preserve">The government’s contention in oral argument that Ms. Bernard should have initiated a separate action in which to invoke her </w:t>
      </w:r>
      <w:r w:rsidRPr="00BA76B1">
        <w:rPr>
          <w:rFonts w:cs="Times New Roman"/>
          <w:i/>
        </w:rPr>
        <w:t xml:space="preserve">Charter </w:t>
      </w:r>
      <w:r w:rsidRPr="00BA76B1">
        <w:rPr>
          <w:rFonts w:cs="Times New Roman"/>
        </w:rPr>
        <w:t xml:space="preserve">claim is inconsistent with this Court’s recognition that claimants are entitled to “assert their </w:t>
      </w:r>
      <w:r w:rsidRPr="00BA76B1">
        <w:rPr>
          <w:rFonts w:cs="Times New Roman"/>
          <w:i/>
        </w:rPr>
        <w:t xml:space="preserve">Charter </w:t>
      </w:r>
      <w:r w:rsidRPr="00BA76B1">
        <w:rPr>
          <w:rFonts w:cs="Times New Roman"/>
        </w:rPr>
        <w:t>rights in the most accessible forum available” (</w:t>
      </w:r>
      <w:r w:rsidRPr="00BA76B1">
        <w:rPr>
          <w:rFonts w:cs="Times New Roman"/>
          <w:i/>
        </w:rPr>
        <w:t>Conway</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79). </w:t>
      </w:r>
    </w:p>
    <w:p w:rsidR="00E052E3" w:rsidRPr="00BA76B1" w:rsidRDefault="00E052E3" w:rsidP="00E052E3">
      <w:pPr>
        <w:pStyle w:val="Title3LevelTitre3Niveau"/>
        <w:rPr>
          <w:rFonts w:cs="Times New Roman"/>
        </w:rPr>
      </w:pPr>
      <w:bookmarkStart w:id="21" w:name="_Toc378672410"/>
      <w:r w:rsidRPr="00BA76B1">
        <w:rPr>
          <w:rFonts w:cs="Times New Roman"/>
          <w:i/>
        </w:rPr>
        <w:t xml:space="preserve">Bernard I </w:t>
      </w:r>
      <w:r>
        <w:rPr>
          <w:rFonts w:cs="Times New Roman"/>
        </w:rPr>
        <w:t>Did Not Limit the Board’s J</w:t>
      </w:r>
      <w:r w:rsidRPr="00BA76B1">
        <w:rPr>
          <w:rFonts w:cs="Times New Roman"/>
        </w:rPr>
        <w:t>urisdiction</w:t>
      </w:r>
      <w:bookmarkEnd w:id="21"/>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In my respectful opinion, the Board in </w:t>
      </w:r>
      <w:r w:rsidRPr="00BA76B1">
        <w:rPr>
          <w:rFonts w:cs="Times New Roman"/>
          <w:i/>
        </w:rPr>
        <w:t>PIPSC 3</w:t>
      </w:r>
      <w:r w:rsidRPr="00BA76B1">
        <w:rPr>
          <w:rFonts w:cs="Times New Roman"/>
        </w:rPr>
        <w:t xml:space="preserve"> and the Federal Court of Appeal in </w:t>
      </w:r>
      <w:r w:rsidRPr="00BA76B1">
        <w:rPr>
          <w:rFonts w:cs="Times New Roman"/>
          <w:i/>
        </w:rPr>
        <w:t xml:space="preserve">Bernard II </w:t>
      </w:r>
      <w:r w:rsidRPr="00BA76B1">
        <w:rPr>
          <w:rFonts w:cs="Times New Roman"/>
        </w:rPr>
        <w:t>erred in holding that</w:t>
      </w:r>
      <w:r>
        <w:rPr>
          <w:rFonts w:cs="Times New Roman"/>
        </w:rPr>
        <w:t xml:space="preserve"> the c</w:t>
      </w:r>
      <w:r w:rsidRPr="00BA76B1">
        <w:rPr>
          <w:rFonts w:cs="Times New Roman"/>
        </w:rPr>
        <w:t xml:space="preserve">ourt in </w:t>
      </w:r>
      <w:r w:rsidRPr="00BA76B1">
        <w:rPr>
          <w:rFonts w:cs="Times New Roman"/>
          <w:i/>
        </w:rPr>
        <w:t>Bernard I</w:t>
      </w:r>
      <w:r w:rsidRPr="00BA76B1">
        <w:rPr>
          <w:rFonts w:cs="Times New Roman"/>
        </w:rPr>
        <w:t xml:space="preserve"> limited the Board’s jurisdiction on reconsideration to the question of “how much home contact information the CRA may disclose to PIPSC without infringing Ms. Bernard’s rights under the </w:t>
      </w:r>
      <w:r w:rsidRPr="00BA76B1">
        <w:rPr>
          <w:rFonts w:cs="Times New Roman"/>
          <w:i/>
        </w:rPr>
        <w:t>Privacy Act</w:t>
      </w:r>
      <w:r w:rsidRPr="00BA76B1">
        <w:rPr>
          <w:rFonts w:cs="Times New Roman"/>
        </w:rPr>
        <w:t>” and precluded consideration of Ms. Bernard’s s</w:t>
      </w:r>
      <w:r>
        <w:rPr>
          <w:rFonts w:cs="Times New Roman"/>
        </w:rPr>
        <w:t>.</w:t>
      </w:r>
      <w:r w:rsidRPr="00BA76B1">
        <w:rPr>
          <w:rFonts w:cs="Times New Roman"/>
        </w:rPr>
        <w:t xml:space="preserve"> 2(</w:t>
      </w:r>
      <w:r w:rsidRPr="001B637D">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arguments (</w:t>
      </w:r>
      <w:r w:rsidRPr="00BA76B1">
        <w:rPr>
          <w:rFonts w:cs="Times New Roman"/>
          <w:i/>
        </w:rPr>
        <w:t>Bernard II</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31; see also</w:t>
      </w:r>
      <w:r w:rsidRPr="00BA76B1">
        <w:rPr>
          <w:rFonts w:cs="Times New Roman"/>
          <w:i/>
        </w:rPr>
        <w:t xml:space="preserve"> PIPSC 3</w:t>
      </w:r>
      <w:r w:rsidRPr="00BC2488">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paras</w:t>
      </w:r>
      <w:proofErr w:type="spellEnd"/>
      <w:r>
        <w:rPr>
          <w:rFonts w:cs="Times New Roman"/>
        </w:rPr>
        <w:t>.</w:t>
      </w:r>
      <w:r w:rsidRPr="00BA76B1">
        <w:rPr>
          <w:rFonts w:cs="Times New Roman"/>
        </w:rPr>
        <w:t xml:space="preserve"> 9</w:t>
      </w:r>
      <w:r>
        <w:rPr>
          <w:rFonts w:cs="Times New Roman"/>
        </w:rPr>
        <w:t xml:space="preserve"> and</w:t>
      </w:r>
      <w:r w:rsidRPr="00BA76B1">
        <w:rPr>
          <w:rFonts w:cs="Times New Roman"/>
        </w:rPr>
        <w:t xml:space="preserve"> 158). </w:t>
      </w:r>
    </w:p>
    <w:p w:rsidR="00E052E3" w:rsidRPr="00BA76B1" w:rsidRDefault="00E052E3" w:rsidP="00E052E3">
      <w:pPr>
        <w:pStyle w:val="ParaNoNdepar-AltN"/>
        <w:rPr>
          <w:rFonts w:cs="Times New Roman"/>
        </w:rPr>
      </w:pPr>
      <w:r w:rsidRPr="00BA76B1">
        <w:rPr>
          <w:rFonts w:cs="Times New Roman"/>
        </w:rPr>
        <w:t xml:space="preserve">In </w:t>
      </w:r>
      <w:r w:rsidRPr="00BA76B1">
        <w:rPr>
          <w:rFonts w:cs="Times New Roman"/>
          <w:i/>
        </w:rPr>
        <w:t>Bernard I</w:t>
      </w:r>
      <w:r>
        <w:rPr>
          <w:rFonts w:cs="Times New Roman"/>
        </w:rPr>
        <w:t>,</w:t>
      </w:r>
      <w:r w:rsidRPr="00BA76B1">
        <w:rPr>
          <w:rFonts w:cs="Times New Roman"/>
        </w:rPr>
        <w:t xml:space="preserve"> the Federal Court of Appeal merely stated that “it would be </w:t>
      </w:r>
      <w:r w:rsidRPr="00BA76B1">
        <w:rPr>
          <w:rFonts w:cs="Times New Roman"/>
          <w:u w:val="single"/>
        </w:rPr>
        <w:t>premature</w:t>
      </w:r>
      <w:r w:rsidRPr="00BA76B1">
        <w:rPr>
          <w:rFonts w:cs="Times New Roman"/>
        </w:rPr>
        <w:t xml:space="preserve"> to deal with the issues of the violation of Ms. Bernard’s right</w:t>
      </w:r>
      <w:r>
        <w:rPr>
          <w:rFonts w:cs="Times New Roman"/>
        </w:rPr>
        <w:t xml:space="preserve"> of freedom of association” (</w:t>
      </w:r>
      <w:proofErr w:type="spellStart"/>
      <w:r w:rsidRPr="00BA76B1">
        <w:rPr>
          <w:rFonts w:cs="Times New Roman"/>
        </w:rPr>
        <w:t>para</w:t>
      </w:r>
      <w:proofErr w:type="spellEnd"/>
      <w:r>
        <w:rPr>
          <w:rFonts w:cs="Times New Roman"/>
        </w:rPr>
        <w:t>.</w:t>
      </w:r>
      <w:r w:rsidRPr="00BA76B1">
        <w:rPr>
          <w:rFonts w:cs="Times New Roman"/>
        </w:rPr>
        <w:t xml:space="preserve"> 45 </w:t>
      </w:r>
      <w:r>
        <w:rPr>
          <w:rFonts w:cs="Times New Roman"/>
        </w:rPr>
        <w:t>(</w:t>
      </w:r>
      <w:r w:rsidRPr="00BA76B1">
        <w:rPr>
          <w:rFonts w:cs="Times New Roman"/>
        </w:rPr>
        <w:t>emphasis added</w:t>
      </w:r>
      <w:r>
        <w:rPr>
          <w:rFonts w:cs="Times New Roman"/>
        </w:rPr>
        <w:t>)</w:t>
      </w:r>
      <w:r w:rsidRPr="00BA76B1">
        <w:rPr>
          <w:rFonts w:cs="Times New Roman"/>
        </w:rPr>
        <w:t>). Read in context, it is apparent that</w:t>
      </w:r>
      <w:r>
        <w:rPr>
          <w:rFonts w:cs="Times New Roman"/>
        </w:rPr>
        <w:t xml:space="preserve"> the c</w:t>
      </w:r>
      <w:r w:rsidRPr="00BA76B1">
        <w:rPr>
          <w:rFonts w:cs="Times New Roman"/>
        </w:rPr>
        <w:t xml:space="preserve">ourt was saying that it would be premature for the </w:t>
      </w:r>
      <w:r w:rsidRPr="001B637D">
        <w:rPr>
          <w:rFonts w:cs="Times New Roman"/>
          <w:i/>
        </w:rPr>
        <w:t>court</w:t>
      </w:r>
      <w:r>
        <w:rPr>
          <w:rFonts w:cs="Times New Roman"/>
        </w:rPr>
        <w:t xml:space="preserve"> to consider this</w:t>
      </w:r>
      <w:r w:rsidRPr="00BA76B1">
        <w:rPr>
          <w:rFonts w:cs="Times New Roman"/>
        </w:rPr>
        <w:t xml:space="preserve"> </w:t>
      </w:r>
      <w:r w:rsidRPr="00BA76B1">
        <w:rPr>
          <w:rFonts w:cs="Times New Roman"/>
          <w:i/>
        </w:rPr>
        <w:t xml:space="preserve">Charter </w:t>
      </w:r>
      <w:r w:rsidRPr="00BA76B1">
        <w:rPr>
          <w:rFonts w:cs="Times New Roman"/>
        </w:rPr>
        <w:t>question because it was remitting the matter to the Board for</w:t>
      </w:r>
      <w:r>
        <w:rPr>
          <w:rFonts w:cs="Times New Roman"/>
        </w:rPr>
        <w:t xml:space="preserve"> redetermination. That is, the c</w:t>
      </w:r>
      <w:r w:rsidRPr="00BA76B1">
        <w:rPr>
          <w:rFonts w:cs="Times New Roman"/>
        </w:rPr>
        <w:t xml:space="preserve">ourt recognized that the </w:t>
      </w:r>
      <w:r w:rsidRPr="00BA76B1">
        <w:rPr>
          <w:rFonts w:cs="Times New Roman"/>
          <w:i/>
        </w:rPr>
        <w:t xml:space="preserve">Charter </w:t>
      </w:r>
      <w:r w:rsidRPr="00BA76B1">
        <w:rPr>
          <w:rFonts w:cs="Times New Roman"/>
        </w:rPr>
        <w:t>question could only properly be considered once the Board had conclusively determined what</w:t>
      </w:r>
      <w:r w:rsidRPr="00BA76B1">
        <w:rPr>
          <w:rFonts w:cs="Times New Roman"/>
          <w:i/>
        </w:rPr>
        <w:t xml:space="preserve"> </w:t>
      </w:r>
      <w:r w:rsidRPr="00BA76B1">
        <w:rPr>
          <w:rFonts w:cs="Times New Roman"/>
        </w:rPr>
        <w:t xml:space="preserve">information the employer had to disclose. </w:t>
      </w:r>
    </w:p>
    <w:p w:rsidR="00E052E3" w:rsidRPr="00BA76B1" w:rsidRDefault="00E052E3" w:rsidP="00E052E3">
      <w:pPr>
        <w:pStyle w:val="ParaNoNdepar-AltN"/>
        <w:rPr>
          <w:rFonts w:cs="Times New Roman"/>
        </w:rPr>
      </w:pPr>
      <w:r w:rsidRPr="00BA76B1">
        <w:rPr>
          <w:rFonts w:cs="Times New Roman"/>
        </w:rPr>
        <w:t>And, the only</w:t>
      </w:r>
      <w:r>
        <w:rPr>
          <w:rFonts w:cs="Times New Roman"/>
        </w:rPr>
        <w:t xml:space="preserve"> logical interpretation of the Federal Court of Appeal</w:t>
      </w:r>
      <w:r w:rsidRPr="00BA76B1">
        <w:rPr>
          <w:rFonts w:cs="Times New Roman"/>
        </w:rPr>
        <w:t xml:space="preserve">’s use of the term “premature” in </w:t>
      </w:r>
      <w:r w:rsidRPr="00BA76B1">
        <w:rPr>
          <w:rFonts w:cs="Times New Roman"/>
          <w:i/>
        </w:rPr>
        <w:t>Bernard I</w:t>
      </w:r>
      <w:r w:rsidRPr="00BA76B1">
        <w:rPr>
          <w:rFonts w:cs="Times New Roman"/>
        </w:rPr>
        <w:t xml:space="preserve"> is that it expected the</w:t>
      </w:r>
      <w:r>
        <w:rPr>
          <w:rFonts w:cs="Times New Roman"/>
        </w:rPr>
        <w:t xml:space="preserve"> s. 2(</w:t>
      </w:r>
      <w:r w:rsidRPr="00E063F5">
        <w:rPr>
          <w:rFonts w:cs="Times New Roman"/>
          <w:i/>
        </w:rPr>
        <w:t>d</w:t>
      </w:r>
      <w:r>
        <w:rPr>
          <w:rFonts w:cs="Times New Roman"/>
        </w:rPr>
        <w:t>)</w:t>
      </w:r>
      <w:r w:rsidRPr="00BA76B1">
        <w:rPr>
          <w:rFonts w:cs="Times New Roman"/>
        </w:rPr>
        <w:t xml:space="preserve"> </w:t>
      </w:r>
      <w:r w:rsidRPr="00BA76B1">
        <w:rPr>
          <w:rFonts w:cs="Times New Roman"/>
          <w:i/>
        </w:rPr>
        <w:t xml:space="preserve">Charter </w:t>
      </w:r>
      <w:r w:rsidRPr="00BA76B1">
        <w:rPr>
          <w:rFonts w:cs="Times New Roman"/>
        </w:rPr>
        <w:t>issue to be addressed at some stage of the proceedings. Given that th</w:t>
      </w:r>
      <w:r>
        <w:rPr>
          <w:rFonts w:cs="Times New Roman"/>
        </w:rPr>
        <w:t>is</w:t>
      </w:r>
      <w:r w:rsidRPr="00BA76B1">
        <w:rPr>
          <w:rFonts w:cs="Times New Roman"/>
        </w:rPr>
        <w:t xml:space="preserve"> </w:t>
      </w:r>
      <w:r w:rsidRPr="00BA76B1">
        <w:rPr>
          <w:rFonts w:cs="Times New Roman"/>
          <w:i/>
        </w:rPr>
        <w:t xml:space="preserve">Charter </w:t>
      </w:r>
      <w:r w:rsidRPr="00BA76B1">
        <w:rPr>
          <w:rFonts w:cs="Times New Roman"/>
        </w:rPr>
        <w:t xml:space="preserve">question was necessarily bound up in the determination of what information had to be disclosed, </w:t>
      </w:r>
      <w:r w:rsidRPr="00BA76B1">
        <w:rPr>
          <w:rFonts w:cs="Times New Roman"/>
        </w:rPr>
        <w:lastRenderedPageBreak/>
        <w:t xml:space="preserve">the Board’s redetermination hearing was the proper forum for consideration of the </w:t>
      </w:r>
      <w:r w:rsidRPr="00BA76B1">
        <w:rPr>
          <w:rFonts w:cs="Times New Roman"/>
          <w:i/>
        </w:rPr>
        <w:t xml:space="preserve">Charter </w:t>
      </w:r>
      <w:r w:rsidRPr="00BA76B1">
        <w:rPr>
          <w:rFonts w:cs="Times New Roman"/>
        </w:rPr>
        <w:t xml:space="preserve">question. </w:t>
      </w:r>
    </w:p>
    <w:p w:rsidR="00E052E3" w:rsidRPr="00BA76B1" w:rsidRDefault="00E052E3" w:rsidP="00E052E3">
      <w:pPr>
        <w:pStyle w:val="ParaNoNdepar-AltN"/>
        <w:rPr>
          <w:rFonts w:cs="Times New Roman"/>
        </w:rPr>
      </w:pPr>
      <w:r w:rsidRPr="00BA76B1">
        <w:rPr>
          <w:rFonts w:cs="Times New Roman"/>
        </w:rPr>
        <w:t xml:space="preserve">The </w:t>
      </w:r>
      <w:r w:rsidRPr="00BA76B1">
        <w:rPr>
          <w:rFonts w:cs="Times New Roman"/>
          <w:i/>
        </w:rPr>
        <w:t>Conway</w:t>
      </w:r>
      <w:r w:rsidRPr="00BA76B1">
        <w:rPr>
          <w:rFonts w:cs="Times New Roman"/>
        </w:rPr>
        <w:t xml:space="preserve"> test for determining whether an administrative tribunal has jurisdiction to hear </w:t>
      </w:r>
      <w:r w:rsidRPr="00BA76B1">
        <w:rPr>
          <w:rFonts w:cs="Times New Roman"/>
          <w:i/>
        </w:rPr>
        <w:t xml:space="preserve">Charter </w:t>
      </w:r>
      <w:r w:rsidRPr="00BA76B1">
        <w:rPr>
          <w:rFonts w:cs="Times New Roman"/>
        </w:rPr>
        <w:t xml:space="preserve">claims asks whether the legislature has </w:t>
      </w:r>
      <w:r w:rsidRPr="00BA76B1">
        <w:rPr>
          <w:rFonts w:cs="Times New Roman"/>
          <w:i/>
        </w:rPr>
        <w:t xml:space="preserve">clearly </w:t>
      </w:r>
      <w:r w:rsidRPr="00BA76B1">
        <w:rPr>
          <w:rFonts w:cs="Times New Roman"/>
        </w:rPr>
        <w:t xml:space="preserve">excluded consideration of these issues from the tribunal’s jurisdiction. It would be inconsistent with </w:t>
      </w:r>
      <w:r w:rsidRPr="00BA76B1">
        <w:rPr>
          <w:rFonts w:cs="Times New Roman"/>
          <w:i/>
        </w:rPr>
        <w:t xml:space="preserve">Conway </w:t>
      </w:r>
      <w:r w:rsidRPr="00BA76B1">
        <w:rPr>
          <w:rFonts w:cs="Times New Roman"/>
        </w:rPr>
        <w:t xml:space="preserve">to now hold that a reviewing court may exclude such a fundamental aspect of a tribunal’s jurisdiction. </w:t>
      </w:r>
    </w:p>
    <w:p w:rsidR="00E052E3" w:rsidRPr="00BA76B1" w:rsidRDefault="00E052E3" w:rsidP="00E052E3">
      <w:pPr>
        <w:pStyle w:val="ParaNoNdepar-AltN"/>
        <w:rPr>
          <w:rFonts w:cs="Times New Roman"/>
        </w:rPr>
      </w:pPr>
      <w:r w:rsidRPr="00BA76B1">
        <w:rPr>
          <w:rFonts w:cs="Times New Roman"/>
        </w:rPr>
        <w:t xml:space="preserve">With respect, I disagree with the Federal Court of Appeal’s intimation in </w:t>
      </w:r>
      <w:r w:rsidRPr="00BA76B1">
        <w:rPr>
          <w:rFonts w:cs="Times New Roman"/>
          <w:i/>
        </w:rPr>
        <w:t xml:space="preserve">Bernard II </w:t>
      </w:r>
      <w:r w:rsidRPr="00BA76B1">
        <w:rPr>
          <w:rFonts w:cs="Times New Roman"/>
        </w:rPr>
        <w:t xml:space="preserve">that, were the Board to have considered Ms. Bernard’s </w:t>
      </w:r>
      <w:r w:rsidRPr="00BA76B1">
        <w:rPr>
          <w:rFonts w:cs="Times New Roman"/>
          <w:i/>
        </w:rPr>
        <w:t xml:space="preserve">Charter </w:t>
      </w:r>
      <w:r w:rsidRPr="00BA76B1">
        <w:rPr>
          <w:rFonts w:cs="Times New Roman"/>
        </w:rPr>
        <w:t xml:space="preserve">argument in </w:t>
      </w:r>
      <w:r w:rsidRPr="00BA76B1">
        <w:rPr>
          <w:rFonts w:cs="Times New Roman"/>
          <w:i/>
        </w:rPr>
        <w:t>PIPSC 3</w:t>
      </w:r>
      <w:r w:rsidRPr="00BA76B1">
        <w:rPr>
          <w:rFonts w:cs="Times New Roman"/>
        </w:rPr>
        <w:t xml:space="preserve">, this would have amounted to an unauthorized reconsideration of </w:t>
      </w:r>
      <w:r w:rsidRPr="00BA76B1">
        <w:rPr>
          <w:rFonts w:cs="Times New Roman"/>
          <w:i/>
        </w:rPr>
        <w:t xml:space="preserve">PIPSC 1 </w:t>
      </w:r>
      <w:r>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31). As explained above, </w:t>
      </w:r>
      <w:r w:rsidRPr="00BA76B1">
        <w:rPr>
          <w:rFonts w:cs="Times New Roman"/>
          <w:i/>
        </w:rPr>
        <w:t xml:space="preserve">PIPSC 1 </w:t>
      </w:r>
      <w:r w:rsidRPr="00BA76B1">
        <w:rPr>
          <w:rFonts w:cs="Times New Roman"/>
        </w:rPr>
        <w:t>is part of the same proceeding and, in any case, Ms. Bernard’s</w:t>
      </w:r>
      <w:r>
        <w:rPr>
          <w:rFonts w:cs="Times New Roman"/>
        </w:rPr>
        <w:t xml:space="preserve"> s. 2(</w:t>
      </w:r>
      <w:r w:rsidRPr="00E063F5">
        <w:rPr>
          <w:rFonts w:cs="Times New Roman"/>
          <w:i/>
        </w:rPr>
        <w:t>d</w:t>
      </w:r>
      <w:r>
        <w:rPr>
          <w:rFonts w:cs="Times New Roman"/>
        </w:rPr>
        <w:t>)</w:t>
      </w:r>
      <w:r w:rsidRPr="00BA76B1">
        <w:rPr>
          <w:rFonts w:cs="Times New Roman"/>
        </w:rPr>
        <w:t xml:space="preserve"> </w:t>
      </w:r>
      <w:r w:rsidRPr="00BA76B1">
        <w:rPr>
          <w:rFonts w:cs="Times New Roman"/>
          <w:i/>
        </w:rPr>
        <w:t xml:space="preserve">Charter </w:t>
      </w:r>
      <w:r w:rsidRPr="00BA76B1">
        <w:rPr>
          <w:rFonts w:cs="Times New Roman"/>
        </w:rPr>
        <w:t xml:space="preserve">argument equally targets the Board’s holding in </w:t>
      </w:r>
      <w:r w:rsidRPr="00BA76B1">
        <w:rPr>
          <w:rFonts w:cs="Times New Roman"/>
          <w:i/>
        </w:rPr>
        <w:t>PIPSC 2</w:t>
      </w:r>
      <w:r w:rsidRPr="00BA76B1">
        <w:rPr>
          <w:rFonts w:cs="Times New Roman"/>
        </w:rPr>
        <w:t xml:space="preserve">. Ms. Bernard is not asking the Board to reconsider its </w:t>
      </w:r>
      <w:r w:rsidRPr="00BA76B1">
        <w:rPr>
          <w:rFonts w:cs="Times New Roman"/>
          <w:i/>
        </w:rPr>
        <w:t xml:space="preserve">PIPSC 1 </w:t>
      </w:r>
      <w:r w:rsidRPr="00BA76B1">
        <w:rPr>
          <w:rFonts w:cs="Times New Roman"/>
        </w:rPr>
        <w:t xml:space="preserve">decision; she is simply trying to vindicate her right to have her </w:t>
      </w:r>
      <w:r w:rsidRPr="00BA76B1">
        <w:rPr>
          <w:rFonts w:cs="Times New Roman"/>
          <w:i/>
        </w:rPr>
        <w:t xml:space="preserve">Charter </w:t>
      </w:r>
      <w:r w:rsidRPr="00BA76B1">
        <w:rPr>
          <w:rFonts w:cs="Times New Roman"/>
        </w:rPr>
        <w:t>claim</w:t>
      </w:r>
      <w:r>
        <w:rPr>
          <w:rFonts w:cs="Times New Roman"/>
        </w:rPr>
        <w:t>s</w:t>
      </w:r>
      <w:r w:rsidRPr="00BA76B1">
        <w:rPr>
          <w:rFonts w:cs="Times New Roman"/>
        </w:rPr>
        <w:t xml:space="preserve"> decided.         </w:t>
      </w:r>
    </w:p>
    <w:p w:rsidR="00E052E3" w:rsidRPr="00BA76B1" w:rsidRDefault="00E052E3" w:rsidP="00E052E3">
      <w:pPr>
        <w:pStyle w:val="ParaNoNdepar-AltN"/>
        <w:rPr>
          <w:rFonts w:cs="Times New Roman"/>
        </w:rPr>
      </w:pPr>
      <w:r>
        <w:rPr>
          <w:rFonts w:cs="Times New Roman"/>
        </w:rPr>
        <w:t>T</w:t>
      </w:r>
      <w:r w:rsidRPr="00BA76B1">
        <w:rPr>
          <w:rFonts w:cs="Times New Roman"/>
        </w:rPr>
        <w:t>he respondent PIPSC contend</w:t>
      </w:r>
      <w:r>
        <w:rPr>
          <w:rFonts w:cs="Times New Roman"/>
        </w:rPr>
        <w:t>s</w:t>
      </w:r>
      <w:r w:rsidRPr="00BA76B1">
        <w:rPr>
          <w:rFonts w:cs="Times New Roman"/>
        </w:rPr>
        <w:t xml:space="preserve"> that, since the Federal Court of Appeal in </w:t>
      </w:r>
      <w:r w:rsidRPr="00BA76B1">
        <w:rPr>
          <w:rFonts w:cs="Times New Roman"/>
          <w:i/>
        </w:rPr>
        <w:t xml:space="preserve">Bernard II </w:t>
      </w:r>
      <w:r w:rsidRPr="00BA76B1">
        <w:rPr>
          <w:rFonts w:cs="Times New Roman"/>
        </w:rPr>
        <w:t xml:space="preserve">was interpreting its own earlier order in </w:t>
      </w:r>
      <w:r w:rsidRPr="00BA76B1">
        <w:rPr>
          <w:rFonts w:cs="Times New Roman"/>
          <w:i/>
        </w:rPr>
        <w:t>Bernard I</w:t>
      </w:r>
      <w:r w:rsidRPr="00BA76B1">
        <w:rPr>
          <w:rFonts w:cs="Times New Roman"/>
        </w:rPr>
        <w:t xml:space="preserve">, this Court should defer to the finding in </w:t>
      </w:r>
      <w:r w:rsidRPr="00BA76B1">
        <w:rPr>
          <w:rFonts w:cs="Times New Roman"/>
          <w:i/>
        </w:rPr>
        <w:t xml:space="preserve">Bernard II </w:t>
      </w:r>
      <w:r w:rsidRPr="00BA76B1">
        <w:rPr>
          <w:rFonts w:cs="Times New Roman"/>
        </w:rPr>
        <w:t xml:space="preserve">that the Board was precluded from considering the </w:t>
      </w:r>
      <w:r w:rsidRPr="00BA76B1">
        <w:rPr>
          <w:rFonts w:cs="Times New Roman"/>
          <w:i/>
        </w:rPr>
        <w:t xml:space="preserve">Charter </w:t>
      </w:r>
      <w:r w:rsidRPr="00BA76B1">
        <w:rPr>
          <w:rFonts w:cs="Times New Roman"/>
        </w:rPr>
        <w:t>issue.</w:t>
      </w:r>
    </w:p>
    <w:p w:rsidR="00E052E3" w:rsidRPr="00BA76B1" w:rsidRDefault="00E052E3" w:rsidP="00E052E3">
      <w:pPr>
        <w:pStyle w:val="ParaNoNdepar-AltN"/>
        <w:rPr>
          <w:rFonts w:cs="Times New Roman"/>
        </w:rPr>
      </w:pPr>
      <w:r w:rsidRPr="00BA76B1">
        <w:rPr>
          <w:rFonts w:cs="Times New Roman"/>
        </w:rPr>
        <w:t xml:space="preserve">However, the interpretation of the order in </w:t>
      </w:r>
      <w:r w:rsidRPr="00BA76B1">
        <w:rPr>
          <w:rFonts w:cs="Times New Roman"/>
          <w:i/>
        </w:rPr>
        <w:t xml:space="preserve">Bernard I </w:t>
      </w:r>
      <w:r w:rsidRPr="00BA76B1">
        <w:rPr>
          <w:rFonts w:cs="Times New Roman"/>
        </w:rPr>
        <w:t xml:space="preserve">is not subject to a deferential review by this Court. Indeed, the stock in trade of this Court is to review </w:t>
      </w:r>
      <w:r>
        <w:rPr>
          <w:rFonts w:cs="Times New Roman"/>
        </w:rPr>
        <w:t xml:space="preserve">decisions of lower courts on </w:t>
      </w:r>
      <w:r w:rsidRPr="00BA76B1">
        <w:rPr>
          <w:rFonts w:cs="Times New Roman"/>
        </w:rPr>
        <w:t xml:space="preserve">questions of law of public importance on the standard of correctness, not on assumptions about what the lower court intended, as my </w:t>
      </w:r>
      <w:r w:rsidRPr="00BA76B1">
        <w:rPr>
          <w:rFonts w:cs="Times New Roman"/>
        </w:rPr>
        <w:lastRenderedPageBreak/>
        <w:t>colleagues assert</w:t>
      </w:r>
      <w:r>
        <w:rPr>
          <w:rFonts w:cs="Times New Roman"/>
        </w:rPr>
        <w:t xml:space="preserve"> at </w:t>
      </w:r>
      <w:proofErr w:type="spellStart"/>
      <w:r>
        <w:rPr>
          <w:rFonts w:cs="Times New Roman"/>
        </w:rPr>
        <w:t>para</w:t>
      </w:r>
      <w:proofErr w:type="spellEnd"/>
      <w:r>
        <w:rPr>
          <w:rFonts w:cs="Times New Roman"/>
        </w:rPr>
        <w:t>. 35</w:t>
      </w:r>
      <w:r w:rsidRPr="00BA76B1">
        <w:rPr>
          <w:rFonts w:cs="Times New Roman"/>
        </w:rPr>
        <w:t xml:space="preserve">. There is therefore no reason to defer to the opinion of the </w:t>
      </w:r>
      <w:r>
        <w:rPr>
          <w:rFonts w:cs="Times New Roman"/>
        </w:rPr>
        <w:t>c</w:t>
      </w:r>
      <w:r w:rsidRPr="00BA76B1">
        <w:rPr>
          <w:rFonts w:cs="Times New Roman"/>
        </w:rPr>
        <w:t xml:space="preserve">ourt below in </w:t>
      </w:r>
      <w:r w:rsidRPr="00BA76B1">
        <w:rPr>
          <w:rFonts w:cs="Times New Roman"/>
          <w:i/>
        </w:rPr>
        <w:t xml:space="preserve">Bernard II </w:t>
      </w:r>
      <w:r w:rsidRPr="00BA76B1">
        <w:rPr>
          <w:rFonts w:cs="Times New Roman"/>
        </w:rPr>
        <w:t xml:space="preserve">regarding its interpretation of the decision in </w:t>
      </w:r>
      <w:r w:rsidRPr="00BA76B1">
        <w:rPr>
          <w:rFonts w:cs="Times New Roman"/>
          <w:i/>
        </w:rPr>
        <w:t>Bernard I</w:t>
      </w:r>
      <w:r w:rsidRPr="00BA76B1">
        <w:rPr>
          <w:rFonts w:cs="Times New Roman"/>
        </w:rPr>
        <w:t>. In any event, even on a deferential review</w:t>
      </w:r>
      <w:r>
        <w:rPr>
          <w:rFonts w:cs="Times New Roman"/>
        </w:rPr>
        <w:t>,</w:t>
      </w:r>
      <w:r w:rsidRPr="00BA76B1">
        <w:rPr>
          <w:rFonts w:cs="Times New Roman"/>
        </w:rPr>
        <w:t xml:space="preserve"> it is self</w:t>
      </w:r>
      <w:r>
        <w:rPr>
          <w:rFonts w:cs="Times New Roman"/>
        </w:rPr>
        <w:t>-</w:t>
      </w:r>
      <w:r w:rsidRPr="00BA76B1">
        <w:rPr>
          <w:rFonts w:cs="Times New Roman"/>
        </w:rPr>
        <w:t>evident that a result</w:t>
      </w:r>
      <w:r>
        <w:rPr>
          <w:rFonts w:cs="Times New Roman"/>
        </w:rPr>
        <w:t xml:space="preserve"> </w:t>
      </w:r>
      <w:r w:rsidRPr="00BA76B1">
        <w:rPr>
          <w:rFonts w:cs="Times New Roman"/>
        </w:rPr>
        <w:t xml:space="preserve">that denies Ms. Bernard the opportunity to make her </w:t>
      </w:r>
      <w:r w:rsidRPr="00BA76B1">
        <w:rPr>
          <w:rFonts w:cs="Times New Roman"/>
          <w:i/>
        </w:rPr>
        <w:t xml:space="preserve">Charter </w:t>
      </w:r>
      <w:r w:rsidRPr="00BA76B1">
        <w:rPr>
          <w:rFonts w:cs="Times New Roman"/>
        </w:rPr>
        <w:t xml:space="preserve">arguments in these proceedings </w:t>
      </w:r>
      <w:r>
        <w:rPr>
          <w:rFonts w:cs="Times New Roman"/>
        </w:rPr>
        <w:t xml:space="preserve">— </w:t>
      </w:r>
      <w:r w:rsidRPr="00BA76B1">
        <w:rPr>
          <w:rFonts w:cs="Times New Roman"/>
        </w:rPr>
        <w:t xml:space="preserve">as would be achieved under the </w:t>
      </w:r>
      <w:r w:rsidRPr="00BA76B1">
        <w:rPr>
          <w:rFonts w:cs="Times New Roman"/>
          <w:i/>
        </w:rPr>
        <w:t xml:space="preserve">Bernard II </w:t>
      </w:r>
      <w:r w:rsidRPr="00BA76B1">
        <w:rPr>
          <w:rFonts w:cs="Times New Roman"/>
        </w:rPr>
        <w:t>holding</w:t>
      </w:r>
      <w:r>
        <w:rPr>
          <w:rFonts w:cs="Times New Roman"/>
        </w:rPr>
        <w:t xml:space="preserve"> — </w:t>
      </w:r>
      <w:r w:rsidRPr="00BA76B1">
        <w:rPr>
          <w:rFonts w:cs="Times New Roman"/>
        </w:rPr>
        <w:t xml:space="preserve">is simply unreasonable. </w:t>
      </w:r>
    </w:p>
    <w:p w:rsidR="00E052E3" w:rsidRPr="00BA76B1" w:rsidRDefault="00E052E3" w:rsidP="00E052E3">
      <w:pPr>
        <w:pStyle w:val="Title2LevelTitre2Niveau"/>
        <w:rPr>
          <w:rFonts w:cs="Times New Roman"/>
        </w:rPr>
      </w:pPr>
      <w:bookmarkStart w:id="22" w:name="_Toc372276037"/>
      <w:bookmarkStart w:id="23" w:name="_Toc378672411"/>
      <w:r>
        <w:rPr>
          <w:rFonts w:cs="Times New Roman"/>
        </w:rPr>
        <w:t>This Court Should Address the S</w:t>
      </w:r>
      <w:r w:rsidRPr="00BA76B1">
        <w:rPr>
          <w:rFonts w:cs="Times New Roman"/>
        </w:rPr>
        <w:t xml:space="preserve">ection 2(d) </w:t>
      </w:r>
      <w:r>
        <w:rPr>
          <w:rFonts w:cs="Times New Roman"/>
        </w:rPr>
        <w:t>and S</w:t>
      </w:r>
      <w:r w:rsidRPr="00BA76B1">
        <w:rPr>
          <w:rFonts w:cs="Times New Roman"/>
        </w:rPr>
        <w:t xml:space="preserve">ection 8 </w:t>
      </w:r>
      <w:r>
        <w:rPr>
          <w:rFonts w:cs="Times New Roman"/>
        </w:rPr>
        <w:t>Charter A</w:t>
      </w:r>
      <w:r w:rsidRPr="00BA76B1">
        <w:rPr>
          <w:rFonts w:cs="Times New Roman"/>
        </w:rPr>
        <w:t>rgument</w:t>
      </w:r>
      <w:bookmarkEnd w:id="22"/>
      <w:r w:rsidRPr="00BA76B1">
        <w:rPr>
          <w:rFonts w:cs="Times New Roman"/>
        </w:rPr>
        <w:t>s</w:t>
      </w:r>
      <w:bookmarkEnd w:id="23"/>
    </w:p>
    <w:p w:rsidR="00E052E3" w:rsidRPr="00BA76B1" w:rsidRDefault="00E052E3" w:rsidP="00E052E3">
      <w:pPr>
        <w:pStyle w:val="ParaNoNdepar-AltN"/>
        <w:rPr>
          <w:rFonts w:cs="Times New Roman"/>
        </w:rPr>
      </w:pPr>
      <w:r w:rsidRPr="00BA76B1">
        <w:rPr>
          <w:rFonts w:cs="Times New Roman"/>
        </w:rPr>
        <w:t xml:space="preserve">The respondents suggest that, even if the Board’s failure to hear Ms. Bernard’s </w:t>
      </w:r>
      <w:r w:rsidRPr="00BA76B1">
        <w:rPr>
          <w:rFonts w:cs="Times New Roman"/>
          <w:i/>
        </w:rPr>
        <w:t xml:space="preserve">Charter </w:t>
      </w:r>
      <w:r w:rsidRPr="00BA76B1">
        <w:rPr>
          <w:rFonts w:cs="Times New Roman"/>
        </w:rPr>
        <w:t xml:space="preserve">arguments amounted to an error in law, this Court should not decide these arguments because they raise new issues; rather, the respondents maintain that they should be remitted to the Board for consideration. For the reasons that follow, I disagree. </w:t>
      </w:r>
    </w:p>
    <w:p w:rsidR="00E052E3" w:rsidRPr="00BA76B1" w:rsidRDefault="00E052E3" w:rsidP="00E052E3">
      <w:pPr>
        <w:pStyle w:val="ParaNoNdepar-AltN"/>
        <w:rPr>
          <w:rFonts w:cs="Times New Roman"/>
        </w:rPr>
      </w:pPr>
      <w:r w:rsidRPr="00BA76B1">
        <w:rPr>
          <w:rFonts w:cs="Times New Roman"/>
        </w:rPr>
        <w:t xml:space="preserve">I acknowledge that Ms. Bernard’s </w:t>
      </w:r>
      <w:r w:rsidRPr="00BA76B1">
        <w:rPr>
          <w:rFonts w:cs="Times New Roman"/>
          <w:i/>
        </w:rPr>
        <w:t xml:space="preserve">Charter </w:t>
      </w:r>
      <w:r w:rsidRPr="00BA76B1">
        <w:rPr>
          <w:rFonts w:cs="Times New Roman"/>
        </w:rPr>
        <w:t xml:space="preserve">arguments were not addressed by the Board and the Federal Court of Appeal and that the practice of this Court is generally not to determine issues not dealt with in the forums below. However, that is not a rule of mandatory application in all cases. </w:t>
      </w:r>
    </w:p>
    <w:p w:rsidR="00E052E3" w:rsidRPr="00BA76B1" w:rsidRDefault="00E052E3" w:rsidP="00E052E3">
      <w:pPr>
        <w:pStyle w:val="ParaNoNdepar-AltN"/>
        <w:rPr>
          <w:rFonts w:cs="Times New Roman"/>
        </w:rPr>
      </w:pPr>
      <w:r w:rsidRPr="00BA76B1">
        <w:rPr>
          <w:rFonts w:cs="Times New Roman"/>
        </w:rPr>
        <w:t xml:space="preserve">This Court outlined the two-step test for determining whether an appellate court may address an argument not decided by the lower courts in </w:t>
      </w:r>
      <w:proofErr w:type="spellStart"/>
      <w:r w:rsidRPr="00BA76B1">
        <w:rPr>
          <w:rFonts w:cs="Times New Roman"/>
          <w:i/>
        </w:rPr>
        <w:t>Quan</w:t>
      </w:r>
      <w:proofErr w:type="spellEnd"/>
      <w:r w:rsidRPr="00BA76B1">
        <w:rPr>
          <w:rFonts w:cs="Times New Roman"/>
          <w:i/>
        </w:rPr>
        <w:t xml:space="preserve"> v</w:t>
      </w:r>
      <w:r>
        <w:rPr>
          <w:rFonts w:cs="Times New Roman"/>
          <w:i/>
        </w:rPr>
        <w:t>.</w:t>
      </w:r>
      <w:r w:rsidRPr="00BA76B1">
        <w:rPr>
          <w:rFonts w:cs="Times New Roman"/>
          <w:i/>
        </w:rPr>
        <w:t xml:space="preserve"> </w:t>
      </w:r>
      <w:proofErr w:type="spellStart"/>
      <w:r w:rsidRPr="00BA76B1">
        <w:rPr>
          <w:rFonts w:cs="Times New Roman"/>
          <w:i/>
        </w:rPr>
        <w:t>Cusson</w:t>
      </w:r>
      <w:proofErr w:type="spellEnd"/>
      <w:r w:rsidRPr="00BA76B1">
        <w:rPr>
          <w:rFonts w:cs="Times New Roman"/>
        </w:rPr>
        <w:t>, 2009 SCC 62</w:t>
      </w:r>
      <w:r>
        <w:rPr>
          <w:rFonts w:cs="Times New Roman"/>
        </w:rPr>
        <w:t xml:space="preserve">, [2009] 3 S.C.R. 712,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38. First, </w:t>
      </w:r>
      <w:r>
        <w:rPr>
          <w:rFonts w:cs="Times New Roman"/>
        </w:rPr>
        <w:t>is</w:t>
      </w:r>
      <w:r w:rsidRPr="00BA76B1">
        <w:rPr>
          <w:rFonts w:cs="Times New Roman"/>
        </w:rPr>
        <w:t xml:space="preserve"> the argument a “new issue” on appeal? If so, do the evidentiary record and the interests of justice support an exception to the general rule that </w:t>
      </w:r>
      <w:r>
        <w:rPr>
          <w:rFonts w:cs="Times New Roman"/>
        </w:rPr>
        <w:t xml:space="preserve">a </w:t>
      </w:r>
      <w:r w:rsidRPr="00BA76B1">
        <w:rPr>
          <w:rFonts w:cs="Times New Roman"/>
        </w:rPr>
        <w:t>new issue cannot be raised on appeal?</w:t>
      </w:r>
    </w:p>
    <w:p w:rsidR="00E052E3" w:rsidRPr="00BA76B1" w:rsidRDefault="00E052E3" w:rsidP="00E052E3">
      <w:pPr>
        <w:pStyle w:val="Title3LevelTitre3Niveau"/>
      </w:pPr>
      <w:bookmarkStart w:id="24" w:name="_Toc378672412"/>
      <w:r w:rsidRPr="00BA76B1">
        <w:t xml:space="preserve">Ms. Bernard’s </w:t>
      </w:r>
      <w:r w:rsidRPr="00623959">
        <w:rPr>
          <w:i/>
        </w:rPr>
        <w:t>Charter</w:t>
      </w:r>
      <w:r>
        <w:t xml:space="preserve"> A</w:t>
      </w:r>
      <w:r w:rsidRPr="00BA76B1">
        <w:t xml:space="preserve">rguments </w:t>
      </w:r>
      <w:r>
        <w:t>Are Not New I</w:t>
      </w:r>
      <w:r w:rsidRPr="00BA76B1">
        <w:t>ssues</w:t>
      </w:r>
      <w:bookmarkEnd w:id="24"/>
      <w:r w:rsidRPr="00BA76B1">
        <w:t xml:space="preserve"> </w:t>
      </w:r>
    </w:p>
    <w:p w:rsidR="00E052E3" w:rsidRPr="00BA76B1" w:rsidRDefault="00E052E3" w:rsidP="00E052E3">
      <w:pPr>
        <w:pStyle w:val="ParaNoNdepar-AltN"/>
        <w:rPr>
          <w:rFonts w:cs="Times New Roman"/>
        </w:rPr>
      </w:pPr>
      <w:r w:rsidRPr="00BA76B1">
        <w:rPr>
          <w:rFonts w:cs="Times New Roman"/>
        </w:rPr>
        <w:lastRenderedPageBreak/>
        <w:t>This Court must first determi</w:t>
      </w:r>
      <w:r>
        <w:rPr>
          <w:rFonts w:cs="Times New Roman"/>
        </w:rPr>
        <w:t>ne whether Ms. Bernard’s s.</w:t>
      </w:r>
      <w:r w:rsidRPr="00BA76B1">
        <w:rPr>
          <w:rFonts w:cs="Times New Roman"/>
        </w:rPr>
        <w:t xml:space="preserve"> 2(</w:t>
      </w:r>
      <w:r w:rsidRPr="006673B1">
        <w:rPr>
          <w:rFonts w:cs="Times New Roman"/>
          <w:i/>
        </w:rPr>
        <w:t>d</w:t>
      </w:r>
      <w:r w:rsidRPr="00BA76B1">
        <w:rPr>
          <w:rFonts w:cs="Times New Roman"/>
        </w:rPr>
        <w:t xml:space="preserve">) </w:t>
      </w:r>
      <w:r>
        <w:rPr>
          <w:rFonts w:cs="Times New Roman"/>
        </w:rPr>
        <w:t>and s. </w:t>
      </w:r>
      <w:r w:rsidRPr="00BA76B1">
        <w:rPr>
          <w:rFonts w:cs="Times New Roman"/>
        </w:rPr>
        <w:t xml:space="preserve">8 </w:t>
      </w:r>
      <w:r w:rsidRPr="00BA76B1">
        <w:rPr>
          <w:rFonts w:cs="Times New Roman"/>
          <w:i/>
        </w:rPr>
        <w:t xml:space="preserve">Charter </w:t>
      </w:r>
      <w:r w:rsidRPr="00BA76B1">
        <w:rPr>
          <w:rFonts w:cs="Times New Roman"/>
        </w:rPr>
        <w:t>arguments</w:t>
      </w:r>
      <w:r>
        <w:rPr>
          <w:rFonts w:cs="Times New Roman"/>
        </w:rPr>
        <w:t xml:space="preserve"> are</w:t>
      </w:r>
      <w:r w:rsidRPr="00BA76B1">
        <w:rPr>
          <w:rFonts w:cs="Times New Roman"/>
        </w:rPr>
        <w:t xml:space="preserve"> “new issues” on appeal</w:t>
      </w:r>
      <w:r>
        <w:rPr>
          <w:rFonts w:cs="Times New Roman"/>
        </w:rPr>
        <w:t xml:space="preserve"> </w:t>
      </w:r>
      <w:r w:rsidRPr="00BA76B1">
        <w:rPr>
          <w:rFonts w:cs="Times New Roman"/>
        </w:rPr>
        <w:t>—</w:t>
      </w:r>
      <w:r>
        <w:rPr>
          <w:rFonts w:cs="Times New Roman"/>
        </w:rPr>
        <w:t xml:space="preserve"> </w:t>
      </w:r>
      <w:r w:rsidRPr="00BA76B1">
        <w:rPr>
          <w:rFonts w:cs="Times New Roman"/>
        </w:rPr>
        <w:t xml:space="preserve">that is, </w:t>
      </w:r>
      <w:r>
        <w:rPr>
          <w:rFonts w:cs="Times New Roman"/>
        </w:rPr>
        <w:t>whether</w:t>
      </w:r>
      <w:r w:rsidRPr="00BA76B1">
        <w:rPr>
          <w:rFonts w:cs="Times New Roman"/>
        </w:rPr>
        <w:t xml:space="preserve"> they</w:t>
      </w:r>
      <w:r>
        <w:rPr>
          <w:rFonts w:cs="Times New Roman"/>
        </w:rPr>
        <w:t xml:space="preserve"> are</w:t>
      </w:r>
      <w:r w:rsidRPr="00BA76B1">
        <w:rPr>
          <w:rFonts w:cs="Times New Roman"/>
        </w:rPr>
        <w:t xml:space="preserve"> “legally and factually distinct” from the issues before the lower courts (</w:t>
      </w:r>
      <w:proofErr w:type="spellStart"/>
      <w:r w:rsidRPr="00BA76B1">
        <w:rPr>
          <w:rFonts w:cs="Times New Roman"/>
          <w:i/>
        </w:rPr>
        <w:t>Quan</w:t>
      </w:r>
      <w:proofErr w:type="spellEnd"/>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39)</w:t>
      </w:r>
      <w:r>
        <w:rPr>
          <w:rFonts w:cs="Times New Roman"/>
        </w:rPr>
        <w:t>.</w:t>
      </w:r>
      <w:r w:rsidRPr="00BA76B1">
        <w:rPr>
          <w:rFonts w:cs="Times New Roman"/>
        </w:rPr>
        <w:t xml:space="preserve"> Ms.</w:t>
      </w:r>
      <w:r>
        <w:rPr>
          <w:rFonts w:cs="Times New Roman"/>
        </w:rPr>
        <w:t> </w:t>
      </w:r>
      <w:r w:rsidRPr="00BA76B1">
        <w:rPr>
          <w:rFonts w:cs="Times New Roman"/>
        </w:rPr>
        <w:t>Bernard made</w:t>
      </w:r>
      <w:r>
        <w:rPr>
          <w:rFonts w:cs="Times New Roman"/>
        </w:rPr>
        <w:t xml:space="preserve"> </w:t>
      </w:r>
      <w:r w:rsidRPr="00BA76B1">
        <w:rPr>
          <w:rFonts w:cs="Times New Roman"/>
        </w:rPr>
        <w:t>—</w:t>
      </w:r>
      <w:r>
        <w:rPr>
          <w:rFonts w:cs="Times New Roman"/>
        </w:rPr>
        <w:t xml:space="preserve"> </w:t>
      </w:r>
      <w:r w:rsidRPr="00BA76B1">
        <w:rPr>
          <w:rFonts w:cs="Times New Roman"/>
        </w:rPr>
        <w:t>or attempted to make</w:t>
      </w:r>
      <w:r>
        <w:rPr>
          <w:rFonts w:cs="Times New Roman"/>
        </w:rPr>
        <w:t xml:space="preserve"> </w:t>
      </w:r>
      <w:r w:rsidRPr="00BA76B1">
        <w:rPr>
          <w:rFonts w:cs="Times New Roman"/>
        </w:rPr>
        <w:t>—</w:t>
      </w:r>
      <w:r>
        <w:rPr>
          <w:rFonts w:cs="Times New Roman"/>
        </w:rPr>
        <w:t xml:space="preserve"> </w:t>
      </w:r>
      <w:r w:rsidRPr="00BA76B1">
        <w:rPr>
          <w:rFonts w:cs="Times New Roman"/>
        </w:rPr>
        <w:t>her s</w:t>
      </w:r>
      <w:r>
        <w:rPr>
          <w:rFonts w:cs="Times New Roman"/>
        </w:rPr>
        <w:t xml:space="preserve">. </w:t>
      </w:r>
      <w:r w:rsidRPr="00BA76B1">
        <w:rPr>
          <w:rFonts w:cs="Times New Roman"/>
        </w:rPr>
        <w:t>2(</w:t>
      </w:r>
      <w:r w:rsidRPr="004D4BFA">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arguments from the outset, as part of her application for judicial review in </w:t>
      </w:r>
      <w:r w:rsidRPr="00BA76B1">
        <w:rPr>
          <w:rFonts w:cs="Times New Roman"/>
          <w:i/>
        </w:rPr>
        <w:t>Bernard I</w:t>
      </w:r>
      <w:r w:rsidRPr="00BA76B1">
        <w:rPr>
          <w:rFonts w:cs="Times New Roman"/>
        </w:rPr>
        <w:t xml:space="preserve">, before the Board in </w:t>
      </w:r>
      <w:r w:rsidRPr="00BA76B1">
        <w:rPr>
          <w:rFonts w:cs="Times New Roman"/>
          <w:i/>
        </w:rPr>
        <w:t>PIPSC 3</w:t>
      </w:r>
      <w:r w:rsidRPr="00BA76B1">
        <w:rPr>
          <w:rFonts w:cs="Times New Roman"/>
        </w:rPr>
        <w:t xml:space="preserve">, and before the Federal Court of Appeal in </w:t>
      </w:r>
      <w:r w:rsidRPr="00BA76B1">
        <w:rPr>
          <w:rFonts w:cs="Times New Roman"/>
          <w:i/>
        </w:rPr>
        <w:t>Bernard II</w:t>
      </w:r>
      <w:r w:rsidRPr="00BA76B1">
        <w:rPr>
          <w:rFonts w:cs="Times New Roman"/>
        </w:rPr>
        <w:t xml:space="preserve">. </w:t>
      </w:r>
    </w:p>
    <w:p w:rsidR="00E052E3" w:rsidRPr="00BA76B1" w:rsidRDefault="00E052E3" w:rsidP="00E052E3">
      <w:pPr>
        <w:pStyle w:val="ParaNoNdepar-AltN"/>
        <w:rPr>
          <w:rFonts w:cs="Times New Roman"/>
        </w:rPr>
      </w:pPr>
      <w:r>
        <w:rPr>
          <w:rFonts w:cs="Times New Roman"/>
        </w:rPr>
        <w:t>With respect to s.</w:t>
      </w:r>
      <w:r w:rsidRPr="00BA76B1">
        <w:rPr>
          <w:rFonts w:cs="Times New Roman"/>
        </w:rPr>
        <w:t xml:space="preserve"> 8 of the </w:t>
      </w:r>
      <w:r w:rsidRPr="00BA76B1">
        <w:rPr>
          <w:rFonts w:cs="Times New Roman"/>
          <w:i/>
        </w:rPr>
        <w:t>Charter</w:t>
      </w:r>
      <w:r w:rsidRPr="00BA76B1">
        <w:rPr>
          <w:rFonts w:cs="Times New Roman"/>
        </w:rPr>
        <w:t>, the respondent PIPSC</w:t>
      </w:r>
      <w:r>
        <w:rPr>
          <w:rFonts w:cs="Times New Roman"/>
        </w:rPr>
        <w:t xml:space="preserve"> </w:t>
      </w:r>
      <w:r w:rsidRPr="00BA76B1">
        <w:rPr>
          <w:rFonts w:cs="Times New Roman"/>
        </w:rPr>
        <w:t>—</w:t>
      </w:r>
      <w:r>
        <w:rPr>
          <w:rFonts w:cs="Times New Roman"/>
        </w:rPr>
        <w:t xml:space="preserve"> </w:t>
      </w:r>
      <w:r w:rsidRPr="00BA76B1">
        <w:rPr>
          <w:rFonts w:cs="Times New Roman"/>
        </w:rPr>
        <w:t>in its response to Ms. Bernard’s application for leave to appeal</w:t>
      </w:r>
      <w:r>
        <w:rPr>
          <w:rFonts w:cs="Times New Roman"/>
        </w:rPr>
        <w:t xml:space="preserve"> </w:t>
      </w:r>
      <w:r w:rsidRPr="00BA76B1">
        <w:rPr>
          <w:rFonts w:cs="Times New Roman"/>
        </w:rPr>
        <w:t>—</w:t>
      </w:r>
      <w:r>
        <w:rPr>
          <w:rFonts w:cs="Times New Roman"/>
        </w:rPr>
        <w:t xml:space="preserve"> </w:t>
      </w:r>
      <w:r w:rsidRPr="00BA76B1">
        <w:rPr>
          <w:rFonts w:cs="Times New Roman"/>
        </w:rPr>
        <w:t xml:space="preserve">stated that Ms. Bernard had made </w:t>
      </w:r>
      <w:proofErr w:type="gramStart"/>
      <w:r>
        <w:rPr>
          <w:rFonts w:cs="Times New Roman"/>
        </w:rPr>
        <w:t>a</w:t>
      </w:r>
      <w:proofErr w:type="gramEnd"/>
      <w:r>
        <w:rPr>
          <w:rFonts w:cs="Times New Roman"/>
        </w:rPr>
        <w:t xml:space="preserve"> s.</w:t>
      </w:r>
      <w:r w:rsidRPr="00BA76B1">
        <w:rPr>
          <w:rFonts w:cs="Times New Roman"/>
        </w:rPr>
        <w:t xml:space="preserve"> 8 </w:t>
      </w:r>
      <w:r w:rsidRPr="00BA76B1">
        <w:rPr>
          <w:rFonts w:cs="Times New Roman"/>
          <w:i/>
        </w:rPr>
        <w:t xml:space="preserve">Charter </w:t>
      </w:r>
      <w:r w:rsidRPr="00BA76B1">
        <w:rPr>
          <w:rFonts w:cs="Times New Roman"/>
        </w:rPr>
        <w:t>argument in the proceedings below (</w:t>
      </w:r>
      <w:r>
        <w:rPr>
          <w:rFonts w:cs="Times New Roman"/>
        </w:rPr>
        <w:t xml:space="preserve">memorandum of argument,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53). This would suggest that it is not a new issue. However, in its factum, PIPSC stressed that no such argument was previously made </w:t>
      </w:r>
      <w:r>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96).</w:t>
      </w:r>
    </w:p>
    <w:p w:rsidR="00E052E3" w:rsidRPr="00BA76B1" w:rsidRDefault="00E052E3" w:rsidP="00E052E3">
      <w:pPr>
        <w:pStyle w:val="ParaNoNdepar-AltN"/>
        <w:rPr>
          <w:rFonts w:cs="Times New Roman"/>
        </w:rPr>
      </w:pPr>
      <w:r>
        <w:rPr>
          <w:rFonts w:cs="Times New Roman"/>
        </w:rPr>
        <w:t>Even were Ms. Bernard’s s.</w:t>
      </w:r>
      <w:r w:rsidRPr="00BA76B1">
        <w:rPr>
          <w:rFonts w:cs="Times New Roman"/>
        </w:rPr>
        <w:t xml:space="preserve"> 2(</w:t>
      </w:r>
      <w:r w:rsidRPr="004D4BFA">
        <w:rPr>
          <w:rFonts w:cs="Times New Roman"/>
          <w:i/>
        </w:rPr>
        <w:t>d</w:t>
      </w:r>
      <w:r w:rsidRPr="00BA76B1">
        <w:rPr>
          <w:rFonts w:cs="Times New Roman"/>
        </w:rPr>
        <w:t>) and s</w:t>
      </w:r>
      <w:r>
        <w:rPr>
          <w:rFonts w:cs="Times New Roman"/>
        </w:rPr>
        <w:t xml:space="preserve">. </w:t>
      </w:r>
      <w:r w:rsidRPr="00BA76B1">
        <w:rPr>
          <w:rFonts w:cs="Times New Roman"/>
        </w:rPr>
        <w:t xml:space="preserve">8 </w:t>
      </w:r>
      <w:r w:rsidRPr="00BA76B1">
        <w:rPr>
          <w:rFonts w:cs="Times New Roman"/>
          <w:i/>
        </w:rPr>
        <w:t xml:space="preserve">Charter </w:t>
      </w:r>
      <w:r w:rsidRPr="00BA76B1">
        <w:rPr>
          <w:rFonts w:cs="Times New Roman"/>
        </w:rPr>
        <w:t xml:space="preserve">arguments to be characterized as “new issues”, the second step of the </w:t>
      </w:r>
      <w:proofErr w:type="spellStart"/>
      <w:r w:rsidRPr="00BA76B1">
        <w:rPr>
          <w:rFonts w:cs="Times New Roman"/>
          <w:i/>
        </w:rPr>
        <w:t>Quan</w:t>
      </w:r>
      <w:proofErr w:type="spellEnd"/>
      <w:r w:rsidRPr="00BA76B1">
        <w:rPr>
          <w:rFonts w:cs="Times New Roman"/>
          <w:i/>
        </w:rPr>
        <w:t xml:space="preserve"> </w:t>
      </w:r>
      <w:r w:rsidRPr="00BA76B1">
        <w:rPr>
          <w:rFonts w:cs="Times New Roman"/>
        </w:rPr>
        <w:t xml:space="preserve">test reinforces the view that this Court ought to decide these arguments. </w:t>
      </w:r>
    </w:p>
    <w:p w:rsidR="00E052E3" w:rsidRPr="00BA76B1" w:rsidRDefault="00E052E3" w:rsidP="00E052E3">
      <w:pPr>
        <w:pStyle w:val="Title3LevelTitre3Niveau"/>
        <w:jc w:val="both"/>
      </w:pPr>
      <w:bookmarkStart w:id="25" w:name="_Toc378672413"/>
      <w:r>
        <w:t>The Evidentiary Record and Interests of J</w:t>
      </w:r>
      <w:r w:rsidRPr="00BA76B1">
        <w:t xml:space="preserve">ustice </w:t>
      </w:r>
      <w:r>
        <w:t>J</w:t>
      </w:r>
      <w:r w:rsidRPr="00BA76B1">
        <w:t>ustify</w:t>
      </w:r>
      <w:r w:rsidRPr="00BA76B1">
        <w:rPr>
          <w:i/>
        </w:rPr>
        <w:t xml:space="preserve"> </w:t>
      </w:r>
      <w:r w:rsidR="00A35FA8">
        <w:t>an Exception to the Rule That a</w:t>
      </w:r>
      <w:r>
        <w:t xml:space="preserve"> New Issue Cannot Be Raised on A</w:t>
      </w:r>
      <w:r w:rsidRPr="00BA76B1">
        <w:t>ppeal</w:t>
      </w:r>
      <w:bookmarkEnd w:id="25"/>
      <w:r w:rsidRPr="00BA76B1">
        <w:t xml:space="preserve"> </w:t>
      </w:r>
    </w:p>
    <w:p w:rsidR="00E052E3" w:rsidRPr="00BA76B1" w:rsidRDefault="00E052E3" w:rsidP="00E052E3">
      <w:pPr>
        <w:pStyle w:val="ParaNoNdepar-AltN"/>
        <w:rPr>
          <w:rFonts w:cs="Times New Roman"/>
        </w:rPr>
      </w:pPr>
      <w:r w:rsidRPr="00BA76B1">
        <w:rPr>
          <w:rFonts w:cs="Times New Roman"/>
        </w:rPr>
        <w:t xml:space="preserve">The second step of the </w:t>
      </w:r>
      <w:proofErr w:type="spellStart"/>
      <w:r w:rsidRPr="00BA76B1">
        <w:rPr>
          <w:rFonts w:cs="Times New Roman"/>
          <w:i/>
        </w:rPr>
        <w:t>Quan</w:t>
      </w:r>
      <w:proofErr w:type="spellEnd"/>
      <w:r w:rsidRPr="00BA76B1">
        <w:rPr>
          <w:rFonts w:cs="Times New Roman"/>
          <w:i/>
        </w:rPr>
        <w:t xml:space="preserve"> </w:t>
      </w:r>
      <w:r w:rsidRPr="00BA76B1">
        <w:rPr>
          <w:rFonts w:cs="Times New Roman"/>
        </w:rPr>
        <w:t xml:space="preserve">test asks whether the evidentiary record and the interests of justice support an exception to the general rule that </w:t>
      </w:r>
      <w:r>
        <w:rPr>
          <w:rFonts w:cs="Times New Roman"/>
        </w:rPr>
        <w:t xml:space="preserve">a </w:t>
      </w:r>
      <w:r w:rsidRPr="00BA76B1">
        <w:rPr>
          <w:rFonts w:cs="Times New Roman"/>
        </w:rPr>
        <w:t>new issue cannot be raised on appeal (</w:t>
      </w:r>
      <w:proofErr w:type="spellStart"/>
      <w:r>
        <w:rPr>
          <w:rFonts w:cs="Times New Roman"/>
        </w:rPr>
        <w:t>p</w:t>
      </w:r>
      <w:r w:rsidRPr="00BA76B1">
        <w:rPr>
          <w:rFonts w:cs="Times New Roman"/>
        </w:rPr>
        <w:t>ara</w:t>
      </w:r>
      <w:proofErr w:type="spellEnd"/>
      <w:r>
        <w:rPr>
          <w:rFonts w:cs="Times New Roman"/>
        </w:rPr>
        <w:t>.</w:t>
      </w:r>
      <w:r w:rsidRPr="00BA76B1">
        <w:rPr>
          <w:rFonts w:cs="Times New Roman"/>
        </w:rPr>
        <w:t xml:space="preserve"> 38; see also </w:t>
      </w:r>
      <w:r w:rsidRPr="00BA76B1">
        <w:rPr>
          <w:rFonts w:cs="Times New Roman"/>
          <w:i/>
        </w:rPr>
        <w:t>Alberta (Information and Privacy Commissioner) v</w:t>
      </w:r>
      <w:r>
        <w:rPr>
          <w:rFonts w:cs="Times New Roman"/>
          <w:i/>
        </w:rPr>
        <w:t>.</w:t>
      </w:r>
      <w:r w:rsidRPr="00BA76B1">
        <w:rPr>
          <w:rFonts w:cs="Times New Roman"/>
          <w:i/>
        </w:rPr>
        <w:t xml:space="preserve"> Alberta Teachers’ Association</w:t>
      </w:r>
      <w:r w:rsidRPr="00BA76B1">
        <w:rPr>
          <w:rFonts w:cs="Times New Roman"/>
        </w:rPr>
        <w:t>, 2011 SCC 61</w:t>
      </w:r>
      <w:r>
        <w:rPr>
          <w:rFonts w:cs="Times New Roman"/>
        </w:rPr>
        <w:t xml:space="preserve">, [2011] 3 S.C.R. 654,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5). In my view, the circumstances of this case support application of the exception. </w:t>
      </w:r>
    </w:p>
    <w:p w:rsidR="00E052E3" w:rsidRPr="004D4BFA" w:rsidRDefault="00E052E3" w:rsidP="00E052E3">
      <w:pPr>
        <w:pStyle w:val="Title4LevelTitre4Niveau"/>
      </w:pPr>
      <w:bookmarkStart w:id="26" w:name="_Toc378672414"/>
      <w:r>
        <w:lastRenderedPageBreak/>
        <w:t>Evidentiary Record</w:t>
      </w:r>
      <w:bookmarkEnd w:id="26"/>
    </w:p>
    <w:p w:rsidR="00E052E3" w:rsidRPr="00BA76B1" w:rsidRDefault="00E052E3" w:rsidP="00E052E3">
      <w:pPr>
        <w:pStyle w:val="ParaNoNdepar-AltN"/>
        <w:rPr>
          <w:rFonts w:cs="Times New Roman"/>
        </w:rPr>
      </w:pPr>
      <w:r w:rsidRPr="00BA76B1">
        <w:rPr>
          <w:rFonts w:cs="Times New Roman"/>
        </w:rPr>
        <w:t xml:space="preserve">The evidentiary record in this case is sufficient for this </w:t>
      </w:r>
      <w:r>
        <w:rPr>
          <w:rFonts w:cs="Times New Roman"/>
        </w:rPr>
        <w:t>Court’s inquiry into the s.</w:t>
      </w:r>
      <w:r w:rsidRPr="00BA76B1">
        <w:rPr>
          <w:rFonts w:cs="Times New Roman"/>
        </w:rPr>
        <w:t xml:space="preserve"> 2(</w:t>
      </w:r>
      <w:r w:rsidRPr="004D4BFA">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issue. The reasons of the Board and </w:t>
      </w:r>
      <w:r>
        <w:rPr>
          <w:rFonts w:cs="Times New Roman"/>
        </w:rPr>
        <w:t xml:space="preserve">the </w:t>
      </w:r>
      <w:r w:rsidRPr="00BA76B1">
        <w:rPr>
          <w:rFonts w:cs="Times New Roman"/>
        </w:rPr>
        <w:t xml:space="preserve">Federal Court of Appeal reflect the fact that Ms. Bernard presented this claim three times: </w:t>
      </w:r>
      <w:r w:rsidRPr="00BA76B1">
        <w:rPr>
          <w:rFonts w:cs="Times New Roman"/>
          <w:i/>
        </w:rPr>
        <w:t xml:space="preserve">Bernard I </w:t>
      </w:r>
      <w:r>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24), </w:t>
      </w:r>
      <w:r w:rsidRPr="00BA76B1">
        <w:rPr>
          <w:rFonts w:cs="Times New Roman"/>
          <w:i/>
        </w:rPr>
        <w:t xml:space="preserve">PIPSC 3 </w:t>
      </w:r>
      <w:r w:rsidRPr="00BA76B1">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9), and </w:t>
      </w:r>
      <w:r w:rsidRPr="00BA76B1">
        <w:rPr>
          <w:rFonts w:cs="Times New Roman"/>
          <w:i/>
        </w:rPr>
        <w:t xml:space="preserve">Bernard II </w:t>
      </w:r>
      <w:r w:rsidRPr="00BA76B1">
        <w:rPr>
          <w:rFonts w:cs="Times New Roman"/>
        </w:rPr>
        <w:t>(</w:t>
      </w:r>
      <w:proofErr w:type="spellStart"/>
      <w:r w:rsidRPr="00BA76B1">
        <w:rPr>
          <w:rFonts w:cs="Times New Roman"/>
        </w:rPr>
        <w:t>para</w:t>
      </w:r>
      <w:proofErr w:type="spellEnd"/>
      <w:r>
        <w:rPr>
          <w:rFonts w:cs="Times New Roman"/>
        </w:rPr>
        <w:t>.</w:t>
      </w:r>
      <w:r w:rsidRPr="00BA76B1">
        <w:rPr>
          <w:rFonts w:cs="Times New Roman"/>
        </w:rPr>
        <w:t xml:space="preserve"> 29). She now asks this Court to address it. The respondents are sophisticated parties who had ample opportunity to respond to the </w:t>
      </w:r>
      <w:r>
        <w:rPr>
          <w:rFonts w:cs="Times New Roman"/>
        </w:rPr>
        <w:t>s. 2(</w:t>
      </w:r>
      <w:r w:rsidRPr="00E063F5">
        <w:rPr>
          <w:rFonts w:cs="Times New Roman"/>
          <w:i/>
        </w:rPr>
        <w:t>d</w:t>
      </w:r>
      <w:r>
        <w:rPr>
          <w:rFonts w:cs="Times New Roman"/>
        </w:rPr>
        <w:t xml:space="preserve">) </w:t>
      </w:r>
      <w:r w:rsidRPr="00BA76B1">
        <w:rPr>
          <w:rFonts w:cs="Times New Roman"/>
        </w:rPr>
        <w:t>constitutional question stated by this Court. And, at no point did the respondents argue that they would be prejudiced were this Court to decide the s</w:t>
      </w:r>
      <w:r>
        <w:rPr>
          <w:rFonts w:cs="Times New Roman"/>
        </w:rPr>
        <w:t>.</w:t>
      </w:r>
      <w:r w:rsidRPr="00BA76B1">
        <w:rPr>
          <w:rFonts w:cs="Times New Roman"/>
        </w:rPr>
        <w:t xml:space="preserve"> 2(</w:t>
      </w:r>
      <w:r w:rsidRPr="00055477">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question.  </w:t>
      </w:r>
    </w:p>
    <w:p w:rsidR="00E052E3" w:rsidRPr="00BA76B1" w:rsidRDefault="00E052E3" w:rsidP="00E052E3">
      <w:pPr>
        <w:pStyle w:val="ParaNoNdepar-AltN"/>
        <w:rPr>
          <w:rFonts w:cs="Times New Roman"/>
        </w:rPr>
      </w:pPr>
      <w:r w:rsidRPr="00BA76B1">
        <w:rPr>
          <w:rFonts w:cs="Times New Roman"/>
        </w:rPr>
        <w:t>Similarly, the respondents substantively addressed Ms. Bernard’s s</w:t>
      </w:r>
      <w:r>
        <w:rPr>
          <w:rFonts w:cs="Times New Roman"/>
        </w:rPr>
        <w:t>. </w:t>
      </w:r>
      <w:r w:rsidRPr="00BA76B1">
        <w:rPr>
          <w:rFonts w:cs="Times New Roman"/>
        </w:rPr>
        <w:t xml:space="preserve">8 </w:t>
      </w:r>
      <w:r w:rsidRPr="00BA76B1">
        <w:rPr>
          <w:rFonts w:cs="Times New Roman"/>
          <w:i/>
        </w:rPr>
        <w:t xml:space="preserve">Charter </w:t>
      </w:r>
      <w:r w:rsidRPr="00BA76B1">
        <w:rPr>
          <w:rFonts w:cs="Times New Roman"/>
        </w:rPr>
        <w:t xml:space="preserve">claims in their written submissions before this Court, and did not argue that prejudice would result should this Court proceed to consider the issue. </w:t>
      </w:r>
    </w:p>
    <w:p w:rsidR="00E052E3" w:rsidRPr="00BA76B1" w:rsidRDefault="00E052E3" w:rsidP="00E052E3">
      <w:pPr>
        <w:pStyle w:val="Title4LevelTitre4Niveau"/>
      </w:pPr>
      <w:bookmarkStart w:id="27" w:name="_Toc378672415"/>
      <w:r>
        <w:t>Interests of Justice</w:t>
      </w:r>
      <w:bookmarkEnd w:id="27"/>
    </w:p>
    <w:p w:rsidR="00E052E3" w:rsidRPr="00BA76B1" w:rsidRDefault="00E052E3" w:rsidP="00E052E3">
      <w:pPr>
        <w:pStyle w:val="ParaNoNdepar-AltN"/>
        <w:rPr>
          <w:rFonts w:cs="Times New Roman"/>
        </w:rPr>
      </w:pPr>
      <w:r w:rsidRPr="00BA76B1">
        <w:rPr>
          <w:rFonts w:cs="Times New Roman"/>
        </w:rPr>
        <w:t xml:space="preserve">Ms. Bernard’s methodical attempts to have her </w:t>
      </w:r>
      <w:r w:rsidRPr="00BA76B1">
        <w:rPr>
          <w:rFonts w:cs="Times New Roman"/>
          <w:i/>
        </w:rPr>
        <w:t xml:space="preserve">Charter </w:t>
      </w:r>
      <w:r w:rsidRPr="00BA76B1">
        <w:rPr>
          <w:rFonts w:cs="Times New Roman"/>
        </w:rPr>
        <w:t xml:space="preserve">arguments addressed were consistently denied by the Board and the Federal Court of Appeal. The </w:t>
      </w:r>
      <w:r w:rsidRPr="00BA76B1">
        <w:rPr>
          <w:rFonts w:cs="Times New Roman"/>
          <w:i/>
        </w:rPr>
        <w:t xml:space="preserve">Conway </w:t>
      </w:r>
      <w:r w:rsidRPr="00BA76B1">
        <w:rPr>
          <w:rFonts w:cs="Times New Roman"/>
        </w:rPr>
        <w:t xml:space="preserve">principle is that tribunals have the authority and duty to “consider </w:t>
      </w:r>
      <w:r w:rsidRPr="00BA76B1">
        <w:rPr>
          <w:rFonts w:cs="Times New Roman"/>
          <w:u w:val="single"/>
        </w:rPr>
        <w:t>and apply</w:t>
      </w:r>
      <w:r w:rsidRPr="00BA76B1">
        <w:rPr>
          <w:rFonts w:cs="Times New Roman"/>
        </w:rPr>
        <w:t xml:space="preserve"> the Constitution, including the </w:t>
      </w:r>
      <w:r w:rsidRPr="00BA76B1">
        <w:rPr>
          <w:rFonts w:cs="Times New Roman"/>
          <w:i/>
        </w:rPr>
        <w:t>Charter</w:t>
      </w:r>
      <w:r>
        <w:rPr>
          <w:rFonts w:cs="Times New Roman"/>
        </w:rPr>
        <w:t>” (</w:t>
      </w:r>
      <w:proofErr w:type="spellStart"/>
      <w:r w:rsidRPr="00BA76B1">
        <w:rPr>
          <w:rFonts w:cs="Times New Roman"/>
        </w:rPr>
        <w:t>para</w:t>
      </w:r>
      <w:proofErr w:type="spellEnd"/>
      <w:r>
        <w:rPr>
          <w:rFonts w:cs="Times New Roman"/>
        </w:rPr>
        <w:t>.</w:t>
      </w:r>
      <w:r w:rsidRPr="00BA76B1">
        <w:rPr>
          <w:rFonts w:cs="Times New Roman"/>
        </w:rPr>
        <w:t xml:space="preserve"> 77 </w:t>
      </w:r>
      <w:r>
        <w:rPr>
          <w:rFonts w:cs="Times New Roman"/>
        </w:rPr>
        <w:t>(</w:t>
      </w:r>
      <w:r w:rsidRPr="00BA76B1">
        <w:rPr>
          <w:rFonts w:cs="Times New Roman"/>
        </w:rPr>
        <w:t>emphasis added</w:t>
      </w:r>
      <w:r>
        <w:rPr>
          <w:rFonts w:cs="Times New Roman"/>
        </w:rPr>
        <w:t>)</w:t>
      </w:r>
      <w:r w:rsidRPr="00BA76B1">
        <w:rPr>
          <w:rFonts w:cs="Times New Roman"/>
        </w:rPr>
        <w:t>).</w:t>
      </w:r>
      <w:r w:rsidRPr="00BA76B1">
        <w:rPr>
          <w:rFonts w:cs="Times New Roman"/>
          <w:i/>
        </w:rPr>
        <w:t xml:space="preserve"> </w:t>
      </w:r>
      <w:r w:rsidRPr="00BA76B1">
        <w:rPr>
          <w:rFonts w:cs="Times New Roman"/>
        </w:rPr>
        <w:t>Had leave to appeal to this Court not been granted, Ms. Bernard would have been entirely p</w:t>
      </w:r>
      <w:r>
        <w:rPr>
          <w:rFonts w:cs="Times New Roman"/>
        </w:rPr>
        <w:t>recluded from having her s.</w:t>
      </w:r>
      <w:r w:rsidRPr="00BA76B1">
        <w:rPr>
          <w:rFonts w:cs="Times New Roman"/>
        </w:rPr>
        <w:t xml:space="preserve"> 2(</w:t>
      </w:r>
      <w:r w:rsidRPr="00055477">
        <w:rPr>
          <w:rFonts w:cs="Times New Roman"/>
          <w:i/>
        </w:rPr>
        <w:t>d</w:t>
      </w:r>
      <w:r w:rsidRPr="00BA76B1">
        <w:rPr>
          <w:rFonts w:cs="Times New Roman"/>
        </w:rPr>
        <w:t>) and s</w:t>
      </w:r>
      <w:r>
        <w:rPr>
          <w:rFonts w:cs="Times New Roman"/>
        </w:rPr>
        <w:t>.</w:t>
      </w:r>
      <w:r w:rsidRPr="00BA76B1">
        <w:rPr>
          <w:rFonts w:cs="Times New Roman"/>
        </w:rPr>
        <w:t xml:space="preserve"> 8 </w:t>
      </w:r>
      <w:r w:rsidRPr="00BA76B1">
        <w:rPr>
          <w:rFonts w:cs="Times New Roman"/>
          <w:i/>
        </w:rPr>
        <w:t xml:space="preserve">Charter </w:t>
      </w:r>
      <w:r w:rsidRPr="00BA76B1">
        <w:rPr>
          <w:rFonts w:cs="Times New Roman"/>
        </w:rPr>
        <w:t xml:space="preserve">claims addressed in the course of these proceedings before the Board and the Federal Court of Appeal. </w:t>
      </w:r>
    </w:p>
    <w:p w:rsidR="00E052E3" w:rsidRPr="00BA76B1" w:rsidRDefault="00E052E3" w:rsidP="00E052E3">
      <w:pPr>
        <w:pStyle w:val="ParaNoNdepar-AltN"/>
        <w:rPr>
          <w:rFonts w:cs="Times New Roman"/>
        </w:rPr>
      </w:pPr>
      <w:r w:rsidRPr="00BA76B1">
        <w:rPr>
          <w:rFonts w:cs="Times New Roman"/>
        </w:rPr>
        <w:lastRenderedPageBreak/>
        <w:t xml:space="preserve">It is therefore in the interests of justice for this Court to address these arguments now. </w:t>
      </w:r>
    </w:p>
    <w:p w:rsidR="00E052E3" w:rsidRPr="00BA76B1" w:rsidRDefault="00E052E3" w:rsidP="00E052E3">
      <w:pPr>
        <w:pStyle w:val="Title3LevelTitre3Niveau"/>
        <w:rPr>
          <w:rFonts w:cs="Times New Roman"/>
        </w:rPr>
      </w:pPr>
      <w:bookmarkStart w:id="28" w:name="_Toc372276038"/>
      <w:bookmarkStart w:id="29" w:name="_Toc378672416"/>
      <w:r>
        <w:rPr>
          <w:rFonts w:cs="Times New Roman"/>
        </w:rPr>
        <w:t>There Is No Violation of S</w:t>
      </w:r>
      <w:r w:rsidRPr="00BA76B1">
        <w:rPr>
          <w:rFonts w:cs="Times New Roman"/>
        </w:rPr>
        <w:t>ection 2(</w:t>
      </w:r>
      <w:r w:rsidRPr="00055477">
        <w:rPr>
          <w:rFonts w:cs="Times New Roman"/>
          <w:i/>
        </w:rPr>
        <w:t>d</w:t>
      </w:r>
      <w:r>
        <w:rPr>
          <w:rFonts w:cs="Times New Roman"/>
        </w:rPr>
        <w:t>) Freedom From A</w:t>
      </w:r>
      <w:r w:rsidRPr="00BA76B1">
        <w:rPr>
          <w:rFonts w:cs="Times New Roman"/>
        </w:rPr>
        <w:t>ssociation</w:t>
      </w:r>
      <w:bookmarkEnd w:id="28"/>
      <w:bookmarkEnd w:id="29"/>
    </w:p>
    <w:p w:rsidR="00E052E3" w:rsidRPr="00BA76B1" w:rsidRDefault="00E052E3" w:rsidP="00E052E3">
      <w:pPr>
        <w:pStyle w:val="ParaNoNdepar-AltN"/>
        <w:rPr>
          <w:rFonts w:cs="Times New Roman"/>
        </w:rPr>
      </w:pPr>
      <w:r w:rsidRPr="00BA76B1">
        <w:rPr>
          <w:rFonts w:cs="Times New Roman"/>
        </w:rPr>
        <w:t xml:space="preserve">Despite the view expressed by my colleagues at </w:t>
      </w:r>
      <w:proofErr w:type="spellStart"/>
      <w:r w:rsidRPr="00BA76B1">
        <w:rPr>
          <w:rFonts w:cs="Times New Roman"/>
        </w:rPr>
        <w:t>para</w:t>
      </w:r>
      <w:proofErr w:type="spellEnd"/>
      <w:r>
        <w:rPr>
          <w:rFonts w:cs="Times New Roman"/>
        </w:rPr>
        <w:t>. 35 that Ms. </w:t>
      </w:r>
      <w:r w:rsidRPr="00BA76B1">
        <w:rPr>
          <w:rFonts w:cs="Times New Roman"/>
        </w:rPr>
        <w:t xml:space="preserve">Bernard’s </w:t>
      </w:r>
      <w:r>
        <w:rPr>
          <w:rFonts w:cs="Times New Roman"/>
        </w:rPr>
        <w:t>s.</w:t>
      </w:r>
      <w:r w:rsidRPr="00BA76B1">
        <w:rPr>
          <w:rFonts w:cs="Times New Roman"/>
        </w:rPr>
        <w:t xml:space="preserve"> 2(</w:t>
      </w:r>
      <w:r w:rsidRPr="00055477">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argument “manifestly has no merit”, they themselves give the argument more than the back of their hand. They provide reasons why, in this case, they would reject Ms. Bernard’s s</w:t>
      </w:r>
      <w:r>
        <w:rPr>
          <w:rFonts w:cs="Times New Roman"/>
        </w:rPr>
        <w:t>.</w:t>
      </w:r>
      <w:r w:rsidRPr="00BA76B1">
        <w:rPr>
          <w:rFonts w:cs="Times New Roman"/>
        </w:rPr>
        <w:t xml:space="preserve"> 2(</w:t>
      </w:r>
      <w:r w:rsidRPr="00055477">
        <w:rPr>
          <w:rFonts w:cs="Times New Roman"/>
          <w:i/>
        </w:rPr>
        <w:t>d</w:t>
      </w:r>
      <w:r w:rsidRPr="00BA76B1">
        <w:rPr>
          <w:rFonts w:cs="Times New Roman"/>
        </w:rPr>
        <w:t>) argument. Had the Board done the same, we would not be here.</w:t>
      </w:r>
    </w:p>
    <w:p w:rsidR="00E052E3" w:rsidRPr="00BA76B1" w:rsidRDefault="00E052E3" w:rsidP="00E052E3">
      <w:pPr>
        <w:pStyle w:val="ParaNoNdepar-AltN"/>
        <w:rPr>
          <w:rFonts w:cs="Times New Roman"/>
        </w:rPr>
      </w:pPr>
      <w:r w:rsidRPr="00BA76B1">
        <w:rPr>
          <w:rFonts w:cs="Times New Roman"/>
        </w:rPr>
        <w:t xml:space="preserve">This Court outlined the criteria for freedom </w:t>
      </w:r>
      <w:r w:rsidRPr="00BA76B1">
        <w:rPr>
          <w:rFonts w:cs="Times New Roman"/>
          <w:i/>
        </w:rPr>
        <w:t xml:space="preserve">from </w:t>
      </w:r>
      <w:r>
        <w:rPr>
          <w:rFonts w:cs="Times New Roman"/>
        </w:rPr>
        <w:t>association under s.</w:t>
      </w:r>
      <w:r w:rsidRPr="00BA76B1">
        <w:rPr>
          <w:rFonts w:cs="Times New Roman"/>
        </w:rPr>
        <w:t xml:space="preserve"> 2(</w:t>
      </w:r>
      <w:r w:rsidRPr="00055477">
        <w:rPr>
          <w:rFonts w:cs="Times New Roman"/>
          <w:i/>
        </w:rPr>
        <w:t>d</w:t>
      </w:r>
      <w:r w:rsidRPr="00BA76B1">
        <w:rPr>
          <w:rFonts w:cs="Times New Roman"/>
        </w:rPr>
        <w:t xml:space="preserve">) of the </w:t>
      </w:r>
      <w:r w:rsidRPr="00BA76B1">
        <w:rPr>
          <w:rFonts w:cs="Times New Roman"/>
          <w:i/>
        </w:rPr>
        <w:t xml:space="preserve">Charter </w:t>
      </w:r>
      <w:r w:rsidRPr="00BA76B1">
        <w:rPr>
          <w:rFonts w:cs="Times New Roman"/>
        </w:rPr>
        <w:t xml:space="preserve">in </w:t>
      </w:r>
      <w:proofErr w:type="spellStart"/>
      <w:r w:rsidRPr="00BA76B1">
        <w:rPr>
          <w:rFonts w:cs="Times New Roman"/>
          <w:i/>
        </w:rPr>
        <w:t>Lavigne</w:t>
      </w:r>
      <w:proofErr w:type="spellEnd"/>
      <w:r w:rsidRPr="00BA76B1">
        <w:rPr>
          <w:rFonts w:cs="Times New Roman"/>
          <w:i/>
        </w:rPr>
        <w:t xml:space="preserve"> </w:t>
      </w:r>
      <w:r>
        <w:rPr>
          <w:rFonts w:cs="Times New Roman"/>
          <w:i/>
        </w:rPr>
        <w:t xml:space="preserve">v. Ontario Public Service Employees </w:t>
      </w:r>
      <w:r w:rsidRPr="001E48A3">
        <w:rPr>
          <w:rFonts w:cs="Times New Roman"/>
          <w:i/>
        </w:rPr>
        <w:t>Union</w:t>
      </w:r>
      <w:r>
        <w:rPr>
          <w:rFonts w:cs="Times New Roman"/>
        </w:rPr>
        <w:t>, [1991] 2 S.C.R. 211</w:t>
      </w:r>
      <w:r w:rsidR="001B7CA1">
        <w:rPr>
          <w:rFonts w:cs="Times New Roman"/>
        </w:rPr>
        <w:t>,</w:t>
      </w:r>
      <w:r>
        <w:rPr>
          <w:rFonts w:cs="Times New Roman"/>
        </w:rPr>
        <w:t xml:space="preserve"> </w:t>
      </w:r>
      <w:r w:rsidRPr="00FC4D52">
        <w:rPr>
          <w:rFonts w:cs="Times New Roman"/>
        </w:rPr>
        <w:t>and</w:t>
      </w:r>
      <w:r w:rsidRPr="00BA76B1">
        <w:rPr>
          <w:rFonts w:cs="Times New Roman"/>
        </w:rPr>
        <w:t xml:space="preserve"> </w:t>
      </w:r>
      <w:r w:rsidRPr="00BA76B1">
        <w:rPr>
          <w:rFonts w:cs="Times New Roman"/>
          <w:i/>
        </w:rPr>
        <w:t>R</w:t>
      </w:r>
      <w:r>
        <w:rPr>
          <w:rFonts w:cs="Times New Roman"/>
        </w:rPr>
        <w:t>.</w:t>
      </w:r>
      <w:r w:rsidRPr="00BA76B1">
        <w:rPr>
          <w:rFonts w:cs="Times New Roman"/>
          <w:i/>
        </w:rPr>
        <w:t xml:space="preserve"> v</w:t>
      </w:r>
      <w:r>
        <w:rPr>
          <w:rFonts w:cs="Times New Roman"/>
          <w:i/>
        </w:rPr>
        <w:t>.</w:t>
      </w:r>
      <w:r w:rsidRPr="00BA76B1">
        <w:rPr>
          <w:rFonts w:cs="Times New Roman"/>
          <w:i/>
        </w:rPr>
        <w:t xml:space="preserve"> Advance Cutting</w:t>
      </w:r>
      <w:r>
        <w:rPr>
          <w:rFonts w:cs="Times New Roman"/>
          <w:i/>
        </w:rPr>
        <w:t xml:space="preserve"> &amp; Coring Ltd.</w:t>
      </w:r>
      <w:r w:rsidRPr="00BA76B1">
        <w:rPr>
          <w:rFonts w:cs="Times New Roman"/>
        </w:rPr>
        <w:t>, 2001 SCC 70</w:t>
      </w:r>
      <w:r>
        <w:rPr>
          <w:rFonts w:cs="Times New Roman"/>
        </w:rPr>
        <w:t>, [2001] 3 S.C.R. 209</w:t>
      </w:r>
      <w:r w:rsidRPr="00BA76B1">
        <w:rPr>
          <w:rFonts w:cs="Times New Roman"/>
        </w:rPr>
        <w:t xml:space="preserve">. Two distinct tests emerge from these cases. </w:t>
      </w:r>
    </w:p>
    <w:p w:rsidR="00E052E3" w:rsidRPr="00BA76B1" w:rsidRDefault="00E052E3" w:rsidP="00E052E3">
      <w:pPr>
        <w:pStyle w:val="ParaNoNdepar-AltN"/>
        <w:rPr>
          <w:rFonts w:cs="Times New Roman"/>
        </w:rPr>
      </w:pPr>
      <w:r w:rsidRPr="00BA76B1">
        <w:rPr>
          <w:rFonts w:cs="Times New Roman"/>
        </w:rPr>
        <w:t xml:space="preserve">The first test (the “ideological conformity test”), which the majority of this Court applied in </w:t>
      </w:r>
      <w:r w:rsidRPr="00BA76B1">
        <w:rPr>
          <w:rFonts w:cs="Times New Roman"/>
          <w:i/>
        </w:rPr>
        <w:t>Advance Cutting</w:t>
      </w:r>
      <w:r>
        <w:rPr>
          <w:rFonts w:cs="Times New Roman"/>
        </w:rPr>
        <w:t>,</w:t>
      </w:r>
      <w:r w:rsidRPr="00BA76B1">
        <w:rPr>
          <w:rFonts w:cs="Times New Roman"/>
          <w:i/>
        </w:rPr>
        <w:t xml:space="preserve"> </w:t>
      </w:r>
      <w:r w:rsidRPr="00BA76B1">
        <w:rPr>
          <w:rFonts w:cs="Times New Roman"/>
        </w:rPr>
        <w:t xml:space="preserve">requires a claimant to demonstrate that there was forced association and compelled ideological conformity. </w:t>
      </w:r>
    </w:p>
    <w:p w:rsidR="00E052E3" w:rsidRPr="00BA76B1" w:rsidRDefault="00E052E3" w:rsidP="00E052E3">
      <w:pPr>
        <w:pStyle w:val="ParaNoNdepar-AltN"/>
        <w:rPr>
          <w:rFonts w:cs="Times New Roman"/>
        </w:rPr>
      </w:pPr>
      <w:r w:rsidRPr="00BA76B1">
        <w:rPr>
          <w:rFonts w:cs="Times New Roman"/>
        </w:rPr>
        <w:t xml:space="preserve">The second test (the “liberty test”) requires forced association and infringement of a liberty interest. </w:t>
      </w:r>
      <w:r>
        <w:rPr>
          <w:rFonts w:cs="Times New Roman"/>
        </w:rPr>
        <w:t xml:space="preserve">Whether or not such a test can be applied in the context of </w:t>
      </w:r>
      <w:proofErr w:type="gramStart"/>
      <w:r>
        <w:rPr>
          <w:rFonts w:cs="Times New Roman"/>
        </w:rPr>
        <w:t>a</w:t>
      </w:r>
      <w:proofErr w:type="gramEnd"/>
      <w:r>
        <w:rPr>
          <w:rFonts w:cs="Times New Roman"/>
        </w:rPr>
        <w:t xml:space="preserve"> </w:t>
      </w:r>
      <w:r w:rsidRPr="00BA76B1">
        <w:rPr>
          <w:rFonts w:cs="Times New Roman"/>
        </w:rPr>
        <w:t>s. 2(</w:t>
      </w:r>
      <w:r w:rsidRPr="00055477">
        <w:rPr>
          <w:rFonts w:cs="Times New Roman"/>
          <w:i/>
        </w:rPr>
        <w:t>d</w:t>
      </w:r>
      <w:r w:rsidRPr="00BA76B1">
        <w:rPr>
          <w:rFonts w:cs="Times New Roman"/>
        </w:rPr>
        <w:t xml:space="preserve">) </w:t>
      </w:r>
      <w:r w:rsidRPr="00312207">
        <w:rPr>
          <w:rFonts w:cs="Times New Roman"/>
          <w:i/>
        </w:rPr>
        <w:t>Charter</w:t>
      </w:r>
      <w:r>
        <w:rPr>
          <w:rFonts w:cs="Times New Roman"/>
        </w:rPr>
        <w:t xml:space="preserve"> claim has not been definitely determined. Although a majority of the Court in </w:t>
      </w:r>
      <w:r w:rsidRPr="00312207">
        <w:rPr>
          <w:rFonts w:cs="Times New Roman"/>
          <w:i/>
        </w:rPr>
        <w:t>Advance Cutting</w:t>
      </w:r>
      <w:r>
        <w:rPr>
          <w:rFonts w:cs="Times New Roman"/>
        </w:rPr>
        <w:t xml:space="preserve"> discussed the liberty test in </w:t>
      </w:r>
      <w:r w:rsidRPr="00BA76B1">
        <w:rPr>
          <w:rFonts w:cs="Times New Roman"/>
          <w:i/>
        </w:rPr>
        <w:t xml:space="preserve">obiter </w:t>
      </w:r>
      <w:r>
        <w:rPr>
          <w:rFonts w:cs="Times New Roman"/>
        </w:rPr>
        <w:t xml:space="preserve">(see the reasons of </w:t>
      </w:r>
      <w:proofErr w:type="spellStart"/>
      <w:r>
        <w:rPr>
          <w:rFonts w:cs="Times New Roman"/>
        </w:rPr>
        <w:t>Bastarache</w:t>
      </w:r>
      <w:proofErr w:type="spellEnd"/>
      <w:r>
        <w:rPr>
          <w:rFonts w:cs="Times New Roman"/>
        </w:rPr>
        <w:t xml:space="preserve"> J.</w:t>
      </w:r>
      <w:r w:rsidR="001B7CA1">
        <w:rPr>
          <w:rFonts w:cs="Times New Roman"/>
        </w:rPr>
        <w:t>,</w:t>
      </w:r>
      <w:r>
        <w:rPr>
          <w:rFonts w:cs="Times New Roman"/>
        </w:rPr>
        <w:t xml:space="preserve"> at </w:t>
      </w:r>
      <w:proofErr w:type="spellStart"/>
      <w:r w:rsidRPr="00BA76B1">
        <w:rPr>
          <w:rFonts w:cs="Times New Roman"/>
        </w:rPr>
        <w:t>para</w:t>
      </w:r>
      <w:proofErr w:type="spellEnd"/>
      <w:r>
        <w:rPr>
          <w:rFonts w:cs="Times New Roman"/>
        </w:rPr>
        <w:t>. 33 and LeBel J.</w:t>
      </w:r>
      <w:r w:rsidR="001B7CA1">
        <w:rPr>
          <w:rFonts w:cs="Times New Roman"/>
        </w:rPr>
        <w:t>,</w:t>
      </w:r>
      <w:r>
        <w:rPr>
          <w:rFonts w:cs="Times New Roman"/>
        </w:rPr>
        <w:t xml:space="preserve"> at </w:t>
      </w:r>
      <w:proofErr w:type="spellStart"/>
      <w:r>
        <w:rPr>
          <w:rFonts w:cs="Times New Roman"/>
        </w:rPr>
        <w:t>para</w:t>
      </w:r>
      <w:proofErr w:type="spellEnd"/>
      <w:r>
        <w:rPr>
          <w:rFonts w:cs="Times New Roman"/>
        </w:rPr>
        <w:t>.</w:t>
      </w:r>
      <w:r w:rsidRPr="00BA76B1">
        <w:rPr>
          <w:rFonts w:cs="Times New Roman"/>
        </w:rPr>
        <w:t xml:space="preserve"> 221)</w:t>
      </w:r>
      <w:r>
        <w:rPr>
          <w:rFonts w:cs="Times New Roman"/>
        </w:rPr>
        <w:t xml:space="preserve">, only Justice </w:t>
      </w:r>
      <w:proofErr w:type="spellStart"/>
      <w:r>
        <w:rPr>
          <w:rFonts w:cs="Times New Roman"/>
        </w:rPr>
        <w:t>Iacobucci</w:t>
      </w:r>
      <w:proofErr w:type="spellEnd"/>
      <w:r>
        <w:rPr>
          <w:rFonts w:cs="Times New Roman"/>
        </w:rPr>
        <w:t xml:space="preserve"> </w:t>
      </w:r>
      <w:r w:rsidRPr="00BA76B1">
        <w:rPr>
          <w:rFonts w:cs="Times New Roman"/>
        </w:rPr>
        <w:t>applied th</w:t>
      </w:r>
      <w:r>
        <w:rPr>
          <w:rFonts w:cs="Times New Roman"/>
        </w:rPr>
        <w:t xml:space="preserve">at </w:t>
      </w:r>
      <w:r w:rsidRPr="00BA76B1">
        <w:rPr>
          <w:rFonts w:cs="Times New Roman"/>
        </w:rPr>
        <w:t>test, adopting it in lieu of the ideological conformity test (</w:t>
      </w:r>
      <w:proofErr w:type="spellStart"/>
      <w:r w:rsidRPr="00BA76B1">
        <w:rPr>
          <w:rFonts w:cs="Times New Roman"/>
        </w:rPr>
        <w:t>paras</w:t>
      </w:r>
      <w:proofErr w:type="spellEnd"/>
      <w:r>
        <w:rPr>
          <w:rFonts w:cs="Times New Roman"/>
        </w:rPr>
        <w:t>.</w:t>
      </w:r>
      <w:r w:rsidRPr="00BA76B1">
        <w:rPr>
          <w:rFonts w:cs="Times New Roman"/>
        </w:rPr>
        <w:t xml:space="preserve"> 284-85). </w:t>
      </w:r>
      <w:r w:rsidRPr="00BA76B1">
        <w:rPr>
          <w:rFonts w:cs="Times New Roman"/>
        </w:rPr>
        <w:lastRenderedPageBreak/>
        <w:t xml:space="preserve">For the reasons outlined below, </w:t>
      </w:r>
      <w:r>
        <w:rPr>
          <w:rFonts w:cs="Times New Roman"/>
        </w:rPr>
        <w:t>the existence of such a test need not be addressed here.</w:t>
      </w:r>
    </w:p>
    <w:p w:rsidR="00E052E3" w:rsidRPr="00BA76B1" w:rsidRDefault="00E052E3" w:rsidP="00E052E3">
      <w:pPr>
        <w:pStyle w:val="Title4LevelTitre4Niveau"/>
      </w:pPr>
      <w:bookmarkStart w:id="30" w:name="_Toc378672417"/>
      <w:r>
        <w:t>The Ideological Conformity T</w:t>
      </w:r>
      <w:r w:rsidRPr="00BA76B1">
        <w:t>est</w:t>
      </w:r>
      <w:bookmarkEnd w:id="30"/>
    </w:p>
    <w:p w:rsidR="00E052E3" w:rsidRPr="00BA76B1" w:rsidRDefault="00E052E3" w:rsidP="00E052E3">
      <w:pPr>
        <w:pStyle w:val="ParaNoNdepar-AltN"/>
        <w:rPr>
          <w:rFonts w:cs="Times New Roman"/>
        </w:rPr>
      </w:pPr>
      <w:r w:rsidRPr="00BA76B1">
        <w:rPr>
          <w:rFonts w:cs="Times New Roman"/>
        </w:rPr>
        <w:t>The first criterion of the ideological conformity test, the existence of forced association, is not satisfied.</w:t>
      </w:r>
    </w:p>
    <w:p w:rsidR="00E052E3" w:rsidRPr="00BA76B1" w:rsidRDefault="00E052E3" w:rsidP="00E052E3">
      <w:pPr>
        <w:pStyle w:val="ParaNoNdepar-AltN"/>
        <w:rPr>
          <w:rFonts w:cs="Times New Roman"/>
        </w:rPr>
      </w:pPr>
      <w:r w:rsidRPr="00BA76B1">
        <w:rPr>
          <w:rFonts w:cs="Times New Roman"/>
        </w:rPr>
        <w:t>I agree with Justices Abella and Cromwell that the</w:t>
      </w:r>
      <w:r>
        <w:rPr>
          <w:rFonts w:cs="Times New Roman"/>
        </w:rPr>
        <w:t xml:space="preserve"> mere provision of Ms. </w:t>
      </w:r>
      <w:r w:rsidRPr="00BA76B1">
        <w:rPr>
          <w:rFonts w:cs="Times New Roman"/>
        </w:rPr>
        <w:t xml:space="preserve">Bernard’s home </w:t>
      </w:r>
      <w:r>
        <w:rPr>
          <w:rFonts w:cs="Times New Roman"/>
        </w:rPr>
        <w:t xml:space="preserve">address and </w:t>
      </w:r>
      <w:r w:rsidRPr="00BA76B1">
        <w:rPr>
          <w:rFonts w:cs="Times New Roman"/>
        </w:rPr>
        <w:t>telephone number to the bargaining ag</w:t>
      </w:r>
      <w:r>
        <w:rPr>
          <w:rFonts w:cs="Times New Roman"/>
        </w:rPr>
        <w:t xml:space="preserve">ent cannot be characterized as </w:t>
      </w:r>
      <w:r w:rsidRPr="00BA76B1">
        <w:rPr>
          <w:rFonts w:cs="Times New Roman"/>
        </w:rPr>
        <w:t>forced association. In order to trigger the protections of s</w:t>
      </w:r>
      <w:r>
        <w:rPr>
          <w:rFonts w:cs="Times New Roman"/>
        </w:rPr>
        <w:t xml:space="preserve">. </w:t>
      </w:r>
      <w:r w:rsidRPr="00BA76B1">
        <w:rPr>
          <w:rFonts w:cs="Times New Roman"/>
        </w:rPr>
        <w:t>2(</w:t>
      </w:r>
      <w:r w:rsidRPr="00055477">
        <w:rPr>
          <w:rFonts w:cs="Times New Roman"/>
          <w:i/>
        </w:rPr>
        <w:t>d</w:t>
      </w:r>
      <w:r w:rsidRPr="00BA76B1">
        <w:rPr>
          <w:rFonts w:cs="Times New Roman"/>
        </w:rPr>
        <w:t xml:space="preserve">) of the </w:t>
      </w:r>
      <w:r w:rsidRPr="00BA76B1">
        <w:rPr>
          <w:rFonts w:cs="Times New Roman"/>
          <w:i/>
        </w:rPr>
        <w:t>Charter</w:t>
      </w:r>
      <w:r w:rsidRPr="00BA76B1">
        <w:rPr>
          <w:rFonts w:cs="Times New Roman"/>
        </w:rPr>
        <w:t>, an individual must be compelled to perform one of the following acts of association: establish, belong to, maintain, or participate in an association (</w:t>
      </w:r>
      <w:proofErr w:type="spellStart"/>
      <w:r w:rsidRPr="00BA76B1">
        <w:rPr>
          <w:rFonts w:cs="Times New Roman"/>
          <w:i/>
        </w:rPr>
        <w:t>Lavigne</w:t>
      </w:r>
      <w:proofErr w:type="spellEnd"/>
      <w:r>
        <w:rPr>
          <w:rFonts w:cs="Times New Roman"/>
        </w:rPr>
        <w:t>,</w:t>
      </w:r>
      <w:r w:rsidRPr="00BA76B1">
        <w:rPr>
          <w:rFonts w:cs="Times New Roman"/>
          <w:i/>
        </w:rPr>
        <w:t xml:space="preserve"> </w:t>
      </w:r>
      <w:r w:rsidRPr="00BA76B1">
        <w:rPr>
          <w:rFonts w:cs="Times New Roman"/>
        </w:rPr>
        <w:t>at p</w:t>
      </w:r>
      <w:r>
        <w:rPr>
          <w:rFonts w:cs="Times New Roman"/>
        </w:rPr>
        <w:t>. 323</w:t>
      </w:r>
      <w:r w:rsidRPr="00BA76B1">
        <w:rPr>
          <w:rFonts w:cs="Times New Roman"/>
        </w:rPr>
        <w:t xml:space="preserve">, </w:t>
      </w:r>
      <w:r w:rsidRPr="00055477">
        <w:rPr>
          <w:rFonts w:cs="Times New Roman"/>
          <w:i/>
        </w:rPr>
        <w:t>per</w:t>
      </w:r>
      <w:r>
        <w:rPr>
          <w:rFonts w:cs="Times New Roman"/>
        </w:rPr>
        <w:t xml:space="preserve"> </w:t>
      </w:r>
      <w:r w:rsidRPr="00BA76B1">
        <w:rPr>
          <w:rFonts w:cs="Times New Roman"/>
        </w:rPr>
        <w:t>La Forest J</w:t>
      </w:r>
      <w:r>
        <w:rPr>
          <w:rFonts w:cs="Times New Roman"/>
        </w:rPr>
        <w:t>.</w:t>
      </w:r>
      <w:r w:rsidRPr="00BA76B1">
        <w:rPr>
          <w:rFonts w:cs="Times New Roman"/>
        </w:rPr>
        <w:t>). At most, the disclosure of information ordered by the Board would enable the bargaining agent to contact Ms. Bernard by phone, mail, or in person</w:t>
      </w:r>
      <w:r>
        <w:rPr>
          <w:rFonts w:cs="Times New Roman"/>
        </w:rPr>
        <w:t xml:space="preserve"> </w:t>
      </w:r>
      <w:r w:rsidRPr="00BA76B1">
        <w:rPr>
          <w:rFonts w:cs="Times New Roman"/>
        </w:rPr>
        <w:t>—</w:t>
      </w:r>
      <w:r>
        <w:rPr>
          <w:rFonts w:cs="Times New Roman"/>
        </w:rPr>
        <w:t xml:space="preserve"> </w:t>
      </w:r>
      <w:r w:rsidRPr="00BA76B1">
        <w:rPr>
          <w:rFonts w:cs="Times New Roman"/>
        </w:rPr>
        <w:t xml:space="preserve">she would in no way, however, be forced to escalate such benign forms of contact to the level of association. She could, for instance, hang up the phone, discard any mail received, or close the front door. The Board’s decisions have not withdrawn the freedom to refuse association from Ms. Bernard’s hands. As Justice La Forest stated in </w:t>
      </w:r>
      <w:proofErr w:type="spellStart"/>
      <w:r w:rsidRPr="00BA76B1">
        <w:rPr>
          <w:rFonts w:cs="Times New Roman"/>
          <w:i/>
        </w:rPr>
        <w:t>Lavigne</w:t>
      </w:r>
      <w:proofErr w:type="spellEnd"/>
      <w:r w:rsidRPr="00BA76B1">
        <w:rPr>
          <w:rFonts w:cs="Times New Roman"/>
        </w:rPr>
        <w:t>, freedom from association is not “a right to isolation” (p</w:t>
      </w:r>
      <w:r>
        <w:rPr>
          <w:rFonts w:cs="Times New Roman"/>
        </w:rPr>
        <w:t>.</w:t>
      </w:r>
      <w:r w:rsidRPr="00BA76B1">
        <w:rPr>
          <w:rFonts w:cs="Times New Roman"/>
        </w:rPr>
        <w:t xml:space="preserve"> 3</w:t>
      </w:r>
      <w:r>
        <w:rPr>
          <w:rFonts w:cs="Times New Roman"/>
        </w:rPr>
        <w:t>2</w:t>
      </w:r>
      <w:r w:rsidRPr="00BA76B1">
        <w:rPr>
          <w:rFonts w:cs="Times New Roman"/>
        </w:rPr>
        <w:t xml:space="preserve">0). </w:t>
      </w:r>
    </w:p>
    <w:p w:rsidR="00E052E3" w:rsidRPr="00BA76B1" w:rsidRDefault="00E052E3" w:rsidP="00E052E3">
      <w:pPr>
        <w:pStyle w:val="ParaNoNdepar-AltN"/>
        <w:rPr>
          <w:rFonts w:cs="Times New Roman"/>
        </w:rPr>
      </w:pPr>
      <w:r w:rsidRPr="00BA76B1">
        <w:rPr>
          <w:rFonts w:cs="Times New Roman"/>
        </w:rPr>
        <w:t>Ms. Bernard argues that the possibility of secondary picketing at her home, arising from the disclosure of her hom</w:t>
      </w:r>
      <w:r>
        <w:rPr>
          <w:rFonts w:cs="Times New Roman"/>
        </w:rPr>
        <w:t>e address, infringes her s.</w:t>
      </w:r>
      <w:r w:rsidRPr="00BA76B1">
        <w:rPr>
          <w:rFonts w:cs="Times New Roman"/>
        </w:rPr>
        <w:t xml:space="preserve"> 2(</w:t>
      </w:r>
      <w:r w:rsidRPr="00055477">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 xml:space="preserve">right. It is true that this Court has held that secondary picketing is, </w:t>
      </w:r>
      <w:r w:rsidRPr="00BA76B1">
        <w:rPr>
          <w:rFonts w:cs="Times New Roman"/>
          <w:i/>
        </w:rPr>
        <w:t>prima facie</w:t>
      </w:r>
      <w:r w:rsidRPr="00BA76B1">
        <w:rPr>
          <w:rFonts w:cs="Times New Roman"/>
        </w:rPr>
        <w:t xml:space="preserve">, a legal activity: </w:t>
      </w:r>
      <w:r w:rsidRPr="00055477">
        <w:rPr>
          <w:rFonts w:cs="Times New Roman"/>
          <w:i/>
        </w:rPr>
        <w:t>R.W.D.S.U</w:t>
      </w:r>
      <w:r>
        <w:rPr>
          <w:rFonts w:cs="Times New Roman"/>
        </w:rPr>
        <w:t>.</w:t>
      </w:r>
      <w:r w:rsidRPr="00305CE4">
        <w:rPr>
          <w:rFonts w:cs="Times New Roman"/>
          <w:i/>
        </w:rPr>
        <w:t xml:space="preserve">, </w:t>
      </w:r>
      <w:r w:rsidRPr="00BA76B1">
        <w:rPr>
          <w:rFonts w:cs="Times New Roman"/>
          <w:i/>
        </w:rPr>
        <w:t>Local 558 v</w:t>
      </w:r>
      <w:r>
        <w:rPr>
          <w:rFonts w:cs="Times New Roman"/>
          <w:i/>
        </w:rPr>
        <w:t>.</w:t>
      </w:r>
      <w:r w:rsidRPr="00BA76B1">
        <w:rPr>
          <w:rFonts w:cs="Times New Roman"/>
          <w:i/>
        </w:rPr>
        <w:t xml:space="preserve"> Pepsi-Cola Canada Beverages (West) Ltd</w:t>
      </w:r>
      <w:r>
        <w:rPr>
          <w:rFonts w:cs="Times New Roman"/>
          <w:i/>
        </w:rPr>
        <w:t>.</w:t>
      </w:r>
      <w:r w:rsidRPr="00BA76B1">
        <w:rPr>
          <w:rFonts w:cs="Times New Roman"/>
        </w:rPr>
        <w:t>, 2002 SCC 8</w:t>
      </w:r>
      <w:r>
        <w:rPr>
          <w:rFonts w:cs="Times New Roman"/>
        </w:rPr>
        <w:t>, [2002] 1 S.C.R.</w:t>
      </w:r>
      <w:r w:rsidRPr="00BA76B1">
        <w:rPr>
          <w:rFonts w:cs="Times New Roman"/>
        </w:rPr>
        <w:t xml:space="preserve"> </w:t>
      </w:r>
      <w:r>
        <w:rPr>
          <w:rFonts w:cs="Times New Roman"/>
        </w:rPr>
        <w:t xml:space="preserve">156,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67. </w:t>
      </w:r>
      <w:r>
        <w:rPr>
          <w:rFonts w:cs="Times New Roman"/>
        </w:rPr>
        <w:t>Secondary p</w:t>
      </w:r>
      <w:r w:rsidRPr="00BA76B1">
        <w:rPr>
          <w:rFonts w:cs="Times New Roman"/>
        </w:rPr>
        <w:t xml:space="preserve">icketing loses its legal sanction, </w:t>
      </w:r>
      <w:r w:rsidRPr="00BA76B1">
        <w:rPr>
          <w:rFonts w:cs="Times New Roman"/>
        </w:rPr>
        <w:lastRenderedPageBreak/>
        <w:t xml:space="preserve">however, where it amounts to </w:t>
      </w:r>
      <w:proofErr w:type="spellStart"/>
      <w:r w:rsidRPr="00BA76B1">
        <w:rPr>
          <w:rFonts w:cs="Times New Roman"/>
        </w:rPr>
        <w:t>tortious</w:t>
      </w:r>
      <w:proofErr w:type="spellEnd"/>
      <w:r w:rsidRPr="00BA76B1">
        <w:rPr>
          <w:rFonts w:cs="Times New Roman"/>
        </w:rPr>
        <w:t xml:space="preserve"> or criminal conduct (</w:t>
      </w:r>
      <w:proofErr w:type="spellStart"/>
      <w:r w:rsidRPr="00BA76B1">
        <w:rPr>
          <w:rFonts w:cs="Times New Roman"/>
        </w:rPr>
        <w:t>para</w:t>
      </w:r>
      <w:proofErr w:type="spellEnd"/>
      <w:r>
        <w:rPr>
          <w:rFonts w:cs="Times New Roman"/>
        </w:rPr>
        <w:t>.</w:t>
      </w:r>
      <w:r w:rsidRPr="00BA76B1">
        <w:rPr>
          <w:rFonts w:cs="Times New Roman"/>
        </w:rPr>
        <w:t xml:space="preserve"> 3). It would thus be inconsistent with </w:t>
      </w:r>
      <w:r w:rsidRPr="00BA76B1">
        <w:rPr>
          <w:rFonts w:cs="Times New Roman"/>
          <w:i/>
        </w:rPr>
        <w:t>Pepsi-Cola</w:t>
      </w:r>
      <w:r w:rsidRPr="00BA76B1">
        <w:rPr>
          <w:rFonts w:cs="Times New Roman"/>
        </w:rPr>
        <w:t xml:space="preserve"> for this Court to now pronounce that the mere </w:t>
      </w:r>
      <w:r w:rsidRPr="00BA76B1">
        <w:rPr>
          <w:rFonts w:cs="Times New Roman"/>
          <w:i/>
        </w:rPr>
        <w:t xml:space="preserve">possibility </w:t>
      </w:r>
      <w:r w:rsidRPr="00BA76B1">
        <w:rPr>
          <w:rFonts w:cs="Times New Roman"/>
        </w:rPr>
        <w:t>of secondary picketing</w:t>
      </w:r>
      <w:r>
        <w:rPr>
          <w:rFonts w:cs="Times New Roman"/>
        </w:rPr>
        <w:t xml:space="preserve"> </w:t>
      </w:r>
      <w:r w:rsidRPr="00BA76B1">
        <w:rPr>
          <w:rFonts w:cs="Times New Roman"/>
        </w:rPr>
        <w:t>—</w:t>
      </w:r>
      <w:r>
        <w:rPr>
          <w:rFonts w:cs="Times New Roman"/>
        </w:rPr>
        <w:t xml:space="preserve"> </w:t>
      </w:r>
      <w:r w:rsidRPr="00BA76B1">
        <w:rPr>
          <w:rFonts w:cs="Times New Roman"/>
        </w:rPr>
        <w:t xml:space="preserve">a </w:t>
      </w:r>
      <w:r w:rsidRPr="00BA76B1">
        <w:rPr>
          <w:rFonts w:cs="Times New Roman"/>
          <w:i/>
        </w:rPr>
        <w:t xml:space="preserve">prima facie </w:t>
      </w:r>
      <w:r w:rsidRPr="00BA76B1">
        <w:rPr>
          <w:rFonts w:cs="Times New Roman"/>
        </w:rPr>
        <w:t>legal activity</w:t>
      </w:r>
      <w:r>
        <w:rPr>
          <w:rFonts w:cs="Times New Roman"/>
        </w:rPr>
        <w:t xml:space="preserve"> </w:t>
      </w:r>
      <w:r w:rsidRPr="00BA76B1">
        <w:rPr>
          <w:rFonts w:cs="Times New Roman"/>
        </w:rPr>
        <w:t>—</w:t>
      </w:r>
      <w:r>
        <w:rPr>
          <w:rFonts w:cs="Times New Roman"/>
        </w:rPr>
        <w:t xml:space="preserve"> </w:t>
      </w:r>
      <w:r w:rsidRPr="00BA76B1">
        <w:rPr>
          <w:rFonts w:cs="Times New Roman"/>
        </w:rPr>
        <w:t>at Ms. Ber</w:t>
      </w:r>
      <w:r>
        <w:rPr>
          <w:rFonts w:cs="Times New Roman"/>
        </w:rPr>
        <w:t>nard’s home violates her s.</w:t>
      </w:r>
      <w:r w:rsidRPr="00BA76B1">
        <w:rPr>
          <w:rFonts w:cs="Times New Roman"/>
        </w:rPr>
        <w:t xml:space="preserve"> 2(</w:t>
      </w:r>
      <w:r w:rsidRPr="006963A6">
        <w:rPr>
          <w:rFonts w:cs="Times New Roman"/>
          <w:i/>
        </w:rPr>
        <w:t>d</w:t>
      </w:r>
      <w:r w:rsidRPr="00BA76B1">
        <w:rPr>
          <w:rFonts w:cs="Times New Roman"/>
        </w:rPr>
        <w:t xml:space="preserve">) right to freedom from association.  </w:t>
      </w:r>
    </w:p>
    <w:p w:rsidR="00E052E3" w:rsidRPr="00BA76B1" w:rsidRDefault="00E052E3" w:rsidP="00E052E3">
      <w:pPr>
        <w:pStyle w:val="ParaNoNdepar-AltN"/>
        <w:rPr>
          <w:rFonts w:cs="Times New Roman"/>
        </w:rPr>
      </w:pPr>
      <w:r w:rsidRPr="00BA76B1">
        <w:rPr>
          <w:rFonts w:cs="Times New Roman"/>
        </w:rPr>
        <w:t>In light of this conclusion, this Court need not address the second part of the test. Nevertheless, Ms. Bernard has also not demonstrated that the Board’s orders amounted to compelled ideological conformity. The question is whether the “activity associates the individual with ideas and values to which he or she does not voluntarily subscribe” (</w:t>
      </w:r>
      <w:proofErr w:type="spellStart"/>
      <w:r w:rsidRPr="00BA76B1">
        <w:rPr>
          <w:rFonts w:cs="Times New Roman"/>
          <w:i/>
        </w:rPr>
        <w:t>Lavigne</w:t>
      </w:r>
      <w:proofErr w:type="spellEnd"/>
      <w:r w:rsidRPr="00305CE4">
        <w:rPr>
          <w:rFonts w:cs="Times New Roman"/>
        </w:rPr>
        <w:t xml:space="preserve">, </w:t>
      </w:r>
      <w:r w:rsidRPr="00BA76B1">
        <w:rPr>
          <w:rFonts w:cs="Times New Roman"/>
        </w:rPr>
        <w:t>at p</w:t>
      </w:r>
      <w:r>
        <w:rPr>
          <w:rFonts w:cs="Times New Roman"/>
        </w:rPr>
        <w:t>. 344</w:t>
      </w:r>
      <w:r w:rsidRPr="00BA76B1">
        <w:rPr>
          <w:rFonts w:cs="Times New Roman"/>
        </w:rPr>
        <w:t xml:space="preserve">, </w:t>
      </w:r>
      <w:r w:rsidRPr="006963A6">
        <w:rPr>
          <w:rFonts w:cs="Times New Roman"/>
          <w:i/>
        </w:rPr>
        <w:t>per</w:t>
      </w:r>
      <w:r>
        <w:rPr>
          <w:rFonts w:cs="Times New Roman"/>
        </w:rPr>
        <w:t xml:space="preserve"> </w:t>
      </w:r>
      <w:r w:rsidRPr="00BA76B1">
        <w:rPr>
          <w:rFonts w:cs="Times New Roman"/>
        </w:rPr>
        <w:t>McLachlin J</w:t>
      </w:r>
      <w:r>
        <w:rPr>
          <w:rFonts w:cs="Times New Roman"/>
        </w:rPr>
        <w:t>., as she then was</w:t>
      </w:r>
      <w:r w:rsidRPr="00BA76B1">
        <w:rPr>
          <w:rFonts w:cs="Times New Roman"/>
        </w:rPr>
        <w:t xml:space="preserve">). Mere contact does not amount to such compulsion. </w:t>
      </w:r>
    </w:p>
    <w:p w:rsidR="00E052E3" w:rsidRPr="00BA76B1" w:rsidRDefault="00E052E3" w:rsidP="00E052E3">
      <w:pPr>
        <w:pStyle w:val="Title4LevelTitre4Niveau"/>
        <w:rPr>
          <w:rFonts w:cs="Times New Roman"/>
        </w:rPr>
      </w:pPr>
      <w:bookmarkStart w:id="31" w:name="_Toc378672418"/>
      <w:r>
        <w:rPr>
          <w:rFonts w:cs="Times New Roman"/>
        </w:rPr>
        <w:t>The Liberty T</w:t>
      </w:r>
      <w:r w:rsidRPr="00BA76B1">
        <w:rPr>
          <w:rFonts w:cs="Times New Roman"/>
        </w:rPr>
        <w:t>est</w:t>
      </w:r>
      <w:bookmarkEnd w:id="31"/>
      <w:r w:rsidRPr="00BA76B1">
        <w:rPr>
          <w:rFonts w:cs="Times New Roman"/>
        </w:rPr>
        <w:t xml:space="preserve"> </w:t>
      </w:r>
    </w:p>
    <w:p w:rsidR="00E052E3" w:rsidRPr="00BA76B1" w:rsidRDefault="00E052E3" w:rsidP="00E052E3">
      <w:pPr>
        <w:pStyle w:val="ParaNoNdepar-AltN"/>
        <w:rPr>
          <w:rFonts w:cs="Times New Roman"/>
        </w:rPr>
      </w:pPr>
      <w:r w:rsidRPr="00BA76B1">
        <w:rPr>
          <w:rFonts w:cs="Times New Roman"/>
        </w:rPr>
        <w:t xml:space="preserve">Assuming, without deciding, that our law recognizes that </w:t>
      </w:r>
      <w:proofErr w:type="gramStart"/>
      <w:r w:rsidRPr="00BA76B1">
        <w:rPr>
          <w:rFonts w:cs="Times New Roman"/>
        </w:rPr>
        <w:t>a</w:t>
      </w:r>
      <w:proofErr w:type="gramEnd"/>
      <w:r w:rsidRPr="00BA76B1">
        <w:rPr>
          <w:rFonts w:cs="Times New Roman"/>
        </w:rPr>
        <w:t xml:space="preserve"> s</w:t>
      </w:r>
      <w:r>
        <w:rPr>
          <w:rFonts w:cs="Times New Roman"/>
        </w:rPr>
        <w:t xml:space="preserve">. </w:t>
      </w:r>
      <w:r w:rsidRPr="00BA76B1">
        <w:rPr>
          <w:rFonts w:cs="Times New Roman"/>
        </w:rPr>
        <w:t>2(</w:t>
      </w:r>
      <w:r w:rsidRPr="006963A6">
        <w:rPr>
          <w:rFonts w:cs="Times New Roman"/>
          <w:i/>
        </w:rPr>
        <w:t>d</w:t>
      </w:r>
      <w:r w:rsidRPr="00BA76B1">
        <w:rPr>
          <w:rFonts w:cs="Times New Roman"/>
        </w:rPr>
        <w:t xml:space="preserve">) </w:t>
      </w:r>
      <w:r w:rsidRPr="00BA76B1">
        <w:rPr>
          <w:rFonts w:cs="Times New Roman"/>
          <w:i/>
        </w:rPr>
        <w:t xml:space="preserve">Charter </w:t>
      </w:r>
      <w:r w:rsidRPr="00BA76B1">
        <w:rPr>
          <w:rFonts w:cs="Times New Roman"/>
        </w:rPr>
        <w:t>claim to freedom from association may be advanced under the liberty test described above, the first criterion of the test</w:t>
      </w:r>
      <w:r>
        <w:rPr>
          <w:rFonts w:cs="Times New Roman"/>
        </w:rPr>
        <w:t xml:space="preserve"> </w:t>
      </w:r>
      <w:r w:rsidRPr="00BA76B1">
        <w:rPr>
          <w:rFonts w:cs="Times New Roman"/>
        </w:rPr>
        <w:t>—</w:t>
      </w:r>
      <w:r>
        <w:rPr>
          <w:rFonts w:cs="Times New Roman"/>
        </w:rPr>
        <w:t xml:space="preserve"> </w:t>
      </w:r>
      <w:r w:rsidRPr="00BA76B1">
        <w:rPr>
          <w:rFonts w:cs="Times New Roman"/>
        </w:rPr>
        <w:t>the existence of forced association</w:t>
      </w:r>
      <w:r>
        <w:rPr>
          <w:rFonts w:cs="Times New Roman"/>
        </w:rPr>
        <w:t xml:space="preserve"> </w:t>
      </w:r>
      <w:r w:rsidRPr="00BA76B1">
        <w:rPr>
          <w:rFonts w:cs="Times New Roman"/>
        </w:rPr>
        <w:t>—</w:t>
      </w:r>
      <w:r>
        <w:rPr>
          <w:rFonts w:cs="Times New Roman"/>
        </w:rPr>
        <w:t xml:space="preserve"> </w:t>
      </w:r>
      <w:r w:rsidRPr="00BA76B1">
        <w:rPr>
          <w:rFonts w:cs="Times New Roman"/>
        </w:rPr>
        <w:t>has not been established. This claim must therefore be rejected.</w:t>
      </w:r>
    </w:p>
    <w:p w:rsidR="00E052E3" w:rsidRPr="00BA76B1" w:rsidRDefault="00E052E3" w:rsidP="00E052E3">
      <w:pPr>
        <w:pStyle w:val="Title3LevelTitre3Niveau"/>
        <w:rPr>
          <w:rFonts w:cs="Times New Roman"/>
          <w:i/>
        </w:rPr>
      </w:pPr>
      <w:bookmarkStart w:id="32" w:name="_Toc378672419"/>
      <w:r>
        <w:rPr>
          <w:rFonts w:cs="Times New Roman"/>
        </w:rPr>
        <w:t>There Is No Violation of S</w:t>
      </w:r>
      <w:r w:rsidRPr="00BA76B1">
        <w:rPr>
          <w:rFonts w:cs="Times New Roman"/>
        </w:rPr>
        <w:t xml:space="preserve">ection 8 of the </w:t>
      </w:r>
      <w:r w:rsidRPr="00BA76B1">
        <w:rPr>
          <w:rFonts w:cs="Times New Roman"/>
          <w:i/>
        </w:rPr>
        <w:t>Charter</w:t>
      </w:r>
      <w:bookmarkEnd w:id="32"/>
    </w:p>
    <w:p w:rsidR="00E052E3" w:rsidRPr="00BA76B1" w:rsidRDefault="00E052E3" w:rsidP="00E052E3">
      <w:pPr>
        <w:pStyle w:val="ParaNoNdepar-AltN"/>
        <w:rPr>
          <w:rFonts w:cs="Times New Roman"/>
        </w:rPr>
      </w:pPr>
      <w:r w:rsidRPr="00BA76B1">
        <w:rPr>
          <w:rFonts w:cs="Times New Roman"/>
        </w:rPr>
        <w:t>Ms. Bernard contends that the employer’s disclosure of her personal information without her consent constitutes a</w:t>
      </w:r>
      <w:r>
        <w:rPr>
          <w:rFonts w:cs="Times New Roman"/>
        </w:rPr>
        <w:t>n unlawful seizure under s.</w:t>
      </w:r>
      <w:r w:rsidRPr="00BA76B1">
        <w:rPr>
          <w:rFonts w:cs="Times New Roman"/>
        </w:rPr>
        <w:t xml:space="preserve"> 8. </w:t>
      </w:r>
    </w:p>
    <w:p w:rsidR="00E052E3" w:rsidRPr="00BA76B1" w:rsidRDefault="00E052E3" w:rsidP="00E052E3">
      <w:pPr>
        <w:pStyle w:val="ParaNoNdepar-AltN"/>
        <w:rPr>
          <w:rFonts w:cs="Times New Roman"/>
        </w:rPr>
      </w:pPr>
      <w:r w:rsidRPr="00BA76B1">
        <w:rPr>
          <w:rFonts w:cs="Times New Roman"/>
        </w:rPr>
        <w:t xml:space="preserve">I agree with the submission of the Attorney General of Canada that, in light of the “totality of the circumstances”, Ms. Bernard did not have a reasonable </w:t>
      </w:r>
      <w:r w:rsidRPr="00BA76B1">
        <w:rPr>
          <w:rFonts w:cs="Times New Roman"/>
        </w:rPr>
        <w:lastRenderedPageBreak/>
        <w:t xml:space="preserve">expectation of privacy in the personal information disclosed by the employer to the bargaining agent </w:t>
      </w:r>
      <w:r w:rsidR="00305CE4">
        <w:rPr>
          <w:rFonts w:cs="Times New Roman"/>
        </w:rPr>
        <w:t>(</w:t>
      </w:r>
      <w:r>
        <w:rPr>
          <w:rFonts w:cs="Times New Roman"/>
        </w:rPr>
        <w:t xml:space="preserve">A.G. of Canada factum, at </w:t>
      </w:r>
      <w:proofErr w:type="spellStart"/>
      <w:r>
        <w:rPr>
          <w:rFonts w:cs="Times New Roman"/>
        </w:rPr>
        <w:t>para</w:t>
      </w:r>
      <w:proofErr w:type="spellEnd"/>
      <w:r>
        <w:rPr>
          <w:rFonts w:cs="Times New Roman"/>
        </w:rPr>
        <w:t xml:space="preserve">. 69; see also </w:t>
      </w:r>
      <w:r w:rsidRPr="00BA76B1">
        <w:rPr>
          <w:rFonts w:cs="Times New Roman"/>
          <w:i/>
        </w:rPr>
        <w:t>R</w:t>
      </w:r>
      <w:r>
        <w:rPr>
          <w:rFonts w:cs="Times New Roman"/>
          <w:i/>
        </w:rPr>
        <w:t>.</w:t>
      </w:r>
      <w:r w:rsidRPr="00BA76B1">
        <w:rPr>
          <w:rFonts w:cs="Times New Roman"/>
          <w:i/>
        </w:rPr>
        <w:t xml:space="preserve"> v</w:t>
      </w:r>
      <w:r>
        <w:rPr>
          <w:rFonts w:cs="Times New Roman"/>
          <w:i/>
        </w:rPr>
        <w:t>.</w:t>
      </w:r>
      <w:r w:rsidRPr="00BA76B1">
        <w:rPr>
          <w:rFonts w:cs="Times New Roman"/>
          <w:i/>
        </w:rPr>
        <w:t xml:space="preserve"> Cole</w:t>
      </w:r>
      <w:r w:rsidRPr="00BA76B1">
        <w:rPr>
          <w:rFonts w:cs="Times New Roman"/>
        </w:rPr>
        <w:t>, 2012 SCC 53</w:t>
      </w:r>
      <w:r>
        <w:rPr>
          <w:rFonts w:cs="Times New Roman"/>
        </w:rPr>
        <w:t>, [2012] 3 S.C.R. 34,</w:t>
      </w:r>
      <w:r w:rsidRPr="00BA76B1">
        <w:rPr>
          <w:rFonts w:cs="Times New Roman"/>
        </w:rPr>
        <w:t xml:space="preserve"> at </w:t>
      </w:r>
      <w:proofErr w:type="spellStart"/>
      <w:r w:rsidRPr="00BA76B1">
        <w:rPr>
          <w:rFonts w:cs="Times New Roman"/>
        </w:rPr>
        <w:t>para</w:t>
      </w:r>
      <w:proofErr w:type="spellEnd"/>
      <w:r>
        <w:rPr>
          <w:rFonts w:cs="Times New Roman"/>
        </w:rPr>
        <w:t>.</w:t>
      </w:r>
      <w:r w:rsidRPr="00BA76B1">
        <w:rPr>
          <w:rFonts w:cs="Times New Roman"/>
        </w:rPr>
        <w:t xml:space="preserve"> 40</w:t>
      </w:r>
      <w:r w:rsidR="00305CE4">
        <w:rPr>
          <w:rFonts w:cs="Times New Roman"/>
        </w:rPr>
        <w:t>)</w:t>
      </w:r>
      <w:r w:rsidRPr="00BA76B1">
        <w:rPr>
          <w:rFonts w:cs="Times New Roman"/>
        </w:rPr>
        <w:t>. The subject matter of the alleged seizure is limited to Ms. Bernard’s home address and telephone number. I</w:t>
      </w:r>
      <w:r>
        <w:rPr>
          <w:rFonts w:cs="Times New Roman"/>
        </w:rPr>
        <w:t>t can be surmised that Ms. </w:t>
      </w:r>
      <w:r w:rsidRPr="00BA76B1">
        <w:rPr>
          <w:rFonts w:cs="Times New Roman"/>
        </w:rPr>
        <w:t>Bernard has a direct interest and subjective expectation of privacy in this information. However, in the circumstances here, Ms. Bernard has not shown that the home addresses and telephone numbers of employees can reasonably be said to form part of the “biographical core of p</w:t>
      </w:r>
      <w:r>
        <w:rPr>
          <w:rFonts w:cs="Times New Roman"/>
        </w:rPr>
        <w:t>ersonal information” which tends</w:t>
      </w:r>
      <w:r w:rsidRPr="00BA76B1">
        <w:rPr>
          <w:rFonts w:cs="Times New Roman"/>
        </w:rPr>
        <w:t xml:space="preserve"> “</w:t>
      </w:r>
      <w:r>
        <w:rPr>
          <w:rFonts w:cs="Times New Roman"/>
        </w:rPr>
        <w:t xml:space="preserve">to </w:t>
      </w:r>
      <w:r w:rsidRPr="00BA76B1">
        <w:rPr>
          <w:rFonts w:cs="Times New Roman"/>
        </w:rPr>
        <w:t>reveal intimate details of the lifestyle and personal choices of the individual” (</w:t>
      </w:r>
      <w:r w:rsidRPr="00BA76B1">
        <w:rPr>
          <w:rFonts w:cs="Times New Roman"/>
          <w:i/>
        </w:rPr>
        <w:t>R</w:t>
      </w:r>
      <w:r>
        <w:rPr>
          <w:rFonts w:cs="Times New Roman"/>
          <w:i/>
        </w:rPr>
        <w:t>.</w:t>
      </w:r>
      <w:r w:rsidRPr="00BA76B1">
        <w:rPr>
          <w:rFonts w:cs="Times New Roman"/>
          <w:i/>
        </w:rPr>
        <w:t xml:space="preserve"> v</w:t>
      </w:r>
      <w:r>
        <w:rPr>
          <w:rFonts w:cs="Times New Roman"/>
          <w:i/>
        </w:rPr>
        <w:t>.</w:t>
      </w:r>
      <w:r w:rsidRPr="00BA76B1">
        <w:rPr>
          <w:rFonts w:cs="Times New Roman"/>
          <w:i/>
        </w:rPr>
        <w:t xml:space="preserve"> Plant</w:t>
      </w:r>
      <w:r w:rsidRPr="00BA76B1">
        <w:rPr>
          <w:rFonts w:cs="Times New Roman"/>
        </w:rPr>
        <w:t>, [1993] 3 S</w:t>
      </w:r>
      <w:r>
        <w:rPr>
          <w:rFonts w:cs="Times New Roman"/>
        </w:rPr>
        <w:t>.</w:t>
      </w:r>
      <w:r w:rsidRPr="00BA76B1">
        <w:rPr>
          <w:rFonts w:cs="Times New Roman"/>
        </w:rPr>
        <w:t>C</w:t>
      </w:r>
      <w:r>
        <w:rPr>
          <w:rFonts w:cs="Times New Roman"/>
        </w:rPr>
        <w:t>.</w:t>
      </w:r>
      <w:r w:rsidRPr="00BA76B1">
        <w:rPr>
          <w:rFonts w:cs="Times New Roman"/>
        </w:rPr>
        <w:t>R</w:t>
      </w:r>
      <w:r>
        <w:rPr>
          <w:rFonts w:cs="Times New Roman"/>
        </w:rPr>
        <w:t>.</w:t>
      </w:r>
      <w:r w:rsidRPr="00BA76B1">
        <w:rPr>
          <w:rFonts w:cs="Times New Roman"/>
        </w:rPr>
        <w:t xml:space="preserve"> 281</w:t>
      </w:r>
      <w:r>
        <w:rPr>
          <w:rFonts w:cs="Times New Roman"/>
        </w:rPr>
        <w:t>,</w:t>
      </w:r>
      <w:r w:rsidRPr="00BA76B1">
        <w:rPr>
          <w:rFonts w:cs="Times New Roman"/>
        </w:rPr>
        <w:t xml:space="preserve"> at </w:t>
      </w:r>
      <w:r>
        <w:rPr>
          <w:rFonts w:cs="Times New Roman"/>
        </w:rPr>
        <w:t xml:space="preserve">p. </w:t>
      </w:r>
      <w:r w:rsidRPr="00BA76B1">
        <w:rPr>
          <w:rFonts w:cs="Times New Roman"/>
        </w:rPr>
        <w:t xml:space="preserve">293; cited in </w:t>
      </w:r>
      <w:r w:rsidRPr="00BA76B1">
        <w:rPr>
          <w:rFonts w:cs="Times New Roman"/>
          <w:i/>
        </w:rPr>
        <w:t>Cole</w:t>
      </w:r>
      <w:r>
        <w:rPr>
          <w:rFonts w:cs="Times New Roman"/>
        </w:rPr>
        <w:t>,</w:t>
      </w:r>
      <w:r w:rsidRPr="00BA76B1">
        <w:rPr>
          <w:rFonts w:cs="Times New Roman"/>
          <w:i/>
        </w:rPr>
        <w:t xml:space="preserve"> </w:t>
      </w:r>
      <w:r w:rsidRPr="00BA76B1">
        <w:rPr>
          <w:rFonts w:cs="Times New Roman"/>
        </w:rPr>
        <w:t xml:space="preserve">at </w:t>
      </w:r>
      <w:proofErr w:type="spellStart"/>
      <w:r w:rsidRPr="00BA76B1">
        <w:rPr>
          <w:rFonts w:cs="Times New Roman"/>
        </w:rPr>
        <w:t>para</w:t>
      </w:r>
      <w:proofErr w:type="spellEnd"/>
      <w:r>
        <w:rPr>
          <w:rFonts w:cs="Times New Roman"/>
        </w:rPr>
        <w:t>.</w:t>
      </w:r>
      <w:r w:rsidRPr="00BA76B1">
        <w:rPr>
          <w:rFonts w:cs="Times New Roman"/>
        </w:rPr>
        <w:t xml:space="preserve"> 45). Ms. Bernard’s subjective expectation of privacy in this information was therefore not objectively reasonable. The disclosure of her home </w:t>
      </w:r>
      <w:r>
        <w:rPr>
          <w:rFonts w:cs="Times New Roman"/>
        </w:rPr>
        <w:t xml:space="preserve">address and </w:t>
      </w:r>
      <w:r w:rsidRPr="00BA76B1">
        <w:rPr>
          <w:rFonts w:cs="Times New Roman"/>
        </w:rPr>
        <w:t>telephone number to the bargaining agent therefore does not trigger the protection</w:t>
      </w:r>
      <w:r>
        <w:rPr>
          <w:rFonts w:cs="Times New Roman"/>
        </w:rPr>
        <w:t xml:space="preserve"> of s.</w:t>
      </w:r>
      <w:r w:rsidRPr="00BA76B1">
        <w:rPr>
          <w:rFonts w:cs="Times New Roman"/>
        </w:rPr>
        <w:t xml:space="preserve"> 8 of the </w:t>
      </w:r>
      <w:r w:rsidRPr="00BA76B1">
        <w:rPr>
          <w:rFonts w:cs="Times New Roman"/>
          <w:i/>
        </w:rPr>
        <w:t>Charter</w:t>
      </w:r>
      <w:r w:rsidRPr="00BA76B1">
        <w:rPr>
          <w:rFonts w:cs="Times New Roman"/>
        </w:rPr>
        <w:t>.</w:t>
      </w:r>
    </w:p>
    <w:p w:rsidR="00E052E3" w:rsidRPr="00BA76B1" w:rsidRDefault="00E052E3" w:rsidP="00E052E3">
      <w:pPr>
        <w:pStyle w:val="ParaNoNdepar-AltN"/>
        <w:rPr>
          <w:rFonts w:cs="Times New Roman"/>
        </w:rPr>
      </w:pPr>
      <w:r w:rsidRPr="00BA76B1">
        <w:rPr>
          <w:rFonts w:cs="Times New Roman"/>
        </w:rPr>
        <w:t>In any event, since Ms. Bernard’s employer disclosed her home contact information</w:t>
      </w:r>
      <w:r>
        <w:rPr>
          <w:rFonts w:cs="Times New Roman"/>
        </w:rPr>
        <w:t xml:space="preserve"> </w:t>
      </w:r>
      <w:r w:rsidRPr="00BA76B1">
        <w:rPr>
          <w:rFonts w:cs="Times New Roman"/>
        </w:rPr>
        <w:t>—</w:t>
      </w:r>
      <w:r>
        <w:rPr>
          <w:rFonts w:cs="Times New Roman"/>
        </w:rPr>
        <w:t xml:space="preserve"> </w:t>
      </w:r>
      <w:r w:rsidRPr="00BA76B1">
        <w:rPr>
          <w:rFonts w:cs="Times New Roman"/>
        </w:rPr>
        <w:t>which she had voluntarily provided to the employer (</w:t>
      </w:r>
      <w:r>
        <w:rPr>
          <w:rFonts w:cs="Times New Roman"/>
        </w:rPr>
        <w:t>A.F., a</w:t>
      </w:r>
      <w:r w:rsidRPr="00BA76B1">
        <w:rPr>
          <w:rFonts w:cs="Times New Roman"/>
        </w:rPr>
        <w:t xml:space="preserve">t </w:t>
      </w:r>
      <w:proofErr w:type="spellStart"/>
      <w:r w:rsidRPr="00BA76B1">
        <w:rPr>
          <w:rFonts w:cs="Times New Roman"/>
        </w:rPr>
        <w:t>para</w:t>
      </w:r>
      <w:proofErr w:type="spellEnd"/>
      <w:r>
        <w:rPr>
          <w:rFonts w:cs="Times New Roman"/>
        </w:rPr>
        <w:t>.</w:t>
      </w:r>
      <w:r w:rsidRPr="00BA76B1">
        <w:rPr>
          <w:rFonts w:cs="Times New Roman"/>
        </w:rPr>
        <w:t xml:space="preserve"> 86)</w:t>
      </w:r>
      <w:r>
        <w:rPr>
          <w:rFonts w:cs="Times New Roman"/>
        </w:rPr>
        <w:t xml:space="preserve"> </w:t>
      </w:r>
      <w:r w:rsidRPr="00BA76B1">
        <w:rPr>
          <w:rFonts w:cs="Times New Roman"/>
        </w:rPr>
        <w:t>—</w:t>
      </w:r>
      <w:r>
        <w:rPr>
          <w:rFonts w:cs="Times New Roman"/>
        </w:rPr>
        <w:t xml:space="preserve"> </w:t>
      </w:r>
      <w:r w:rsidRPr="00BA76B1">
        <w:rPr>
          <w:rFonts w:cs="Times New Roman"/>
        </w:rPr>
        <w:t>to the bargaining agent</w:t>
      </w:r>
      <w:r>
        <w:rPr>
          <w:rFonts w:cs="Times New Roman"/>
        </w:rPr>
        <w:t xml:space="preserve">, which is an </w:t>
      </w:r>
      <w:r w:rsidRPr="00BA76B1">
        <w:rPr>
          <w:rFonts w:cs="Times New Roman"/>
        </w:rPr>
        <w:t>employee organization, it cannot constitute a “seizure” for the purposes of s</w:t>
      </w:r>
      <w:r>
        <w:rPr>
          <w:rFonts w:cs="Times New Roman"/>
        </w:rPr>
        <w:t>.</w:t>
      </w:r>
      <w:r w:rsidRPr="00BA76B1">
        <w:rPr>
          <w:rFonts w:cs="Times New Roman"/>
        </w:rPr>
        <w:t xml:space="preserve"> 8 of the </w:t>
      </w:r>
      <w:r w:rsidRPr="00BA76B1">
        <w:rPr>
          <w:rFonts w:cs="Times New Roman"/>
          <w:i/>
        </w:rPr>
        <w:t>Charter</w:t>
      </w:r>
      <w:r w:rsidRPr="00BA76B1">
        <w:rPr>
          <w:rFonts w:cs="Times New Roman"/>
        </w:rPr>
        <w:t xml:space="preserve">. As Justice La Forest noted in </w:t>
      </w:r>
      <w:r w:rsidRPr="00BA76B1">
        <w:rPr>
          <w:rFonts w:cs="Times New Roman"/>
          <w:i/>
        </w:rPr>
        <w:t>R</w:t>
      </w:r>
      <w:r>
        <w:rPr>
          <w:rFonts w:cs="Times New Roman"/>
          <w:i/>
        </w:rPr>
        <w:t>.</w:t>
      </w:r>
      <w:r w:rsidRPr="00BA76B1">
        <w:rPr>
          <w:rFonts w:cs="Times New Roman"/>
          <w:i/>
        </w:rPr>
        <w:t xml:space="preserve"> v</w:t>
      </w:r>
      <w:r>
        <w:rPr>
          <w:rFonts w:cs="Times New Roman"/>
          <w:i/>
        </w:rPr>
        <w:t>.</w:t>
      </w:r>
      <w:r w:rsidRPr="00BA76B1">
        <w:rPr>
          <w:rFonts w:cs="Times New Roman"/>
          <w:i/>
        </w:rPr>
        <w:t xml:space="preserve"> </w:t>
      </w:r>
      <w:proofErr w:type="spellStart"/>
      <w:r w:rsidRPr="00BA76B1">
        <w:rPr>
          <w:rFonts w:cs="Times New Roman"/>
          <w:i/>
        </w:rPr>
        <w:t>Dyment</w:t>
      </w:r>
      <w:proofErr w:type="spellEnd"/>
      <w:r>
        <w:rPr>
          <w:rFonts w:cs="Times New Roman"/>
        </w:rPr>
        <w:t>, [1988] 2 S.C.R. 417</w:t>
      </w:r>
      <w:r w:rsidRPr="00BA76B1">
        <w:rPr>
          <w:rFonts w:cs="Times New Roman"/>
        </w:rPr>
        <w:t>: “Section 8 was designed to protect against actions by the state and its agents” (</w:t>
      </w:r>
      <w:r>
        <w:rPr>
          <w:rFonts w:cs="Times New Roman"/>
        </w:rPr>
        <w:t>p. 431</w:t>
      </w:r>
      <w:r w:rsidRPr="00BA76B1">
        <w:rPr>
          <w:rFonts w:cs="Times New Roman"/>
        </w:rPr>
        <w:t xml:space="preserve">). The union is neither the state, nor one of its agents.  </w:t>
      </w:r>
    </w:p>
    <w:p w:rsidR="00E052E3" w:rsidRPr="003575CA" w:rsidRDefault="00E052E3" w:rsidP="00E052E3">
      <w:pPr>
        <w:pStyle w:val="Title1LevelTitre1Niveau-AltL"/>
      </w:pPr>
      <w:bookmarkStart w:id="33" w:name="_Toc372276039"/>
      <w:bookmarkStart w:id="34" w:name="_Toc378672420"/>
      <w:r w:rsidRPr="003575CA">
        <w:t>Costs</w:t>
      </w:r>
      <w:bookmarkEnd w:id="33"/>
      <w:bookmarkEnd w:id="34"/>
    </w:p>
    <w:p w:rsidR="00E052E3" w:rsidRPr="00BA76B1" w:rsidRDefault="00E052E3" w:rsidP="00E052E3">
      <w:pPr>
        <w:pStyle w:val="ParaNoNdepar-AltN"/>
        <w:rPr>
          <w:rFonts w:cs="Times New Roman"/>
        </w:rPr>
      </w:pPr>
      <w:r w:rsidRPr="00BA76B1">
        <w:rPr>
          <w:rFonts w:cs="Times New Roman"/>
        </w:rPr>
        <w:t xml:space="preserve">Because the Board and the Federal Court of Appeal erred in law in refusing to hear and decide Ms. Bernard’s </w:t>
      </w:r>
      <w:r w:rsidRPr="00BA76B1">
        <w:rPr>
          <w:rFonts w:cs="Times New Roman"/>
          <w:i/>
        </w:rPr>
        <w:t xml:space="preserve">Charter </w:t>
      </w:r>
      <w:r w:rsidRPr="00BA76B1">
        <w:rPr>
          <w:rFonts w:cs="Times New Roman"/>
        </w:rPr>
        <w:t xml:space="preserve">arguments, I would allow her appeal but only in respect of the Federal Court of Appeal’s order of costs payable by </w:t>
      </w:r>
      <w:r w:rsidRPr="00BA76B1">
        <w:rPr>
          <w:rFonts w:cs="Times New Roman"/>
        </w:rPr>
        <w:lastRenderedPageBreak/>
        <w:t>her to the Attorney General of Canada and to P</w:t>
      </w:r>
      <w:r>
        <w:rPr>
          <w:rFonts w:cs="Times New Roman"/>
        </w:rPr>
        <w:t xml:space="preserve">IPSC. </w:t>
      </w:r>
      <w:r w:rsidRPr="00BA76B1">
        <w:rPr>
          <w:rFonts w:cs="Times New Roman"/>
        </w:rPr>
        <w:t xml:space="preserve"> In all other respects, I would dismiss the appeal. In light of the circumstances, the parties should bear their own costs in this Court. </w:t>
      </w:r>
    </w:p>
    <w:p w:rsidR="00867DAA" w:rsidRPr="000D22B6" w:rsidRDefault="009B57B3" w:rsidP="004435DF">
      <w:pPr>
        <w:pStyle w:val="SCCLawFirm"/>
        <w:spacing w:before="480" w:after="480"/>
      </w:pPr>
      <w:r w:rsidRPr="000D22B6">
        <w:tab/>
      </w:r>
      <w:r w:rsidR="00867DAA" w:rsidRPr="000D22B6">
        <w:t xml:space="preserve">Appeal dismissed without costs, </w:t>
      </w:r>
      <w:r w:rsidR="00867DAA" w:rsidRPr="000D22B6">
        <w:rPr>
          <w:i w:val="0"/>
          <w:smallCaps/>
        </w:rPr>
        <w:t>Rothstein</w:t>
      </w:r>
      <w:r w:rsidR="00867DAA" w:rsidRPr="000D22B6">
        <w:t xml:space="preserve"> and </w:t>
      </w:r>
      <w:proofErr w:type="spellStart"/>
      <w:r w:rsidR="00867DAA" w:rsidRPr="000D22B6">
        <w:rPr>
          <w:i w:val="0"/>
          <w:smallCaps/>
        </w:rPr>
        <w:t>Moldaver</w:t>
      </w:r>
      <w:proofErr w:type="spellEnd"/>
      <w:r w:rsidR="008C0F21" w:rsidRPr="000D22B6">
        <w:rPr>
          <w:i w:val="0"/>
        </w:rPr>
        <w:t> </w:t>
      </w:r>
      <w:r w:rsidR="00867DAA" w:rsidRPr="000D22B6">
        <w:rPr>
          <w:i w:val="0"/>
        </w:rPr>
        <w:t>JJ.</w:t>
      </w:r>
      <w:r w:rsidR="00867DAA" w:rsidRPr="000D22B6">
        <w:t xml:space="preserve"> </w:t>
      </w:r>
      <w:proofErr w:type="gramStart"/>
      <w:r w:rsidR="00867DAA" w:rsidRPr="000D22B6">
        <w:t>dissenting</w:t>
      </w:r>
      <w:proofErr w:type="gramEnd"/>
      <w:r w:rsidR="00867DAA" w:rsidRPr="000D22B6">
        <w:t xml:space="preserve"> in part.</w:t>
      </w:r>
    </w:p>
    <w:p w:rsidR="00E60DE8" w:rsidRPr="000D22B6" w:rsidRDefault="00E60DE8" w:rsidP="008C0F21">
      <w:pPr>
        <w:pStyle w:val="SCCLawFirm"/>
        <w:spacing w:before="480" w:after="480"/>
      </w:pPr>
      <w:r w:rsidRPr="000D22B6">
        <w:tab/>
        <w:t>Elizabeth Bernard, on her own behalf.</w:t>
      </w:r>
    </w:p>
    <w:p w:rsidR="00E60DE8" w:rsidRPr="000D22B6" w:rsidRDefault="00E60DE8" w:rsidP="008C0F21">
      <w:pPr>
        <w:pStyle w:val="SCCLawFirm"/>
        <w:spacing w:before="480" w:after="480"/>
      </w:pPr>
      <w:r w:rsidRPr="000D22B6">
        <w:tab/>
        <w:t>Solicitor for the respondent the Attorney General of Canada</w:t>
      </w:r>
      <w:r w:rsidR="008C0F21" w:rsidRPr="000D22B6">
        <w:t>:  </w:t>
      </w:r>
      <w:r w:rsidRPr="000D22B6">
        <w:t>Attorney General of Canada, Ottawa.</w:t>
      </w:r>
    </w:p>
    <w:p w:rsidR="00E60DE8" w:rsidRPr="000D22B6" w:rsidRDefault="00E60DE8" w:rsidP="008C0F21">
      <w:pPr>
        <w:pStyle w:val="SCCLawFirm"/>
        <w:spacing w:before="480" w:after="480"/>
      </w:pPr>
      <w:r w:rsidRPr="000D22B6">
        <w:tab/>
        <w:t>Solicitors for the respondent the Professional Institute of the Public Service of Canada</w:t>
      </w:r>
      <w:r w:rsidR="008C0F21" w:rsidRPr="000D22B6">
        <w:t>:  </w:t>
      </w:r>
      <w:r w:rsidRPr="000D22B6">
        <w:t xml:space="preserve">Sack </w:t>
      </w:r>
      <w:proofErr w:type="spellStart"/>
      <w:r w:rsidRPr="000D22B6">
        <w:t>Goldblatt</w:t>
      </w:r>
      <w:proofErr w:type="spellEnd"/>
      <w:r w:rsidRPr="000D22B6">
        <w:t xml:space="preserve"> Mitchell, Ottawa.</w:t>
      </w:r>
    </w:p>
    <w:p w:rsidR="009E5B4B" w:rsidRPr="000D22B6" w:rsidRDefault="009E5B4B" w:rsidP="009E5B4B">
      <w:pPr>
        <w:pStyle w:val="SCCNormalDoubleSpacing"/>
      </w:pPr>
      <w:r w:rsidRPr="000D22B6">
        <w:rPr>
          <w:i/>
        </w:rPr>
        <w:tab/>
        <w:t xml:space="preserve">Solicitors appointed by the Court as amicus curiae:  McCarthy </w:t>
      </w:r>
      <w:proofErr w:type="spellStart"/>
      <w:r w:rsidRPr="000D22B6">
        <w:rPr>
          <w:i/>
        </w:rPr>
        <w:t>Tétrault</w:t>
      </w:r>
      <w:proofErr w:type="spellEnd"/>
      <w:r w:rsidRPr="000D22B6">
        <w:rPr>
          <w:i/>
        </w:rPr>
        <w:t>, Vancouver.</w:t>
      </w:r>
    </w:p>
    <w:p w:rsidR="00E60DE8" w:rsidRPr="000D22B6" w:rsidRDefault="00E60DE8" w:rsidP="008C0F21">
      <w:pPr>
        <w:pStyle w:val="SCCLawFirm"/>
        <w:spacing w:before="480" w:after="480"/>
      </w:pPr>
      <w:r w:rsidRPr="000D22B6">
        <w:tab/>
        <w:t>Solicitor for the intervener the Attorney General of Ontario: Attorney General of Ontario, Toronto.</w:t>
      </w:r>
    </w:p>
    <w:p w:rsidR="00E60DE8" w:rsidRPr="000D22B6" w:rsidRDefault="00E60DE8" w:rsidP="008C0F21">
      <w:pPr>
        <w:pStyle w:val="SCCLawFirm"/>
        <w:spacing w:before="480" w:after="480"/>
      </w:pPr>
      <w:r w:rsidRPr="000D22B6">
        <w:tab/>
        <w:t>Solicitor for the intervener the Attorney General of British Columbia</w:t>
      </w:r>
      <w:r w:rsidR="008C0F21" w:rsidRPr="000D22B6">
        <w:t>:  </w:t>
      </w:r>
      <w:r w:rsidRPr="000D22B6">
        <w:t>Attorney General of British Columbia, Vancouver.</w:t>
      </w:r>
    </w:p>
    <w:p w:rsidR="006F6D61" w:rsidRPr="000D22B6" w:rsidRDefault="006F6D61" w:rsidP="006F6D61">
      <w:pPr>
        <w:pStyle w:val="SCCLawFirm"/>
        <w:spacing w:before="480" w:after="480"/>
      </w:pPr>
      <w:r w:rsidRPr="000D22B6">
        <w:tab/>
        <w:t>Solicitor for the intervener the Attorney General of Alberta:  Attorney General of Alberta, Edmonton.</w:t>
      </w:r>
    </w:p>
    <w:p w:rsidR="006F6D61" w:rsidRPr="000D22B6" w:rsidRDefault="006F6D61" w:rsidP="006F6D61">
      <w:pPr>
        <w:pStyle w:val="SCCLawFirm"/>
        <w:spacing w:before="480" w:after="480"/>
      </w:pPr>
      <w:r w:rsidRPr="000D22B6">
        <w:lastRenderedPageBreak/>
        <w:tab/>
        <w:t>Solicitor</w:t>
      </w:r>
      <w:r w:rsidR="00B21659">
        <w:t>s</w:t>
      </w:r>
      <w:r w:rsidRPr="000D22B6">
        <w:t xml:space="preserve"> for the intervener the Public Service Alliance of Canada:  Raven, Cameron, </w:t>
      </w:r>
      <w:proofErr w:type="spellStart"/>
      <w:r w:rsidRPr="000D22B6">
        <w:t>Ballantyne</w:t>
      </w:r>
      <w:proofErr w:type="spellEnd"/>
      <w:r w:rsidRPr="000D22B6">
        <w:t xml:space="preserve"> &amp; </w:t>
      </w:r>
      <w:proofErr w:type="spellStart"/>
      <w:r w:rsidRPr="000D22B6">
        <w:t>Yazbeck</w:t>
      </w:r>
      <w:proofErr w:type="spellEnd"/>
      <w:r w:rsidRPr="000D22B6">
        <w:t xml:space="preserve">, </w:t>
      </w:r>
      <w:proofErr w:type="gramStart"/>
      <w:r w:rsidRPr="000D22B6">
        <w:t>Ottawa</w:t>
      </w:r>
      <w:proofErr w:type="gramEnd"/>
      <w:r w:rsidRPr="000D22B6">
        <w:t>.</w:t>
      </w:r>
    </w:p>
    <w:p w:rsidR="006F6D61" w:rsidRPr="000D22B6" w:rsidRDefault="006F6D61" w:rsidP="006F6D61">
      <w:pPr>
        <w:pStyle w:val="SCCLawFirm"/>
        <w:spacing w:before="480" w:after="480"/>
      </w:pPr>
      <w:r w:rsidRPr="000D22B6">
        <w:tab/>
        <w:t>Solicitors for the intervener the Privacy Commissioner of Canada:  Supreme Advocacy, Ottawa.</w:t>
      </w:r>
    </w:p>
    <w:p w:rsidR="006F6D61" w:rsidRPr="000D22B6" w:rsidRDefault="006F6D61" w:rsidP="006F6D61">
      <w:pPr>
        <w:pStyle w:val="SCCLawFirm"/>
        <w:spacing w:before="480" w:after="480"/>
      </w:pPr>
      <w:r w:rsidRPr="000D22B6">
        <w:tab/>
        <w:t>Solicitors for the intervener the Canadian Association of Counsel to Employers:  McLennan Ross, Edmonton.</w:t>
      </w:r>
    </w:p>
    <w:p w:rsidR="006F6D61" w:rsidRPr="000D22B6" w:rsidRDefault="006F6D61" w:rsidP="006F6D61">
      <w:pPr>
        <w:pStyle w:val="SCCLawFirm"/>
        <w:spacing w:before="480" w:after="480"/>
      </w:pPr>
      <w:r w:rsidRPr="000D22B6">
        <w:tab/>
        <w:t>Solicitors for the intervener the Canadian Civil Liberties Association:  </w:t>
      </w:r>
      <w:proofErr w:type="spellStart"/>
      <w:r w:rsidRPr="000D22B6">
        <w:t>Dewart</w:t>
      </w:r>
      <w:proofErr w:type="spellEnd"/>
      <w:r w:rsidRPr="000D22B6">
        <w:t xml:space="preserve"> Gleason, Toronto.</w:t>
      </w:r>
    </w:p>
    <w:p w:rsidR="006F6D61" w:rsidRPr="000D22B6" w:rsidRDefault="006F6D61" w:rsidP="006F6D61">
      <w:pPr>
        <w:pStyle w:val="SCCLawFirm"/>
        <w:spacing w:before="480" w:after="480"/>
      </w:pPr>
      <w:r w:rsidRPr="000D22B6">
        <w:tab/>
        <w:t xml:space="preserve">Solicitors for the intervener the Canadian Constitution Foundation:  Osler, </w:t>
      </w:r>
      <w:proofErr w:type="spellStart"/>
      <w:r w:rsidRPr="000D22B6">
        <w:t>Hoskin</w:t>
      </w:r>
      <w:proofErr w:type="spellEnd"/>
      <w:r w:rsidRPr="000D22B6">
        <w:t xml:space="preserve"> &amp; Harcourt, Toronto.</w:t>
      </w:r>
    </w:p>
    <w:p w:rsidR="006F6D61" w:rsidRPr="000D22B6" w:rsidRDefault="006F6D61" w:rsidP="006F6D61">
      <w:pPr>
        <w:pStyle w:val="SCCLawFirm"/>
        <w:spacing w:before="480" w:after="480"/>
      </w:pPr>
      <w:r w:rsidRPr="000D22B6">
        <w:tab/>
        <w:t>Solicitors for the intervener the Alberta Federation of Labour:  </w:t>
      </w:r>
      <w:proofErr w:type="spellStart"/>
      <w:r w:rsidRPr="000D22B6">
        <w:t>Chivers</w:t>
      </w:r>
      <w:proofErr w:type="spellEnd"/>
      <w:r w:rsidRPr="000D22B6">
        <w:t xml:space="preserve"> Carpenter, Edmonton.</w:t>
      </w:r>
    </w:p>
    <w:p w:rsidR="006F6D61" w:rsidRPr="000D22B6" w:rsidRDefault="006F6D61" w:rsidP="006F6D61">
      <w:pPr>
        <w:pStyle w:val="SCCLawFirm"/>
        <w:spacing w:before="480" w:after="480"/>
      </w:pPr>
      <w:r w:rsidRPr="000D22B6">
        <w:tab/>
        <w:t>Solicitors for the interveners the Coalition of British Columbia Businesses and Merit Canada:  Heenan Blaikie, Ottawa.</w:t>
      </w:r>
    </w:p>
    <w:p w:rsidR="009B57B3" w:rsidRDefault="006F6D61" w:rsidP="00E052E3">
      <w:pPr>
        <w:pStyle w:val="SCCLawFirm"/>
        <w:spacing w:before="480" w:after="480"/>
        <w:rPr>
          <w:b/>
          <w:i w:val="0"/>
        </w:rPr>
      </w:pPr>
      <w:r w:rsidRPr="000D22B6">
        <w:tab/>
        <w:t>Solicitor</w:t>
      </w:r>
      <w:r w:rsidR="00305CE4">
        <w:t>s</w:t>
      </w:r>
      <w:r w:rsidRPr="000D22B6">
        <w:t xml:space="preserve"> for the intervener the Public Service Labour Relations Board:  </w:t>
      </w:r>
      <w:proofErr w:type="spellStart"/>
      <w:r w:rsidRPr="000D22B6">
        <w:t>Torys</w:t>
      </w:r>
      <w:proofErr w:type="spellEnd"/>
      <w:r w:rsidRPr="000D22B6">
        <w:t>, Toronto.</w:t>
      </w:r>
    </w:p>
    <w:p w:rsidR="00E052E3" w:rsidRPr="00E052E3" w:rsidRDefault="00E052E3" w:rsidP="00E052E3">
      <w:pPr>
        <w:pStyle w:val="SCCNormalDoubleSpacing"/>
      </w:pPr>
    </w:p>
    <w:sectPr w:rsidR="00E052E3" w:rsidRPr="00E052E3"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E2" w:rsidRDefault="00010DE2">
      <w:r>
        <w:separator/>
      </w:r>
    </w:p>
  </w:endnote>
  <w:endnote w:type="continuationSeparator" w:id="0">
    <w:p w:rsidR="00010DE2" w:rsidRDefault="00010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E2" w:rsidRDefault="00010DE2">
      <w:r>
        <w:separator/>
      </w:r>
    </w:p>
  </w:footnote>
  <w:footnote w:type="continuationSeparator" w:id="0">
    <w:p w:rsidR="00010DE2" w:rsidRDefault="00010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251BFB"/>
    <w:multiLevelType w:val="multilevel"/>
    <w:tmpl w:val="33B050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9F14D8"/>
    <w:multiLevelType w:val="hybridMultilevel"/>
    <w:tmpl w:val="A6208354"/>
    <w:lvl w:ilvl="0" w:tplc="0896B9E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10"/>
  </w:num>
  <w:num w:numId="5">
    <w:abstractNumId w:val="15"/>
  </w:num>
  <w:num w:numId="6">
    <w:abstractNumId w:val="16"/>
  </w:num>
  <w:num w:numId="7">
    <w:abstractNumId w:val="13"/>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1">
    <w:abstractNumId w:val="13"/>
    <w:lvlOverride w:ilvl="0">
      <w:startOverride w:val="6"/>
    </w:lvlOverride>
  </w:num>
  <w:num w:numId="12">
    <w:abstractNumId w:val="13"/>
    <w:lvlOverride w:ilvl="0">
      <w:startOverride w:val="6"/>
    </w:lvlOverride>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0DE2"/>
    <w:rsid w:val="00021D31"/>
    <w:rsid w:val="00025198"/>
    <w:rsid w:val="00027703"/>
    <w:rsid w:val="000550AA"/>
    <w:rsid w:val="000578A3"/>
    <w:rsid w:val="000648CC"/>
    <w:rsid w:val="000C59B8"/>
    <w:rsid w:val="000C6AF0"/>
    <w:rsid w:val="000D22B6"/>
    <w:rsid w:val="000D5D71"/>
    <w:rsid w:val="000E3C47"/>
    <w:rsid w:val="00104F33"/>
    <w:rsid w:val="00111DE2"/>
    <w:rsid w:val="00116B38"/>
    <w:rsid w:val="00135406"/>
    <w:rsid w:val="00135972"/>
    <w:rsid w:val="0013782B"/>
    <w:rsid w:val="001426A9"/>
    <w:rsid w:val="00143BB9"/>
    <w:rsid w:val="00154D7C"/>
    <w:rsid w:val="001570B0"/>
    <w:rsid w:val="0015752C"/>
    <w:rsid w:val="00157737"/>
    <w:rsid w:val="00165277"/>
    <w:rsid w:val="00170592"/>
    <w:rsid w:val="00186351"/>
    <w:rsid w:val="001944B8"/>
    <w:rsid w:val="00194C25"/>
    <w:rsid w:val="00195D83"/>
    <w:rsid w:val="0019721C"/>
    <w:rsid w:val="001A00C1"/>
    <w:rsid w:val="001A596C"/>
    <w:rsid w:val="001A7B69"/>
    <w:rsid w:val="001B33E0"/>
    <w:rsid w:val="001B4573"/>
    <w:rsid w:val="001B7CA1"/>
    <w:rsid w:val="001C779F"/>
    <w:rsid w:val="001D2AC1"/>
    <w:rsid w:val="001D4E88"/>
    <w:rsid w:val="00220FC2"/>
    <w:rsid w:val="002222F4"/>
    <w:rsid w:val="00223DF8"/>
    <w:rsid w:val="00224772"/>
    <w:rsid w:val="00224FC0"/>
    <w:rsid w:val="00225EA4"/>
    <w:rsid w:val="00226EAF"/>
    <w:rsid w:val="00231F3A"/>
    <w:rsid w:val="00234199"/>
    <w:rsid w:val="002406EE"/>
    <w:rsid w:val="00243EC8"/>
    <w:rsid w:val="00253417"/>
    <w:rsid w:val="00261061"/>
    <w:rsid w:val="0026587E"/>
    <w:rsid w:val="00270D93"/>
    <w:rsid w:val="002745CC"/>
    <w:rsid w:val="002966AB"/>
    <w:rsid w:val="002B7924"/>
    <w:rsid w:val="002C11EA"/>
    <w:rsid w:val="002D28C3"/>
    <w:rsid w:val="002D39A4"/>
    <w:rsid w:val="002D704D"/>
    <w:rsid w:val="002E05C8"/>
    <w:rsid w:val="002E6705"/>
    <w:rsid w:val="00301D08"/>
    <w:rsid w:val="0030329A"/>
    <w:rsid w:val="00305CE4"/>
    <w:rsid w:val="0031086F"/>
    <w:rsid w:val="0031414C"/>
    <w:rsid w:val="00314E01"/>
    <w:rsid w:val="0032089D"/>
    <w:rsid w:val="003310DE"/>
    <w:rsid w:val="003323B0"/>
    <w:rsid w:val="0035169A"/>
    <w:rsid w:val="0035259D"/>
    <w:rsid w:val="003558F4"/>
    <w:rsid w:val="00364B18"/>
    <w:rsid w:val="003668DB"/>
    <w:rsid w:val="003669FB"/>
    <w:rsid w:val="003A125D"/>
    <w:rsid w:val="003A4C70"/>
    <w:rsid w:val="003B215F"/>
    <w:rsid w:val="003B337F"/>
    <w:rsid w:val="003C799C"/>
    <w:rsid w:val="003D0399"/>
    <w:rsid w:val="003D465E"/>
    <w:rsid w:val="003E1C71"/>
    <w:rsid w:val="003F041C"/>
    <w:rsid w:val="003F327B"/>
    <w:rsid w:val="003F5101"/>
    <w:rsid w:val="00406166"/>
    <w:rsid w:val="0040704B"/>
    <w:rsid w:val="00407F12"/>
    <w:rsid w:val="00410A55"/>
    <w:rsid w:val="00411300"/>
    <w:rsid w:val="00415417"/>
    <w:rsid w:val="00426659"/>
    <w:rsid w:val="00426FC7"/>
    <w:rsid w:val="00433602"/>
    <w:rsid w:val="004435DF"/>
    <w:rsid w:val="00450352"/>
    <w:rsid w:val="00454BDB"/>
    <w:rsid w:val="004558D3"/>
    <w:rsid w:val="00464800"/>
    <w:rsid w:val="00465132"/>
    <w:rsid w:val="00480C90"/>
    <w:rsid w:val="0048396F"/>
    <w:rsid w:val="00493C18"/>
    <w:rsid w:val="004A600C"/>
    <w:rsid w:val="004A6118"/>
    <w:rsid w:val="004C478D"/>
    <w:rsid w:val="004E2C26"/>
    <w:rsid w:val="004F36FF"/>
    <w:rsid w:val="004F7689"/>
    <w:rsid w:val="005125A8"/>
    <w:rsid w:val="00521AE8"/>
    <w:rsid w:val="00527180"/>
    <w:rsid w:val="005411AA"/>
    <w:rsid w:val="0054201E"/>
    <w:rsid w:val="00545BFB"/>
    <w:rsid w:val="00555291"/>
    <w:rsid w:val="00566AD1"/>
    <w:rsid w:val="005728E7"/>
    <w:rsid w:val="005820EC"/>
    <w:rsid w:val="00583EDE"/>
    <w:rsid w:val="0059320F"/>
    <w:rsid w:val="005A0ADF"/>
    <w:rsid w:val="005A6079"/>
    <w:rsid w:val="005B712D"/>
    <w:rsid w:val="005E4698"/>
    <w:rsid w:val="00606427"/>
    <w:rsid w:val="00610539"/>
    <w:rsid w:val="00613969"/>
    <w:rsid w:val="00622A78"/>
    <w:rsid w:val="00625C35"/>
    <w:rsid w:val="006357E7"/>
    <w:rsid w:val="00636568"/>
    <w:rsid w:val="00643BDE"/>
    <w:rsid w:val="006471E9"/>
    <w:rsid w:val="00650431"/>
    <w:rsid w:val="00656313"/>
    <w:rsid w:val="006565F4"/>
    <w:rsid w:val="00683295"/>
    <w:rsid w:val="00684EEA"/>
    <w:rsid w:val="0069689B"/>
    <w:rsid w:val="006A1551"/>
    <w:rsid w:val="006A6B59"/>
    <w:rsid w:val="006B5FF5"/>
    <w:rsid w:val="006C097C"/>
    <w:rsid w:val="006D23F8"/>
    <w:rsid w:val="006F28AB"/>
    <w:rsid w:val="006F30AF"/>
    <w:rsid w:val="006F6D61"/>
    <w:rsid w:val="00701759"/>
    <w:rsid w:val="00705C15"/>
    <w:rsid w:val="0071600E"/>
    <w:rsid w:val="007208D1"/>
    <w:rsid w:val="00732998"/>
    <w:rsid w:val="00745A9B"/>
    <w:rsid w:val="00747288"/>
    <w:rsid w:val="00747DD3"/>
    <w:rsid w:val="00750E85"/>
    <w:rsid w:val="007526F2"/>
    <w:rsid w:val="007549C8"/>
    <w:rsid w:val="00754A0B"/>
    <w:rsid w:val="00760603"/>
    <w:rsid w:val="00766D14"/>
    <w:rsid w:val="00767A0F"/>
    <w:rsid w:val="00774E8E"/>
    <w:rsid w:val="007859E9"/>
    <w:rsid w:val="007912A5"/>
    <w:rsid w:val="007922C1"/>
    <w:rsid w:val="007950E0"/>
    <w:rsid w:val="007A05F6"/>
    <w:rsid w:val="007B6F4A"/>
    <w:rsid w:val="007C0A5E"/>
    <w:rsid w:val="007D2C91"/>
    <w:rsid w:val="007E1C47"/>
    <w:rsid w:val="007E337A"/>
    <w:rsid w:val="007E5C70"/>
    <w:rsid w:val="007F2FF5"/>
    <w:rsid w:val="007F3F08"/>
    <w:rsid w:val="007F45DA"/>
    <w:rsid w:val="00804CC6"/>
    <w:rsid w:val="00817190"/>
    <w:rsid w:val="00820EE5"/>
    <w:rsid w:val="00822B00"/>
    <w:rsid w:val="008260E2"/>
    <w:rsid w:val="008322BD"/>
    <w:rsid w:val="00833E0A"/>
    <w:rsid w:val="008345F3"/>
    <w:rsid w:val="00834F73"/>
    <w:rsid w:val="00864CF8"/>
    <w:rsid w:val="00867DAA"/>
    <w:rsid w:val="00872819"/>
    <w:rsid w:val="00874914"/>
    <w:rsid w:val="00884A80"/>
    <w:rsid w:val="00891422"/>
    <w:rsid w:val="00892E1A"/>
    <w:rsid w:val="008A3F29"/>
    <w:rsid w:val="008B5C45"/>
    <w:rsid w:val="008B660A"/>
    <w:rsid w:val="008C01DA"/>
    <w:rsid w:val="008C0F21"/>
    <w:rsid w:val="008C35F7"/>
    <w:rsid w:val="008F4B63"/>
    <w:rsid w:val="008F6566"/>
    <w:rsid w:val="008F78E9"/>
    <w:rsid w:val="00901A10"/>
    <w:rsid w:val="00911989"/>
    <w:rsid w:val="00913C1C"/>
    <w:rsid w:val="0091500C"/>
    <w:rsid w:val="009163F9"/>
    <w:rsid w:val="009179F9"/>
    <w:rsid w:val="00926B36"/>
    <w:rsid w:val="00933E5E"/>
    <w:rsid w:val="00935218"/>
    <w:rsid w:val="009403F3"/>
    <w:rsid w:val="00951A6D"/>
    <w:rsid w:val="009555B7"/>
    <w:rsid w:val="009567AA"/>
    <w:rsid w:val="00967374"/>
    <w:rsid w:val="00967E19"/>
    <w:rsid w:val="00976512"/>
    <w:rsid w:val="00981D3B"/>
    <w:rsid w:val="00985DA0"/>
    <w:rsid w:val="009A252B"/>
    <w:rsid w:val="009A343A"/>
    <w:rsid w:val="009B2F23"/>
    <w:rsid w:val="009B57B3"/>
    <w:rsid w:val="009C5B92"/>
    <w:rsid w:val="009D2920"/>
    <w:rsid w:val="009D5AEB"/>
    <w:rsid w:val="009E5B4B"/>
    <w:rsid w:val="009F0E33"/>
    <w:rsid w:val="00A012F2"/>
    <w:rsid w:val="00A030CE"/>
    <w:rsid w:val="00A12960"/>
    <w:rsid w:val="00A149DF"/>
    <w:rsid w:val="00A155B6"/>
    <w:rsid w:val="00A1755C"/>
    <w:rsid w:val="00A21B90"/>
    <w:rsid w:val="00A35E53"/>
    <w:rsid w:val="00A35FA8"/>
    <w:rsid w:val="00A377F4"/>
    <w:rsid w:val="00A41805"/>
    <w:rsid w:val="00A42DCD"/>
    <w:rsid w:val="00A474F2"/>
    <w:rsid w:val="00A52AFB"/>
    <w:rsid w:val="00A548CB"/>
    <w:rsid w:val="00A5521C"/>
    <w:rsid w:val="00A643E7"/>
    <w:rsid w:val="00A73C38"/>
    <w:rsid w:val="00A73E41"/>
    <w:rsid w:val="00A85594"/>
    <w:rsid w:val="00AA3EE6"/>
    <w:rsid w:val="00AB670D"/>
    <w:rsid w:val="00AC39A8"/>
    <w:rsid w:val="00AC3AFE"/>
    <w:rsid w:val="00AC591C"/>
    <w:rsid w:val="00AD3C17"/>
    <w:rsid w:val="00AE5B9E"/>
    <w:rsid w:val="00AF03C5"/>
    <w:rsid w:val="00B000D8"/>
    <w:rsid w:val="00B00F75"/>
    <w:rsid w:val="00B034BE"/>
    <w:rsid w:val="00B145B6"/>
    <w:rsid w:val="00B17FA1"/>
    <w:rsid w:val="00B21659"/>
    <w:rsid w:val="00B279EB"/>
    <w:rsid w:val="00B37E6E"/>
    <w:rsid w:val="00B45695"/>
    <w:rsid w:val="00B50C81"/>
    <w:rsid w:val="00B557F8"/>
    <w:rsid w:val="00B66C3F"/>
    <w:rsid w:val="00B75C82"/>
    <w:rsid w:val="00B815FC"/>
    <w:rsid w:val="00B91673"/>
    <w:rsid w:val="00B93FBC"/>
    <w:rsid w:val="00BA7DA0"/>
    <w:rsid w:val="00BB2EE4"/>
    <w:rsid w:val="00BC2108"/>
    <w:rsid w:val="00BC2488"/>
    <w:rsid w:val="00BD0E9E"/>
    <w:rsid w:val="00BD1BEC"/>
    <w:rsid w:val="00BD32FF"/>
    <w:rsid w:val="00BD72D0"/>
    <w:rsid w:val="00C02092"/>
    <w:rsid w:val="00C24D91"/>
    <w:rsid w:val="00C301C8"/>
    <w:rsid w:val="00C315B8"/>
    <w:rsid w:val="00C3437B"/>
    <w:rsid w:val="00C53F14"/>
    <w:rsid w:val="00C600CF"/>
    <w:rsid w:val="00C6084F"/>
    <w:rsid w:val="00C62A66"/>
    <w:rsid w:val="00C71458"/>
    <w:rsid w:val="00C77613"/>
    <w:rsid w:val="00C828E7"/>
    <w:rsid w:val="00C86719"/>
    <w:rsid w:val="00C9054D"/>
    <w:rsid w:val="00C921DD"/>
    <w:rsid w:val="00CA1581"/>
    <w:rsid w:val="00CA6391"/>
    <w:rsid w:val="00CB69E4"/>
    <w:rsid w:val="00CB7E04"/>
    <w:rsid w:val="00CC34BD"/>
    <w:rsid w:val="00CD6013"/>
    <w:rsid w:val="00CE161A"/>
    <w:rsid w:val="00CE3171"/>
    <w:rsid w:val="00CE76C1"/>
    <w:rsid w:val="00CF1601"/>
    <w:rsid w:val="00CF6685"/>
    <w:rsid w:val="00D0172F"/>
    <w:rsid w:val="00D068A7"/>
    <w:rsid w:val="00D17476"/>
    <w:rsid w:val="00D17CF4"/>
    <w:rsid w:val="00D202BA"/>
    <w:rsid w:val="00D20E99"/>
    <w:rsid w:val="00D2268A"/>
    <w:rsid w:val="00D32086"/>
    <w:rsid w:val="00D34CAF"/>
    <w:rsid w:val="00D37A3F"/>
    <w:rsid w:val="00D4431D"/>
    <w:rsid w:val="00D4667A"/>
    <w:rsid w:val="00D5569C"/>
    <w:rsid w:val="00D61394"/>
    <w:rsid w:val="00D63A1C"/>
    <w:rsid w:val="00D64BFB"/>
    <w:rsid w:val="00D74372"/>
    <w:rsid w:val="00D7516F"/>
    <w:rsid w:val="00D8579F"/>
    <w:rsid w:val="00D95F8E"/>
    <w:rsid w:val="00D96B95"/>
    <w:rsid w:val="00DA0590"/>
    <w:rsid w:val="00DB753A"/>
    <w:rsid w:val="00DB7BEA"/>
    <w:rsid w:val="00DC03A5"/>
    <w:rsid w:val="00DC1739"/>
    <w:rsid w:val="00DC1788"/>
    <w:rsid w:val="00DD14FD"/>
    <w:rsid w:val="00DE319C"/>
    <w:rsid w:val="00DF0CA8"/>
    <w:rsid w:val="00DF2B48"/>
    <w:rsid w:val="00DF49A7"/>
    <w:rsid w:val="00DF68AA"/>
    <w:rsid w:val="00E052E3"/>
    <w:rsid w:val="00E07EE2"/>
    <w:rsid w:val="00E07FD1"/>
    <w:rsid w:val="00E163C4"/>
    <w:rsid w:val="00E20E04"/>
    <w:rsid w:val="00E214FC"/>
    <w:rsid w:val="00E24573"/>
    <w:rsid w:val="00E25E1E"/>
    <w:rsid w:val="00E27EE7"/>
    <w:rsid w:val="00E329D0"/>
    <w:rsid w:val="00E35404"/>
    <w:rsid w:val="00E45109"/>
    <w:rsid w:val="00E47B7A"/>
    <w:rsid w:val="00E56A44"/>
    <w:rsid w:val="00E60269"/>
    <w:rsid w:val="00E60DE8"/>
    <w:rsid w:val="00E77932"/>
    <w:rsid w:val="00E848BA"/>
    <w:rsid w:val="00E968AF"/>
    <w:rsid w:val="00E97830"/>
    <w:rsid w:val="00EE643C"/>
    <w:rsid w:val="00EF0683"/>
    <w:rsid w:val="00EF69D2"/>
    <w:rsid w:val="00EF766E"/>
    <w:rsid w:val="00F0070C"/>
    <w:rsid w:val="00F00EB7"/>
    <w:rsid w:val="00F25E80"/>
    <w:rsid w:val="00F267E5"/>
    <w:rsid w:val="00F36AB6"/>
    <w:rsid w:val="00F37A09"/>
    <w:rsid w:val="00F409CE"/>
    <w:rsid w:val="00F4379D"/>
    <w:rsid w:val="00F50D2D"/>
    <w:rsid w:val="00F56C8B"/>
    <w:rsid w:val="00F66810"/>
    <w:rsid w:val="00F841DE"/>
    <w:rsid w:val="00F846D9"/>
    <w:rsid w:val="00F84DF4"/>
    <w:rsid w:val="00F85C97"/>
    <w:rsid w:val="00F90AB6"/>
    <w:rsid w:val="00F957A3"/>
    <w:rsid w:val="00FB37D2"/>
    <w:rsid w:val="00FB4E01"/>
    <w:rsid w:val="00FC4EFB"/>
    <w:rsid w:val="00FC729E"/>
    <w:rsid w:val="00FC7D19"/>
    <w:rsid w:val="00FD068D"/>
    <w:rsid w:val="00FD4F28"/>
    <w:rsid w:val="00FE6784"/>
    <w:rsid w:val="00FF2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2E3"/>
    <w:pPr>
      <w:keepNext/>
      <w:keepLines/>
      <w:spacing w:before="200"/>
      <w:outlineLvl w:val="2"/>
    </w:pPr>
    <w:rPr>
      <w:rFonts w:asciiTheme="majorHAnsi" w:eastAsiaTheme="majorEastAsia" w:hAnsiTheme="majorHAnsi" w:cstheme="majorBidi"/>
      <w:b/>
      <w:bCs/>
      <w:color w:val="4F81BD" w:themeColor="accent1"/>
      <w:szCs w:val="22"/>
      <w:lang w:eastAsia="en-US" w:bidi="en-US"/>
    </w:rPr>
  </w:style>
  <w:style w:type="paragraph" w:styleId="Heading4">
    <w:name w:val="heading 4"/>
    <w:basedOn w:val="Normal"/>
    <w:next w:val="Normal"/>
    <w:link w:val="Heading4Char"/>
    <w:uiPriority w:val="9"/>
    <w:unhideWhenUsed/>
    <w:qFormat/>
    <w:rsid w:val="00E052E3"/>
    <w:pPr>
      <w:keepNext/>
      <w:keepLines/>
      <w:spacing w:before="200"/>
      <w:outlineLvl w:val="3"/>
    </w:pPr>
    <w:rPr>
      <w:rFonts w:asciiTheme="majorHAnsi" w:eastAsiaTheme="majorEastAsia" w:hAnsiTheme="majorHAnsi" w:cstheme="majorBidi"/>
      <w:b/>
      <w:bCs/>
      <w:i/>
      <w:iCs/>
      <w:color w:val="4F81BD" w:themeColor="accent1"/>
      <w:szCs w:val="22"/>
      <w:lang w:eastAsia="en-US" w:bidi="en-US"/>
    </w:rPr>
  </w:style>
  <w:style w:type="paragraph" w:styleId="Heading5">
    <w:name w:val="heading 5"/>
    <w:basedOn w:val="Normal"/>
    <w:next w:val="Normal"/>
    <w:link w:val="Heading5Char"/>
    <w:uiPriority w:val="9"/>
    <w:unhideWhenUsed/>
    <w:qFormat/>
    <w:rsid w:val="00E052E3"/>
    <w:pPr>
      <w:keepNext/>
      <w:keepLines/>
      <w:spacing w:before="200"/>
      <w:outlineLvl w:val="4"/>
    </w:pPr>
    <w:rPr>
      <w:rFonts w:asciiTheme="majorHAnsi" w:eastAsiaTheme="majorEastAsia" w:hAnsiTheme="majorHAnsi" w:cstheme="majorBidi"/>
      <w:color w:val="243F60" w:themeColor="accent1" w:themeShade="7F"/>
      <w:szCs w:val="22"/>
      <w:lang w:eastAsia="en-US" w:bidi="en-US"/>
    </w:rPr>
  </w:style>
  <w:style w:type="paragraph" w:styleId="Heading6">
    <w:name w:val="heading 6"/>
    <w:basedOn w:val="Normal"/>
    <w:next w:val="Normal"/>
    <w:link w:val="Heading6Char"/>
    <w:uiPriority w:val="9"/>
    <w:semiHidden/>
    <w:unhideWhenUsed/>
    <w:qFormat/>
    <w:rsid w:val="00E052E3"/>
    <w:pPr>
      <w:keepNext/>
      <w:keepLines/>
      <w:spacing w:before="200"/>
      <w:outlineLvl w:val="5"/>
    </w:pPr>
    <w:rPr>
      <w:rFonts w:asciiTheme="majorHAnsi" w:eastAsiaTheme="majorEastAsia" w:hAnsiTheme="majorHAnsi" w:cstheme="majorBidi"/>
      <w:i/>
      <w:iCs/>
      <w:color w:val="243F60" w:themeColor="accent1" w:themeShade="7F"/>
      <w:szCs w:val="22"/>
      <w:lang w:eastAsia="en-US" w:bidi="en-US"/>
    </w:rPr>
  </w:style>
  <w:style w:type="paragraph" w:styleId="Heading7">
    <w:name w:val="heading 7"/>
    <w:basedOn w:val="Normal"/>
    <w:next w:val="Normal"/>
    <w:link w:val="Heading7Char"/>
    <w:uiPriority w:val="9"/>
    <w:semiHidden/>
    <w:unhideWhenUsed/>
    <w:qFormat/>
    <w:rsid w:val="00E052E3"/>
    <w:pPr>
      <w:keepNext/>
      <w:keepLines/>
      <w:spacing w:before="200"/>
      <w:outlineLvl w:val="6"/>
    </w:pPr>
    <w:rPr>
      <w:rFonts w:asciiTheme="majorHAnsi" w:eastAsiaTheme="majorEastAsia" w:hAnsiTheme="majorHAnsi" w:cstheme="majorBidi"/>
      <w:i/>
      <w:iCs/>
      <w:color w:val="404040" w:themeColor="text1" w:themeTint="BF"/>
      <w:szCs w:val="22"/>
      <w:lang w:eastAsia="en-US" w:bidi="en-US"/>
    </w:rPr>
  </w:style>
  <w:style w:type="paragraph" w:styleId="Heading8">
    <w:name w:val="heading 8"/>
    <w:basedOn w:val="Normal"/>
    <w:next w:val="Normal"/>
    <w:link w:val="Heading8Char"/>
    <w:uiPriority w:val="9"/>
    <w:semiHidden/>
    <w:unhideWhenUsed/>
    <w:qFormat/>
    <w:rsid w:val="00E052E3"/>
    <w:pPr>
      <w:keepNext/>
      <w:keepLines/>
      <w:spacing w:before="200"/>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E052E3"/>
    <w:pPr>
      <w:keepNext/>
      <w:keepLines/>
      <w:spacing w:before="200"/>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2E3"/>
    <w:rPr>
      <w:rFonts w:asciiTheme="majorHAnsi" w:eastAsiaTheme="majorEastAsia" w:hAnsiTheme="majorHAnsi" w:cstheme="majorBidi"/>
      <w:b/>
      <w:bCs/>
      <w:color w:val="4F81BD" w:themeColor="accent1"/>
      <w:sz w:val="24"/>
      <w:szCs w:val="22"/>
      <w:lang w:eastAsia="en-US" w:bidi="en-US"/>
    </w:rPr>
  </w:style>
  <w:style w:type="character" w:customStyle="1" w:styleId="Heading4Char">
    <w:name w:val="Heading 4 Char"/>
    <w:basedOn w:val="DefaultParagraphFont"/>
    <w:link w:val="Heading4"/>
    <w:uiPriority w:val="9"/>
    <w:rsid w:val="00E052E3"/>
    <w:rPr>
      <w:rFonts w:asciiTheme="majorHAnsi" w:eastAsiaTheme="majorEastAsia" w:hAnsiTheme="majorHAnsi" w:cstheme="majorBidi"/>
      <w:b/>
      <w:bCs/>
      <w:i/>
      <w:iCs/>
      <w:color w:val="4F81BD" w:themeColor="accent1"/>
      <w:sz w:val="24"/>
      <w:szCs w:val="22"/>
      <w:lang w:eastAsia="en-US" w:bidi="en-US"/>
    </w:rPr>
  </w:style>
  <w:style w:type="character" w:customStyle="1" w:styleId="Heading5Char">
    <w:name w:val="Heading 5 Char"/>
    <w:basedOn w:val="DefaultParagraphFont"/>
    <w:link w:val="Heading5"/>
    <w:uiPriority w:val="9"/>
    <w:rsid w:val="00E052E3"/>
    <w:rPr>
      <w:rFonts w:asciiTheme="majorHAnsi" w:eastAsiaTheme="majorEastAsia" w:hAnsiTheme="majorHAnsi" w:cstheme="majorBidi"/>
      <w:color w:val="243F60" w:themeColor="accent1" w:themeShade="7F"/>
      <w:sz w:val="24"/>
      <w:szCs w:val="22"/>
      <w:lang w:eastAsia="en-US" w:bidi="en-US"/>
    </w:rPr>
  </w:style>
  <w:style w:type="character" w:customStyle="1" w:styleId="Heading6Char">
    <w:name w:val="Heading 6 Char"/>
    <w:basedOn w:val="DefaultParagraphFont"/>
    <w:link w:val="Heading6"/>
    <w:uiPriority w:val="9"/>
    <w:semiHidden/>
    <w:rsid w:val="00E052E3"/>
    <w:rPr>
      <w:rFonts w:asciiTheme="majorHAnsi" w:eastAsiaTheme="majorEastAsia" w:hAnsiTheme="majorHAnsi" w:cstheme="majorBidi"/>
      <w:i/>
      <w:iCs/>
      <w:color w:val="243F60" w:themeColor="accent1" w:themeShade="7F"/>
      <w:sz w:val="24"/>
      <w:szCs w:val="22"/>
      <w:lang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E052E3"/>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A73E41"/>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E052E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052E3"/>
    <w:rPr>
      <w:rFonts w:eastAsiaTheme="minorHAnsi" w:cstheme="minorBidi"/>
      <w:sz w:val="24"/>
      <w:szCs w:val="22"/>
      <w:lang w:val="en-US" w:eastAsia="en-US" w:bidi="en-US"/>
    </w:rPr>
  </w:style>
  <w:style w:type="table" w:styleId="TableGrid">
    <w:name w:val="Table Grid"/>
    <w:basedOn w:val="TableNormal"/>
    <w:uiPriority w:val="59"/>
    <w:rsid w:val="00E052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052E3"/>
    <w:pPr>
      <w:spacing w:after="720"/>
      <w:ind w:left="1166"/>
      <w:contextualSpacing/>
      <w:jc w:val="both"/>
    </w:pPr>
    <w:rPr>
      <w:sz w:val="24"/>
    </w:rPr>
  </w:style>
  <w:style w:type="paragraph" w:customStyle="1" w:styleId="JudgeJuge">
    <w:name w:val="Judge / Juge"/>
    <w:link w:val="JudgeJugeChar"/>
    <w:uiPriority w:val="3"/>
    <w:rsid w:val="00E052E3"/>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E052E3"/>
    <w:rPr>
      <w:smallCaps/>
      <w:sz w:val="24"/>
    </w:rPr>
  </w:style>
  <w:style w:type="paragraph" w:customStyle="1" w:styleId="TitleTitre-AltT">
    <w:name w:val="Title / Titre - Alt T"/>
    <w:next w:val="ParaNoNdepar-AltN"/>
    <w:uiPriority w:val="3"/>
    <w:qFormat/>
    <w:rsid w:val="00E052E3"/>
    <w:pPr>
      <w:tabs>
        <w:tab w:val="left" w:pos="360"/>
      </w:tabs>
      <w:spacing w:before="480" w:after="720"/>
      <w:ind w:left="360" w:hanging="360"/>
      <w:jc w:val="both"/>
    </w:pPr>
    <w:rPr>
      <w:rFonts w:eastAsiaTheme="minorHAnsi" w:cstheme="minorBidi"/>
      <w:sz w:val="24"/>
      <w:szCs w:val="22"/>
      <w:lang w:eastAsia="en-US"/>
    </w:rPr>
  </w:style>
  <w:style w:type="character" w:customStyle="1" w:styleId="Heading7Char">
    <w:name w:val="Heading 7 Char"/>
    <w:basedOn w:val="DefaultParagraphFont"/>
    <w:link w:val="Heading7"/>
    <w:uiPriority w:val="9"/>
    <w:semiHidden/>
    <w:rsid w:val="00E052E3"/>
    <w:rPr>
      <w:rFonts w:asciiTheme="majorHAnsi" w:eastAsiaTheme="majorEastAsia" w:hAnsiTheme="majorHAnsi" w:cstheme="majorBidi"/>
      <w:i/>
      <w:iCs/>
      <w:color w:val="404040" w:themeColor="text1" w:themeTint="BF"/>
      <w:sz w:val="24"/>
      <w:szCs w:val="22"/>
      <w:lang w:eastAsia="en-US" w:bidi="en-US"/>
    </w:rPr>
  </w:style>
  <w:style w:type="character" w:customStyle="1" w:styleId="Heading8Char">
    <w:name w:val="Heading 8 Char"/>
    <w:basedOn w:val="DefaultParagraphFont"/>
    <w:link w:val="Heading8"/>
    <w:uiPriority w:val="9"/>
    <w:semiHidden/>
    <w:rsid w:val="00E052E3"/>
    <w:rPr>
      <w:rFonts w:asciiTheme="majorHAnsi" w:eastAsiaTheme="majorEastAsia" w:hAnsiTheme="majorHAnsi" w:cstheme="majorBidi"/>
      <w:color w:val="4F81BD" w:themeColor="accent1"/>
      <w:lang w:eastAsia="en-US" w:bidi="en-US"/>
    </w:rPr>
  </w:style>
  <w:style w:type="character" w:customStyle="1" w:styleId="Heading9Char">
    <w:name w:val="Heading 9 Char"/>
    <w:basedOn w:val="DefaultParagraphFont"/>
    <w:link w:val="Heading9"/>
    <w:uiPriority w:val="9"/>
    <w:semiHidden/>
    <w:rsid w:val="00E052E3"/>
    <w:rPr>
      <w:rFonts w:asciiTheme="majorHAnsi" w:eastAsiaTheme="majorEastAsia" w:hAnsiTheme="majorHAnsi" w:cstheme="majorBidi"/>
      <w:i/>
      <w:iCs/>
      <w:color w:val="404040" w:themeColor="text1" w:themeTint="BF"/>
      <w:lang w:eastAsia="en-US" w:bidi="en-US"/>
    </w:rPr>
  </w:style>
  <w:style w:type="paragraph" w:customStyle="1" w:styleId="SCCLsocOtherPartyRoleSeparator">
    <w:name w:val="SCC.Lsoc.OtherPartyRoleSeparator"/>
    <w:basedOn w:val="Normal"/>
    <w:next w:val="Normal"/>
    <w:link w:val="SCCLsocOtherPartyRoleSeparatorChar"/>
    <w:rsid w:val="00E052E3"/>
    <w:pPr>
      <w:spacing w:after="480"/>
    </w:pPr>
    <w:rPr>
      <w:rFonts w:eastAsiaTheme="minorHAnsi" w:cstheme="minorBidi"/>
      <w:szCs w:val="22"/>
      <w:lang w:eastAsia="en-US" w:bidi="en-US"/>
    </w:rPr>
  </w:style>
  <w:style w:type="character" w:customStyle="1" w:styleId="SCCLsocOtherPartyRoleSeparatorChar">
    <w:name w:val="SCC.Lsoc.OtherPartyRoleSeparator Char"/>
    <w:basedOn w:val="DefaultParagraphFont"/>
    <w:link w:val="SCCLsocOtherPartyRoleSeparator"/>
    <w:rsid w:val="00E052E3"/>
    <w:rPr>
      <w:rFonts w:eastAsiaTheme="minorHAnsi" w:cstheme="minorBidi"/>
      <w:sz w:val="24"/>
      <w:szCs w:val="22"/>
      <w:lang w:eastAsia="en-US" w:bidi="en-US"/>
    </w:rPr>
  </w:style>
  <w:style w:type="paragraph" w:customStyle="1" w:styleId="ContinueParaSuitedupar-AltP">
    <w:name w:val="Continue Para. / Suite du par. - Alt P"/>
    <w:next w:val="ParaNoNdepar-AltN"/>
    <w:uiPriority w:val="1"/>
    <w:qFormat/>
    <w:rsid w:val="00E052E3"/>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E052E3"/>
    <w:pPr>
      <w:numPr>
        <w:numId w:val="7"/>
      </w:numPr>
      <w:tabs>
        <w:tab w:val="left" w:pos="432"/>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052E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052E3"/>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E052E3"/>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E052E3"/>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E052E3"/>
    <w:pPr>
      <w:tabs>
        <w:tab w:val="left" w:pos="360"/>
        <w:tab w:val="right" w:leader="dot" w:pos="8270"/>
      </w:tabs>
      <w:spacing w:before="120" w:after="120"/>
    </w:pPr>
    <w:rPr>
      <w:rFonts w:eastAsiaTheme="minorHAnsi" w:cstheme="minorBidi"/>
      <w:noProof/>
      <w:u w:val="single"/>
      <w:lang w:eastAsia="en-US" w:bidi="en-US"/>
    </w:rPr>
  </w:style>
  <w:style w:type="paragraph" w:styleId="TOC2">
    <w:name w:val="toc 2"/>
    <w:basedOn w:val="Normal"/>
    <w:next w:val="Normal"/>
    <w:autoRedefine/>
    <w:uiPriority w:val="39"/>
    <w:unhideWhenUsed/>
    <w:rsid w:val="00E052E3"/>
    <w:pPr>
      <w:tabs>
        <w:tab w:val="left" w:pos="720"/>
        <w:tab w:val="right" w:leader="dot" w:pos="8270"/>
      </w:tabs>
      <w:spacing w:before="120" w:after="120"/>
      <w:ind w:left="432" w:hanging="432"/>
    </w:pPr>
    <w:rPr>
      <w:rFonts w:eastAsiaTheme="minorHAnsi" w:cstheme="minorBidi"/>
      <w:i/>
      <w:szCs w:val="22"/>
      <w:lang w:eastAsia="en-US" w:bidi="en-US"/>
    </w:rPr>
  </w:style>
  <w:style w:type="paragraph" w:styleId="TOC3">
    <w:name w:val="toc 3"/>
    <w:basedOn w:val="Normal"/>
    <w:next w:val="Normal"/>
    <w:autoRedefine/>
    <w:uiPriority w:val="39"/>
    <w:unhideWhenUsed/>
    <w:rsid w:val="00E052E3"/>
    <w:pPr>
      <w:tabs>
        <w:tab w:val="left" w:pos="1080"/>
        <w:tab w:val="right" w:leader="dot" w:pos="8270"/>
      </w:tabs>
      <w:spacing w:before="120" w:after="120"/>
      <w:ind w:left="864" w:hanging="432"/>
    </w:pPr>
    <w:rPr>
      <w:rFonts w:eastAsiaTheme="minorHAnsi" w:cstheme="minorBidi"/>
      <w:noProof/>
      <w:u w:val="single"/>
      <w:lang w:eastAsia="en-US" w:bidi="en-US"/>
    </w:rPr>
  </w:style>
  <w:style w:type="paragraph" w:styleId="TOC4">
    <w:name w:val="toc 4"/>
    <w:basedOn w:val="Normal"/>
    <w:next w:val="Normal"/>
    <w:autoRedefine/>
    <w:uiPriority w:val="39"/>
    <w:unhideWhenUsed/>
    <w:rsid w:val="00E052E3"/>
    <w:pPr>
      <w:tabs>
        <w:tab w:val="left" w:pos="900"/>
        <w:tab w:val="right" w:leader="dot" w:pos="8270"/>
      </w:tabs>
      <w:spacing w:before="120" w:after="120"/>
      <w:ind w:left="900" w:hanging="450"/>
    </w:pPr>
    <w:rPr>
      <w:rFonts w:eastAsiaTheme="minorEastAsia" w:cstheme="minorBidi"/>
      <w:i/>
      <w:noProof/>
      <w:szCs w:val="22"/>
      <w:lang w:eastAsia="en-US" w:bidi="en-US"/>
    </w:rPr>
  </w:style>
  <w:style w:type="paragraph" w:styleId="TOC5">
    <w:name w:val="toc 5"/>
    <w:basedOn w:val="Normal"/>
    <w:next w:val="Normal"/>
    <w:autoRedefine/>
    <w:uiPriority w:val="39"/>
    <w:unhideWhenUsed/>
    <w:rsid w:val="00E052E3"/>
    <w:pPr>
      <w:tabs>
        <w:tab w:val="left" w:pos="1440"/>
        <w:tab w:val="right" w:leader="dot" w:pos="8270"/>
      </w:tabs>
      <w:spacing w:before="120" w:after="120"/>
      <w:ind w:left="1454" w:hanging="547"/>
    </w:pPr>
    <w:rPr>
      <w:rFonts w:eastAsiaTheme="minorHAnsi" w:cstheme="minorBidi"/>
      <w:noProof/>
      <w:u w:val="single"/>
      <w:lang w:eastAsia="en-US" w:bidi="en-US"/>
    </w:rPr>
  </w:style>
  <w:style w:type="paragraph" w:styleId="TOC6">
    <w:name w:val="toc 6"/>
    <w:basedOn w:val="Normal"/>
    <w:next w:val="Normal"/>
    <w:autoRedefine/>
    <w:uiPriority w:val="39"/>
    <w:unhideWhenUsed/>
    <w:rsid w:val="00E052E3"/>
    <w:pPr>
      <w:tabs>
        <w:tab w:val="left" w:pos="2160"/>
        <w:tab w:val="right" w:leader="dot" w:pos="8270"/>
      </w:tabs>
      <w:spacing w:after="100"/>
      <w:ind w:left="1800"/>
    </w:pPr>
    <w:rPr>
      <w:rFonts w:eastAsiaTheme="minorHAnsi" w:cstheme="minorBidi"/>
      <w:noProof/>
      <w:lang w:eastAsia="en-US" w:bidi="en-US"/>
    </w:rPr>
  </w:style>
  <w:style w:type="paragraph" w:styleId="NoSpacing">
    <w:name w:val="No Spacing"/>
    <w:uiPriority w:val="1"/>
    <w:rsid w:val="00E052E3"/>
    <w:rPr>
      <w:rFonts w:eastAsiaTheme="minorHAnsi" w:cstheme="minorBidi"/>
      <w:sz w:val="24"/>
      <w:szCs w:val="22"/>
      <w:lang w:val="en-US" w:eastAsia="en-US" w:bidi="en-US"/>
    </w:rPr>
  </w:style>
  <w:style w:type="character" w:customStyle="1" w:styleId="CommentTextChar">
    <w:name w:val="Comment Text Char"/>
    <w:basedOn w:val="DefaultParagraphFont"/>
    <w:link w:val="CommentText"/>
    <w:uiPriority w:val="99"/>
    <w:semiHidden/>
    <w:rsid w:val="00E052E3"/>
    <w:rPr>
      <w:rFonts w:eastAsiaTheme="minorHAnsi" w:cstheme="minorBidi"/>
      <w:szCs w:val="22"/>
      <w:lang w:eastAsia="en-US" w:bidi="en-US"/>
    </w:rPr>
  </w:style>
  <w:style w:type="paragraph" w:styleId="CommentText">
    <w:name w:val="annotation text"/>
    <w:basedOn w:val="Normal"/>
    <w:link w:val="CommentTextChar"/>
    <w:uiPriority w:val="99"/>
    <w:semiHidden/>
    <w:unhideWhenUsed/>
    <w:rsid w:val="00E052E3"/>
    <w:rPr>
      <w:rFonts w:eastAsiaTheme="minorHAnsi" w:cstheme="minorBidi"/>
      <w:sz w:val="20"/>
      <w:szCs w:val="22"/>
      <w:lang w:eastAsia="en-US" w:bidi="en-US"/>
    </w:rPr>
  </w:style>
  <w:style w:type="character" w:customStyle="1" w:styleId="CommentSubjectChar">
    <w:name w:val="Comment Subject Char"/>
    <w:basedOn w:val="CommentTextChar"/>
    <w:link w:val="CommentSubject"/>
    <w:uiPriority w:val="99"/>
    <w:semiHidden/>
    <w:rsid w:val="00E052E3"/>
    <w:rPr>
      <w:b/>
      <w:bCs/>
    </w:rPr>
  </w:style>
  <w:style w:type="paragraph" w:styleId="CommentSubject">
    <w:name w:val="annotation subject"/>
    <w:basedOn w:val="CommentText"/>
    <w:next w:val="CommentText"/>
    <w:link w:val="CommentSubjectChar"/>
    <w:uiPriority w:val="99"/>
    <w:semiHidden/>
    <w:unhideWhenUsed/>
    <w:rsid w:val="00E052E3"/>
    <w:rPr>
      <w:b/>
      <w:bCs/>
    </w:rPr>
  </w:style>
  <w:style w:type="paragraph" w:customStyle="1" w:styleId="HeadingTitre-AltH">
    <w:name w:val="Heading / Titre - Alt H"/>
    <w:next w:val="Normal"/>
    <w:uiPriority w:val="3"/>
    <w:rsid w:val="00E052E3"/>
    <w:pPr>
      <w:tabs>
        <w:tab w:val="left" w:pos="360"/>
      </w:tabs>
      <w:spacing w:before="480" w:after="480"/>
      <w:ind w:left="360" w:hanging="360"/>
      <w:jc w:val="both"/>
    </w:pPr>
    <w:rPr>
      <w:rFonts w:eastAsiaTheme="minorHAnsi" w:cstheme="minorBidi"/>
      <w:sz w:val="24"/>
      <w:szCs w:val="22"/>
      <w:lang w:eastAsia="en-US"/>
    </w:rPr>
  </w:style>
  <w:style w:type="paragraph" w:styleId="Title">
    <w:name w:val="Title"/>
    <w:basedOn w:val="Normal"/>
    <w:next w:val="Normal"/>
    <w:link w:val="TitleChar"/>
    <w:uiPriority w:val="10"/>
    <w:rsid w:val="00E052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leChar">
    <w:name w:val="Title Char"/>
    <w:basedOn w:val="DefaultParagraphFont"/>
    <w:link w:val="Title"/>
    <w:uiPriority w:val="10"/>
    <w:rsid w:val="00E052E3"/>
    <w:rPr>
      <w:rFonts w:asciiTheme="majorHAnsi" w:eastAsiaTheme="majorEastAsia" w:hAnsiTheme="majorHAnsi" w:cstheme="majorBidi"/>
      <w:color w:val="17365D" w:themeColor="text2" w:themeShade="BF"/>
      <w:spacing w:val="5"/>
      <w:kern w:val="28"/>
      <w:sz w:val="52"/>
      <w:szCs w:val="52"/>
      <w:lang w:eastAsia="en-US" w:bidi="en-US"/>
    </w:rPr>
  </w:style>
  <w:style w:type="paragraph" w:styleId="Subtitle">
    <w:name w:val="Subtitle"/>
    <w:basedOn w:val="Normal"/>
    <w:next w:val="Normal"/>
    <w:link w:val="SubtitleChar"/>
    <w:uiPriority w:val="11"/>
    <w:rsid w:val="00E052E3"/>
    <w:pPr>
      <w:numPr>
        <w:ilvl w:val="1"/>
      </w:numPr>
    </w:pPr>
    <w:rPr>
      <w:rFonts w:asciiTheme="majorHAnsi" w:eastAsiaTheme="majorEastAsia" w:hAnsiTheme="majorHAnsi" w:cstheme="majorBidi"/>
      <w:i/>
      <w:iCs/>
      <w:color w:val="4F81BD" w:themeColor="accent1"/>
      <w:spacing w:val="15"/>
      <w:szCs w:val="24"/>
      <w:lang w:eastAsia="en-US" w:bidi="en-US"/>
    </w:rPr>
  </w:style>
  <w:style w:type="character" w:customStyle="1" w:styleId="SubtitleChar">
    <w:name w:val="Subtitle Char"/>
    <w:basedOn w:val="DefaultParagraphFont"/>
    <w:link w:val="Subtitle"/>
    <w:uiPriority w:val="11"/>
    <w:rsid w:val="00E052E3"/>
    <w:rPr>
      <w:rFonts w:asciiTheme="majorHAnsi" w:eastAsiaTheme="majorEastAsia" w:hAnsiTheme="majorHAnsi" w:cstheme="majorBidi"/>
      <w:i/>
      <w:iCs/>
      <w:color w:val="4F81BD" w:themeColor="accent1"/>
      <w:spacing w:val="15"/>
      <w:sz w:val="24"/>
      <w:szCs w:val="24"/>
      <w:lang w:eastAsia="en-US" w:bidi="en-US"/>
    </w:rPr>
  </w:style>
  <w:style w:type="character" w:styleId="Emphasis">
    <w:name w:val="Emphasis"/>
    <w:basedOn w:val="DefaultParagraphFont"/>
    <w:uiPriority w:val="20"/>
    <w:rsid w:val="00E052E3"/>
    <w:rPr>
      <w:i/>
      <w:iCs/>
    </w:rPr>
  </w:style>
  <w:style w:type="paragraph" w:styleId="ListParagraph">
    <w:name w:val="List Paragraph"/>
    <w:basedOn w:val="Normal"/>
    <w:uiPriority w:val="34"/>
    <w:rsid w:val="00E052E3"/>
    <w:pPr>
      <w:ind w:left="720"/>
      <w:contextualSpacing/>
    </w:pPr>
    <w:rPr>
      <w:rFonts w:eastAsiaTheme="minorHAnsi" w:cstheme="minorBidi"/>
      <w:szCs w:val="22"/>
      <w:lang w:eastAsia="en-US" w:bidi="en-US"/>
    </w:rPr>
  </w:style>
  <w:style w:type="paragraph" w:styleId="Quote">
    <w:name w:val="Quote"/>
    <w:basedOn w:val="Normal"/>
    <w:next w:val="Normal"/>
    <w:link w:val="QuoteChar"/>
    <w:uiPriority w:val="29"/>
    <w:rsid w:val="00E052E3"/>
    <w:rPr>
      <w:rFonts w:eastAsiaTheme="minorHAnsi" w:cstheme="minorBidi"/>
      <w:i/>
      <w:iCs/>
      <w:color w:val="000000" w:themeColor="text1"/>
      <w:szCs w:val="22"/>
      <w:lang w:eastAsia="en-US" w:bidi="en-US"/>
    </w:rPr>
  </w:style>
  <w:style w:type="character" w:customStyle="1" w:styleId="QuoteChar">
    <w:name w:val="Quote Char"/>
    <w:basedOn w:val="DefaultParagraphFont"/>
    <w:link w:val="Quote"/>
    <w:uiPriority w:val="29"/>
    <w:rsid w:val="00E052E3"/>
    <w:rPr>
      <w:rFonts w:eastAsiaTheme="minorHAnsi" w:cstheme="minorBidi"/>
      <w:i/>
      <w:iCs/>
      <w:color w:val="000000" w:themeColor="text1"/>
      <w:sz w:val="24"/>
      <w:szCs w:val="22"/>
      <w:lang w:eastAsia="en-US" w:bidi="en-US"/>
    </w:rPr>
  </w:style>
  <w:style w:type="paragraph" w:styleId="IntenseQuote">
    <w:name w:val="Intense Quote"/>
    <w:basedOn w:val="Normal"/>
    <w:next w:val="Normal"/>
    <w:link w:val="IntenseQuoteChar"/>
    <w:uiPriority w:val="30"/>
    <w:rsid w:val="00E052E3"/>
    <w:pPr>
      <w:pBdr>
        <w:bottom w:val="single" w:sz="4" w:space="4" w:color="4F81BD" w:themeColor="accent1"/>
      </w:pBdr>
      <w:spacing w:before="200" w:after="280"/>
      <w:ind w:left="936" w:right="936"/>
    </w:pPr>
    <w:rPr>
      <w:rFonts w:eastAsiaTheme="minorHAnsi" w:cstheme="minorBidi"/>
      <w:b/>
      <w:bCs/>
      <w:i/>
      <w:iCs/>
      <w:color w:val="4F81BD" w:themeColor="accent1"/>
      <w:szCs w:val="22"/>
      <w:lang w:eastAsia="en-US" w:bidi="en-US"/>
    </w:rPr>
  </w:style>
  <w:style w:type="character" w:customStyle="1" w:styleId="IntenseQuoteChar">
    <w:name w:val="Intense Quote Char"/>
    <w:basedOn w:val="DefaultParagraphFont"/>
    <w:link w:val="IntenseQuote"/>
    <w:uiPriority w:val="30"/>
    <w:rsid w:val="00E052E3"/>
    <w:rPr>
      <w:rFonts w:eastAsiaTheme="minorHAnsi" w:cstheme="minorBidi"/>
      <w:b/>
      <w:bCs/>
      <w:i/>
      <w:iCs/>
      <w:color w:val="4F81BD" w:themeColor="accent1"/>
      <w:sz w:val="24"/>
      <w:szCs w:val="22"/>
      <w:lang w:eastAsia="en-US" w:bidi="en-US"/>
    </w:rPr>
  </w:style>
  <w:style w:type="character" w:styleId="SubtleEmphasis">
    <w:name w:val="Subtle Emphasis"/>
    <w:basedOn w:val="DefaultParagraphFont"/>
    <w:uiPriority w:val="19"/>
    <w:rsid w:val="00E052E3"/>
    <w:rPr>
      <w:i/>
      <w:iCs/>
      <w:color w:val="808080" w:themeColor="text1" w:themeTint="7F"/>
    </w:rPr>
  </w:style>
  <w:style w:type="character" w:styleId="IntenseEmphasis">
    <w:name w:val="Intense Emphasis"/>
    <w:basedOn w:val="DefaultParagraphFont"/>
    <w:uiPriority w:val="21"/>
    <w:rsid w:val="00E052E3"/>
    <w:rPr>
      <w:b/>
      <w:bCs/>
      <w:i/>
      <w:iCs/>
      <w:color w:val="4F81BD" w:themeColor="accent1"/>
    </w:rPr>
  </w:style>
  <w:style w:type="character" w:styleId="SubtleReference">
    <w:name w:val="Subtle Reference"/>
    <w:basedOn w:val="DefaultParagraphFont"/>
    <w:uiPriority w:val="31"/>
    <w:rsid w:val="00E052E3"/>
    <w:rPr>
      <w:smallCaps/>
      <w:color w:val="C0504D" w:themeColor="accent2"/>
      <w:u w:val="single"/>
    </w:rPr>
  </w:style>
  <w:style w:type="character" w:styleId="IntenseReference">
    <w:name w:val="Intense Reference"/>
    <w:basedOn w:val="DefaultParagraphFont"/>
    <w:uiPriority w:val="32"/>
    <w:rsid w:val="00E052E3"/>
    <w:rPr>
      <w:b/>
      <w:bCs/>
      <w:smallCaps/>
      <w:color w:val="C0504D" w:themeColor="accent2"/>
      <w:spacing w:val="5"/>
      <w:u w:val="single"/>
    </w:rPr>
  </w:style>
  <w:style w:type="character" w:styleId="BookTitle">
    <w:name w:val="Book Title"/>
    <w:basedOn w:val="DefaultParagraphFont"/>
    <w:uiPriority w:val="33"/>
    <w:rsid w:val="00E052E3"/>
    <w:rPr>
      <w:b/>
      <w:bCs/>
      <w:smallCaps/>
      <w:spacing w:val="5"/>
    </w:rPr>
  </w:style>
  <w:style w:type="character" w:styleId="Hyperlink">
    <w:name w:val="Hyperlink"/>
    <w:basedOn w:val="DefaultParagraphFont"/>
    <w:uiPriority w:val="99"/>
    <w:unhideWhenUsed/>
    <w:rsid w:val="00E052E3"/>
    <w:rPr>
      <w:color w:val="0000FF" w:themeColor="hyperlink"/>
      <w:u w:val="single"/>
    </w:rPr>
  </w:style>
  <w:style w:type="table" w:customStyle="1" w:styleId="TableGrid1">
    <w:name w:val="Table Grid1"/>
    <w:basedOn w:val="TableNormal"/>
    <w:next w:val="TableGrid"/>
    <w:uiPriority w:val="59"/>
    <w:rsid w:val="00F90AB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7A47-5F23-49A6-91DE-CF252315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12490</Words>
  <Characters>64621</Characters>
  <Application>Microsoft Office Word</Application>
  <DocSecurity>0</DocSecurity>
  <Lines>538</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2014-07-02T18:48:00Z</dcterms:created>
  <dcterms:modified xsi:type="dcterms:W3CDTF">2014-07-02T18:48:00Z</dcterms:modified>
</cp:coreProperties>
</file>