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B9" w:rsidRDefault="002F04B9" w:rsidP="002F04B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72560998" r:id="rId8"/>
        </w:object>
      </w:r>
      <w:r>
        <w:t xml:space="preserve"> </w:t>
      </w:r>
      <w:r>
        <w:ptab w:relativeTo="margin" w:alignment="right" w:leader="none"/>
      </w:r>
    </w:p>
    <w:p w:rsidR="002F04B9" w:rsidRDefault="002F04B9" w:rsidP="002F04B9">
      <w:pPr>
        <w:pStyle w:val="Header"/>
      </w:pPr>
    </w:p>
    <w:p w:rsidR="002F04B9" w:rsidRPr="006B210C" w:rsidRDefault="002F04B9" w:rsidP="002F04B9">
      <w:pPr>
        <w:jc w:val="center"/>
        <w:rPr>
          <w:b/>
        </w:rPr>
      </w:pPr>
      <w:r w:rsidRPr="006B210C">
        <w:rPr>
          <w:b/>
        </w:rPr>
        <w:t>SUPREME COURT OF CANADA</w:t>
      </w:r>
    </w:p>
    <w:p w:rsidR="002F04B9" w:rsidRDefault="002F04B9" w:rsidP="002F04B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F04B9" w:rsidRPr="006B210C" w:rsidTr="0051112B">
        <w:trPr>
          <w:cantSplit/>
        </w:trPr>
        <w:tc>
          <w:tcPr>
            <w:tcW w:w="6768" w:type="dxa"/>
          </w:tcPr>
          <w:p w:rsidR="002F04B9" w:rsidRPr="006B210C" w:rsidRDefault="002F04B9" w:rsidP="0051112B">
            <w:r w:rsidRPr="006B210C">
              <w:rPr>
                <w:b/>
                <w:smallCaps/>
              </w:rPr>
              <w:t>Citation</w:t>
            </w:r>
            <w:r>
              <w:rPr>
                <w:b/>
                <w:smallCaps/>
              </w:rPr>
              <w:t>:</w:t>
            </w:r>
            <w:r w:rsidRPr="006B210C">
              <w:t xml:space="preserve"> </w:t>
            </w:r>
            <w:r w:rsidRPr="009E559F">
              <w:t xml:space="preserve">R. </w:t>
            </w:r>
            <w:r w:rsidRPr="009E559F">
              <w:rPr>
                <w:i/>
              </w:rPr>
              <w:t>v.</w:t>
            </w:r>
            <w:r w:rsidRPr="009E559F">
              <w:t xml:space="preserve"> </w:t>
            </w:r>
            <w:proofErr w:type="spellStart"/>
            <w:r w:rsidRPr="009E559F">
              <w:t>Carvery</w:t>
            </w:r>
            <w:proofErr w:type="spellEnd"/>
            <w:r w:rsidRPr="009E559F">
              <w:t xml:space="preserve">, 2014 SCC </w:t>
            </w:r>
            <w:r>
              <w:t>27</w:t>
            </w:r>
            <w:r w:rsidR="004F6BDF">
              <w:t>, [2014] 1 S.C.R. 605</w:t>
            </w:r>
          </w:p>
        </w:tc>
        <w:tc>
          <w:tcPr>
            <w:tcW w:w="2808" w:type="dxa"/>
          </w:tcPr>
          <w:p w:rsidR="002F04B9" w:rsidRPr="006B210C" w:rsidRDefault="002F04B9" w:rsidP="0051112B">
            <w:r w:rsidRPr="006B210C">
              <w:rPr>
                <w:b/>
                <w:smallCaps/>
              </w:rPr>
              <w:t>Date</w:t>
            </w:r>
            <w:r>
              <w:rPr>
                <w:b/>
                <w:smallCaps/>
              </w:rPr>
              <w:t>:</w:t>
            </w:r>
            <w:r w:rsidRPr="006B210C">
              <w:t xml:space="preserve"> </w:t>
            </w:r>
            <w:r>
              <w:t>20140411</w:t>
            </w:r>
          </w:p>
          <w:p w:rsidR="002F04B9" w:rsidRPr="006B210C" w:rsidRDefault="002F04B9" w:rsidP="0051112B">
            <w:r w:rsidRPr="006B210C">
              <w:rPr>
                <w:b/>
                <w:smallCaps/>
              </w:rPr>
              <w:t>Docket</w:t>
            </w:r>
            <w:r>
              <w:rPr>
                <w:b/>
                <w:smallCaps/>
              </w:rPr>
              <w:t>:</w:t>
            </w:r>
            <w:r w:rsidRPr="006B210C">
              <w:t xml:space="preserve"> </w:t>
            </w:r>
            <w:r>
              <w:t>35115</w:t>
            </w:r>
          </w:p>
        </w:tc>
      </w:tr>
    </w:tbl>
    <w:p w:rsidR="002F04B9" w:rsidRPr="006B210C" w:rsidRDefault="002F04B9" w:rsidP="002F04B9"/>
    <w:p w:rsidR="002F04B9" w:rsidRDefault="002F04B9" w:rsidP="002F04B9">
      <w:pPr>
        <w:pStyle w:val="SCCLsocPrefix"/>
      </w:pPr>
      <w:r>
        <w:t>Between:</w:t>
      </w:r>
    </w:p>
    <w:p w:rsidR="002F04B9" w:rsidRDefault="002F04B9" w:rsidP="002F04B9">
      <w:pPr>
        <w:pStyle w:val="SCCLsocParty"/>
        <w:jc w:val="center"/>
      </w:pPr>
      <w:r>
        <w:t xml:space="preserve">Her Majesty </w:t>
      </w:r>
      <w:proofErr w:type="gramStart"/>
      <w:r>
        <w:t>The</w:t>
      </w:r>
      <w:proofErr w:type="gramEnd"/>
      <w:r>
        <w:t xml:space="preserve"> Queen</w:t>
      </w:r>
    </w:p>
    <w:p w:rsidR="002F04B9" w:rsidRDefault="002F04B9" w:rsidP="002F04B9">
      <w:pPr>
        <w:jc w:val="center"/>
      </w:pPr>
      <w:r>
        <w:t>Appellant</w:t>
      </w:r>
    </w:p>
    <w:p w:rsidR="002F04B9" w:rsidRPr="005D34B1" w:rsidRDefault="002F04B9" w:rsidP="002F04B9">
      <w:pPr>
        <w:jc w:val="center"/>
      </w:pPr>
    </w:p>
    <w:p w:rsidR="002F04B9" w:rsidRDefault="002F04B9" w:rsidP="002F04B9">
      <w:pPr>
        <w:pStyle w:val="SCCLsocVersus"/>
        <w:jc w:val="center"/>
      </w:pPr>
      <w:proofErr w:type="gramStart"/>
      <w:r>
        <w:t>and</w:t>
      </w:r>
      <w:proofErr w:type="gramEnd"/>
    </w:p>
    <w:p w:rsidR="002F04B9" w:rsidRPr="005D34B1" w:rsidRDefault="002F04B9" w:rsidP="002F04B9">
      <w:pPr>
        <w:jc w:val="center"/>
      </w:pPr>
    </w:p>
    <w:p w:rsidR="002F04B9" w:rsidRDefault="002F04B9" w:rsidP="002F04B9">
      <w:pPr>
        <w:pStyle w:val="SCCLsocParty"/>
        <w:jc w:val="center"/>
      </w:pPr>
      <w:r>
        <w:t xml:space="preserve">Level Aaron </w:t>
      </w:r>
      <w:proofErr w:type="spellStart"/>
      <w:r>
        <w:t>Carvery</w:t>
      </w:r>
      <w:proofErr w:type="spellEnd"/>
    </w:p>
    <w:p w:rsidR="002F04B9" w:rsidRDefault="002F04B9" w:rsidP="002F04B9">
      <w:pPr>
        <w:jc w:val="center"/>
      </w:pPr>
      <w:r>
        <w:t>Respondent</w:t>
      </w:r>
    </w:p>
    <w:p w:rsidR="002F04B9" w:rsidRPr="005D34B1" w:rsidRDefault="002F04B9" w:rsidP="002F04B9">
      <w:pPr>
        <w:jc w:val="center"/>
      </w:pPr>
    </w:p>
    <w:p w:rsidR="002F04B9" w:rsidRDefault="002F04B9" w:rsidP="002F04B9">
      <w:pPr>
        <w:pStyle w:val="SCCLsocOtherPartySeparator"/>
        <w:jc w:val="center"/>
      </w:pPr>
      <w:r>
        <w:t xml:space="preserve">- </w:t>
      </w:r>
      <w:proofErr w:type="gramStart"/>
      <w:r>
        <w:t>and</w:t>
      </w:r>
      <w:proofErr w:type="gramEnd"/>
      <w:r>
        <w:t xml:space="preserve"> -</w:t>
      </w:r>
    </w:p>
    <w:p w:rsidR="002F04B9" w:rsidRDefault="002F04B9" w:rsidP="002F04B9">
      <w:pPr>
        <w:pStyle w:val="SCCLsocParty"/>
        <w:jc w:val="center"/>
      </w:pPr>
    </w:p>
    <w:p w:rsidR="002F04B9" w:rsidRDefault="002F04B9" w:rsidP="002F04B9">
      <w:pPr>
        <w:pStyle w:val="SCCLsocParty"/>
        <w:jc w:val="center"/>
      </w:pPr>
      <w:r>
        <w:t>Criminal Lawyers’ Association of Ontario and</w:t>
      </w:r>
    </w:p>
    <w:p w:rsidR="002F04B9" w:rsidRDefault="002F04B9" w:rsidP="002F04B9">
      <w:pPr>
        <w:pStyle w:val="SCCLsocParty"/>
        <w:jc w:val="center"/>
      </w:pPr>
      <w:r>
        <w:t>British Columbia Civil Liberties Association</w:t>
      </w:r>
    </w:p>
    <w:p w:rsidR="002F04B9" w:rsidRPr="006B210C" w:rsidRDefault="002F04B9" w:rsidP="002F04B9">
      <w:pPr>
        <w:jc w:val="center"/>
        <w:rPr>
          <w:b/>
          <w:smallCaps/>
        </w:rPr>
      </w:pPr>
      <w:r>
        <w:t>Interveners</w:t>
      </w:r>
      <w:r>
        <w:br/>
      </w:r>
    </w:p>
    <w:p w:rsidR="002F04B9" w:rsidRPr="006B210C" w:rsidRDefault="002F04B9" w:rsidP="004F6BDF">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2F04B9" w:rsidRPr="006B210C" w:rsidRDefault="002F04B9" w:rsidP="002F04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F04B9" w:rsidRPr="006B210C" w:rsidTr="0051112B">
        <w:trPr>
          <w:cantSplit/>
        </w:trPr>
        <w:tc>
          <w:tcPr>
            <w:tcW w:w="3618" w:type="dxa"/>
          </w:tcPr>
          <w:p w:rsidR="002F04B9" w:rsidRDefault="002F04B9" w:rsidP="0051112B">
            <w:pPr>
              <w:rPr>
                <w:b/>
                <w:smallCaps/>
              </w:rPr>
            </w:pPr>
            <w:r w:rsidRPr="006B210C">
              <w:rPr>
                <w:b/>
                <w:smallCaps/>
              </w:rPr>
              <w:t>Reasons for Judgment</w:t>
            </w:r>
            <w:r>
              <w:rPr>
                <w:b/>
                <w:smallCaps/>
              </w:rPr>
              <w:t>:</w:t>
            </w:r>
          </w:p>
          <w:p w:rsidR="002F04B9" w:rsidRPr="006B210C" w:rsidRDefault="002F04B9" w:rsidP="0051112B">
            <w:r>
              <w:t>(</w:t>
            </w:r>
            <w:proofErr w:type="spellStart"/>
            <w:r>
              <w:t>paras</w:t>
            </w:r>
            <w:proofErr w:type="spellEnd"/>
            <w:r>
              <w:t xml:space="preserve">. 1 to </w:t>
            </w:r>
            <w:r w:rsidRPr="00DF1C79">
              <w:t>23</w:t>
            </w:r>
            <w:r>
              <w:t>)</w:t>
            </w:r>
          </w:p>
        </w:tc>
        <w:tc>
          <w:tcPr>
            <w:tcW w:w="5958" w:type="dxa"/>
          </w:tcPr>
          <w:p w:rsidR="002F04B9" w:rsidRPr="006B210C" w:rsidRDefault="002F04B9" w:rsidP="0051112B">
            <w:proofErr w:type="spellStart"/>
            <w:r>
              <w:t>Karakatsanis</w:t>
            </w:r>
            <w:proofErr w:type="spellEnd"/>
            <w:r>
              <w:t xml:space="preserve">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Rothstein, Cromwell and Wagner JJ. concurring)</w:t>
            </w:r>
          </w:p>
        </w:tc>
      </w:tr>
    </w:tbl>
    <w:p w:rsidR="002F04B9" w:rsidRDefault="002F04B9" w:rsidP="002F04B9"/>
    <w:p w:rsidR="002F04B9" w:rsidRPr="006B210C" w:rsidRDefault="0054146C" w:rsidP="002F04B9">
      <w:r w:rsidRPr="0054146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F04B9" w:rsidRDefault="002F04B9" w:rsidP="00885ABD">
      <w:pPr>
        <w:spacing w:after="720"/>
        <w:jc w:val="both"/>
      </w:pPr>
    </w:p>
    <w:p w:rsidR="008322BD" w:rsidRPr="006003A9" w:rsidRDefault="006003A9" w:rsidP="00885ABD">
      <w:pPr>
        <w:spacing w:after="720"/>
        <w:jc w:val="both"/>
      </w:pPr>
      <w:r>
        <w:t>R</w:t>
      </w:r>
      <w:r w:rsidR="008F78E9" w:rsidRPr="006003A9">
        <w:t>.</w:t>
      </w:r>
      <w:r w:rsidR="00480C90" w:rsidRPr="006003A9">
        <w:t xml:space="preserve"> </w:t>
      </w:r>
      <w:r w:rsidR="009B57B3" w:rsidRPr="006003A9">
        <w:rPr>
          <w:i/>
        </w:rPr>
        <w:t>v.</w:t>
      </w:r>
      <w:r w:rsidR="00B000D8" w:rsidRPr="006003A9">
        <w:t xml:space="preserve"> </w:t>
      </w:r>
      <w:proofErr w:type="spellStart"/>
      <w:r>
        <w:t>C</w:t>
      </w:r>
      <w:r w:rsidR="008F78E9" w:rsidRPr="006003A9">
        <w:t>arvery</w:t>
      </w:r>
      <w:proofErr w:type="spellEnd"/>
      <w:r>
        <w:t>, 2014 SCC 27, [2014] 1 S.C.R. 605</w:t>
      </w:r>
    </w:p>
    <w:p w:rsidR="00054238" w:rsidRPr="00060C4E" w:rsidRDefault="003A2B20" w:rsidP="00885ABD">
      <w:pPr>
        <w:pStyle w:val="SCCLsocLastPartyInRole"/>
      </w:pPr>
      <w:r w:rsidRPr="00060C4E">
        <w:t xml:space="preserve">Her Majesty </w:t>
      </w:r>
      <w:proofErr w:type="gramStart"/>
      <w:r w:rsidRPr="00060C4E">
        <w:t>The</w:t>
      </w:r>
      <w:proofErr w:type="gramEnd"/>
      <w:r w:rsidRPr="00060C4E">
        <w:t xml:space="preserve"> Queen</w:t>
      </w:r>
      <w:r w:rsidRPr="00060C4E">
        <w:rPr>
          <w:rStyle w:val="SCCLsocPartyRole"/>
        </w:rPr>
        <w:tab/>
        <w:t>App</w:t>
      </w:r>
      <w:r w:rsidR="00B7209F" w:rsidRPr="00060C4E">
        <w:rPr>
          <w:rStyle w:val="SCCLsocPartyRole"/>
        </w:rPr>
        <w:t>ellant</w:t>
      </w:r>
    </w:p>
    <w:p w:rsidR="00054238" w:rsidRPr="00060C4E" w:rsidRDefault="003A2B20" w:rsidP="00885ABD">
      <w:pPr>
        <w:pStyle w:val="SCCLsocVersus"/>
      </w:pPr>
      <w:proofErr w:type="gramStart"/>
      <w:r w:rsidRPr="00060C4E">
        <w:lastRenderedPageBreak/>
        <w:t>v</w:t>
      </w:r>
      <w:proofErr w:type="gramEnd"/>
      <w:r w:rsidRPr="00060C4E">
        <w:t>.</w:t>
      </w:r>
    </w:p>
    <w:p w:rsidR="00054238" w:rsidRPr="00060C4E" w:rsidRDefault="003A2B20" w:rsidP="00885ABD">
      <w:pPr>
        <w:pStyle w:val="SCCLsocLastPartyInRole"/>
      </w:pPr>
      <w:r w:rsidRPr="00060C4E">
        <w:t xml:space="preserve">Level Aaron </w:t>
      </w:r>
      <w:proofErr w:type="spellStart"/>
      <w:r w:rsidRPr="00060C4E">
        <w:t>Carvery</w:t>
      </w:r>
      <w:proofErr w:type="spellEnd"/>
      <w:r w:rsidRPr="00060C4E">
        <w:rPr>
          <w:rStyle w:val="SCCLsocPartyRole"/>
        </w:rPr>
        <w:tab/>
        <w:t>Respondent</w:t>
      </w:r>
    </w:p>
    <w:p w:rsidR="00054238" w:rsidRPr="00060C4E" w:rsidRDefault="003A2B20" w:rsidP="00885ABD">
      <w:pPr>
        <w:pStyle w:val="SCCLsocOtherPartySeparator"/>
      </w:pPr>
      <w:proofErr w:type="gramStart"/>
      <w:r w:rsidRPr="00060C4E">
        <w:t>and</w:t>
      </w:r>
      <w:proofErr w:type="gramEnd"/>
    </w:p>
    <w:p w:rsidR="00054238" w:rsidRPr="00060C4E" w:rsidRDefault="003A2B20">
      <w:pPr>
        <w:pStyle w:val="SCCLsocParty"/>
      </w:pPr>
      <w:r w:rsidRPr="00060C4E">
        <w:t>Criminal Lawyers’ Association of Ontario and</w:t>
      </w:r>
    </w:p>
    <w:p w:rsidR="00054238" w:rsidRPr="00060C4E" w:rsidRDefault="003A2B20" w:rsidP="00885ABD">
      <w:pPr>
        <w:pStyle w:val="SCCLsocLastPartyInRole"/>
      </w:pPr>
      <w:r w:rsidRPr="00060C4E">
        <w:t>British Columbia Civil Liberties Association</w:t>
      </w:r>
      <w:r w:rsidRPr="00060C4E">
        <w:rPr>
          <w:rStyle w:val="SCCLsocPartyRole"/>
        </w:rPr>
        <w:tab/>
        <w:t>Interveners</w:t>
      </w:r>
    </w:p>
    <w:p w:rsidR="00426659" w:rsidRPr="00060C4E" w:rsidRDefault="00426659" w:rsidP="00885ABD">
      <w:pPr>
        <w:spacing w:after="720"/>
        <w:jc w:val="both"/>
        <w:rPr>
          <w:b/>
        </w:rPr>
      </w:pPr>
      <w:r w:rsidRPr="00060C4E">
        <w:rPr>
          <w:b/>
        </w:rPr>
        <w:t xml:space="preserve">Indexed as:  R. </w:t>
      </w:r>
      <w:r w:rsidRPr="00060C4E">
        <w:rPr>
          <w:b/>
          <w:i/>
        </w:rPr>
        <w:t>v.</w:t>
      </w:r>
      <w:r w:rsidRPr="00060C4E">
        <w:rPr>
          <w:b/>
        </w:rPr>
        <w:t xml:space="preserve"> </w:t>
      </w:r>
      <w:proofErr w:type="spellStart"/>
      <w:r w:rsidRPr="00060C4E">
        <w:rPr>
          <w:b/>
        </w:rPr>
        <w:t>Carvery</w:t>
      </w:r>
      <w:proofErr w:type="spellEnd"/>
    </w:p>
    <w:p w:rsidR="00426659" w:rsidRPr="00060C4E" w:rsidRDefault="004F36FF" w:rsidP="00885ABD">
      <w:pPr>
        <w:pStyle w:val="SCCSystemYear"/>
        <w:spacing w:after="720"/>
        <w:jc w:val="both"/>
      </w:pPr>
      <w:r w:rsidRPr="00060C4E">
        <w:t>2014</w:t>
      </w:r>
      <w:r w:rsidR="003D0399" w:rsidRPr="00060C4E">
        <w:t xml:space="preserve"> </w:t>
      </w:r>
      <w:r w:rsidR="001844C5" w:rsidRPr="00060C4E">
        <w:t>SCC 27</w:t>
      </w:r>
    </w:p>
    <w:p w:rsidR="008322BD" w:rsidRPr="00060C4E" w:rsidRDefault="009B57B3" w:rsidP="00885ABD">
      <w:pPr>
        <w:spacing w:after="720"/>
        <w:jc w:val="both"/>
      </w:pPr>
      <w:r w:rsidRPr="00060C4E">
        <w:t>File No.:  35115.</w:t>
      </w:r>
    </w:p>
    <w:p w:rsidR="008322BD" w:rsidRPr="00060C4E" w:rsidRDefault="007924E0" w:rsidP="00885ABD">
      <w:pPr>
        <w:spacing w:after="720"/>
        <w:jc w:val="both"/>
      </w:pPr>
      <w:r w:rsidRPr="00060C4E">
        <w:t>2014:  </w:t>
      </w:r>
      <w:r w:rsidR="004F36FF" w:rsidRPr="00060C4E">
        <w:t>January</w:t>
      </w:r>
      <w:r w:rsidRPr="00060C4E">
        <w:t> </w:t>
      </w:r>
      <w:r w:rsidR="004F36FF" w:rsidRPr="00060C4E">
        <w:t>23</w:t>
      </w:r>
      <w:r w:rsidR="009B57B3" w:rsidRPr="00060C4E">
        <w:t xml:space="preserve">; </w:t>
      </w:r>
      <w:r w:rsidRPr="00060C4E">
        <w:t>2014:  April </w:t>
      </w:r>
      <w:r w:rsidR="001844C5" w:rsidRPr="00060C4E">
        <w:t>11</w:t>
      </w:r>
      <w:r w:rsidR="009B57B3" w:rsidRPr="00060C4E">
        <w:t>.</w:t>
      </w:r>
    </w:p>
    <w:p w:rsidR="008322BD" w:rsidRPr="00060C4E" w:rsidRDefault="009B57B3" w:rsidP="00885ABD">
      <w:pPr>
        <w:spacing w:after="720"/>
        <w:jc w:val="both"/>
      </w:pPr>
      <w:r w:rsidRPr="00060C4E">
        <w:t xml:space="preserve">Present:  </w:t>
      </w:r>
      <w:proofErr w:type="spellStart"/>
      <w:r w:rsidRPr="00060C4E">
        <w:t>McLachlin</w:t>
      </w:r>
      <w:proofErr w:type="spellEnd"/>
      <w:r w:rsidRPr="00060C4E">
        <w:t xml:space="preserve"> C.J. and </w:t>
      </w:r>
      <w:proofErr w:type="spellStart"/>
      <w:r w:rsidRPr="00060C4E">
        <w:t>LeBel</w:t>
      </w:r>
      <w:proofErr w:type="spellEnd"/>
      <w:r w:rsidRPr="00060C4E">
        <w:t xml:space="preserve">, </w:t>
      </w:r>
      <w:proofErr w:type="spellStart"/>
      <w:r w:rsidRPr="00060C4E">
        <w:t>Abella</w:t>
      </w:r>
      <w:proofErr w:type="spellEnd"/>
      <w:r w:rsidRPr="00060C4E">
        <w:t xml:space="preserve">, Rothstein, Cromwell, </w:t>
      </w:r>
      <w:proofErr w:type="spellStart"/>
      <w:r w:rsidRPr="00060C4E">
        <w:t>Karakatsanis</w:t>
      </w:r>
      <w:proofErr w:type="spellEnd"/>
      <w:r w:rsidRPr="00060C4E">
        <w:t xml:space="preserve"> and Wagner JJ.</w:t>
      </w:r>
    </w:p>
    <w:p w:rsidR="008322BD" w:rsidRPr="00060C4E" w:rsidRDefault="00656313" w:rsidP="00885ABD">
      <w:pPr>
        <w:pStyle w:val="SCCLowerCourtNameLowercase"/>
        <w:spacing w:after="720" w:line="240" w:lineRule="auto"/>
      </w:pPr>
      <w:r w:rsidRPr="00060C4E">
        <w:t>o</w:t>
      </w:r>
      <w:r w:rsidR="00170592" w:rsidRPr="00060C4E">
        <w:t>n</w:t>
      </w:r>
      <w:r w:rsidR="00224FC0" w:rsidRPr="00060C4E">
        <w:t xml:space="preserve"> </w:t>
      </w:r>
      <w:r w:rsidRPr="00060C4E">
        <w:t>a</w:t>
      </w:r>
      <w:r w:rsidR="00170592" w:rsidRPr="00060C4E">
        <w:t>ppeal</w:t>
      </w:r>
      <w:r w:rsidR="00224FC0" w:rsidRPr="00060C4E">
        <w:t xml:space="preserve"> </w:t>
      </w:r>
      <w:r w:rsidR="00170592" w:rsidRPr="00060C4E">
        <w:t>from</w:t>
      </w:r>
      <w:r w:rsidR="009567AA" w:rsidRPr="00060C4E">
        <w:t xml:space="preserve"> </w:t>
      </w:r>
      <w:r w:rsidR="00C83C9B">
        <w:t xml:space="preserve">the </w:t>
      </w:r>
      <w:r w:rsidR="003A2B20" w:rsidRPr="00060C4E">
        <w:t xml:space="preserve">court of appeal for nova </w:t>
      </w:r>
      <w:proofErr w:type="spellStart"/>
      <w:r w:rsidR="003A2B20" w:rsidRPr="00060C4E">
        <w:t>scotia</w:t>
      </w:r>
      <w:proofErr w:type="spellEnd"/>
    </w:p>
    <w:p w:rsidR="001928FC" w:rsidRPr="00060C4E" w:rsidRDefault="009B57B3" w:rsidP="00044E90">
      <w:pPr>
        <w:pStyle w:val="SCCNormalDoubleSpacing"/>
        <w:spacing w:after="480"/>
        <w:rPr>
          <w:i/>
        </w:rPr>
      </w:pPr>
      <w:r w:rsidRPr="00060C4E">
        <w:tab/>
      </w:r>
      <w:r w:rsidR="001928FC" w:rsidRPr="00060C4E">
        <w:rPr>
          <w:i/>
        </w:rPr>
        <w:t xml:space="preserve">Criminal law </w:t>
      </w:r>
      <w:r w:rsidR="00044E90" w:rsidRPr="00060C4E">
        <w:rPr>
          <w:i/>
        </w:rPr>
        <w:t xml:space="preserve">— </w:t>
      </w:r>
      <w:r w:rsidR="001928FC" w:rsidRPr="00060C4E">
        <w:rPr>
          <w:i/>
        </w:rPr>
        <w:t xml:space="preserve">Sentencing </w:t>
      </w:r>
      <w:r w:rsidR="00044E90" w:rsidRPr="00060C4E">
        <w:rPr>
          <w:i/>
        </w:rPr>
        <w:t xml:space="preserve">— </w:t>
      </w:r>
      <w:r w:rsidR="001928FC" w:rsidRPr="00060C4E">
        <w:rPr>
          <w:i/>
        </w:rPr>
        <w:t xml:space="preserve">Considerations </w:t>
      </w:r>
      <w:r w:rsidR="00044E90" w:rsidRPr="00060C4E">
        <w:rPr>
          <w:i/>
        </w:rPr>
        <w:t xml:space="preserve">— </w:t>
      </w:r>
      <w:r w:rsidR="001928FC" w:rsidRPr="00060C4E">
        <w:rPr>
          <w:i/>
        </w:rPr>
        <w:t>Credit for pre</w:t>
      </w:r>
      <w:r w:rsidR="00DF6C86">
        <w:rPr>
          <w:i/>
        </w:rPr>
        <w:t>-</w:t>
      </w:r>
      <w:r w:rsidR="001928FC" w:rsidRPr="00060C4E">
        <w:rPr>
          <w:i/>
        </w:rPr>
        <w:t xml:space="preserve">sentence detention </w:t>
      </w:r>
      <w:r w:rsidR="00044E90" w:rsidRPr="00060C4E">
        <w:rPr>
          <w:i/>
        </w:rPr>
        <w:t xml:space="preserve">— </w:t>
      </w:r>
      <w:r w:rsidR="001928FC" w:rsidRPr="00060C4E">
        <w:rPr>
          <w:i/>
        </w:rPr>
        <w:t xml:space="preserve">Criminal Code </w:t>
      </w:r>
      <w:r w:rsidR="00D339FB" w:rsidRPr="00060C4E">
        <w:rPr>
          <w:i/>
        </w:rPr>
        <w:t>permitting</w:t>
      </w:r>
      <w:r w:rsidR="001928FC" w:rsidRPr="00060C4E">
        <w:rPr>
          <w:i/>
        </w:rPr>
        <w:t xml:space="preserve"> enhanced credit at rate of </w:t>
      </w:r>
      <w:r w:rsidR="00D339FB" w:rsidRPr="00060C4E">
        <w:rPr>
          <w:i/>
        </w:rPr>
        <w:t xml:space="preserve">up to </w:t>
      </w:r>
      <w:r w:rsidR="001928FC" w:rsidRPr="00060C4E">
        <w:rPr>
          <w:i/>
        </w:rPr>
        <w:t>one</w:t>
      </w:r>
      <w:r w:rsidR="00C83C9B">
        <w:rPr>
          <w:i/>
        </w:rPr>
        <w:t xml:space="preserve"> </w:t>
      </w:r>
      <w:r w:rsidR="001928FC" w:rsidRPr="00060C4E">
        <w:rPr>
          <w:i/>
        </w:rPr>
        <w:t>and</w:t>
      </w:r>
      <w:r w:rsidR="00C83C9B">
        <w:rPr>
          <w:i/>
        </w:rPr>
        <w:t xml:space="preserve"> </w:t>
      </w:r>
      <w:r w:rsidR="001928FC" w:rsidRPr="00060C4E">
        <w:rPr>
          <w:i/>
        </w:rPr>
        <w:t>one</w:t>
      </w:r>
      <w:r w:rsidR="00DF6C86">
        <w:rPr>
          <w:i/>
        </w:rPr>
        <w:t>-</w:t>
      </w:r>
      <w:r w:rsidR="001928FC" w:rsidRPr="00060C4E">
        <w:rPr>
          <w:i/>
        </w:rPr>
        <w:t xml:space="preserve">half days for every day of detention “if the circumstances justify it” </w:t>
      </w:r>
      <w:r w:rsidR="00044E90" w:rsidRPr="00060C4E">
        <w:rPr>
          <w:i/>
        </w:rPr>
        <w:t xml:space="preserve">— </w:t>
      </w:r>
      <w:r w:rsidR="001928FC" w:rsidRPr="00060C4E">
        <w:rPr>
          <w:i/>
        </w:rPr>
        <w:t>Sentencing judge applying enhanced credit</w:t>
      </w:r>
      <w:r w:rsidR="00D339FB" w:rsidRPr="00060C4E">
        <w:rPr>
          <w:i/>
        </w:rPr>
        <w:t xml:space="preserve"> </w:t>
      </w:r>
      <w:r w:rsidR="001928FC" w:rsidRPr="00060C4E">
        <w:rPr>
          <w:i/>
        </w:rPr>
        <w:t>on basis of lost eligibility for early release</w:t>
      </w:r>
      <w:r w:rsidR="00D339FB" w:rsidRPr="00060C4E">
        <w:rPr>
          <w:i/>
        </w:rPr>
        <w:t xml:space="preserve"> </w:t>
      </w:r>
      <w:r w:rsidR="00044E90" w:rsidRPr="00060C4E">
        <w:rPr>
          <w:i/>
        </w:rPr>
        <w:t xml:space="preserve">— </w:t>
      </w:r>
      <w:r w:rsidR="001928FC" w:rsidRPr="00060C4E">
        <w:rPr>
          <w:i/>
        </w:rPr>
        <w:t>Whether sentencing judge erred by granting credit for pre</w:t>
      </w:r>
      <w:r w:rsidR="00DF6C86">
        <w:rPr>
          <w:i/>
        </w:rPr>
        <w:t>-</w:t>
      </w:r>
      <w:r w:rsidR="001928FC" w:rsidRPr="00060C4E">
        <w:rPr>
          <w:i/>
        </w:rPr>
        <w:t xml:space="preserve">sentence custody at rate of </w:t>
      </w:r>
      <w:r w:rsidR="001928FC" w:rsidRPr="00060C4E">
        <w:rPr>
          <w:i/>
        </w:rPr>
        <w:lastRenderedPageBreak/>
        <w:t>one</w:t>
      </w:r>
      <w:r w:rsidR="00ED41BB">
        <w:rPr>
          <w:i/>
        </w:rPr>
        <w:t xml:space="preserve"> </w:t>
      </w:r>
      <w:r w:rsidR="001928FC" w:rsidRPr="00060C4E">
        <w:rPr>
          <w:i/>
        </w:rPr>
        <w:t>and</w:t>
      </w:r>
      <w:r w:rsidR="00ED41BB">
        <w:rPr>
          <w:i/>
        </w:rPr>
        <w:t xml:space="preserve"> </w:t>
      </w:r>
      <w:r w:rsidR="001928FC" w:rsidRPr="00060C4E">
        <w:rPr>
          <w:i/>
        </w:rPr>
        <w:t>one</w:t>
      </w:r>
      <w:r w:rsidR="001F7DBB">
        <w:rPr>
          <w:i/>
        </w:rPr>
        <w:t>-</w:t>
      </w:r>
      <w:r w:rsidR="001928FC" w:rsidRPr="00060C4E">
        <w:rPr>
          <w:i/>
        </w:rPr>
        <w:t xml:space="preserve">half to one to account for loss of early release </w:t>
      </w:r>
      <w:r w:rsidR="00044E90" w:rsidRPr="00060C4E">
        <w:rPr>
          <w:i/>
        </w:rPr>
        <w:t>— Crimin</w:t>
      </w:r>
      <w:r w:rsidR="00C83C9B">
        <w:rPr>
          <w:i/>
        </w:rPr>
        <w:t>al Code, R.S.C. 1985, c. C</w:t>
      </w:r>
      <w:r w:rsidR="00DF6C86">
        <w:rPr>
          <w:i/>
        </w:rPr>
        <w:t>-</w:t>
      </w:r>
      <w:r w:rsidR="00C83C9B">
        <w:rPr>
          <w:i/>
        </w:rPr>
        <w:t xml:space="preserve">46, </w:t>
      </w:r>
      <w:r w:rsidR="00044E90" w:rsidRPr="00060C4E">
        <w:rPr>
          <w:i/>
        </w:rPr>
        <w:t>s</w:t>
      </w:r>
      <w:r w:rsidR="00817E8E">
        <w:rPr>
          <w:i/>
        </w:rPr>
        <w:t>s</w:t>
      </w:r>
      <w:r w:rsidR="00044E90" w:rsidRPr="00060C4E">
        <w:rPr>
          <w:i/>
        </w:rPr>
        <w:t>. </w:t>
      </w:r>
      <w:r w:rsidR="001928FC" w:rsidRPr="00060C4E">
        <w:rPr>
          <w:i/>
        </w:rPr>
        <w:t>719(3)</w:t>
      </w:r>
      <w:r w:rsidR="00C83C9B">
        <w:rPr>
          <w:i/>
        </w:rPr>
        <w:t>,</w:t>
      </w:r>
      <w:r w:rsidR="001928FC" w:rsidRPr="00060C4E">
        <w:rPr>
          <w:i/>
        </w:rPr>
        <w:t xml:space="preserve"> </w:t>
      </w:r>
      <w:r w:rsidR="00817E8E">
        <w:rPr>
          <w:i/>
        </w:rPr>
        <w:t>719</w:t>
      </w:r>
      <w:r w:rsidR="001928FC" w:rsidRPr="00060C4E">
        <w:rPr>
          <w:i/>
        </w:rPr>
        <w:t>(3.1).</w:t>
      </w:r>
    </w:p>
    <w:p w:rsidR="001928FC" w:rsidRPr="00060C4E" w:rsidRDefault="00044E90" w:rsidP="00044E90">
      <w:pPr>
        <w:pStyle w:val="SCCNormalDoubleSpacing"/>
        <w:spacing w:after="480"/>
      </w:pPr>
      <w:r w:rsidRPr="00060C4E">
        <w:tab/>
      </w:r>
      <w:r w:rsidR="001928FC" w:rsidRPr="00060C4E">
        <w:t>Th</w:t>
      </w:r>
      <w:r w:rsidRPr="00060C4E">
        <w:t>e accused was on remand for 9.5 </w:t>
      </w:r>
      <w:r w:rsidR="001928FC" w:rsidRPr="00060C4E">
        <w:t>months.  The sentencing judge assigned a credit calculated at a rate of one</w:t>
      </w:r>
      <w:r w:rsidR="00C83C9B">
        <w:t xml:space="preserve"> </w:t>
      </w:r>
      <w:r w:rsidR="001928FC" w:rsidRPr="00060C4E">
        <w:t>and</w:t>
      </w:r>
      <w:r w:rsidR="00C83C9B">
        <w:t xml:space="preserve"> </w:t>
      </w:r>
      <w:r w:rsidR="001928FC" w:rsidRPr="00060C4E">
        <w:t>one</w:t>
      </w:r>
      <w:r w:rsidR="00DF6C86">
        <w:t>-</w:t>
      </w:r>
      <w:r w:rsidR="001928FC" w:rsidRPr="00060C4E">
        <w:t>half to one, on the basis of loss of remission and parole eligibility.  The Court of Appeal upheld the decision finding that the legislation provides for judicial discretion to grant credit of up to 1.5 to 1 for time spent in pre</w:t>
      </w:r>
      <w:r w:rsidR="00DF6C86">
        <w:t>-</w:t>
      </w:r>
      <w:r w:rsidR="001928FC" w:rsidRPr="00060C4E">
        <w:t>sentence custody on the basis of loss of remission or parole eligibility.</w:t>
      </w:r>
    </w:p>
    <w:p w:rsidR="001928FC" w:rsidRPr="00060C4E" w:rsidRDefault="001928FC" w:rsidP="00044E90">
      <w:pPr>
        <w:pStyle w:val="SCCNormalDoubleSpacing"/>
        <w:spacing w:after="480"/>
      </w:pPr>
      <w:r w:rsidRPr="00060C4E">
        <w:rPr>
          <w:i/>
        </w:rPr>
        <w:tab/>
        <w:t>Held</w:t>
      </w:r>
      <w:r w:rsidRPr="00060C4E">
        <w:t>:  The appeal should be dismissed.</w:t>
      </w:r>
    </w:p>
    <w:p w:rsidR="001928FC" w:rsidRPr="00060C4E" w:rsidRDefault="001928FC" w:rsidP="00044E90">
      <w:pPr>
        <w:pStyle w:val="SCCNormalDoubleSpacing"/>
        <w:spacing w:after="480"/>
      </w:pPr>
      <w:r w:rsidRPr="00060C4E">
        <w:tab/>
        <w:t xml:space="preserve">For the reasons given in </w:t>
      </w:r>
      <w:r w:rsidRPr="00060C4E">
        <w:rPr>
          <w:i/>
        </w:rPr>
        <w:t>R. v. Summers</w:t>
      </w:r>
      <w:r w:rsidRPr="00060C4E">
        <w:t>, the circumstances justifying enhan</w:t>
      </w:r>
      <w:r w:rsidR="001F7DBB">
        <w:t>ced credit of up to one and one-</w:t>
      </w:r>
      <w:r w:rsidRPr="00060C4E">
        <w:t>half days for every day of pre</w:t>
      </w:r>
      <w:r w:rsidR="00DF6C86">
        <w:t>-</w:t>
      </w:r>
      <w:r w:rsidR="00044E90" w:rsidRPr="00060C4E">
        <w:t>trial detention under s. </w:t>
      </w:r>
      <w:r w:rsidRPr="00060C4E">
        <w:t xml:space="preserve">719(3.1) of the </w:t>
      </w:r>
      <w:r w:rsidRPr="00060C4E">
        <w:rPr>
          <w:i/>
        </w:rPr>
        <w:t xml:space="preserve">Criminal </w:t>
      </w:r>
      <w:r w:rsidRPr="00183D8C">
        <w:rPr>
          <w:i/>
        </w:rPr>
        <w:t>Code</w:t>
      </w:r>
      <w:r w:rsidRPr="00060C4E">
        <w:t xml:space="preserve"> include the effect of pre</w:t>
      </w:r>
      <w:r w:rsidR="00DF6C86">
        <w:t>-</w:t>
      </w:r>
      <w:r w:rsidRPr="00060C4E">
        <w:t xml:space="preserve">sentence detention on access to early release. </w:t>
      </w:r>
      <w:r w:rsidR="002145BE" w:rsidRPr="00060C4E">
        <w:t xml:space="preserve"> </w:t>
      </w:r>
      <w:r w:rsidRPr="00060C4E">
        <w:t>In this case, there is nothing in the record to indicate that the accused would be denied early release, and the accused did not try to drag out his remand to manipulate or “game” the system.  Thus, there are no grounds to interfere with the sentencing judge’s exercise of discretion.</w:t>
      </w:r>
    </w:p>
    <w:p w:rsidR="007E1C47" w:rsidRPr="00060C4E" w:rsidRDefault="002E6705" w:rsidP="001928FC">
      <w:pPr>
        <w:pStyle w:val="SCCNormalDoubleSpacing"/>
        <w:spacing w:after="480"/>
        <w:rPr>
          <w:b/>
        </w:rPr>
      </w:pPr>
      <w:r w:rsidRPr="00060C4E">
        <w:rPr>
          <w:b/>
        </w:rPr>
        <w:t>Cases Cited</w:t>
      </w:r>
    </w:p>
    <w:p w:rsidR="004E2C26" w:rsidRPr="00060C4E" w:rsidRDefault="002E6705" w:rsidP="00885ABD">
      <w:pPr>
        <w:pStyle w:val="SCCNormalDoubleSpacing"/>
        <w:widowControl w:val="0"/>
        <w:spacing w:after="720" w:line="240" w:lineRule="auto"/>
      </w:pPr>
      <w:r w:rsidRPr="00060C4E">
        <w:tab/>
      </w:r>
      <w:r w:rsidR="00767FD4" w:rsidRPr="00060C4E">
        <w:rPr>
          <w:b/>
        </w:rPr>
        <w:t>Applied</w:t>
      </w:r>
      <w:r w:rsidRPr="00060C4E">
        <w:rPr>
          <w:b/>
        </w:rPr>
        <w:t>:</w:t>
      </w:r>
      <w:r w:rsidR="00BD0E9E" w:rsidRPr="00060C4E">
        <w:t xml:space="preserve"> </w:t>
      </w:r>
      <w:r w:rsidR="007802BB" w:rsidRPr="00060C4E">
        <w:t xml:space="preserve"> </w:t>
      </w:r>
      <w:r w:rsidR="007802BB" w:rsidRPr="00060C4E">
        <w:rPr>
          <w:i/>
        </w:rPr>
        <w:t xml:space="preserve">R. v. </w:t>
      </w:r>
      <w:proofErr w:type="gramStart"/>
      <w:r w:rsidR="007802BB" w:rsidRPr="00060C4E">
        <w:rPr>
          <w:i/>
        </w:rPr>
        <w:t>Summers</w:t>
      </w:r>
      <w:proofErr w:type="gramEnd"/>
      <w:r w:rsidR="001B15B8" w:rsidRPr="00060C4E">
        <w:t xml:space="preserve">, 2014 SCC </w:t>
      </w:r>
      <w:r w:rsidR="0070037D" w:rsidRPr="00060C4E">
        <w:t>26</w:t>
      </w:r>
      <w:r w:rsidR="00472FF2">
        <w:t>, [2014] 1 S.C.R</w:t>
      </w:r>
      <w:r w:rsidR="00183D8C">
        <w:t>.</w:t>
      </w:r>
      <w:r w:rsidR="00472FF2">
        <w:t xml:space="preserve"> </w:t>
      </w:r>
      <w:r w:rsidR="008F4777">
        <w:t>575</w:t>
      </w:r>
      <w:r w:rsidR="001B15B8" w:rsidRPr="00060C4E">
        <w:t>.</w:t>
      </w:r>
    </w:p>
    <w:p w:rsidR="003B215F" w:rsidRPr="00060C4E" w:rsidRDefault="002E6705" w:rsidP="00885ABD">
      <w:pPr>
        <w:pStyle w:val="SCCNormalDoubleSpacing"/>
        <w:keepNext/>
        <w:spacing w:after="720" w:line="240" w:lineRule="auto"/>
      </w:pPr>
      <w:r w:rsidRPr="00060C4E">
        <w:rPr>
          <w:b/>
        </w:rPr>
        <w:lastRenderedPageBreak/>
        <w:t>Statutes and Regulations Cite</w:t>
      </w:r>
      <w:r w:rsidR="00A41805" w:rsidRPr="00060C4E">
        <w:rPr>
          <w:b/>
        </w:rPr>
        <w:t>d</w:t>
      </w:r>
    </w:p>
    <w:p w:rsidR="007802BB" w:rsidRPr="004F6BDF" w:rsidRDefault="007802BB" w:rsidP="00885ABD">
      <w:pPr>
        <w:pStyle w:val="SCCNormalDoubleSpacing"/>
        <w:spacing w:after="240" w:line="240" w:lineRule="auto"/>
        <w:ind w:left="539" w:hanging="539"/>
        <w:rPr>
          <w:lang w:val="fr-CA"/>
        </w:rPr>
      </w:pPr>
      <w:proofErr w:type="spellStart"/>
      <w:r w:rsidRPr="004F6BDF">
        <w:rPr>
          <w:i/>
          <w:lang w:val="fr-CA"/>
        </w:rPr>
        <w:t>Criminal</w:t>
      </w:r>
      <w:proofErr w:type="spellEnd"/>
      <w:r w:rsidRPr="004F6BDF">
        <w:rPr>
          <w:i/>
          <w:lang w:val="fr-CA"/>
        </w:rPr>
        <w:t xml:space="preserve"> Code</w:t>
      </w:r>
      <w:r w:rsidR="007924E0" w:rsidRPr="004F6BDF">
        <w:rPr>
          <w:lang w:val="fr-CA"/>
        </w:rPr>
        <w:t>, R.S.C. 1985, c. </w:t>
      </w:r>
      <w:r w:rsidRPr="004F6BDF">
        <w:rPr>
          <w:lang w:val="fr-CA"/>
        </w:rPr>
        <w:t>C</w:t>
      </w:r>
      <w:r w:rsidR="00DF6C86" w:rsidRPr="004F6BDF">
        <w:rPr>
          <w:lang w:val="fr-CA"/>
        </w:rPr>
        <w:t>-</w:t>
      </w:r>
      <w:r w:rsidRPr="004F6BDF">
        <w:rPr>
          <w:lang w:val="fr-CA"/>
        </w:rPr>
        <w:t xml:space="preserve">46, </w:t>
      </w:r>
      <w:r w:rsidR="007924E0" w:rsidRPr="004F6BDF">
        <w:rPr>
          <w:lang w:val="fr-CA"/>
        </w:rPr>
        <w:t>s. </w:t>
      </w:r>
      <w:r w:rsidRPr="004F6BDF">
        <w:rPr>
          <w:lang w:val="fr-CA"/>
        </w:rPr>
        <w:t>719</w:t>
      </w:r>
      <w:r w:rsidR="0067493B" w:rsidRPr="004F6BDF">
        <w:rPr>
          <w:lang w:val="fr-CA"/>
        </w:rPr>
        <w:t xml:space="preserve">(3), </w:t>
      </w:r>
      <w:r w:rsidRPr="004F6BDF">
        <w:rPr>
          <w:lang w:val="fr-CA"/>
        </w:rPr>
        <w:t>(3.1).</w:t>
      </w:r>
    </w:p>
    <w:p w:rsidR="006B54AD" w:rsidRPr="00060C4E" w:rsidRDefault="006B54AD" w:rsidP="00885ABD">
      <w:pPr>
        <w:pStyle w:val="SCCNormalDoubleSpacing"/>
        <w:spacing w:after="720" w:line="240" w:lineRule="auto"/>
        <w:ind w:left="540" w:hanging="540"/>
        <w:rPr>
          <w:lang w:val="en-US"/>
        </w:rPr>
      </w:pPr>
      <w:r w:rsidRPr="00060C4E">
        <w:rPr>
          <w:i/>
          <w:lang w:val="en-US"/>
        </w:rPr>
        <w:t>Truth in Sentencing Act</w:t>
      </w:r>
      <w:r w:rsidRPr="00060C4E">
        <w:rPr>
          <w:lang w:val="en-US"/>
        </w:rPr>
        <w:t>, S</w:t>
      </w:r>
      <w:r w:rsidR="007924E0" w:rsidRPr="00060C4E">
        <w:rPr>
          <w:lang w:val="en-US"/>
        </w:rPr>
        <w:t>.C. 2009, c. 29, s. </w:t>
      </w:r>
      <w:r w:rsidRPr="00060C4E">
        <w:rPr>
          <w:lang w:val="en-US"/>
        </w:rPr>
        <w:t xml:space="preserve">3.  </w:t>
      </w:r>
    </w:p>
    <w:p w:rsidR="003A2B20" w:rsidRPr="00060C4E" w:rsidRDefault="009B57B3" w:rsidP="00885ABD">
      <w:pPr>
        <w:pStyle w:val="SCCNormalDoubleSpacing"/>
        <w:spacing w:after="480"/>
      </w:pPr>
      <w:r w:rsidRPr="00060C4E">
        <w:tab/>
        <w:t>APPEAL from a judgment of the Nova Scotia Court of Appeal</w:t>
      </w:r>
      <w:r w:rsidR="007924E0" w:rsidRPr="00060C4E">
        <w:t xml:space="preserve"> (MacDonald C.J. and Hamilton and </w:t>
      </w:r>
      <w:proofErr w:type="spellStart"/>
      <w:r w:rsidR="007924E0" w:rsidRPr="00060C4E">
        <w:t>Beveridge</w:t>
      </w:r>
      <w:proofErr w:type="spellEnd"/>
      <w:r w:rsidR="007924E0" w:rsidRPr="00060C4E">
        <w:t> </w:t>
      </w:r>
      <w:r w:rsidR="00EB6E20" w:rsidRPr="00060C4E">
        <w:t xml:space="preserve">JJ.A.), 2012 NSCA 107, 321 N.S.R. (2d) 321, </w:t>
      </w:r>
      <w:r w:rsidR="00EA61D2" w:rsidRPr="00060C4E">
        <w:t xml:space="preserve">1018 A.P.R. 321, </w:t>
      </w:r>
      <w:r w:rsidR="001F7DBB">
        <w:t xml:space="preserve">305 C.C.C. (3d) 329, </w:t>
      </w:r>
      <w:r w:rsidR="00EB6E20" w:rsidRPr="00060C4E">
        <w:t xml:space="preserve">267 C.R.R. (2d) 294, </w:t>
      </w:r>
      <w:r w:rsidR="00767FD4" w:rsidRPr="00060C4E">
        <w:t>[</w:t>
      </w:r>
      <w:r w:rsidR="00EB6E20" w:rsidRPr="00060C4E">
        <w:t>2012</w:t>
      </w:r>
      <w:r w:rsidR="00767FD4" w:rsidRPr="00060C4E">
        <w:t>]</w:t>
      </w:r>
      <w:r w:rsidR="00EB6E20" w:rsidRPr="00060C4E">
        <w:t xml:space="preserve"> N.S.J. </w:t>
      </w:r>
      <w:r w:rsidR="00044E90" w:rsidRPr="00060C4E">
        <w:t>No. </w:t>
      </w:r>
      <w:r w:rsidR="00EB6E20" w:rsidRPr="00060C4E">
        <w:t xml:space="preserve">527 (QL), </w:t>
      </w:r>
      <w:r w:rsidR="0001515C" w:rsidRPr="00060C4E">
        <w:t xml:space="preserve">2012 </w:t>
      </w:r>
      <w:proofErr w:type="spellStart"/>
      <w:r w:rsidR="00EA61D2" w:rsidRPr="00060C4E">
        <w:t>CarswellNS</w:t>
      </w:r>
      <w:proofErr w:type="spellEnd"/>
      <w:r w:rsidR="00EA61D2" w:rsidRPr="00060C4E">
        <w:t xml:space="preserve"> 1062, affirming a </w:t>
      </w:r>
      <w:r w:rsidR="00183D8C">
        <w:t xml:space="preserve">sentencing </w:t>
      </w:r>
      <w:r w:rsidR="00EA61D2" w:rsidRPr="00060C4E">
        <w:t>decision of D</w:t>
      </w:r>
      <w:r w:rsidR="007924E0" w:rsidRPr="00060C4E">
        <w:t>errick </w:t>
      </w:r>
      <w:r w:rsidR="00183D8C">
        <w:t xml:space="preserve">Prov. Ct. </w:t>
      </w:r>
      <w:r w:rsidR="00EA61D2" w:rsidRPr="00060C4E">
        <w:t xml:space="preserve">J., 2011 NSPC 35, </w:t>
      </w:r>
      <w:r w:rsidR="0001515C" w:rsidRPr="00060C4E">
        <w:t xml:space="preserve">305 N.S.R. (2d) 167, 966 A.P.R. 167, </w:t>
      </w:r>
      <w:r w:rsidR="00767FD4" w:rsidRPr="00060C4E">
        <w:t>[</w:t>
      </w:r>
      <w:r w:rsidR="0001515C" w:rsidRPr="00060C4E">
        <w:t>2011</w:t>
      </w:r>
      <w:r w:rsidR="00767FD4" w:rsidRPr="00060C4E">
        <w:t>]</w:t>
      </w:r>
      <w:r w:rsidR="0001515C" w:rsidRPr="00060C4E">
        <w:t xml:space="preserve"> N.S.J. </w:t>
      </w:r>
      <w:r w:rsidR="00044E90" w:rsidRPr="00060C4E">
        <w:t>No. </w:t>
      </w:r>
      <w:r w:rsidR="0001515C" w:rsidRPr="00060C4E">
        <w:t xml:space="preserve">339 (QL), 2011 </w:t>
      </w:r>
      <w:proofErr w:type="spellStart"/>
      <w:r w:rsidR="0001515C" w:rsidRPr="00060C4E">
        <w:t>CarswellNS</w:t>
      </w:r>
      <w:proofErr w:type="spellEnd"/>
      <w:r w:rsidR="0001515C" w:rsidRPr="00060C4E">
        <w:t xml:space="preserve"> 425.  Appeal dismissed.</w:t>
      </w:r>
    </w:p>
    <w:p w:rsidR="00054238" w:rsidRPr="00060C4E" w:rsidRDefault="00885ABD" w:rsidP="00885ABD">
      <w:pPr>
        <w:pStyle w:val="SCCNormalDoubleSpacing"/>
        <w:spacing w:after="480"/>
      </w:pPr>
      <w:r w:rsidRPr="00060C4E">
        <w:rPr>
          <w:i/>
        </w:rPr>
        <w:tab/>
      </w:r>
      <w:proofErr w:type="gramStart"/>
      <w:r w:rsidRPr="00060C4E">
        <w:rPr>
          <w:i/>
        </w:rPr>
        <w:t>David </w:t>
      </w:r>
      <w:r w:rsidR="003A2B20" w:rsidRPr="00060C4E">
        <w:rPr>
          <w:i/>
        </w:rPr>
        <w:t xml:space="preserve">W. </w:t>
      </w:r>
      <w:proofErr w:type="spellStart"/>
      <w:r w:rsidR="003A2B20" w:rsidRPr="00060C4E">
        <w:rPr>
          <w:i/>
        </w:rPr>
        <w:t>Schermbrucker</w:t>
      </w:r>
      <w:proofErr w:type="spellEnd"/>
      <w:r w:rsidR="003A2B20" w:rsidRPr="00060C4E">
        <w:t xml:space="preserve"> and </w:t>
      </w:r>
      <w:r w:rsidR="00767FD4" w:rsidRPr="00060C4E">
        <w:rPr>
          <w:i/>
        </w:rPr>
        <w:t>Brad</w:t>
      </w:r>
      <w:r w:rsidR="003A2B20" w:rsidRPr="00060C4E">
        <w:rPr>
          <w:i/>
        </w:rPr>
        <w:t xml:space="preserve"> Reitz</w:t>
      </w:r>
      <w:r w:rsidR="003A2B20" w:rsidRPr="00060C4E">
        <w:t>, for the app</w:t>
      </w:r>
      <w:r w:rsidR="006A6A92" w:rsidRPr="00060C4E">
        <w:t>ellant</w:t>
      </w:r>
      <w:r w:rsidR="003A2B20" w:rsidRPr="00060C4E">
        <w:t>.</w:t>
      </w:r>
      <w:proofErr w:type="gramEnd"/>
    </w:p>
    <w:p w:rsidR="00054238" w:rsidRPr="00060C4E" w:rsidRDefault="00885ABD" w:rsidP="00885ABD">
      <w:pPr>
        <w:pStyle w:val="SCCNormalDoubleSpacing"/>
        <w:spacing w:after="480"/>
      </w:pPr>
      <w:r w:rsidRPr="00060C4E">
        <w:rPr>
          <w:i/>
        </w:rPr>
        <w:tab/>
      </w:r>
      <w:proofErr w:type="gramStart"/>
      <w:r w:rsidRPr="00060C4E">
        <w:rPr>
          <w:i/>
        </w:rPr>
        <w:t>Luke </w:t>
      </w:r>
      <w:r w:rsidR="003A2B20" w:rsidRPr="00060C4E">
        <w:rPr>
          <w:i/>
        </w:rPr>
        <w:t xml:space="preserve">A. </w:t>
      </w:r>
      <w:proofErr w:type="spellStart"/>
      <w:r w:rsidR="003A2B20" w:rsidRPr="00060C4E">
        <w:rPr>
          <w:i/>
        </w:rPr>
        <w:t>Craggs</w:t>
      </w:r>
      <w:proofErr w:type="spellEnd"/>
      <w:r w:rsidR="003A2B20" w:rsidRPr="00060C4E">
        <w:t>, for the respondent.</w:t>
      </w:r>
      <w:proofErr w:type="gramEnd"/>
    </w:p>
    <w:p w:rsidR="00054238" w:rsidRPr="00060C4E" w:rsidRDefault="003A2B20" w:rsidP="00885ABD">
      <w:pPr>
        <w:pStyle w:val="SCCNormalDoubleSpacing"/>
        <w:spacing w:after="480"/>
      </w:pPr>
      <w:r w:rsidRPr="00060C4E">
        <w:rPr>
          <w:i/>
        </w:rPr>
        <w:tab/>
      </w:r>
      <w:proofErr w:type="gramStart"/>
      <w:r w:rsidRPr="00060C4E">
        <w:rPr>
          <w:i/>
        </w:rPr>
        <w:t>Ingrid Grant</w:t>
      </w:r>
      <w:r w:rsidRPr="00060C4E">
        <w:t xml:space="preserve">, for the intervener </w:t>
      </w:r>
      <w:r w:rsidR="00B7209F" w:rsidRPr="00060C4E">
        <w:t>the Criminal Lawyers’</w:t>
      </w:r>
      <w:r w:rsidRPr="00060C4E">
        <w:t xml:space="preserve"> Association of Ontario.</w:t>
      </w:r>
      <w:proofErr w:type="gramEnd"/>
    </w:p>
    <w:p w:rsidR="00054238" w:rsidRPr="00060C4E" w:rsidRDefault="00885ABD" w:rsidP="00885ABD">
      <w:pPr>
        <w:pStyle w:val="SCCNormalDoubleSpacing"/>
        <w:spacing w:after="480"/>
      </w:pPr>
      <w:r w:rsidRPr="00060C4E">
        <w:rPr>
          <w:i/>
        </w:rPr>
        <w:tab/>
      </w:r>
      <w:proofErr w:type="gramStart"/>
      <w:r w:rsidRPr="00060C4E">
        <w:rPr>
          <w:i/>
        </w:rPr>
        <w:t>Ryan </w:t>
      </w:r>
      <w:r w:rsidR="003A2B20" w:rsidRPr="00060C4E">
        <w:rPr>
          <w:i/>
        </w:rPr>
        <w:t>D.</w:t>
      </w:r>
      <w:r w:rsidRPr="00060C4E">
        <w:rPr>
          <w:i/>
        </w:rPr>
        <w:t> </w:t>
      </w:r>
      <w:r w:rsidR="003A2B20" w:rsidRPr="00060C4E">
        <w:rPr>
          <w:i/>
        </w:rPr>
        <w:t xml:space="preserve">W. </w:t>
      </w:r>
      <w:proofErr w:type="spellStart"/>
      <w:r w:rsidR="003A2B20" w:rsidRPr="00060C4E">
        <w:rPr>
          <w:i/>
        </w:rPr>
        <w:t>Dalziel</w:t>
      </w:r>
      <w:proofErr w:type="spellEnd"/>
      <w:r w:rsidR="003A2B20" w:rsidRPr="00060C4E">
        <w:t xml:space="preserve"> and </w:t>
      </w:r>
      <w:r w:rsidR="003A2B20" w:rsidRPr="00060C4E">
        <w:rPr>
          <w:i/>
        </w:rPr>
        <w:t>Anne Amos</w:t>
      </w:r>
      <w:r w:rsidR="00DF6C86">
        <w:rPr>
          <w:i/>
        </w:rPr>
        <w:t>-</w:t>
      </w:r>
      <w:r w:rsidR="003A2B20" w:rsidRPr="00060C4E">
        <w:rPr>
          <w:i/>
        </w:rPr>
        <w:t>Stewart</w:t>
      </w:r>
      <w:r w:rsidR="003A2B20" w:rsidRPr="00060C4E">
        <w:t xml:space="preserve">, for the intervener </w:t>
      </w:r>
      <w:r w:rsidR="00B7209F" w:rsidRPr="00060C4E">
        <w:t xml:space="preserve">the </w:t>
      </w:r>
      <w:r w:rsidR="003A2B20" w:rsidRPr="00060C4E">
        <w:t>British Columbia Civil Liberties Association.</w:t>
      </w:r>
      <w:proofErr w:type="gramEnd"/>
    </w:p>
    <w:p w:rsidR="001870AE" w:rsidRPr="00BD7B60" w:rsidRDefault="00BD7B60" w:rsidP="00BD7B60">
      <w:pPr>
        <w:pStyle w:val="JudgeJuge"/>
        <w:rPr>
          <w:smallCaps w:val="0"/>
        </w:rPr>
      </w:pPr>
      <w:r>
        <w:tab/>
      </w:r>
      <w:r w:rsidR="001870AE" w:rsidRPr="00BD7B60">
        <w:rPr>
          <w:smallCaps w:val="0"/>
        </w:rPr>
        <w:t>The judgment of the Court was delivered by</w:t>
      </w:r>
    </w:p>
    <w:p w:rsidR="001870AE" w:rsidRPr="003D666A" w:rsidRDefault="001870AE" w:rsidP="001870AE">
      <w:pPr>
        <w:pStyle w:val="JudgeJuge"/>
      </w:pPr>
      <w:r>
        <w:tab/>
      </w:r>
      <w:proofErr w:type="spellStart"/>
      <w:r w:rsidRPr="003D666A">
        <w:t>Karakatsanis</w:t>
      </w:r>
      <w:proofErr w:type="spellEnd"/>
      <w:r w:rsidRPr="003D666A">
        <w:t xml:space="preserve"> J. — </w:t>
      </w:r>
    </w:p>
    <w:p w:rsidR="001870AE" w:rsidRPr="003D666A" w:rsidRDefault="001870AE" w:rsidP="001870AE">
      <w:pPr>
        <w:pStyle w:val="Title1LevelTitre1Niveau-AltL"/>
        <w:rPr>
          <w:rFonts w:cs="Times New Roman"/>
        </w:rPr>
      </w:pPr>
      <w:r w:rsidRPr="003D666A">
        <w:rPr>
          <w:rFonts w:cs="Times New Roman"/>
        </w:rPr>
        <w:lastRenderedPageBreak/>
        <w:t>Introduction</w:t>
      </w:r>
    </w:p>
    <w:p w:rsidR="001870AE" w:rsidRPr="003D666A" w:rsidRDefault="001870AE" w:rsidP="001870AE">
      <w:pPr>
        <w:pStyle w:val="ParaNoNdepar-AltN"/>
        <w:rPr>
          <w:rFonts w:cs="Times New Roman"/>
        </w:rPr>
      </w:pPr>
      <w:r w:rsidRPr="003D666A">
        <w:rPr>
          <w:rFonts w:cs="Times New Roman"/>
        </w:rPr>
        <w:t xml:space="preserve">Like its companion case, </w:t>
      </w:r>
      <w:r w:rsidRPr="003D666A">
        <w:rPr>
          <w:rFonts w:cs="Times New Roman"/>
          <w:i/>
        </w:rPr>
        <w:t>R. v. Summers</w:t>
      </w:r>
      <w:r w:rsidRPr="003D666A">
        <w:rPr>
          <w:rFonts w:cs="Times New Roman"/>
        </w:rPr>
        <w:t xml:space="preserve">, 2014 SCC 26, </w:t>
      </w:r>
      <w:r w:rsidR="00B6478B">
        <w:rPr>
          <w:rFonts w:cs="Times New Roman"/>
        </w:rPr>
        <w:t xml:space="preserve">[2014] 1 S.C.R. </w:t>
      </w:r>
      <w:r w:rsidR="00FF0D3D">
        <w:rPr>
          <w:rFonts w:cs="Times New Roman"/>
        </w:rPr>
        <w:t>575</w:t>
      </w:r>
      <w:r w:rsidR="00B6478B">
        <w:rPr>
          <w:rFonts w:cs="Times New Roman"/>
        </w:rPr>
        <w:t xml:space="preserve">, </w:t>
      </w:r>
      <w:r w:rsidRPr="003D666A">
        <w:rPr>
          <w:rFonts w:cs="Times New Roman"/>
        </w:rPr>
        <w:t xml:space="preserve">this appeal concerns the interpretation of s. 719(3.1) of the </w:t>
      </w:r>
      <w:r w:rsidRPr="003D666A">
        <w:rPr>
          <w:rFonts w:cs="Times New Roman"/>
          <w:i/>
        </w:rPr>
        <w:t>Criminal Code</w:t>
      </w:r>
      <w:r w:rsidRPr="003D666A">
        <w:rPr>
          <w:rFonts w:cs="Times New Roman"/>
        </w:rPr>
        <w:t>, R.S.C. 1985, c. C-46.  This provision allows judges to assign credit for pre-sentence detention at a rate of 1.5 days for every day of detention “if the circumstances justify it”.  Pre-sentence detention does not count towards eligibility for early release or parole, and thus may result in a longer period of incarceration than if the offender were released on bail.  The Nova Scotia Court of Appeal concluded that this loss of eligibility for parole and early release is a “circumstance” justifying credit at a rate of 1.5 to 1.</w:t>
      </w:r>
    </w:p>
    <w:p w:rsidR="001870AE" w:rsidRPr="003D666A" w:rsidRDefault="001870AE" w:rsidP="001870AE">
      <w:pPr>
        <w:pStyle w:val="ParaNoNdepar-AltN"/>
        <w:rPr>
          <w:rFonts w:cs="Times New Roman"/>
        </w:rPr>
      </w:pPr>
      <w:r w:rsidRPr="003D666A">
        <w:rPr>
          <w:rFonts w:cs="Times New Roman"/>
        </w:rPr>
        <w:t xml:space="preserve">In light of the principles articulated in </w:t>
      </w:r>
      <w:proofErr w:type="gramStart"/>
      <w:r w:rsidRPr="003D666A">
        <w:rPr>
          <w:rFonts w:cs="Times New Roman"/>
          <w:i/>
        </w:rPr>
        <w:t>Summers</w:t>
      </w:r>
      <w:proofErr w:type="gramEnd"/>
      <w:r w:rsidRPr="003D666A">
        <w:rPr>
          <w:rFonts w:cs="Times New Roman"/>
        </w:rPr>
        <w:t>, and for the reasons that follow, I would dismiss the appeal.</w:t>
      </w:r>
    </w:p>
    <w:p w:rsidR="001870AE" w:rsidRPr="003D666A" w:rsidRDefault="001870AE" w:rsidP="001870AE">
      <w:pPr>
        <w:pStyle w:val="Title1LevelTitre1Niveau-AltL"/>
        <w:rPr>
          <w:rFonts w:cs="Times New Roman"/>
        </w:rPr>
      </w:pPr>
      <w:r w:rsidRPr="003D666A">
        <w:rPr>
          <w:rFonts w:cs="Times New Roman"/>
        </w:rPr>
        <w:t>Statutory Provisions</w:t>
      </w:r>
    </w:p>
    <w:p w:rsidR="001870AE" w:rsidRPr="003D666A" w:rsidRDefault="001870AE" w:rsidP="001870AE">
      <w:pPr>
        <w:pStyle w:val="ParaNoNdepar-AltN"/>
        <w:rPr>
          <w:rFonts w:cs="Times New Roman"/>
        </w:rPr>
      </w:pPr>
      <w:r w:rsidRPr="003D666A">
        <w:rPr>
          <w:rFonts w:cs="Times New Roman"/>
        </w:rPr>
        <w:t xml:space="preserve">In 2009, Parliament enacted the </w:t>
      </w:r>
      <w:r w:rsidRPr="003D666A">
        <w:rPr>
          <w:rFonts w:cs="Times New Roman"/>
          <w:i/>
        </w:rPr>
        <w:t>Truth in Sentencing Act</w:t>
      </w:r>
      <w:r w:rsidRPr="003D666A">
        <w:rPr>
          <w:rFonts w:cs="Times New Roman"/>
        </w:rPr>
        <w:t xml:space="preserve">, S.C. 2009, </w:t>
      </w:r>
      <w:proofErr w:type="gramStart"/>
      <w:r w:rsidRPr="003D666A">
        <w:rPr>
          <w:rFonts w:cs="Times New Roman"/>
        </w:rPr>
        <w:t>c</w:t>
      </w:r>
      <w:proofErr w:type="gramEnd"/>
      <w:r w:rsidRPr="003D666A">
        <w:rPr>
          <w:rFonts w:cs="Times New Roman"/>
        </w:rPr>
        <w:t>. 29 (</w:t>
      </w:r>
      <w:r w:rsidRPr="003D666A">
        <w:rPr>
          <w:rFonts w:cs="Times New Roman"/>
          <w:i/>
        </w:rPr>
        <w:t>TISA</w:t>
      </w:r>
      <w:r w:rsidRPr="003D666A">
        <w:rPr>
          <w:rFonts w:cs="Times New Roman"/>
        </w:rPr>
        <w:t xml:space="preserve">).  Section 3 of the </w:t>
      </w:r>
      <w:r w:rsidRPr="003D666A">
        <w:rPr>
          <w:rFonts w:cs="Times New Roman"/>
          <w:i/>
        </w:rPr>
        <w:t xml:space="preserve">TISA </w:t>
      </w:r>
      <w:r w:rsidRPr="003D666A">
        <w:rPr>
          <w:rFonts w:cs="Times New Roman"/>
        </w:rPr>
        <w:t xml:space="preserve">amended s. 719(3) of the </w:t>
      </w:r>
      <w:r w:rsidRPr="003D666A">
        <w:rPr>
          <w:rFonts w:cs="Times New Roman"/>
          <w:i/>
        </w:rPr>
        <w:t>Criminal Code</w:t>
      </w:r>
      <w:r w:rsidR="00BD7B60">
        <w:rPr>
          <w:rFonts w:cs="Times New Roman"/>
        </w:rPr>
        <w:t xml:space="preserve"> and added s. 719</w:t>
      </w:r>
      <w:r w:rsidRPr="003D666A">
        <w:rPr>
          <w:rFonts w:cs="Times New Roman"/>
        </w:rPr>
        <w:t>(3.1) as follows (changes underlined):</w:t>
      </w:r>
    </w:p>
    <w:p w:rsidR="001870AE" w:rsidRPr="003D666A" w:rsidRDefault="001870AE" w:rsidP="001870AE">
      <w:pPr>
        <w:pStyle w:val="Citation-AltC"/>
      </w:pPr>
      <w:r w:rsidRPr="003D666A">
        <w:tab/>
        <w:t xml:space="preserve">(3) In determining the sentence to be imposed on a person convicted of an offence, a court may take into account any time spent in custody by the person as a result of the offence </w:t>
      </w:r>
      <w:r w:rsidRPr="003D666A">
        <w:rPr>
          <w:u w:val="single"/>
        </w:rPr>
        <w:t>but the court shall limit any credit for that time to a maximum of one day for each day spent in custody</w:t>
      </w:r>
      <w:r w:rsidRPr="003D666A">
        <w:t>.</w:t>
      </w:r>
    </w:p>
    <w:p w:rsidR="001870AE" w:rsidRPr="003D666A" w:rsidRDefault="001870AE" w:rsidP="001870AE">
      <w:pPr>
        <w:pStyle w:val="Citation-AltC"/>
      </w:pPr>
    </w:p>
    <w:p w:rsidR="001870AE" w:rsidRDefault="001870AE" w:rsidP="001870AE">
      <w:pPr>
        <w:pStyle w:val="Citation-AltC"/>
      </w:pPr>
      <w:r w:rsidRPr="003D666A">
        <w:rPr>
          <w:b/>
        </w:rPr>
        <w:lastRenderedPageBreak/>
        <w:tab/>
      </w:r>
      <w:r w:rsidRPr="003D666A">
        <w:t>(3.1)</w:t>
      </w:r>
      <w:r w:rsidRPr="003D666A">
        <w:rPr>
          <w:b/>
        </w:rPr>
        <w:t xml:space="preserve"> </w:t>
      </w:r>
      <w:r w:rsidRPr="003D666A">
        <w:rPr>
          <w:u w:val="single"/>
        </w:rPr>
        <w:t>Despite subsection (3), if the circumstances justify it, the maximum is one and one-half days for each day spent in custody unless the reason for detaining the person in custody was stated in the record under subsection 515(9.1) or the person was detained in custody under subsection 524(4) or (8)</w:t>
      </w:r>
      <w:r w:rsidRPr="00BD7B60">
        <w:rPr>
          <w:u w:val="single"/>
        </w:rPr>
        <w:t>.</w:t>
      </w:r>
    </w:p>
    <w:p w:rsidR="001870AE" w:rsidRPr="003D666A" w:rsidRDefault="001870AE" w:rsidP="001870AE">
      <w:pPr>
        <w:pStyle w:val="Title1LevelTitre1Niveau-AltL"/>
        <w:rPr>
          <w:rFonts w:cs="Times New Roman"/>
        </w:rPr>
      </w:pPr>
      <w:r w:rsidRPr="003D666A">
        <w:rPr>
          <w:rFonts w:cs="Times New Roman"/>
        </w:rPr>
        <w:t>Background</w:t>
      </w:r>
    </w:p>
    <w:p w:rsidR="001870AE" w:rsidRPr="003D666A" w:rsidRDefault="001870AE" w:rsidP="001870AE">
      <w:pPr>
        <w:pStyle w:val="Title2LevelTitre2Niveau"/>
        <w:rPr>
          <w:rFonts w:cs="Times New Roman"/>
        </w:rPr>
      </w:pPr>
      <w:r w:rsidRPr="003D666A">
        <w:rPr>
          <w:rFonts w:cs="Times New Roman"/>
        </w:rPr>
        <w:t>Facts</w:t>
      </w:r>
    </w:p>
    <w:p w:rsidR="001870AE" w:rsidRPr="003D666A" w:rsidRDefault="001870AE" w:rsidP="001870AE">
      <w:pPr>
        <w:pStyle w:val="ParaNoNdepar-AltN"/>
        <w:rPr>
          <w:rFonts w:cs="Times New Roman"/>
        </w:rPr>
      </w:pPr>
      <w:r w:rsidRPr="003D666A">
        <w:rPr>
          <w:rFonts w:cs="Times New Roman"/>
        </w:rPr>
        <w:t>On September 9, 2010, the respondent was arrested for being on the street after midnight in violation of his bail conditions.  A search incident to arrest disclosed five grams of crack cocaine in his sweatshirt.</w:t>
      </w:r>
    </w:p>
    <w:p w:rsidR="001870AE" w:rsidRPr="003D666A" w:rsidRDefault="001870AE" w:rsidP="001870AE">
      <w:pPr>
        <w:pStyle w:val="ParaNoNdepar-AltN"/>
        <w:rPr>
          <w:rFonts w:cs="Times New Roman"/>
        </w:rPr>
      </w:pPr>
      <w:r w:rsidRPr="003D666A">
        <w:rPr>
          <w:rFonts w:cs="Times New Roman"/>
        </w:rPr>
        <w:t>He was not released on bail.  His trial was scheduled for November 16, at which point he pled guilty to the charges of possession of cocaine for the purpose of trafficking and breach of his recognizance.</w:t>
      </w:r>
    </w:p>
    <w:p w:rsidR="001870AE" w:rsidRPr="003D666A" w:rsidRDefault="001870AE" w:rsidP="001870AE">
      <w:pPr>
        <w:pStyle w:val="ParaNoNdepar-AltN"/>
        <w:rPr>
          <w:rFonts w:cs="Times New Roman"/>
        </w:rPr>
      </w:pPr>
      <w:r w:rsidRPr="003D666A">
        <w:rPr>
          <w:rFonts w:cs="Times New Roman"/>
        </w:rPr>
        <w:t>Sentencing was adjourned to December 13; however, defence counsel requested a pre-sentence report.  On January 13, 2011, sentencing was again adjourned when the respondent announced his intention to withdraw his guilty plea. Proceedings were repeatedly adjourned to permit the respondent to retain and instruct alternate counsel. On May 27, 2011, new counsel indicated that the respondent would not withdraw his guilty plea.</w:t>
      </w:r>
    </w:p>
    <w:p w:rsidR="001870AE" w:rsidRDefault="001870AE" w:rsidP="001870AE">
      <w:pPr>
        <w:pStyle w:val="ParaNoNdepar-AltN"/>
        <w:rPr>
          <w:rFonts w:cs="Times New Roman"/>
        </w:rPr>
      </w:pPr>
      <w:r w:rsidRPr="003D666A">
        <w:rPr>
          <w:rFonts w:cs="Times New Roman"/>
        </w:rPr>
        <w:t>The sentencing hearing ultimately took place on June 9, 2011 and the decision was rendered on June 22.  The respondent was on remand for 9.5 months.</w:t>
      </w:r>
    </w:p>
    <w:p w:rsidR="001870AE" w:rsidRPr="003D666A" w:rsidRDefault="001870AE" w:rsidP="001870AE">
      <w:pPr>
        <w:pStyle w:val="Title2LevelTitre2Niveau"/>
        <w:rPr>
          <w:rFonts w:cs="Times New Roman"/>
        </w:rPr>
      </w:pPr>
      <w:r w:rsidRPr="003D666A">
        <w:rPr>
          <w:rFonts w:cs="Times New Roman"/>
        </w:rPr>
        <w:lastRenderedPageBreak/>
        <w:t>Sentencing Decision, 2011 NSPC 35, 305 N.S.R. (2d) 167</w:t>
      </w:r>
    </w:p>
    <w:p w:rsidR="001870AE" w:rsidRPr="003D666A" w:rsidRDefault="001870AE" w:rsidP="001870AE">
      <w:pPr>
        <w:pStyle w:val="ParaNoNdepar-AltN"/>
        <w:rPr>
          <w:rFonts w:cs="Times New Roman"/>
        </w:rPr>
      </w:pPr>
      <w:r w:rsidRPr="003D666A">
        <w:rPr>
          <w:rFonts w:cs="Times New Roman"/>
        </w:rPr>
        <w:t>The Crown sought a sentence of four years’ imprisonment, less credit of 9.5 months, calculated at a rate of 1 to 1.  The defence ultimately sought a sentence of two years, less credit, calculated at a rate of 1.5 to 1.</w:t>
      </w:r>
    </w:p>
    <w:p w:rsidR="001870AE" w:rsidRPr="003D666A" w:rsidRDefault="001870AE" w:rsidP="001870AE">
      <w:pPr>
        <w:pStyle w:val="ParaNoNdepar-AltN"/>
        <w:rPr>
          <w:rFonts w:cs="Times New Roman"/>
        </w:rPr>
      </w:pPr>
      <w:r w:rsidRPr="003D666A">
        <w:rPr>
          <w:rFonts w:cs="Times New Roman"/>
        </w:rPr>
        <w:t>The sentencing judge determined the fit sentence was 30 months.  Derrick </w:t>
      </w:r>
      <w:r w:rsidR="00BD7B60">
        <w:rPr>
          <w:rFonts w:cs="Times New Roman"/>
        </w:rPr>
        <w:t xml:space="preserve">Prov. Ct. </w:t>
      </w:r>
      <w:r w:rsidRPr="003D666A">
        <w:rPr>
          <w:rFonts w:cs="Times New Roman"/>
        </w:rPr>
        <w:t>J. concluded that loss of remission and parole eligibility can justify enhanced credit under s. 719(3.1).  She concluded that s. 719(3.1) was deliberately not limited to “exceptional circumstances” and that the common law had long recognized that credit at a rate in excess of 1 to 1 is fair.</w:t>
      </w:r>
    </w:p>
    <w:p w:rsidR="001870AE" w:rsidRPr="003D666A" w:rsidRDefault="001870AE" w:rsidP="001870AE">
      <w:pPr>
        <w:pStyle w:val="ParaNoNdepar-AltN"/>
        <w:rPr>
          <w:rFonts w:cs="Times New Roman"/>
        </w:rPr>
      </w:pPr>
      <w:r w:rsidRPr="003D666A">
        <w:rPr>
          <w:rFonts w:cs="Times New Roman"/>
        </w:rPr>
        <w:t xml:space="preserve">Derrick </w:t>
      </w:r>
      <w:r w:rsidR="00BD7B60">
        <w:rPr>
          <w:rFonts w:cs="Times New Roman"/>
        </w:rPr>
        <w:t xml:space="preserve">Prov. Ct. </w:t>
      </w:r>
      <w:r w:rsidRPr="003D666A">
        <w:rPr>
          <w:rFonts w:cs="Times New Roman"/>
        </w:rPr>
        <w:t>J. concluded that the respondent’s actions did not disentitle him from receiving enhanced credit because he was not dragging out his remand to manipulate the system.  While the respondent could have been sentenced earlier, had he not explored the possibility of withdrawing his guilty plea, it would not be appropriate to penalize him for considering a legal option.  She agreed that the conditions in which the respondent was detained did not themselves justify enhanced credit.</w:t>
      </w:r>
    </w:p>
    <w:p w:rsidR="001870AE" w:rsidRPr="003D666A" w:rsidRDefault="001870AE" w:rsidP="001870AE">
      <w:pPr>
        <w:pStyle w:val="ParaNoNdepar-AltN"/>
        <w:rPr>
          <w:rFonts w:cs="Times New Roman"/>
        </w:rPr>
      </w:pPr>
      <w:r w:rsidRPr="003D666A">
        <w:rPr>
          <w:rFonts w:cs="Times New Roman"/>
        </w:rPr>
        <w:t>The sentencing judge assigned credit of 14 months and one week, calculated at a rate of 1.5 to 1, on the basis of loss of remission and parole eligibility.</w:t>
      </w:r>
    </w:p>
    <w:p w:rsidR="001870AE" w:rsidRPr="003D666A" w:rsidRDefault="001870AE" w:rsidP="001870AE">
      <w:pPr>
        <w:pStyle w:val="Title2LevelTitre2Niveau"/>
        <w:rPr>
          <w:rFonts w:cs="Times New Roman"/>
        </w:rPr>
      </w:pPr>
      <w:r w:rsidRPr="003D666A">
        <w:rPr>
          <w:rFonts w:cs="Times New Roman"/>
        </w:rPr>
        <w:t>Nova Scotia Court of Appeal, 2012 NSCA 107, 321 N.S.R. (2d) 321</w:t>
      </w:r>
    </w:p>
    <w:p w:rsidR="001870AE" w:rsidRPr="003D666A" w:rsidRDefault="001870AE" w:rsidP="001870AE">
      <w:pPr>
        <w:pStyle w:val="ParaNoNdepar-AltN"/>
        <w:rPr>
          <w:rFonts w:cs="Times New Roman"/>
        </w:rPr>
      </w:pPr>
      <w:r w:rsidRPr="003D666A">
        <w:rPr>
          <w:rFonts w:cs="Times New Roman"/>
        </w:rPr>
        <w:lastRenderedPageBreak/>
        <w:t>The Crown appealed on the grounds that enhanced credit at a rate higher than 1 to 1 is available only in exceptional circumstances.  The Crown further argued that, even if a rate higher than 1 to 1 were available, it would be inappropriate on the facts of this case.</w:t>
      </w:r>
    </w:p>
    <w:p w:rsidR="001870AE" w:rsidRPr="003D666A" w:rsidRDefault="001870AE" w:rsidP="001870AE">
      <w:pPr>
        <w:pStyle w:val="ParaNoNdepar-AltN"/>
        <w:rPr>
          <w:rFonts w:cs="Times New Roman"/>
        </w:rPr>
      </w:pPr>
      <w:proofErr w:type="spellStart"/>
      <w:r w:rsidRPr="003D666A">
        <w:rPr>
          <w:rFonts w:cs="Times New Roman"/>
        </w:rPr>
        <w:t>Beveridge</w:t>
      </w:r>
      <w:proofErr w:type="spellEnd"/>
      <w:r w:rsidRPr="003D666A">
        <w:rPr>
          <w:rFonts w:cs="Times New Roman"/>
        </w:rPr>
        <w:t xml:space="preserve"> J.A., writing for the Court of Appeal, engaged in a detailed analysis of s. 719(3.1) and concluded that “circumstances” justifying enhanced credit need not be exceptional.  Pre-sentence credit is generally granted because the conditions on remand are usually harsher than those when serving a sentence and because pre-sentence custody does not count towards remission or parole eligibility.</w:t>
      </w:r>
    </w:p>
    <w:p w:rsidR="001870AE" w:rsidRPr="003D666A" w:rsidRDefault="001870AE" w:rsidP="001870AE">
      <w:pPr>
        <w:pStyle w:val="ParaNoNdepar-AltN"/>
        <w:rPr>
          <w:rFonts w:cs="Times New Roman"/>
        </w:rPr>
      </w:pPr>
      <w:r w:rsidRPr="003D666A">
        <w:rPr>
          <w:rFonts w:cs="Times New Roman"/>
        </w:rPr>
        <w:t xml:space="preserve">Thus, </w:t>
      </w:r>
      <w:proofErr w:type="spellStart"/>
      <w:r w:rsidRPr="003D666A">
        <w:rPr>
          <w:rFonts w:cs="Times New Roman"/>
        </w:rPr>
        <w:t>Beveridge</w:t>
      </w:r>
      <w:proofErr w:type="spellEnd"/>
      <w:r w:rsidRPr="003D666A">
        <w:rPr>
          <w:rFonts w:cs="Times New Roman"/>
        </w:rPr>
        <w:t xml:space="preserve"> J.A. concluded that the legislation provides for judicial discretion to grant credit of up to 1.5 to 1 for time spent in pre-sentence custody on the basis of loss of remission or parole eligibility.  He noted that the application of s. 719(3.1) would not be automatic — it would still be necessary to establish that an offender would have earned remission or been granted parole, although doing so will not be onerous.</w:t>
      </w:r>
    </w:p>
    <w:p w:rsidR="001870AE" w:rsidRPr="003D666A" w:rsidRDefault="001870AE" w:rsidP="001870AE">
      <w:pPr>
        <w:pStyle w:val="ParaNoNdepar-AltN"/>
        <w:rPr>
          <w:rFonts w:cs="Times New Roman"/>
        </w:rPr>
      </w:pPr>
      <w:r w:rsidRPr="003D666A">
        <w:rPr>
          <w:rFonts w:cs="Times New Roman"/>
        </w:rPr>
        <w:t>A trial judge’s decision to credit pre-sentence custody is discretionary, and in this case, there was no error in principle justifying appellate intervention.</w:t>
      </w:r>
    </w:p>
    <w:p w:rsidR="001870AE" w:rsidRPr="003D666A" w:rsidRDefault="001870AE" w:rsidP="001870AE">
      <w:pPr>
        <w:pStyle w:val="Title1LevelTitre1Niveau-AltL"/>
        <w:rPr>
          <w:rFonts w:cs="Times New Roman"/>
        </w:rPr>
      </w:pPr>
      <w:r w:rsidRPr="003D666A">
        <w:rPr>
          <w:rFonts w:cs="Times New Roman"/>
        </w:rPr>
        <w:t>Issue</w:t>
      </w:r>
    </w:p>
    <w:p w:rsidR="001870AE" w:rsidRPr="003D666A" w:rsidRDefault="001870AE" w:rsidP="001870AE">
      <w:pPr>
        <w:pStyle w:val="ParaNoNdepar-AltN"/>
        <w:rPr>
          <w:rFonts w:cs="Times New Roman"/>
        </w:rPr>
      </w:pPr>
      <w:r w:rsidRPr="003D666A">
        <w:rPr>
          <w:rFonts w:cs="Times New Roman"/>
        </w:rPr>
        <w:lastRenderedPageBreak/>
        <w:t>Did the sentencing judge err by granting credit for pre-sentence custody at a rate of 1.5 to 1 to account for loss of early release?</w:t>
      </w:r>
    </w:p>
    <w:p w:rsidR="001870AE" w:rsidRPr="003D666A" w:rsidRDefault="001870AE" w:rsidP="001870AE">
      <w:pPr>
        <w:pStyle w:val="Title1LevelTitre1Niveau-AltL"/>
        <w:rPr>
          <w:rFonts w:cs="Times New Roman"/>
        </w:rPr>
      </w:pPr>
      <w:r w:rsidRPr="003D666A">
        <w:rPr>
          <w:rFonts w:cs="Times New Roman"/>
        </w:rPr>
        <w:t>Analysis</w:t>
      </w:r>
    </w:p>
    <w:p w:rsidR="001870AE" w:rsidRPr="003D666A" w:rsidRDefault="001870AE" w:rsidP="001870AE">
      <w:pPr>
        <w:pStyle w:val="ParaNoNdepar-AltN"/>
        <w:rPr>
          <w:rFonts w:cs="Times New Roman"/>
        </w:rPr>
      </w:pPr>
      <w:r w:rsidRPr="003D666A">
        <w:rPr>
          <w:rFonts w:cs="Times New Roman"/>
        </w:rPr>
        <w:t xml:space="preserve">For the reasons given in the companion case, </w:t>
      </w:r>
      <w:proofErr w:type="gramStart"/>
      <w:r w:rsidRPr="003D666A">
        <w:rPr>
          <w:rFonts w:cs="Times New Roman"/>
          <w:i/>
        </w:rPr>
        <w:t>Summers</w:t>
      </w:r>
      <w:proofErr w:type="gramEnd"/>
      <w:r w:rsidRPr="003D666A">
        <w:rPr>
          <w:rFonts w:cs="Times New Roman"/>
        </w:rPr>
        <w:t>, I conclude that the “circumstances” justifying enhanced credit under s. 719(3.1) include the effect of pre-sentence detention on access to early release.  Therefore, the only remaining question is whether the sentencing judge erred in granting enhanced credit on the facts of this case.</w:t>
      </w:r>
    </w:p>
    <w:p w:rsidR="001870AE" w:rsidRPr="003D666A" w:rsidRDefault="001870AE" w:rsidP="001870AE">
      <w:pPr>
        <w:pStyle w:val="ParaNoNdepar-AltN"/>
        <w:rPr>
          <w:rFonts w:cs="Times New Roman"/>
        </w:rPr>
      </w:pPr>
      <w:r w:rsidRPr="003D666A">
        <w:rPr>
          <w:rFonts w:cs="Times New Roman"/>
        </w:rPr>
        <w:t>The Crown argues that the respondent’s own actions disentitled him from receiving enhanced credit.</w:t>
      </w:r>
    </w:p>
    <w:p w:rsidR="001870AE" w:rsidRPr="003D666A" w:rsidRDefault="001870AE" w:rsidP="001870AE">
      <w:pPr>
        <w:pStyle w:val="ParaNoNdepar-AltN"/>
        <w:rPr>
          <w:rFonts w:cs="Times New Roman"/>
        </w:rPr>
      </w:pPr>
      <w:r w:rsidRPr="003D666A">
        <w:rPr>
          <w:rFonts w:cs="Times New Roman"/>
        </w:rPr>
        <w:t>Much of the pre-sentencing delay was caused by the respondent’s indecision as to whether he would plead guilty, and the changes in counsel this necessitated.</w:t>
      </w:r>
    </w:p>
    <w:p w:rsidR="001870AE" w:rsidRPr="003D666A" w:rsidRDefault="001870AE" w:rsidP="001870AE">
      <w:pPr>
        <w:pStyle w:val="ParaNoNdepar-AltN"/>
        <w:rPr>
          <w:rFonts w:cs="Times New Roman"/>
        </w:rPr>
      </w:pPr>
      <w:r w:rsidRPr="003D666A">
        <w:rPr>
          <w:rFonts w:cs="Times New Roman"/>
        </w:rPr>
        <w:t>However, the sentencing judge found that the respondent did not try to drag out his remand to manipulate or “game” the system (</w:t>
      </w:r>
      <w:proofErr w:type="spellStart"/>
      <w:r w:rsidRPr="003D666A">
        <w:rPr>
          <w:rFonts w:cs="Times New Roman"/>
        </w:rPr>
        <w:t>paras</w:t>
      </w:r>
      <w:proofErr w:type="spellEnd"/>
      <w:r w:rsidRPr="003D666A">
        <w:rPr>
          <w:rFonts w:cs="Times New Roman"/>
        </w:rPr>
        <w:t>. 55</w:t>
      </w:r>
      <w:r w:rsidR="009225F1">
        <w:rPr>
          <w:rFonts w:cs="Times New Roman"/>
        </w:rPr>
        <w:t>-</w:t>
      </w:r>
      <w:r w:rsidRPr="003D666A">
        <w:rPr>
          <w:rFonts w:cs="Times New Roman"/>
        </w:rPr>
        <w:t>56).  That finding was available to the sentencing judge on this record and there are no grounds to set it aside.</w:t>
      </w:r>
    </w:p>
    <w:p w:rsidR="001870AE" w:rsidRPr="003D666A" w:rsidRDefault="001870AE" w:rsidP="001870AE">
      <w:pPr>
        <w:pStyle w:val="ParaNoNdepar-AltN"/>
        <w:rPr>
          <w:rFonts w:cs="Times New Roman"/>
        </w:rPr>
      </w:pPr>
      <w:r w:rsidRPr="003D666A">
        <w:rPr>
          <w:rFonts w:cs="Times New Roman"/>
        </w:rPr>
        <w:lastRenderedPageBreak/>
        <w:t>Credit at a rate of 1.5 to 1 does not allow the respondent to derive a “benefit” from the delay, unless he ultimately does not qualify for early release.  Indeed, while that rate compensates for loss of early release, if the respondent were to be paroled at any time before the 2/3 mark of his sentence, he would end up spending more time in jail because of the delay, notwithstanding the enhanced credit.</w:t>
      </w:r>
    </w:p>
    <w:p w:rsidR="001870AE" w:rsidRPr="003D666A" w:rsidRDefault="001870AE" w:rsidP="001870AE">
      <w:pPr>
        <w:pStyle w:val="ParaNoNdepar-AltN"/>
        <w:rPr>
          <w:rFonts w:cs="Times New Roman"/>
        </w:rPr>
      </w:pPr>
      <w:r w:rsidRPr="003D666A">
        <w:rPr>
          <w:rFonts w:cs="Times New Roman"/>
        </w:rPr>
        <w:t>There is nothing in the record to indicate that the respondent would be denied early release.  Therefore, I agree with the Court of Appeal that there are no grounds to interfere with the sentencing judge’s exercise of discretion.</w:t>
      </w:r>
    </w:p>
    <w:p w:rsidR="001870AE" w:rsidRPr="003D666A" w:rsidRDefault="001870AE" w:rsidP="001870AE">
      <w:pPr>
        <w:pStyle w:val="ParaNoNdepar-AltN"/>
        <w:rPr>
          <w:rFonts w:cs="Times New Roman"/>
        </w:rPr>
      </w:pPr>
      <w:r w:rsidRPr="003D666A">
        <w:rPr>
          <w:rFonts w:cs="Times New Roman"/>
        </w:rPr>
        <w:t>I would dismiss the appeal.</w:t>
      </w:r>
    </w:p>
    <w:p w:rsidR="009B57B3" w:rsidRPr="00060C4E" w:rsidRDefault="009B57B3" w:rsidP="00885ABD">
      <w:pPr>
        <w:pStyle w:val="SCCNormalDoubleSpacing"/>
        <w:spacing w:after="480"/>
      </w:pPr>
      <w:r w:rsidRPr="00060C4E">
        <w:tab/>
      </w:r>
      <w:r w:rsidR="00656313" w:rsidRPr="00060C4E">
        <w:rPr>
          <w:i/>
        </w:rPr>
        <w:t>Appeal</w:t>
      </w:r>
      <w:r w:rsidR="00AB26C4" w:rsidRPr="00060C4E">
        <w:rPr>
          <w:i/>
        </w:rPr>
        <w:t xml:space="preserve"> dismissed.</w:t>
      </w:r>
    </w:p>
    <w:p w:rsidR="00AB26C4" w:rsidRPr="00060C4E" w:rsidRDefault="00885ABD" w:rsidP="00885ABD">
      <w:pPr>
        <w:pStyle w:val="SCCLawFirm"/>
        <w:spacing w:after="480"/>
      </w:pPr>
      <w:r w:rsidRPr="00060C4E">
        <w:tab/>
        <w:t>Solicitor for the appellant:  </w:t>
      </w:r>
      <w:r w:rsidR="00AB26C4" w:rsidRPr="00060C4E">
        <w:t>Public Prosecution Service of Canada, Halifax.</w:t>
      </w:r>
    </w:p>
    <w:p w:rsidR="00AB26C4" w:rsidRPr="00060C4E" w:rsidRDefault="00AB26C4" w:rsidP="00885ABD">
      <w:pPr>
        <w:pStyle w:val="SCCLawFirm"/>
        <w:spacing w:after="480"/>
      </w:pPr>
      <w:r w:rsidRPr="00060C4E">
        <w:tab/>
        <w:t>Solicit</w:t>
      </w:r>
      <w:r w:rsidR="00885ABD" w:rsidRPr="00060C4E">
        <w:t>ors for the respondent:  </w:t>
      </w:r>
      <w:r w:rsidRPr="00060C4E">
        <w:t>Burke Thompson, Halifax.</w:t>
      </w:r>
    </w:p>
    <w:p w:rsidR="00AB26C4" w:rsidRPr="00060C4E" w:rsidRDefault="00AB26C4" w:rsidP="00885ABD">
      <w:pPr>
        <w:pStyle w:val="SCCLawFirm"/>
        <w:spacing w:after="480"/>
      </w:pPr>
      <w:r w:rsidRPr="00060C4E">
        <w:tab/>
        <w:t>Solicitors for the intervener the Criminal La</w:t>
      </w:r>
      <w:r w:rsidR="00885ABD" w:rsidRPr="00060C4E">
        <w:t>wyers’ Association of Ontario:  </w:t>
      </w:r>
      <w:r w:rsidRPr="00060C4E">
        <w:t>Russe</w:t>
      </w:r>
      <w:r w:rsidR="003B0925" w:rsidRPr="00060C4E">
        <w:t>l</w:t>
      </w:r>
      <w:r w:rsidRPr="00060C4E">
        <w:t>l Silverstein &amp; Associate, Toronto.</w:t>
      </w:r>
    </w:p>
    <w:p w:rsidR="009B57B3" w:rsidRPr="00060C4E" w:rsidRDefault="00AB26C4" w:rsidP="001870AE">
      <w:pPr>
        <w:pStyle w:val="SCCLawFirm"/>
      </w:pPr>
      <w:r w:rsidRPr="00060C4E">
        <w:tab/>
        <w:t>Solicitors for the intervener the British Columbi</w:t>
      </w:r>
      <w:r w:rsidR="00885ABD" w:rsidRPr="00060C4E">
        <w:t>a Civil Liberties Association:  </w:t>
      </w:r>
      <w:r w:rsidRPr="00060C4E">
        <w:t xml:space="preserve">Bull, </w:t>
      </w:r>
      <w:proofErr w:type="spellStart"/>
      <w:r w:rsidRPr="00060C4E">
        <w:t>Housser</w:t>
      </w:r>
      <w:proofErr w:type="spellEnd"/>
      <w:r w:rsidRPr="00060C4E">
        <w:t xml:space="preserve"> &amp; Tupper, Vancouver.</w:t>
      </w:r>
    </w:p>
    <w:sectPr w:rsidR="009B57B3" w:rsidRPr="00060C4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D4" w:rsidRDefault="00767FD4">
      <w:r>
        <w:separator/>
      </w:r>
    </w:p>
  </w:endnote>
  <w:endnote w:type="continuationSeparator" w:id="0">
    <w:p w:rsidR="00767FD4" w:rsidRDefault="00767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D4" w:rsidRDefault="00767FD4">
      <w:r>
        <w:separator/>
      </w:r>
    </w:p>
  </w:footnote>
  <w:footnote w:type="continuationSeparator" w:id="0">
    <w:p w:rsidR="00767FD4" w:rsidRDefault="00767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D4" w:rsidRPr="00450352" w:rsidRDefault="00767FD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BC1E5C6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22"/>
        </w:tabs>
        <w:ind w:left="522" w:hanging="432"/>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1515C"/>
    <w:rsid w:val="00025198"/>
    <w:rsid w:val="00044E90"/>
    <w:rsid w:val="00054238"/>
    <w:rsid w:val="000578A3"/>
    <w:rsid w:val="00057AAE"/>
    <w:rsid w:val="00060C4E"/>
    <w:rsid w:val="000648CC"/>
    <w:rsid w:val="0007194E"/>
    <w:rsid w:val="000C59B8"/>
    <w:rsid w:val="000C6AF0"/>
    <w:rsid w:val="000E7FFE"/>
    <w:rsid w:val="00104F33"/>
    <w:rsid w:val="00111DE2"/>
    <w:rsid w:val="00116B38"/>
    <w:rsid w:val="00135406"/>
    <w:rsid w:val="00135972"/>
    <w:rsid w:val="001426A9"/>
    <w:rsid w:val="00154D7C"/>
    <w:rsid w:val="001570B0"/>
    <w:rsid w:val="0015752C"/>
    <w:rsid w:val="00157737"/>
    <w:rsid w:val="00165277"/>
    <w:rsid w:val="00170592"/>
    <w:rsid w:val="00183D8C"/>
    <w:rsid w:val="001844C5"/>
    <w:rsid w:val="00186351"/>
    <w:rsid w:val="001870AE"/>
    <w:rsid w:val="001928FC"/>
    <w:rsid w:val="00195D83"/>
    <w:rsid w:val="001A00C1"/>
    <w:rsid w:val="001B15B8"/>
    <w:rsid w:val="001B33E0"/>
    <w:rsid w:val="001B4573"/>
    <w:rsid w:val="001B6885"/>
    <w:rsid w:val="001C779F"/>
    <w:rsid w:val="001D2AC1"/>
    <w:rsid w:val="001D4E88"/>
    <w:rsid w:val="001F7DBB"/>
    <w:rsid w:val="002145BE"/>
    <w:rsid w:val="00220FC2"/>
    <w:rsid w:val="002222F4"/>
    <w:rsid w:val="002242CF"/>
    <w:rsid w:val="00224FC0"/>
    <w:rsid w:val="00225EA4"/>
    <w:rsid w:val="00226EAF"/>
    <w:rsid w:val="00231F3A"/>
    <w:rsid w:val="00234199"/>
    <w:rsid w:val="002406EE"/>
    <w:rsid w:val="00243EC8"/>
    <w:rsid w:val="00247F2D"/>
    <w:rsid w:val="00270D93"/>
    <w:rsid w:val="002745CC"/>
    <w:rsid w:val="002B7924"/>
    <w:rsid w:val="002D28C3"/>
    <w:rsid w:val="002D39A4"/>
    <w:rsid w:val="002E6705"/>
    <w:rsid w:val="002F04B9"/>
    <w:rsid w:val="00301D08"/>
    <w:rsid w:val="0030329A"/>
    <w:rsid w:val="0031086F"/>
    <w:rsid w:val="0031414C"/>
    <w:rsid w:val="00314E01"/>
    <w:rsid w:val="0032089D"/>
    <w:rsid w:val="003310DE"/>
    <w:rsid w:val="003323B0"/>
    <w:rsid w:val="0035169A"/>
    <w:rsid w:val="0035259D"/>
    <w:rsid w:val="00364B18"/>
    <w:rsid w:val="0037386C"/>
    <w:rsid w:val="003A125D"/>
    <w:rsid w:val="003A2B20"/>
    <w:rsid w:val="003A4C70"/>
    <w:rsid w:val="003B0925"/>
    <w:rsid w:val="003B215F"/>
    <w:rsid w:val="003C799C"/>
    <w:rsid w:val="003D0399"/>
    <w:rsid w:val="003E1C71"/>
    <w:rsid w:val="003F327B"/>
    <w:rsid w:val="00406166"/>
    <w:rsid w:val="0040704B"/>
    <w:rsid w:val="00410A55"/>
    <w:rsid w:val="00411300"/>
    <w:rsid w:val="00415417"/>
    <w:rsid w:val="00416F1E"/>
    <w:rsid w:val="00426659"/>
    <w:rsid w:val="0044415A"/>
    <w:rsid w:val="00450352"/>
    <w:rsid w:val="00454BDB"/>
    <w:rsid w:val="00464800"/>
    <w:rsid w:val="00465132"/>
    <w:rsid w:val="00472FF2"/>
    <w:rsid w:val="00480C90"/>
    <w:rsid w:val="0048396F"/>
    <w:rsid w:val="00493C18"/>
    <w:rsid w:val="004A449F"/>
    <w:rsid w:val="004A600C"/>
    <w:rsid w:val="004A6118"/>
    <w:rsid w:val="004C478D"/>
    <w:rsid w:val="004E2C26"/>
    <w:rsid w:val="004F36FF"/>
    <w:rsid w:val="004F6BDF"/>
    <w:rsid w:val="005125A8"/>
    <w:rsid w:val="00521AE8"/>
    <w:rsid w:val="00527180"/>
    <w:rsid w:val="0053521C"/>
    <w:rsid w:val="0054146C"/>
    <w:rsid w:val="0054201E"/>
    <w:rsid w:val="00555291"/>
    <w:rsid w:val="00566AD1"/>
    <w:rsid w:val="00583EDE"/>
    <w:rsid w:val="005A6079"/>
    <w:rsid w:val="005D27B8"/>
    <w:rsid w:val="005E4698"/>
    <w:rsid w:val="006003A9"/>
    <w:rsid w:val="00610539"/>
    <w:rsid w:val="00613969"/>
    <w:rsid w:val="00625C35"/>
    <w:rsid w:val="00634814"/>
    <w:rsid w:val="00656313"/>
    <w:rsid w:val="006565F4"/>
    <w:rsid w:val="0067493B"/>
    <w:rsid w:val="00681918"/>
    <w:rsid w:val="00684EEA"/>
    <w:rsid w:val="0069689B"/>
    <w:rsid w:val="006A1551"/>
    <w:rsid w:val="006A6A92"/>
    <w:rsid w:val="006B54AD"/>
    <w:rsid w:val="006B5FF5"/>
    <w:rsid w:val="006F30AF"/>
    <w:rsid w:val="0070037D"/>
    <w:rsid w:val="00701759"/>
    <w:rsid w:val="00705C15"/>
    <w:rsid w:val="0071600E"/>
    <w:rsid w:val="007208D1"/>
    <w:rsid w:val="0074109A"/>
    <w:rsid w:val="00747288"/>
    <w:rsid w:val="007476E3"/>
    <w:rsid w:val="00747DD3"/>
    <w:rsid w:val="007549C8"/>
    <w:rsid w:val="00754A0B"/>
    <w:rsid w:val="00766D14"/>
    <w:rsid w:val="00767A0F"/>
    <w:rsid w:val="00767FD4"/>
    <w:rsid w:val="007802BB"/>
    <w:rsid w:val="007924E0"/>
    <w:rsid w:val="007A05F6"/>
    <w:rsid w:val="007B6F4A"/>
    <w:rsid w:val="007E1C47"/>
    <w:rsid w:val="007E337A"/>
    <w:rsid w:val="007E5C70"/>
    <w:rsid w:val="007F2FF5"/>
    <w:rsid w:val="007F3F08"/>
    <w:rsid w:val="00804CC6"/>
    <w:rsid w:val="00817190"/>
    <w:rsid w:val="00817E8E"/>
    <w:rsid w:val="00820EE5"/>
    <w:rsid w:val="008260E2"/>
    <w:rsid w:val="008322BD"/>
    <w:rsid w:val="00833E0A"/>
    <w:rsid w:val="00834F73"/>
    <w:rsid w:val="00840786"/>
    <w:rsid w:val="00856103"/>
    <w:rsid w:val="00864CF8"/>
    <w:rsid w:val="00872819"/>
    <w:rsid w:val="00874914"/>
    <w:rsid w:val="00885ABD"/>
    <w:rsid w:val="00891422"/>
    <w:rsid w:val="00892E1A"/>
    <w:rsid w:val="008A3F29"/>
    <w:rsid w:val="008B4916"/>
    <w:rsid w:val="008B660A"/>
    <w:rsid w:val="008C01DA"/>
    <w:rsid w:val="008C3810"/>
    <w:rsid w:val="008E67D2"/>
    <w:rsid w:val="008F0627"/>
    <w:rsid w:val="008F4777"/>
    <w:rsid w:val="008F78E9"/>
    <w:rsid w:val="00911989"/>
    <w:rsid w:val="00912CC2"/>
    <w:rsid w:val="009179F9"/>
    <w:rsid w:val="009225F1"/>
    <w:rsid w:val="00933E5E"/>
    <w:rsid w:val="00935218"/>
    <w:rsid w:val="009403F3"/>
    <w:rsid w:val="009555B7"/>
    <w:rsid w:val="009567AA"/>
    <w:rsid w:val="00967374"/>
    <w:rsid w:val="009676D3"/>
    <w:rsid w:val="009A343A"/>
    <w:rsid w:val="009B2F23"/>
    <w:rsid w:val="009B57B3"/>
    <w:rsid w:val="009C5B92"/>
    <w:rsid w:val="009D2920"/>
    <w:rsid w:val="009D5AEB"/>
    <w:rsid w:val="009F0E33"/>
    <w:rsid w:val="00A030CE"/>
    <w:rsid w:val="00A149DF"/>
    <w:rsid w:val="00A16CDA"/>
    <w:rsid w:val="00A1755C"/>
    <w:rsid w:val="00A21B90"/>
    <w:rsid w:val="00A26774"/>
    <w:rsid w:val="00A41805"/>
    <w:rsid w:val="00A42DCD"/>
    <w:rsid w:val="00A52AFB"/>
    <w:rsid w:val="00A548CB"/>
    <w:rsid w:val="00A5521C"/>
    <w:rsid w:val="00A643E7"/>
    <w:rsid w:val="00A73C38"/>
    <w:rsid w:val="00A9186A"/>
    <w:rsid w:val="00AB26C4"/>
    <w:rsid w:val="00AB670D"/>
    <w:rsid w:val="00AC70B9"/>
    <w:rsid w:val="00AD30BB"/>
    <w:rsid w:val="00AF03C5"/>
    <w:rsid w:val="00B000D8"/>
    <w:rsid w:val="00B00F75"/>
    <w:rsid w:val="00B145B6"/>
    <w:rsid w:val="00B279EB"/>
    <w:rsid w:val="00B50C81"/>
    <w:rsid w:val="00B557F8"/>
    <w:rsid w:val="00B62220"/>
    <w:rsid w:val="00B6478B"/>
    <w:rsid w:val="00B7209F"/>
    <w:rsid w:val="00B815FC"/>
    <w:rsid w:val="00B879DF"/>
    <w:rsid w:val="00B93FBC"/>
    <w:rsid w:val="00BA7DA0"/>
    <w:rsid w:val="00BB2EE4"/>
    <w:rsid w:val="00BC2108"/>
    <w:rsid w:val="00BD0E9E"/>
    <w:rsid w:val="00BD1BEC"/>
    <w:rsid w:val="00BD32FF"/>
    <w:rsid w:val="00BD7B60"/>
    <w:rsid w:val="00C02092"/>
    <w:rsid w:val="00C05407"/>
    <w:rsid w:val="00C067F5"/>
    <w:rsid w:val="00C16BBA"/>
    <w:rsid w:val="00C24D91"/>
    <w:rsid w:val="00C53F14"/>
    <w:rsid w:val="00C600CF"/>
    <w:rsid w:val="00C6084F"/>
    <w:rsid w:val="00C62A66"/>
    <w:rsid w:val="00C63E55"/>
    <w:rsid w:val="00C71458"/>
    <w:rsid w:val="00C77613"/>
    <w:rsid w:val="00C828E7"/>
    <w:rsid w:val="00C83C9B"/>
    <w:rsid w:val="00C86719"/>
    <w:rsid w:val="00C921DD"/>
    <w:rsid w:val="00CA6391"/>
    <w:rsid w:val="00CC34BD"/>
    <w:rsid w:val="00CE161A"/>
    <w:rsid w:val="00CE3171"/>
    <w:rsid w:val="00CF1601"/>
    <w:rsid w:val="00CF3E5C"/>
    <w:rsid w:val="00D0172F"/>
    <w:rsid w:val="00D068A7"/>
    <w:rsid w:val="00D17476"/>
    <w:rsid w:val="00D32086"/>
    <w:rsid w:val="00D339FB"/>
    <w:rsid w:val="00D37A3F"/>
    <w:rsid w:val="00D4431D"/>
    <w:rsid w:val="00D4667A"/>
    <w:rsid w:val="00D63A1C"/>
    <w:rsid w:val="00D7516F"/>
    <w:rsid w:val="00D8579F"/>
    <w:rsid w:val="00D95F8E"/>
    <w:rsid w:val="00DA0590"/>
    <w:rsid w:val="00DB7BEA"/>
    <w:rsid w:val="00DC1739"/>
    <w:rsid w:val="00DC1788"/>
    <w:rsid w:val="00DE319C"/>
    <w:rsid w:val="00DF0CA8"/>
    <w:rsid w:val="00DF25B5"/>
    <w:rsid w:val="00DF2B48"/>
    <w:rsid w:val="00DF49A7"/>
    <w:rsid w:val="00DF6C86"/>
    <w:rsid w:val="00E07EE2"/>
    <w:rsid w:val="00E07FD1"/>
    <w:rsid w:val="00E24573"/>
    <w:rsid w:val="00E25E1E"/>
    <w:rsid w:val="00E27EE7"/>
    <w:rsid w:val="00E35404"/>
    <w:rsid w:val="00E45109"/>
    <w:rsid w:val="00E47B7A"/>
    <w:rsid w:val="00E56A44"/>
    <w:rsid w:val="00E60269"/>
    <w:rsid w:val="00E77932"/>
    <w:rsid w:val="00E97830"/>
    <w:rsid w:val="00EA61D2"/>
    <w:rsid w:val="00EB6E20"/>
    <w:rsid w:val="00EB794D"/>
    <w:rsid w:val="00EC6FCD"/>
    <w:rsid w:val="00ED41BB"/>
    <w:rsid w:val="00EE643C"/>
    <w:rsid w:val="00EF0683"/>
    <w:rsid w:val="00EF69D2"/>
    <w:rsid w:val="00EF766E"/>
    <w:rsid w:val="00F0070C"/>
    <w:rsid w:val="00F00EB7"/>
    <w:rsid w:val="00F36AB6"/>
    <w:rsid w:val="00F37A09"/>
    <w:rsid w:val="00F409CE"/>
    <w:rsid w:val="00F4379D"/>
    <w:rsid w:val="00F457D5"/>
    <w:rsid w:val="00F50D2D"/>
    <w:rsid w:val="00F56C8B"/>
    <w:rsid w:val="00F66810"/>
    <w:rsid w:val="00F846D9"/>
    <w:rsid w:val="00F84DF4"/>
    <w:rsid w:val="00F85C97"/>
    <w:rsid w:val="00FB37D2"/>
    <w:rsid w:val="00FB4F6E"/>
    <w:rsid w:val="00FC4EFB"/>
    <w:rsid w:val="00FD068D"/>
    <w:rsid w:val="00FD4F28"/>
    <w:rsid w:val="00FE6784"/>
    <w:rsid w:val="00FF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Citation-AltC">
    <w:name w:val="Citation - Alt C"/>
    <w:uiPriority w:val="2"/>
    <w:qFormat/>
    <w:rsid w:val="001870AE"/>
    <w:pPr>
      <w:spacing w:after="720"/>
      <w:ind w:left="1166"/>
      <w:contextualSpacing/>
      <w:jc w:val="both"/>
    </w:pPr>
    <w:rPr>
      <w:sz w:val="24"/>
      <w:szCs w:val="24"/>
    </w:rPr>
  </w:style>
  <w:style w:type="paragraph" w:customStyle="1" w:styleId="JudgeJuge">
    <w:name w:val="Judge / Juge"/>
    <w:uiPriority w:val="3"/>
    <w:rsid w:val="001870AE"/>
    <w:pPr>
      <w:tabs>
        <w:tab w:val="left" w:pos="1166"/>
      </w:tabs>
      <w:spacing w:after="480" w:line="480" w:lineRule="auto"/>
    </w:pPr>
    <w:rPr>
      <w:smallCaps/>
      <w:sz w:val="24"/>
      <w:szCs w:val="24"/>
    </w:rPr>
  </w:style>
  <w:style w:type="paragraph" w:customStyle="1" w:styleId="ParaNoNdepar-AltN">
    <w:name w:val="Para. No. / Nº de par. - Alt N"/>
    <w:qFormat/>
    <w:rsid w:val="001870A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870AE"/>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870AE"/>
    <w:pPr>
      <w:numPr>
        <w:ilvl w:val="1"/>
      </w:numPr>
      <w:tabs>
        <w:tab w:val="clear" w:pos="52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1870AE"/>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1870AE"/>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1870AE"/>
    <w:pPr>
      <w:numPr>
        <w:ilvl w:val="4"/>
      </w:numPr>
      <w:tabs>
        <w:tab w:val="clear" w:pos="576"/>
        <w:tab w:val="left" w:pos="1620"/>
      </w:tabs>
      <w:ind w:left="1620" w:hanging="540"/>
    </w:pPr>
  </w:style>
  <w:style w:type="table" w:styleId="TableGrid">
    <w:name w:val="Table Grid"/>
    <w:basedOn w:val="TableNormal"/>
    <w:uiPriority w:val="59"/>
    <w:rsid w:val="00C067F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2F04B9"/>
    <w:rPr>
      <w:lang w:val="en-CA"/>
    </w:rPr>
  </w:style>
  <w:style w:type="paragraph" w:customStyle="1" w:styleId="SCCLsocPrefix">
    <w:name w:val="SCC.Lsoc.Prefix"/>
    <w:basedOn w:val="Normal"/>
    <w:next w:val="Normal"/>
    <w:link w:val="SCCLsocPrefixChar"/>
    <w:rsid w:val="002F04B9"/>
    <w:rPr>
      <w:rFonts w:eastAsiaTheme="minorHAnsi" w:cstheme="minorBidi"/>
      <w:b/>
      <w:smallCaps/>
      <w:szCs w:val="24"/>
      <w:lang w:eastAsia="en-US"/>
    </w:rPr>
  </w:style>
  <w:style w:type="character" w:customStyle="1" w:styleId="SCCLsocPrefixChar">
    <w:name w:val="SCC.Lsoc.Prefix Char"/>
    <w:basedOn w:val="DefaultParagraphFont"/>
    <w:link w:val="SCCLsocPrefix"/>
    <w:rsid w:val="002F04B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1795</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2014-04-15T15:01:00Z</dcterms:created>
  <dcterms:modified xsi:type="dcterms:W3CDTF">2014-09-18T19:52:00Z</dcterms:modified>
</cp:coreProperties>
</file>