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51" w:rsidRDefault="00326F51" w:rsidP="00326F5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7pt" o:ole="">
            <v:imagedata r:id="rId8" o:title=""/>
          </v:shape>
          <o:OLEObject Type="Embed" ProgID="Presentations.Drawing.13" ShapeID="_x0000_i1025" DrawAspect="Content" ObjectID="_1472623570" r:id="rId9"/>
        </w:object>
      </w:r>
      <w:r>
        <w:t xml:space="preserve"> </w:t>
      </w:r>
      <w:r>
        <w:ptab w:relativeTo="margin" w:alignment="right" w:leader="none"/>
      </w:r>
    </w:p>
    <w:p w:rsidR="00326F51" w:rsidRDefault="00326F51" w:rsidP="00326F51">
      <w:pPr>
        <w:pStyle w:val="Header"/>
      </w:pPr>
    </w:p>
    <w:p w:rsidR="00326F51" w:rsidRPr="006B210C" w:rsidRDefault="00326F51" w:rsidP="00326F51">
      <w:pPr>
        <w:jc w:val="center"/>
        <w:rPr>
          <w:b/>
        </w:rPr>
      </w:pPr>
      <w:r w:rsidRPr="006B210C">
        <w:rPr>
          <w:b/>
        </w:rPr>
        <w:t>SUPREME COURT OF CANADA</w:t>
      </w:r>
    </w:p>
    <w:p w:rsidR="00326F51" w:rsidRDefault="00326F51" w:rsidP="00326F5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26F51" w:rsidRPr="006B210C" w:rsidTr="006B1282">
        <w:trPr>
          <w:cantSplit/>
        </w:trPr>
        <w:tc>
          <w:tcPr>
            <w:tcW w:w="6768" w:type="dxa"/>
          </w:tcPr>
          <w:p w:rsidR="00326F51" w:rsidRPr="00885F08" w:rsidRDefault="00326F51" w:rsidP="006B1282">
            <w:pPr>
              <w:rPr>
                <w:lang w:val="fr-CA"/>
              </w:rPr>
            </w:pPr>
            <w:r w:rsidRPr="00885F08">
              <w:rPr>
                <w:b/>
                <w:smallCaps/>
                <w:lang w:val="fr-CA"/>
              </w:rPr>
              <w:t>Citation:</w:t>
            </w:r>
            <w:r w:rsidRPr="00885F08">
              <w:rPr>
                <w:lang w:val="fr-CA"/>
              </w:rPr>
              <w:t xml:space="preserve"> Dionne </w:t>
            </w:r>
            <w:r w:rsidRPr="00885F08">
              <w:rPr>
                <w:i/>
                <w:lang w:val="fr-CA"/>
              </w:rPr>
              <w:t>v.</w:t>
            </w:r>
            <w:r w:rsidRPr="00885F08">
              <w:rPr>
                <w:lang w:val="fr-CA"/>
              </w:rPr>
              <w:t xml:space="preserve"> Commission scolaire des Patriotes, 2014 SCC 33</w:t>
            </w:r>
            <w:r w:rsidR="00795527">
              <w:rPr>
                <w:lang w:val="fr-CA"/>
              </w:rPr>
              <w:t>, [2014] 1 S.C.R. 765</w:t>
            </w:r>
          </w:p>
        </w:tc>
        <w:tc>
          <w:tcPr>
            <w:tcW w:w="2808" w:type="dxa"/>
          </w:tcPr>
          <w:p w:rsidR="00326F51" w:rsidRPr="006B210C" w:rsidRDefault="00326F51" w:rsidP="006B1282">
            <w:r w:rsidRPr="006B210C">
              <w:rPr>
                <w:b/>
                <w:smallCaps/>
              </w:rPr>
              <w:t>Date</w:t>
            </w:r>
            <w:r>
              <w:rPr>
                <w:b/>
                <w:smallCaps/>
              </w:rPr>
              <w:t>:</w:t>
            </w:r>
            <w:r w:rsidRPr="006B210C">
              <w:t xml:space="preserve"> </w:t>
            </w:r>
            <w:r>
              <w:t>20140501</w:t>
            </w:r>
          </w:p>
          <w:p w:rsidR="00326F51" w:rsidRPr="006B210C" w:rsidRDefault="00326F51" w:rsidP="006B1282">
            <w:r w:rsidRPr="006B210C">
              <w:rPr>
                <w:b/>
                <w:smallCaps/>
              </w:rPr>
              <w:t>Docket</w:t>
            </w:r>
            <w:r>
              <w:rPr>
                <w:b/>
                <w:smallCaps/>
              </w:rPr>
              <w:t>:</w:t>
            </w:r>
            <w:r w:rsidRPr="006B210C">
              <w:t xml:space="preserve"> </w:t>
            </w:r>
            <w:r>
              <w:t>34854</w:t>
            </w:r>
          </w:p>
        </w:tc>
      </w:tr>
    </w:tbl>
    <w:p w:rsidR="00326F51" w:rsidRPr="006B210C" w:rsidRDefault="00326F51" w:rsidP="00326F51"/>
    <w:p w:rsidR="00326F51" w:rsidRDefault="00326F51" w:rsidP="00326F51">
      <w:pPr>
        <w:pStyle w:val="SCCLsocPrefix"/>
      </w:pPr>
      <w:r>
        <w:t>Between:</w:t>
      </w:r>
    </w:p>
    <w:p w:rsidR="00326F51" w:rsidRDefault="00326F51" w:rsidP="00326F51">
      <w:pPr>
        <w:pStyle w:val="SCCLsocParty"/>
        <w:jc w:val="center"/>
      </w:pPr>
      <w:r>
        <w:t>Marilyne Dionne</w:t>
      </w:r>
    </w:p>
    <w:p w:rsidR="00326F51" w:rsidRPr="00326F51" w:rsidRDefault="00326F51" w:rsidP="00326F51">
      <w:pPr>
        <w:jc w:val="center"/>
        <w:rPr>
          <w:lang w:val="fr-CA"/>
        </w:rPr>
      </w:pPr>
      <w:proofErr w:type="spellStart"/>
      <w:r w:rsidRPr="00326F51">
        <w:rPr>
          <w:lang w:val="fr-CA"/>
        </w:rPr>
        <w:t>Appellant</w:t>
      </w:r>
      <w:proofErr w:type="spellEnd"/>
    </w:p>
    <w:p w:rsidR="00326F51" w:rsidRPr="00326F51" w:rsidRDefault="00326F51" w:rsidP="00326F51">
      <w:pPr>
        <w:pStyle w:val="SCCLsocVersus"/>
        <w:jc w:val="center"/>
        <w:rPr>
          <w:lang w:val="fr-CA"/>
        </w:rPr>
      </w:pPr>
      <w:proofErr w:type="gramStart"/>
      <w:r w:rsidRPr="00326F51">
        <w:rPr>
          <w:lang w:val="fr-CA"/>
        </w:rPr>
        <w:t>and</w:t>
      </w:r>
      <w:proofErr w:type="gramEnd"/>
    </w:p>
    <w:p w:rsidR="00326F51" w:rsidRPr="00885F08" w:rsidRDefault="00326F51" w:rsidP="00326F51">
      <w:pPr>
        <w:pStyle w:val="SCCLsocParty"/>
        <w:jc w:val="center"/>
        <w:rPr>
          <w:lang w:val="fr-CA"/>
        </w:rPr>
      </w:pPr>
      <w:r w:rsidRPr="00885F08">
        <w:rPr>
          <w:lang w:val="fr-CA"/>
        </w:rPr>
        <w:t>Commission scolaire des Patriotes and Commission des lésions professionnelles</w:t>
      </w:r>
    </w:p>
    <w:p w:rsidR="00326F51" w:rsidRPr="00885F08" w:rsidRDefault="00326F51" w:rsidP="00326F51">
      <w:pPr>
        <w:jc w:val="center"/>
        <w:rPr>
          <w:lang w:val="fr-CA"/>
        </w:rPr>
      </w:pPr>
      <w:proofErr w:type="spellStart"/>
      <w:r w:rsidRPr="00885F08">
        <w:rPr>
          <w:lang w:val="fr-CA"/>
        </w:rPr>
        <w:t>Respondents</w:t>
      </w:r>
      <w:proofErr w:type="spellEnd"/>
    </w:p>
    <w:p w:rsidR="00326F51" w:rsidRPr="00885F08" w:rsidRDefault="00326F51" w:rsidP="00326F51">
      <w:pPr>
        <w:pStyle w:val="SCCLsocOtherPartySeparator"/>
        <w:jc w:val="center"/>
        <w:rPr>
          <w:lang w:val="fr-CA"/>
        </w:rPr>
      </w:pPr>
      <w:r w:rsidRPr="00885F08">
        <w:rPr>
          <w:lang w:val="fr-CA"/>
        </w:rPr>
        <w:t>- and -</w:t>
      </w:r>
    </w:p>
    <w:p w:rsidR="00326F51" w:rsidRPr="00885F08" w:rsidRDefault="00326F51" w:rsidP="00326F51">
      <w:pPr>
        <w:pStyle w:val="SCCLsocParty"/>
        <w:jc w:val="center"/>
        <w:rPr>
          <w:lang w:val="fr-CA"/>
        </w:rPr>
      </w:pPr>
      <w:r w:rsidRPr="00885F08">
        <w:rPr>
          <w:lang w:val="fr-CA"/>
        </w:rPr>
        <w:t>Commission de la santé et de la sécurité du travail and</w:t>
      </w:r>
    </w:p>
    <w:p w:rsidR="00326F51" w:rsidRPr="00885F08" w:rsidRDefault="00326F51" w:rsidP="00326F51">
      <w:pPr>
        <w:pStyle w:val="SCCLsocParty"/>
        <w:jc w:val="center"/>
        <w:rPr>
          <w:lang w:val="fr-CA"/>
        </w:rPr>
      </w:pPr>
      <w:r w:rsidRPr="00885F08">
        <w:rPr>
          <w:lang w:val="fr-CA"/>
        </w:rPr>
        <w:t>Fédération des syndicats de l’enseignement</w:t>
      </w:r>
    </w:p>
    <w:p w:rsidR="00326F51" w:rsidRPr="00885F08" w:rsidRDefault="00326F51" w:rsidP="00326F51">
      <w:pPr>
        <w:jc w:val="center"/>
        <w:rPr>
          <w:lang w:val="fr-CA"/>
        </w:rPr>
      </w:pPr>
      <w:proofErr w:type="spellStart"/>
      <w:r w:rsidRPr="00885F08">
        <w:rPr>
          <w:lang w:val="fr-CA"/>
        </w:rPr>
        <w:t>Interveners</w:t>
      </w:r>
      <w:proofErr w:type="spellEnd"/>
    </w:p>
    <w:p w:rsidR="00326F51" w:rsidRPr="00885F08" w:rsidRDefault="00326F51" w:rsidP="00326F51">
      <w:pPr>
        <w:jc w:val="center"/>
        <w:rPr>
          <w:lang w:val="fr-CA"/>
        </w:rPr>
      </w:pPr>
    </w:p>
    <w:p w:rsidR="00326F51" w:rsidRPr="00885F08" w:rsidRDefault="00326F51" w:rsidP="00326F51">
      <w:pPr>
        <w:jc w:val="center"/>
        <w:rPr>
          <w:lang w:val="fr-CA"/>
        </w:rPr>
      </w:pPr>
    </w:p>
    <w:p w:rsidR="00326F51" w:rsidRPr="006B210C" w:rsidRDefault="00326F51" w:rsidP="00A76559">
      <w:pPr>
        <w:jc w:val="both"/>
      </w:pPr>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and </w:t>
      </w:r>
      <w:proofErr w:type="spellStart"/>
      <w:r>
        <w:t>Karakatsanis</w:t>
      </w:r>
      <w:proofErr w:type="spellEnd"/>
      <w:r>
        <w:t> JJ.</w:t>
      </w:r>
    </w:p>
    <w:p w:rsidR="00326F51" w:rsidRPr="006B210C" w:rsidRDefault="00326F51" w:rsidP="00326F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26F51" w:rsidRPr="006B210C" w:rsidTr="006B1282">
        <w:trPr>
          <w:cantSplit/>
        </w:trPr>
        <w:tc>
          <w:tcPr>
            <w:tcW w:w="3618" w:type="dxa"/>
          </w:tcPr>
          <w:p w:rsidR="00326F51" w:rsidRDefault="00326F51" w:rsidP="006B1282">
            <w:pPr>
              <w:rPr>
                <w:b/>
                <w:smallCaps/>
              </w:rPr>
            </w:pPr>
            <w:r w:rsidRPr="006B210C">
              <w:rPr>
                <w:b/>
                <w:smallCaps/>
              </w:rPr>
              <w:t>Reasons for Judgment</w:t>
            </w:r>
            <w:r>
              <w:rPr>
                <w:b/>
                <w:smallCaps/>
              </w:rPr>
              <w:t>:</w:t>
            </w:r>
          </w:p>
          <w:p w:rsidR="00326F51" w:rsidRPr="006B210C" w:rsidRDefault="00326F51" w:rsidP="006B1282">
            <w:r>
              <w:t>(</w:t>
            </w:r>
            <w:proofErr w:type="spellStart"/>
            <w:r>
              <w:t>paras</w:t>
            </w:r>
            <w:proofErr w:type="spellEnd"/>
            <w:r>
              <w:t>. 1 to 46)</w:t>
            </w:r>
          </w:p>
        </w:tc>
        <w:tc>
          <w:tcPr>
            <w:tcW w:w="5958" w:type="dxa"/>
          </w:tcPr>
          <w:p w:rsidR="00326F51" w:rsidRPr="006B210C" w:rsidRDefault="00326F51" w:rsidP="006B1282">
            <w:proofErr w:type="spellStart"/>
            <w:r>
              <w:t>Abella</w:t>
            </w:r>
            <w:proofErr w:type="spellEnd"/>
            <w:r>
              <w:t xml:space="preserve"> J. (</w:t>
            </w:r>
            <w:proofErr w:type="spellStart"/>
            <w:r>
              <w:t>McLachlin</w:t>
            </w:r>
            <w:proofErr w:type="spellEnd"/>
            <w:r>
              <w:t xml:space="preserve"> C.J. and Cromwell, </w:t>
            </w:r>
            <w:proofErr w:type="spellStart"/>
            <w:r>
              <w:t>Moldaver</w:t>
            </w:r>
            <w:proofErr w:type="spellEnd"/>
            <w:r>
              <w:t xml:space="preserve"> and </w:t>
            </w:r>
            <w:proofErr w:type="spellStart"/>
            <w:r>
              <w:t>Karakatsanis</w:t>
            </w:r>
            <w:proofErr w:type="spellEnd"/>
            <w:r>
              <w:t xml:space="preserve"> JJ. concurring)</w:t>
            </w:r>
          </w:p>
        </w:tc>
      </w:tr>
    </w:tbl>
    <w:p w:rsidR="00326F51" w:rsidRDefault="00326F51" w:rsidP="00326F51"/>
    <w:p w:rsidR="00326F51" w:rsidRPr="006B210C" w:rsidRDefault="00326F51" w:rsidP="00326F51">
      <w:r w:rsidRPr="00912826">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6036D1" w:rsidRDefault="006036D1" w:rsidP="007D4186">
      <w:pPr>
        <w:spacing w:after="720"/>
        <w:jc w:val="both"/>
        <w:rPr>
          <w:rStyle w:val="SCCAppellantForRunningHeadChar"/>
          <w:lang w:val="fr-CA"/>
        </w:rPr>
      </w:pPr>
    </w:p>
    <w:p w:rsidR="008322BD" w:rsidRPr="00422380" w:rsidRDefault="00E45506" w:rsidP="007D4186">
      <w:pPr>
        <w:spacing w:after="720"/>
        <w:jc w:val="both"/>
        <w:rPr>
          <w:lang w:val="fr-CA"/>
        </w:rPr>
      </w:pPr>
      <w:proofErr w:type="spellStart"/>
      <w:r w:rsidRPr="00422380">
        <w:rPr>
          <w:rStyle w:val="SCCAppellantForRunningHeadChar"/>
          <w:lang w:val="fr-CA"/>
        </w:rPr>
        <w:t>d</w:t>
      </w:r>
      <w:r w:rsidR="008F78E9" w:rsidRPr="00422380">
        <w:rPr>
          <w:rStyle w:val="SCCAppellantForRunningHeadChar"/>
          <w:lang w:val="fr-CA"/>
        </w:rPr>
        <w:t>ionne</w:t>
      </w:r>
      <w:proofErr w:type="spellEnd"/>
      <w:r w:rsidR="00480C90" w:rsidRPr="00422380">
        <w:rPr>
          <w:lang w:val="fr-CA"/>
        </w:rPr>
        <w:t xml:space="preserve"> </w:t>
      </w:r>
      <w:r w:rsidR="009B57B3" w:rsidRPr="00422380">
        <w:rPr>
          <w:i/>
          <w:lang w:val="fr-CA"/>
        </w:rPr>
        <w:t>v.</w:t>
      </w:r>
      <w:r w:rsidR="00B000D8" w:rsidRPr="00422380">
        <w:rPr>
          <w:lang w:val="fr-CA"/>
        </w:rPr>
        <w:t xml:space="preserve"> </w:t>
      </w:r>
      <w:r w:rsidRPr="00422380">
        <w:rPr>
          <w:rStyle w:val="SCCRespondentForRunningHeadChar"/>
          <w:lang w:val="fr-CA"/>
        </w:rPr>
        <w:t>c</w:t>
      </w:r>
      <w:r w:rsidR="008F78E9" w:rsidRPr="00422380">
        <w:rPr>
          <w:rStyle w:val="SCCRespondentForRunningHeadChar"/>
          <w:lang w:val="fr-CA"/>
        </w:rPr>
        <w:t xml:space="preserve">ommission scolaire des </w:t>
      </w:r>
      <w:r w:rsidRPr="00422380">
        <w:rPr>
          <w:rStyle w:val="SCCRespondentForRunningHeadChar"/>
          <w:lang w:val="fr-CA"/>
        </w:rPr>
        <w:t>p</w:t>
      </w:r>
      <w:r w:rsidR="008F78E9" w:rsidRPr="00422380">
        <w:rPr>
          <w:rStyle w:val="SCCRespondentForRunningHeadChar"/>
          <w:lang w:val="fr-CA"/>
        </w:rPr>
        <w:t>atriotes</w:t>
      </w:r>
      <w:r w:rsidR="00902861">
        <w:rPr>
          <w:rStyle w:val="SCCRespondentForRunningHeadChar"/>
          <w:lang w:val="fr-CA"/>
        </w:rPr>
        <w:t>, 2014 SCC 33, [2014] 1 S.C.R. 765</w:t>
      </w:r>
    </w:p>
    <w:p w:rsidR="004F00A5" w:rsidRPr="00422380" w:rsidRDefault="00E45506" w:rsidP="007D4186">
      <w:pPr>
        <w:pStyle w:val="SCCLsocLastPartyInRole"/>
        <w:rPr>
          <w:lang w:val="fr-CA"/>
        </w:rPr>
      </w:pPr>
      <w:r w:rsidRPr="00422380">
        <w:rPr>
          <w:lang w:val="fr-CA"/>
        </w:rPr>
        <w:t>Marilyne Dionne</w:t>
      </w:r>
      <w:r w:rsidRPr="00422380">
        <w:rPr>
          <w:rStyle w:val="SCCLsocPartyRole"/>
          <w:lang w:val="fr-CA"/>
        </w:rPr>
        <w:tab/>
      </w:r>
      <w:proofErr w:type="spellStart"/>
      <w:r w:rsidRPr="00422380">
        <w:rPr>
          <w:rStyle w:val="SCCLsocPartyRole"/>
          <w:lang w:val="fr-CA"/>
        </w:rPr>
        <w:t>Appellant</w:t>
      </w:r>
      <w:proofErr w:type="spellEnd"/>
    </w:p>
    <w:p w:rsidR="004F00A5" w:rsidRPr="00422380" w:rsidRDefault="00E45506" w:rsidP="007D4186">
      <w:pPr>
        <w:pStyle w:val="SCCLsocVersus"/>
        <w:rPr>
          <w:lang w:val="fr-CA"/>
        </w:rPr>
      </w:pPr>
      <w:r w:rsidRPr="00422380">
        <w:rPr>
          <w:lang w:val="fr-CA"/>
        </w:rPr>
        <w:t>v.</w:t>
      </w:r>
    </w:p>
    <w:p w:rsidR="004F00A5" w:rsidRPr="00422380" w:rsidRDefault="00E45506" w:rsidP="007D4186">
      <w:pPr>
        <w:pStyle w:val="SCCLsocParty"/>
        <w:rPr>
          <w:lang w:val="fr-CA"/>
        </w:rPr>
      </w:pPr>
      <w:r w:rsidRPr="00422380">
        <w:rPr>
          <w:lang w:val="fr-CA"/>
        </w:rPr>
        <w:lastRenderedPageBreak/>
        <w:t xml:space="preserve">Commission scolaire </w:t>
      </w:r>
      <w:proofErr w:type="gramStart"/>
      <w:r w:rsidRPr="00422380">
        <w:rPr>
          <w:lang w:val="fr-CA"/>
        </w:rPr>
        <w:t>des Patriotes</w:t>
      </w:r>
      <w:proofErr w:type="gramEnd"/>
      <w:r w:rsidRPr="00422380">
        <w:rPr>
          <w:lang w:val="fr-CA"/>
        </w:rPr>
        <w:t xml:space="preserve"> and </w:t>
      </w:r>
    </w:p>
    <w:p w:rsidR="004F00A5" w:rsidRPr="00422380" w:rsidRDefault="00E45506" w:rsidP="007D4186">
      <w:pPr>
        <w:pStyle w:val="SCCLsocLastPartyInRole"/>
        <w:rPr>
          <w:lang w:val="fr-CA"/>
        </w:rPr>
      </w:pPr>
      <w:r w:rsidRPr="00422380">
        <w:rPr>
          <w:lang w:val="fr-CA"/>
        </w:rPr>
        <w:t>Commission des lésions professionnelles</w:t>
      </w:r>
      <w:r w:rsidRPr="00422380">
        <w:rPr>
          <w:rStyle w:val="SCCLsocPartyRole"/>
          <w:lang w:val="fr-CA"/>
        </w:rPr>
        <w:tab/>
      </w:r>
      <w:proofErr w:type="spellStart"/>
      <w:r w:rsidRPr="00422380">
        <w:rPr>
          <w:rStyle w:val="SCCLsocPartyRole"/>
          <w:lang w:val="fr-CA"/>
        </w:rPr>
        <w:t>Respondents</w:t>
      </w:r>
      <w:proofErr w:type="spellEnd"/>
    </w:p>
    <w:p w:rsidR="004F00A5" w:rsidRPr="00422380" w:rsidRDefault="00E45506" w:rsidP="007D4186">
      <w:pPr>
        <w:pStyle w:val="SCCLsocOtherPartySeparator"/>
        <w:rPr>
          <w:lang w:val="fr-CA"/>
        </w:rPr>
      </w:pPr>
      <w:proofErr w:type="gramStart"/>
      <w:r w:rsidRPr="00422380">
        <w:rPr>
          <w:lang w:val="fr-CA"/>
        </w:rPr>
        <w:t>and</w:t>
      </w:r>
      <w:proofErr w:type="gramEnd"/>
    </w:p>
    <w:p w:rsidR="004F00A5" w:rsidRPr="00422380" w:rsidRDefault="00E45506" w:rsidP="007D4186">
      <w:pPr>
        <w:pStyle w:val="SCCLsocParty"/>
        <w:rPr>
          <w:lang w:val="fr-CA"/>
        </w:rPr>
      </w:pPr>
      <w:r w:rsidRPr="00422380">
        <w:rPr>
          <w:lang w:val="fr-CA"/>
        </w:rPr>
        <w:t>Commission de la santé et de la sécurité du travail</w:t>
      </w:r>
      <w:r w:rsidR="005075A5" w:rsidRPr="00422380">
        <w:rPr>
          <w:lang w:val="fr-CA"/>
        </w:rPr>
        <w:t xml:space="preserve"> and</w:t>
      </w:r>
    </w:p>
    <w:p w:rsidR="004F00A5" w:rsidRPr="00422380" w:rsidRDefault="00E45506" w:rsidP="007D4186">
      <w:pPr>
        <w:pStyle w:val="SCCLsocLastPartyInRole"/>
        <w:rPr>
          <w:lang w:val="fr-CA"/>
        </w:rPr>
      </w:pPr>
      <w:r w:rsidRPr="00422380">
        <w:rPr>
          <w:lang w:val="fr-CA"/>
        </w:rPr>
        <w:t>Fédération des syndicats de l</w:t>
      </w:r>
      <w:r w:rsidR="00711C4C" w:rsidRPr="00422380">
        <w:rPr>
          <w:lang w:val="fr-CA"/>
        </w:rPr>
        <w:t>’</w:t>
      </w:r>
      <w:r w:rsidRPr="00422380">
        <w:rPr>
          <w:lang w:val="fr-CA"/>
        </w:rPr>
        <w:t>enseignement</w:t>
      </w:r>
      <w:r w:rsidRPr="00422380">
        <w:rPr>
          <w:rStyle w:val="SCCLsocPartyRole"/>
          <w:lang w:val="fr-CA"/>
        </w:rPr>
        <w:tab/>
      </w:r>
      <w:proofErr w:type="spellStart"/>
      <w:r w:rsidRPr="00422380">
        <w:rPr>
          <w:rStyle w:val="SCCLsocPartyRole"/>
          <w:lang w:val="fr-CA"/>
        </w:rPr>
        <w:t>Interveners</w:t>
      </w:r>
      <w:proofErr w:type="spellEnd"/>
    </w:p>
    <w:p w:rsidR="00426659" w:rsidRPr="00422380" w:rsidRDefault="00426659" w:rsidP="007D4186">
      <w:pPr>
        <w:spacing w:after="720"/>
        <w:jc w:val="both"/>
        <w:rPr>
          <w:lang w:val="fr-CA"/>
        </w:rPr>
      </w:pPr>
      <w:proofErr w:type="spellStart"/>
      <w:r w:rsidRPr="00422380">
        <w:rPr>
          <w:b/>
          <w:lang w:val="fr-CA"/>
        </w:rPr>
        <w:t>Indexed</w:t>
      </w:r>
      <w:proofErr w:type="spellEnd"/>
      <w:r w:rsidRPr="00422380">
        <w:rPr>
          <w:b/>
          <w:lang w:val="fr-CA"/>
        </w:rPr>
        <w:t xml:space="preserve"> as</w:t>
      </w:r>
      <w:proofErr w:type="gramStart"/>
      <w:r w:rsidRPr="00422380">
        <w:rPr>
          <w:b/>
          <w:lang w:val="fr-CA"/>
        </w:rPr>
        <w:t xml:space="preserve">:  </w:t>
      </w:r>
      <w:r w:rsidRPr="00422380">
        <w:rPr>
          <w:rStyle w:val="SCCAppellantForIndexChar"/>
          <w:lang w:val="fr-CA"/>
        </w:rPr>
        <w:t>Dionne</w:t>
      </w:r>
      <w:proofErr w:type="gramEnd"/>
      <w:r w:rsidRPr="00422380">
        <w:rPr>
          <w:b/>
          <w:lang w:val="fr-CA"/>
        </w:rPr>
        <w:t xml:space="preserve"> </w:t>
      </w:r>
      <w:r w:rsidRPr="00422380">
        <w:rPr>
          <w:b/>
          <w:i/>
          <w:lang w:val="fr-CA"/>
        </w:rPr>
        <w:t>v.</w:t>
      </w:r>
      <w:r w:rsidRPr="00422380">
        <w:rPr>
          <w:b/>
          <w:lang w:val="fr-CA"/>
        </w:rPr>
        <w:t xml:space="preserve"> </w:t>
      </w:r>
      <w:r w:rsidRPr="00422380">
        <w:rPr>
          <w:rStyle w:val="SCCRespondentForIndexChar"/>
          <w:lang w:val="fr-CA"/>
        </w:rPr>
        <w:t>Commission scolaire des Patriotes</w:t>
      </w:r>
    </w:p>
    <w:p w:rsidR="00426659" w:rsidRPr="00422380" w:rsidRDefault="004F36FF" w:rsidP="007D4186">
      <w:pPr>
        <w:pStyle w:val="SCCSystemYear"/>
        <w:spacing w:after="720"/>
        <w:jc w:val="both"/>
      </w:pPr>
      <w:r w:rsidRPr="00422380">
        <w:t>2014</w:t>
      </w:r>
      <w:r w:rsidR="003D0399" w:rsidRPr="00422380">
        <w:t xml:space="preserve"> </w:t>
      </w:r>
      <w:r w:rsidR="00BA3666">
        <w:t xml:space="preserve">SCC </w:t>
      </w:r>
      <w:r w:rsidR="0012786C" w:rsidRPr="00422380">
        <w:t>33</w:t>
      </w:r>
    </w:p>
    <w:p w:rsidR="008322BD" w:rsidRPr="00422380" w:rsidRDefault="009B57B3" w:rsidP="007D4186">
      <w:pPr>
        <w:spacing w:after="720"/>
        <w:jc w:val="both"/>
      </w:pPr>
      <w:r w:rsidRPr="00422380">
        <w:t>File No.:  34854.</w:t>
      </w:r>
    </w:p>
    <w:p w:rsidR="008322BD" w:rsidRPr="00422380" w:rsidRDefault="00711C4C" w:rsidP="007D4186">
      <w:pPr>
        <w:spacing w:after="720"/>
        <w:jc w:val="both"/>
      </w:pPr>
      <w:r w:rsidRPr="00422380">
        <w:t>2014</w:t>
      </w:r>
      <w:r w:rsidR="00BA3666">
        <w:t xml:space="preserve">: </w:t>
      </w:r>
      <w:r w:rsidRPr="00422380">
        <w:t> January </w:t>
      </w:r>
      <w:r w:rsidR="004F36FF" w:rsidRPr="00422380">
        <w:t>13</w:t>
      </w:r>
      <w:r w:rsidR="009B57B3" w:rsidRPr="00422380">
        <w:t xml:space="preserve">; </w:t>
      </w:r>
      <w:r w:rsidRPr="00422380">
        <w:t>2014</w:t>
      </w:r>
      <w:r w:rsidR="00BA3666">
        <w:t xml:space="preserve">: </w:t>
      </w:r>
      <w:r w:rsidRPr="00422380">
        <w:t> May </w:t>
      </w:r>
      <w:r w:rsidR="00653199" w:rsidRPr="00422380">
        <w:t>1</w:t>
      </w:r>
      <w:r w:rsidR="009B57B3" w:rsidRPr="00422380">
        <w:t>.</w:t>
      </w:r>
    </w:p>
    <w:p w:rsidR="008322BD" w:rsidRPr="00422380" w:rsidRDefault="009B57B3" w:rsidP="007D4186">
      <w:pPr>
        <w:spacing w:after="720"/>
        <w:jc w:val="both"/>
      </w:pPr>
      <w:r w:rsidRPr="00422380">
        <w:t xml:space="preserve">Present:  McLachlin C.J. and </w:t>
      </w:r>
      <w:proofErr w:type="spellStart"/>
      <w:r w:rsidRPr="00422380">
        <w:t>Abella</w:t>
      </w:r>
      <w:proofErr w:type="spellEnd"/>
      <w:r w:rsidRPr="00422380">
        <w:t xml:space="preserve">, Cromwell, </w:t>
      </w:r>
      <w:proofErr w:type="spellStart"/>
      <w:r w:rsidRPr="00422380">
        <w:t>Moldaver</w:t>
      </w:r>
      <w:proofErr w:type="spellEnd"/>
      <w:r w:rsidRPr="00422380">
        <w:t xml:space="preserve"> and </w:t>
      </w:r>
      <w:proofErr w:type="spellStart"/>
      <w:r w:rsidRPr="00422380">
        <w:t>Karakatsanis</w:t>
      </w:r>
      <w:proofErr w:type="spellEnd"/>
      <w:r w:rsidRPr="00422380">
        <w:t> JJ.</w:t>
      </w:r>
    </w:p>
    <w:p w:rsidR="008322BD" w:rsidRPr="00422380" w:rsidRDefault="00656313" w:rsidP="007D4186">
      <w:pPr>
        <w:pStyle w:val="SCCLowerCourtNameLowercase"/>
        <w:spacing w:after="720" w:line="240" w:lineRule="auto"/>
      </w:pPr>
      <w:r w:rsidRPr="00422380">
        <w:t>o</w:t>
      </w:r>
      <w:r w:rsidR="00170592" w:rsidRPr="00422380">
        <w:t>n</w:t>
      </w:r>
      <w:r w:rsidR="00224FC0" w:rsidRPr="00422380">
        <w:t xml:space="preserve"> </w:t>
      </w:r>
      <w:r w:rsidRPr="00422380">
        <w:t>a</w:t>
      </w:r>
      <w:r w:rsidR="00170592" w:rsidRPr="00422380">
        <w:t>ppeal</w:t>
      </w:r>
      <w:r w:rsidR="00224FC0" w:rsidRPr="00422380">
        <w:t xml:space="preserve"> </w:t>
      </w:r>
      <w:r w:rsidR="00170592" w:rsidRPr="00422380">
        <w:t>from</w:t>
      </w:r>
      <w:r w:rsidR="009567AA" w:rsidRPr="00422380">
        <w:t xml:space="preserve"> the</w:t>
      </w:r>
      <w:r w:rsidR="00224FC0" w:rsidRPr="00422380">
        <w:t xml:space="preserve"> </w:t>
      </w:r>
      <w:r w:rsidR="009B57B3" w:rsidRPr="00422380">
        <w:t>cour</w:t>
      </w:r>
      <w:r w:rsidR="004C443A" w:rsidRPr="00422380">
        <w:t xml:space="preserve">t of appeal for </w:t>
      </w:r>
      <w:proofErr w:type="spellStart"/>
      <w:r w:rsidR="004C443A" w:rsidRPr="00422380">
        <w:t>quebec</w:t>
      </w:r>
      <w:proofErr w:type="spellEnd"/>
    </w:p>
    <w:p w:rsidR="00FE2B95" w:rsidRPr="00422380" w:rsidRDefault="00FE2B95" w:rsidP="007D4186">
      <w:pPr>
        <w:pStyle w:val="SCCNormalDoubleSpacing"/>
        <w:spacing w:after="480"/>
      </w:pPr>
      <w:r w:rsidRPr="00422380">
        <w:tab/>
      </w:r>
      <w:r w:rsidRPr="00422380">
        <w:rPr>
          <w:i/>
          <w:lang w:val="en-US"/>
        </w:rPr>
        <w:t>Employment law — Occupational health and safety — Unsafe workplace — Contract of employment — Whether pregnant supply teacher qualifies as eligible “worker” for Preventive Withdrawal and earnings</w:t>
      </w:r>
      <w:r w:rsidR="007D4186">
        <w:rPr>
          <w:i/>
          <w:lang w:val="en-US"/>
        </w:rPr>
        <w:t>-</w:t>
      </w:r>
      <w:r w:rsidRPr="00422380">
        <w:rPr>
          <w:i/>
          <w:lang w:val="en-US"/>
        </w:rPr>
        <w:t>replacement indemnity under applicable provincial legislation — Whether refusal to perform work in unsafe workplace precludes formation of contract of employment —</w:t>
      </w:r>
      <w:r w:rsidR="00272199" w:rsidRPr="00422380">
        <w:rPr>
          <w:i/>
          <w:lang w:val="en-US"/>
        </w:rPr>
        <w:t xml:space="preserve"> </w:t>
      </w:r>
      <w:r w:rsidRPr="00422380">
        <w:rPr>
          <w:i/>
        </w:rPr>
        <w:t xml:space="preserve">Act respecting </w:t>
      </w:r>
      <w:r w:rsidRPr="00422380">
        <w:rPr>
          <w:i/>
        </w:rPr>
        <w:lastRenderedPageBreak/>
        <w:t>occupational health and safety, CQLR,</w:t>
      </w:r>
      <w:r w:rsidR="00711C4C" w:rsidRPr="00422380">
        <w:rPr>
          <w:i/>
        </w:rPr>
        <w:t xml:space="preserve"> c. S</w:t>
      </w:r>
      <w:r w:rsidR="007D4186">
        <w:rPr>
          <w:i/>
        </w:rPr>
        <w:t>-</w:t>
      </w:r>
      <w:r w:rsidR="00711C4C" w:rsidRPr="00422380">
        <w:rPr>
          <w:i/>
        </w:rPr>
        <w:t>2.1, ss. </w:t>
      </w:r>
      <w:r w:rsidRPr="00422380">
        <w:rPr>
          <w:i/>
        </w:rPr>
        <w:t xml:space="preserve">1 “worker”, 2, 4, 11, 12, 14, 30, 40, 41 </w:t>
      </w:r>
      <w:r w:rsidRPr="00422380">
        <w:rPr>
          <w:i/>
          <w:lang w:val="en-US"/>
        </w:rPr>
        <w:t xml:space="preserve">— Civil Code of Québec, </w:t>
      </w:r>
      <w:r w:rsidR="00711C4C" w:rsidRPr="00422380">
        <w:rPr>
          <w:i/>
          <w:lang w:val="en-US"/>
        </w:rPr>
        <w:t>art. </w:t>
      </w:r>
      <w:r w:rsidRPr="00422380">
        <w:rPr>
          <w:i/>
          <w:lang w:val="en-US"/>
        </w:rPr>
        <w:t>2085.</w:t>
      </w:r>
    </w:p>
    <w:p w:rsidR="00FE2B95" w:rsidRPr="00422380" w:rsidRDefault="00FE2B95" w:rsidP="007D4186">
      <w:pPr>
        <w:pStyle w:val="SCCNormalDoubleSpacing"/>
        <w:spacing w:after="480"/>
      </w:pPr>
      <w:r w:rsidRPr="00422380">
        <w:rPr>
          <w:lang w:val="en-US"/>
        </w:rPr>
        <w:tab/>
        <w:t>Quebec</w:t>
      </w:r>
      <w:r w:rsidR="00711C4C" w:rsidRPr="00422380">
        <w:rPr>
          <w:lang w:val="en-US"/>
        </w:rPr>
        <w:t>’</w:t>
      </w:r>
      <w:r w:rsidRPr="00422380">
        <w:rPr>
          <w:lang w:val="en-US"/>
        </w:rPr>
        <w:t xml:space="preserve">s </w:t>
      </w:r>
      <w:r w:rsidRPr="00422380">
        <w:rPr>
          <w:i/>
          <w:lang w:val="en-US"/>
        </w:rPr>
        <w:t>Act respecting occupational health and safety</w:t>
      </w:r>
      <w:r w:rsidRPr="00422380">
        <w:rPr>
          <w:lang w:val="en-US"/>
        </w:rPr>
        <w:t xml:space="preserve"> is</w:t>
      </w:r>
      <w:r w:rsidRPr="00422380">
        <w:t xml:space="preserve"> </w:t>
      </w:r>
      <w:r w:rsidRPr="00422380">
        <w:rPr>
          <w:lang w:val="en-US"/>
        </w:rPr>
        <w:t xml:space="preserve">designed to provide </w:t>
      </w:r>
      <w:r w:rsidRPr="00422380">
        <w:t>financial</w:t>
      </w:r>
      <w:r w:rsidRPr="00422380">
        <w:rPr>
          <w:lang w:val="en-US"/>
        </w:rPr>
        <w:t xml:space="preserve"> security when workers are required to withdraw temporarily from the workforce to avoid unsafe work.  It </w:t>
      </w:r>
      <w:r w:rsidRPr="00422380">
        <w:t>sets out specific health and safety protections for pregnant women whereby they can refuse to perform work under conditions that present a health or safety danger to themselves or their fetus, and to have a reassignment of work to avoid those risks</w:t>
      </w:r>
      <w:r w:rsidR="00711C4C" w:rsidRPr="00422380">
        <w:t xml:space="preserve">.  </w:t>
      </w:r>
      <w:r w:rsidRPr="00422380">
        <w:t xml:space="preserve">If that reassignment is not possible, they have the right to take Preventive Withdrawal during which they stop working and receive income replacement benefits during their pregnancy. </w:t>
      </w:r>
    </w:p>
    <w:p w:rsidR="00FE2B95" w:rsidRPr="00422380" w:rsidRDefault="00FE2B95" w:rsidP="007D4186">
      <w:pPr>
        <w:pStyle w:val="SCCNormalDoubleSpacing"/>
        <w:spacing w:after="480"/>
      </w:pPr>
      <w:r w:rsidRPr="00422380">
        <w:tab/>
        <w:t>D, a pregnant supply teacher, learned from her doctor that she was vulnerable to contagious viruses which can harm the fetus</w:t>
      </w:r>
      <w:r w:rsidR="00711C4C" w:rsidRPr="00422380">
        <w:t xml:space="preserve">.  </w:t>
      </w:r>
      <w:r w:rsidRPr="00422380">
        <w:t>Because these viruses can be spread by groups of children, a classroom posed a risk.  The School Board offered her a one</w:t>
      </w:r>
      <w:r w:rsidR="007D4186">
        <w:t>-</w:t>
      </w:r>
      <w:r w:rsidRPr="00422380">
        <w:t>day teaching position,</w:t>
      </w:r>
      <w:r w:rsidR="005215E2" w:rsidRPr="00422380">
        <w:t xml:space="preserve"> </w:t>
      </w:r>
      <w:r w:rsidRPr="00422380">
        <w:t xml:space="preserve">which she accepted.  Due to the health risk in the workplace, the Commission </w:t>
      </w:r>
      <w:r w:rsidRPr="00422380">
        <w:rPr>
          <w:lang w:val="en-US"/>
        </w:rPr>
        <w:t xml:space="preserve">de la santé </w:t>
      </w:r>
      <w:proofErr w:type="gramStart"/>
      <w:r w:rsidRPr="00422380">
        <w:rPr>
          <w:lang w:val="en-US"/>
        </w:rPr>
        <w:t>et</w:t>
      </w:r>
      <w:proofErr w:type="gramEnd"/>
      <w:r w:rsidRPr="00422380">
        <w:rPr>
          <w:lang w:val="en-US"/>
        </w:rPr>
        <w:t xml:space="preserve"> de la </w:t>
      </w:r>
      <w:proofErr w:type="spellStart"/>
      <w:r w:rsidRPr="00422380">
        <w:rPr>
          <w:lang w:val="en-US"/>
        </w:rPr>
        <w:t>sécurité</w:t>
      </w:r>
      <w:proofErr w:type="spellEnd"/>
      <w:r w:rsidRPr="00422380">
        <w:rPr>
          <w:lang w:val="en-US"/>
        </w:rPr>
        <w:t xml:space="preserve"> du travail</w:t>
      </w:r>
      <w:r w:rsidRPr="00422380">
        <w:t xml:space="preserve"> told D that she was entitled to reassignment or Preventive Withdraw</w:t>
      </w:r>
      <w:r w:rsidR="00711C4C" w:rsidRPr="00422380">
        <w:t xml:space="preserve">al. </w:t>
      </w:r>
      <w:r w:rsidRPr="00422380">
        <w:t xml:space="preserve"> The School Board appealed to the </w:t>
      </w:r>
      <w:r w:rsidRPr="00422380">
        <w:rPr>
          <w:lang w:val="en-US"/>
        </w:rPr>
        <w:t xml:space="preserve">Commission des </w:t>
      </w:r>
      <w:proofErr w:type="spellStart"/>
      <w:r w:rsidRPr="00422380">
        <w:rPr>
          <w:lang w:val="en-US"/>
        </w:rPr>
        <w:t>lésions</w:t>
      </w:r>
      <w:proofErr w:type="spellEnd"/>
      <w:r w:rsidRPr="00422380">
        <w:rPr>
          <w:lang w:val="en-US"/>
        </w:rPr>
        <w:t xml:space="preserve"> </w:t>
      </w:r>
      <w:proofErr w:type="spellStart"/>
      <w:r w:rsidRPr="00422380">
        <w:rPr>
          <w:lang w:val="en-US"/>
        </w:rPr>
        <w:t>professionnelles</w:t>
      </w:r>
      <w:proofErr w:type="spellEnd"/>
      <w:r w:rsidRPr="00422380">
        <w:rPr>
          <w:lang w:val="en-US"/>
        </w:rPr>
        <w:t xml:space="preserve"> (</w:t>
      </w:r>
      <w:r w:rsidR="005215E2" w:rsidRPr="00422380">
        <w:rPr>
          <w:lang w:val="en-US"/>
        </w:rPr>
        <w:t>“</w:t>
      </w:r>
      <w:r w:rsidRPr="00422380">
        <w:rPr>
          <w:lang w:val="en-US"/>
        </w:rPr>
        <w:t>CLP</w:t>
      </w:r>
      <w:r w:rsidR="005215E2" w:rsidRPr="00422380">
        <w:rPr>
          <w:lang w:val="en-US"/>
        </w:rPr>
        <w:t>”</w:t>
      </w:r>
      <w:r w:rsidRPr="00422380">
        <w:rPr>
          <w:lang w:val="en-US"/>
        </w:rPr>
        <w:t>), which concluded that D was ineligible for Preventive Withdrawal</w:t>
      </w:r>
      <w:r w:rsidR="005215E2" w:rsidRPr="00422380">
        <w:rPr>
          <w:lang w:val="en-US"/>
        </w:rPr>
        <w:t xml:space="preserve"> </w:t>
      </w:r>
      <w:r w:rsidRPr="00422380">
        <w:rPr>
          <w:lang w:val="en-US"/>
        </w:rPr>
        <w:t xml:space="preserve">because of her </w:t>
      </w:r>
      <w:r w:rsidRPr="00422380">
        <w:t xml:space="preserve">inability to go into the </w:t>
      </w:r>
      <w:r w:rsidR="005215E2" w:rsidRPr="00422380">
        <w:t>classroom</w:t>
      </w:r>
      <w:r w:rsidRPr="00422380">
        <w:t>.</w:t>
      </w:r>
      <w:r w:rsidR="005215E2" w:rsidRPr="00422380">
        <w:t xml:space="preserve"> </w:t>
      </w:r>
      <w:r w:rsidRPr="00422380">
        <w:t xml:space="preserve"> D was therefore outside the scope of the protection provided by </w:t>
      </w:r>
      <w:r w:rsidRPr="00422380">
        <w:rPr>
          <w:lang w:val="en-US"/>
        </w:rPr>
        <w:t>the</w:t>
      </w:r>
      <w:r w:rsidRPr="00422380">
        <w:rPr>
          <w:i/>
          <w:lang w:val="en-US"/>
        </w:rPr>
        <w:t xml:space="preserve"> Act</w:t>
      </w:r>
      <w:r w:rsidRPr="00422380">
        <w:t>.  On judicial review, the Superior Court found the CLP decision to be reasonable</w:t>
      </w:r>
      <w:r w:rsidR="00711C4C" w:rsidRPr="00422380">
        <w:t xml:space="preserve">.  </w:t>
      </w:r>
      <w:r w:rsidRPr="00422380">
        <w:t>A majority in the Quebec Court of Appeal agreed with the Superior Court.</w:t>
      </w:r>
    </w:p>
    <w:p w:rsidR="00FE2B95" w:rsidRPr="00422380" w:rsidRDefault="00FE2B95" w:rsidP="007D4186">
      <w:pPr>
        <w:pStyle w:val="SCCNormalDoubleSpacing"/>
        <w:spacing w:after="480"/>
      </w:pPr>
      <w:r w:rsidRPr="00422380">
        <w:lastRenderedPageBreak/>
        <w:tab/>
      </w:r>
      <w:r w:rsidRPr="00422380">
        <w:rPr>
          <w:rStyle w:val="QuoteChar"/>
          <w:color w:val="auto"/>
          <w:lang w:val="en-CA"/>
        </w:rPr>
        <w:t>Held</w:t>
      </w:r>
      <w:r w:rsidRPr="00422380">
        <w:rPr>
          <w:rStyle w:val="QuoteChar"/>
          <w:i w:val="0"/>
          <w:color w:val="auto"/>
          <w:lang w:val="en-CA"/>
        </w:rPr>
        <w:t>:</w:t>
      </w:r>
      <w:r w:rsidRPr="00422380">
        <w:t xml:space="preserve">  The appeal should be allowed.</w:t>
      </w:r>
    </w:p>
    <w:p w:rsidR="00FE2B95" w:rsidRPr="00422380" w:rsidRDefault="00FE2B95" w:rsidP="007D4186">
      <w:pPr>
        <w:pStyle w:val="SCCNormalDoubleSpacing"/>
        <w:spacing w:after="480"/>
      </w:pPr>
      <w:r w:rsidRPr="00422380">
        <w:tab/>
        <w:t xml:space="preserve">The purpose of the </w:t>
      </w:r>
      <w:r w:rsidRPr="00422380">
        <w:rPr>
          <w:i/>
          <w:lang w:val="en-US"/>
        </w:rPr>
        <w:t>Act respecting occupational health and safety</w:t>
      </w:r>
      <w:r w:rsidRPr="00422380">
        <w:t xml:space="preserve"> is to ensure the health and safety of workers by protecting them from workplace dangers.  Under the statutory scheme,</w:t>
      </w:r>
      <w:r w:rsidRPr="00422380">
        <w:rPr>
          <w:lang w:val="en-US"/>
        </w:rPr>
        <w:t xml:space="preserve"> </w:t>
      </w:r>
      <w:r w:rsidRPr="00422380">
        <w:t xml:space="preserve">when a worker relies on the right to refuse unsafe work, </w:t>
      </w:r>
      <w:r w:rsidRPr="00422380">
        <w:rPr>
          <w:lang w:val="en-US"/>
        </w:rPr>
        <w:t>a</w:t>
      </w:r>
      <w:proofErr w:type="spellStart"/>
      <w:r w:rsidRPr="00422380">
        <w:t>ny</w:t>
      </w:r>
      <w:proofErr w:type="spellEnd"/>
      <w:r w:rsidRPr="00422380">
        <w:t xml:space="preserve"> new assignments or temporary withdrawal from the workplace are not seen as an absence from work, they are deemed to be a substitute for the work that the employee would ordinarily be expected to perform but for the danger</w:t>
      </w:r>
      <w:r w:rsidR="00711C4C" w:rsidRPr="00422380">
        <w:t xml:space="preserve">.  </w:t>
      </w:r>
      <w:r w:rsidRPr="00422380">
        <w:t xml:space="preserve">A refusal to perform unsafe work is not a refusal to fulfill the employment </w:t>
      </w:r>
      <w:proofErr w:type="gramStart"/>
      <w:r w:rsidRPr="00422380">
        <w:t>contract,</w:t>
      </w:r>
      <w:proofErr w:type="gramEnd"/>
      <w:r w:rsidRPr="00422380">
        <w:t xml:space="preserve"> it is the exercise of </w:t>
      </w:r>
      <w:r w:rsidR="005215E2" w:rsidRPr="00422380">
        <w:t>a</w:t>
      </w:r>
      <w:r w:rsidRPr="00422380">
        <w:t xml:space="preserve"> legislated right.  Workers are thereby protected from having to choose between job security and their health or safety.  </w:t>
      </w:r>
    </w:p>
    <w:p w:rsidR="00FE2B95" w:rsidRPr="00422380" w:rsidRDefault="00FE2B95" w:rsidP="007D4186">
      <w:pPr>
        <w:pStyle w:val="SCCNormalDoubleSpacing"/>
        <w:spacing w:after="480"/>
      </w:pPr>
      <w:r w:rsidRPr="00422380">
        <w:tab/>
      </w:r>
      <w:r w:rsidRPr="00422380">
        <w:rPr>
          <w:lang w:val="en-US"/>
        </w:rPr>
        <w:t>L</w:t>
      </w:r>
      <w:proofErr w:type="spellStart"/>
      <w:r w:rsidRPr="00422380">
        <w:t>ike</w:t>
      </w:r>
      <w:proofErr w:type="spellEnd"/>
      <w:r w:rsidRPr="00422380">
        <w:t xml:space="preserve"> any other worker</w:t>
      </w:r>
      <w:r w:rsidR="005215E2" w:rsidRPr="00422380">
        <w:t xml:space="preserve"> </w:t>
      </w:r>
      <w:r w:rsidRPr="00422380">
        <w:t xml:space="preserve">entitled to refuse to do unsafe work, a pregnant worker is deemed by the </w:t>
      </w:r>
      <w:r w:rsidRPr="00422380">
        <w:rPr>
          <w:i/>
        </w:rPr>
        <w:t>Act</w:t>
      </w:r>
      <w:r w:rsidRPr="00422380">
        <w:t xml:space="preserve"> to still be “at work” while on reassignment or Preventive Withdraw</w:t>
      </w:r>
      <w:r w:rsidR="00711C4C" w:rsidRPr="00422380">
        <w:t xml:space="preserve">al. </w:t>
      </w:r>
      <w:r w:rsidR="005215E2" w:rsidRPr="00422380">
        <w:t xml:space="preserve"> </w:t>
      </w:r>
      <w:r w:rsidRPr="00422380">
        <w:t xml:space="preserve">The </w:t>
      </w:r>
      <w:r w:rsidRPr="00422380">
        <w:rPr>
          <w:i/>
        </w:rPr>
        <w:t>Act</w:t>
      </w:r>
      <w:r w:rsidRPr="00422380">
        <w:t xml:space="preserve"> therefore protects pregnant women in two significant ways:</w:t>
      </w:r>
      <w:r w:rsidR="00711C4C" w:rsidRPr="00422380">
        <w:t xml:space="preserve"> </w:t>
      </w:r>
      <w:r w:rsidRPr="00422380">
        <w:t xml:space="preserve"> it protects their health by substituting safe tasks for dangerous ones, and it protects their employment</w:t>
      </w:r>
      <w:r w:rsidRPr="00422380">
        <w:rPr>
          <w:b/>
        </w:rPr>
        <w:t xml:space="preserve"> </w:t>
      </w:r>
      <w:r w:rsidRPr="00422380">
        <w:t>by providing financial and job security.</w:t>
      </w:r>
      <w:r w:rsidR="005215E2" w:rsidRPr="00422380">
        <w:t xml:space="preserve"> </w:t>
      </w:r>
      <w:r w:rsidRPr="00422380">
        <w:t xml:space="preserve"> </w:t>
      </w:r>
      <w:r w:rsidRPr="00422380">
        <w:rPr>
          <w:lang w:val="en-US"/>
        </w:rPr>
        <w:t xml:space="preserve">To confront the discriminatory assumptions which had historically attributed </w:t>
      </w:r>
      <w:r w:rsidR="00711C4C" w:rsidRPr="00422380">
        <w:rPr>
          <w:lang w:val="en-US"/>
        </w:rPr>
        <w:t>incapacity</w:t>
      </w:r>
      <w:r w:rsidRPr="00422380">
        <w:rPr>
          <w:lang w:val="en-US"/>
        </w:rPr>
        <w:t xml:space="preserve"> to work to women who were pregnant, the scheme protects not only their right to work, but to work in a safe environment by deeming them to be as available to work as a non</w:t>
      </w:r>
      <w:r w:rsidR="007D4186">
        <w:rPr>
          <w:lang w:val="en-US"/>
        </w:rPr>
        <w:t>-</w:t>
      </w:r>
      <w:r w:rsidRPr="00422380">
        <w:rPr>
          <w:lang w:val="en-US"/>
        </w:rPr>
        <w:t>pregnant worker.</w:t>
      </w:r>
    </w:p>
    <w:p w:rsidR="00FE2B95" w:rsidRPr="00422380" w:rsidRDefault="00FE2B95" w:rsidP="007D4186">
      <w:pPr>
        <w:pStyle w:val="SCCNormalDoubleSpacing"/>
        <w:spacing w:after="480"/>
        <w:rPr>
          <w:lang w:val="en-US"/>
        </w:rPr>
      </w:pPr>
      <w:r w:rsidRPr="00422380">
        <w:tab/>
        <w:t>A contract was formed when D accepted the School Board</w:t>
      </w:r>
      <w:r w:rsidR="00711C4C" w:rsidRPr="00422380">
        <w:t>’</w:t>
      </w:r>
      <w:r w:rsidRPr="00422380">
        <w:t xml:space="preserve">s </w:t>
      </w:r>
      <w:proofErr w:type="gramStart"/>
      <w:r w:rsidRPr="00422380">
        <w:t>offer to supply teach</w:t>
      </w:r>
      <w:proofErr w:type="gramEnd"/>
      <w:r w:rsidRPr="00422380">
        <w:t xml:space="preserve"> and therefore became a “worker” in ac</w:t>
      </w:r>
      <w:r w:rsidR="005215E2" w:rsidRPr="00422380">
        <w:t>cordance with the definition in</w:t>
      </w:r>
      <w:r w:rsidRPr="00422380">
        <w:t xml:space="preserve"> the </w:t>
      </w:r>
      <w:r w:rsidRPr="00422380">
        <w:rPr>
          <w:i/>
        </w:rPr>
        <w:t>Act</w:t>
      </w:r>
      <w:r w:rsidRPr="00422380">
        <w:t xml:space="preserve">. </w:t>
      </w:r>
      <w:r w:rsidRPr="00422380">
        <w:rPr>
          <w:lang w:val="en-US"/>
        </w:rPr>
        <w:t xml:space="preserve"> </w:t>
      </w:r>
      <w:r w:rsidRPr="00422380">
        <w:t xml:space="preserve">The legislated right of a pregnant worker to withdraw from an unsafe workplace </w:t>
      </w:r>
      <w:r w:rsidRPr="00422380">
        <w:lastRenderedPageBreak/>
        <w:t xml:space="preserve">cannot be used to conclude that her Preventive Withdrawal negates the formation of the contract of employment. </w:t>
      </w:r>
      <w:r w:rsidRPr="00422380">
        <w:rPr>
          <w:lang w:val="en-US"/>
        </w:rPr>
        <w:t xml:space="preserve"> </w:t>
      </w:r>
      <w:r w:rsidRPr="00422380">
        <w:t>D</w:t>
      </w:r>
      <w:r w:rsidR="00711C4C" w:rsidRPr="00422380">
        <w:t>’</w:t>
      </w:r>
      <w:r w:rsidRPr="00422380">
        <w:t xml:space="preserve">s pregnancy was not an incapacity that prevented her from performing the </w:t>
      </w:r>
      <w:proofErr w:type="gramStart"/>
      <w:r w:rsidRPr="00422380">
        <w:t>work,</w:t>
      </w:r>
      <w:proofErr w:type="gramEnd"/>
      <w:r w:rsidRPr="00422380">
        <w:t xml:space="preserve"> it was the dangerous workplace</w:t>
      </w:r>
      <w:r w:rsidR="005215E2" w:rsidRPr="00422380">
        <w:t xml:space="preserve"> </w:t>
      </w:r>
      <w:r w:rsidRPr="00422380">
        <w:t xml:space="preserve">that prevented it. </w:t>
      </w:r>
      <w:r w:rsidR="005215E2" w:rsidRPr="00422380">
        <w:t xml:space="preserve"> </w:t>
      </w:r>
      <w:r w:rsidRPr="00422380">
        <w:t>That triggered her statutory right to reassignment or Preventive Withdraw</w:t>
      </w:r>
      <w:r w:rsidR="00711C4C" w:rsidRPr="00422380">
        <w:t xml:space="preserve">al.  </w:t>
      </w:r>
      <w:r w:rsidRPr="00422380">
        <w:t>What prevents the performance of work is the employer</w:t>
      </w:r>
      <w:r w:rsidR="00711C4C" w:rsidRPr="00422380">
        <w:t>’</w:t>
      </w:r>
      <w:r w:rsidRPr="00422380">
        <w:t xml:space="preserve">s inability to provide a safe working alternative, not the pregnancy.  </w:t>
      </w:r>
      <w:r w:rsidRPr="00422380">
        <w:rPr>
          <w:lang w:val="en-US"/>
        </w:rPr>
        <w:t xml:space="preserve">To conclude otherwise negates the objectives of the </w:t>
      </w:r>
      <w:r w:rsidRPr="00422380">
        <w:rPr>
          <w:i/>
          <w:lang w:val="en-US"/>
        </w:rPr>
        <w:t>Act</w:t>
      </w:r>
      <w:r w:rsidRPr="00422380">
        <w:rPr>
          <w:lang w:val="en-US"/>
        </w:rPr>
        <w:t xml:space="preserve"> and penalizes pregnant women for doing precisely what the legislative scheme mandates: avoiding workplace health risks during pregnancy.</w:t>
      </w:r>
    </w:p>
    <w:p w:rsidR="007E1C47" w:rsidRPr="00422380" w:rsidRDefault="002E6705" w:rsidP="007D4186">
      <w:pPr>
        <w:pStyle w:val="SCCNormalDoubleSpacing"/>
        <w:spacing w:after="720" w:line="240" w:lineRule="auto"/>
        <w:rPr>
          <w:b/>
          <w:lang w:val="fr-CA"/>
        </w:rPr>
      </w:pPr>
      <w:r w:rsidRPr="00422380">
        <w:rPr>
          <w:b/>
          <w:lang w:val="fr-CA"/>
        </w:rPr>
        <w:t xml:space="preserve">Cases </w:t>
      </w:r>
      <w:proofErr w:type="spellStart"/>
      <w:r w:rsidRPr="00422380">
        <w:rPr>
          <w:b/>
          <w:lang w:val="fr-CA"/>
        </w:rPr>
        <w:t>Cited</w:t>
      </w:r>
      <w:proofErr w:type="spellEnd"/>
    </w:p>
    <w:p w:rsidR="004E2C26" w:rsidRPr="00422380" w:rsidRDefault="002E6705" w:rsidP="007D4186">
      <w:pPr>
        <w:pStyle w:val="SCCNormalDoubleSpacing"/>
        <w:spacing w:after="480"/>
        <w:rPr>
          <w:lang w:val="fr-CA"/>
        </w:rPr>
      </w:pPr>
      <w:r w:rsidRPr="00422380">
        <w:rPr>
          <w:lang w:val="fr-CA"/>
        </w:rPr>
        <w:tab/>
      </w:r>
      <w:proofErr w:type="spellStart"/>
      <w:r w:rsidR="00160BDE" w:rsidRPr="00422380">
        <w:rPr>
          <w:b/>
          <w:lang w:val="fr-CA"/>
        </w:rPr>
        <w:t>Applied</w:t>
      </w:r>
      <w:proofErr w:type="spellEnd"/>
      <w:proofErr w:type="gramStart"/>
      <w:r w:rsidR="00160BDE" w:rsidRPr="00422380">
        <w:rPr>
          <w:b/>
          <w:lang w:val="fr-CA"/>
        </w:rPr>
        <w:t>:</w:t>
      </w:r>
      <w:r w:rsidR="00160BDE" w:rsidRPr="00422380">
        <w:rPr>
          <w:lang w:val="fr-CA"/>
        </w:rPr>
        <w:t xml:space="preserve">  </w:t>
      </w:r>
      <w:r w:rsidR="00C221A0" w:rsidRPr="00422380">
        <w:rPr>
          <w:i/>
          <w:lang w:val="fr-CA"/>
        </w:rPr>
        <w:t>Bell</w:t>
      </w:r>
      <w:proofErr w:type="gramEnd"/>
      <w:r w:rsidR="00C221A0" w:rsidRPr="00422380">
        <w:rPr>
          <w:i/>
          <w:lang w:val="fr-CA"/>
        </w:rPr>
        <w:t xml:space="preserve"> Canada v. Qu</w:t>
      </w:r>
      <w:r w:rsidR="00322F8E" w:rsidRPr="00422380">
        <w:rPr>
          <w:i/>
          <w:lang w:val="fr-CA"/>
        </w:rPr>
        <w:t>e</w:t>
      </w:r>
      <w:r w:rsidR="00C221A0" w:rsidRPr="00422380">
        <w:rPr>
          <w:i/>
          <w:lang w:val="fr-CA"/>
        </w:rPr>
        <w:t>bec (Commission de la santé et de la sécurité du travail)</w:t>
      </w:r>
      <w:r w:rsidR="00C221A0" w:rsidRPr="00422380">
        <w:rPr>
          <w:lang w:val="fr-CA"/>
        </w:rPr>
        <w:t xml:space="preserve">, [1988] 1 S.C.R. 749; </w:t>
      </w:r>
      <w:proofErr w:type="spellStart"/>
      <w:r w:rsidR="00160BDE" w:rsidRPr="00422380">
        <w:rPr>
          <w:b/>
          <w:lang w:val="fr-CA"/>
        </w:rPr>
        <w:t>referred</w:t>
      </w:r>
      <w:proofErr w:type="spellEnd"/>
      <w:r w:rsidR="00160BDE" w:rsidRPr="00422380">
        <w:rPr>
          <w:b/>
          <w:lang w:val="fr-CA"/>
        </w:rPr>
        <w:t xml:space="preserve"> to:</w:t>
      </w:r>
      <w:r w:rsidR="00160BDE" w:rsidRPr="00422380">
        <w:rPr>
          <w:lang w:val="fr-CA"/>
        </w:rPr>
        <w:t xml:space="preserve">  </w:t>
      </w:r>
      <w:r w:rsidR="00322F8E" w:rsidRPr="00422380">
        <w:rPr>
          <w:i/>
          <w:lang w:val="fr-CA"/>
        </w:rPr>
        <w:t xml:space="preserve">Commission des écoles catholiques de Québec v. </w:t>
      </w:r>
      <w:proofErr w:type="spellStart"/>
      <w:r w:rsidR="00322F8E" w:rsidRPr="00422380">
        <w:rPr>
          <w:i/>
          <w:lang w:val="fr-CA"/>
        </w:rPr>
        <w:t>Gobeil</w:t>
      </w:r>
      <w:proofErr w:type="spellEnd"/>
      <w:r w:rsidR="00C221A0" w:rsidRPr="00422380">
        <w:rPr>
          <w:lang w:val="fr-CA"/>
        </w:rPr>
        <w:t>, [1999] R.J.Q. 1883</w:t>
      </w:r>
      <w:r w:rsidR="009957B6" w:rsidRPr="00422380">
        <w:rPr>
          <w:lang w:val="fr-CA"/>
        </w:rPr>
        <w:t xml:space="preserve">; </w:t>
      </w:r>
      <w:r w:rsidR="009957B6" w:rsidRPr="00422380">
        <w:rPr>
          <w:i/>
          <w:lang w:val="fr-CA"/>
        </w:rPr>
        <w:t>AT &amp; T Cor</w:t>
      </w:r>
      <w:r w:rsidR="00711C4C" w:rsidRPr="00422380">
        <w:rPr>
          <w:i/>
          <w:lang w:val="fr-CA"/>
        </w:rPr>
        <w:t>p.</w:t>
      </w:r>
      <w:r w:rsidR="00BA3666">
        <w:rPr>
          <w:i/>
          <w:lang w:val="fr-CA"/>
        </w:rPr>
        <w:t xml:space="preserve"> v</w:t>
      </w:r>
      <w:r w:rsidR="009957B6" w:rsidRPr="00422380">
        <w:rPr>
          <w:i/>
          <w:lang w:val="fr-CA"/>
        </w:rPr>
        <w:t xml:space="preserve">. </w:t>
      </w:r>
      <w:proofErr w:type="spellStart"/>
      <w:r w:rsidR="009957B6" w:rsidRPr="00422380">
        <w:rPr>
          <w:i/>
          <w:lang w:val="fr-CA"/>
        </w:rPr>
        <w:t>Hulteen</w:t>
      </w:r>
      <w:proofErr w:type="spellEnd"/>
      <w:r w:rsidR="009957B6" w:rsidRPr="00422380">
        <w:rPr>
          <w:lang w:val="fr-CA"/>
        </w:rPr>
        <w:t>, 129 S. Ct. 1962 (2009)</w:t>
      </w:r>
      <w:r w:rsidR="00DD1C41" w:rsidRPr="00422380">
        <w:rPr>
          <w:lang w:val="fr-CA"/>
        </w:rPr>
        <w:t xml:space="preserve">; </w:t>
      </w:r>
      <w:proofErr w:type="spellStart"/>
      <w:r w:rsidR="00DD1C41" w:rsidRPr="00422380">
        <w:rPr>
          <w:i/>
          <w:lang w:val="fr-CA"/>
        </w:rPr>
        <w:t>Cabiakman</w:t>
      </w:r>
      <w:proofErr w:type="spellEnd"/>
      <w:r w:rsidR="00DD1C41" w:rsidRPr="00422380">
        <w:rPr>
          <w:i/>
          <w:lang w:val="fr-CA"/>
        </w:rPr>
        <w:t xml:space="preserve"> v. </w:t>
      </w:r>
      <w:proofErr w:type="spellStart"/>
      <w:r w:rsidR="00DD1C41" w:rsidRPr="00422380">
        <w:rPr>
          <w:i/>
          <w:lang w:val="fr-CA"/>
        </w:rPr>
        <w:t>Industrial</w:t>
      </w:r>
      <w:proofErr w:type="spellEnd"/>
      <w:r w:rsidR="00DD1C41" w:rsidRPr="00422380">
        <w:rPr>
          <w:i/>
          <w:lang w:val="fr-CA"/>
        </w:rPr>
        <w:t xml:space="preserve"> Alliance Life </w:t>
      </w:r>
      <w:proofErr w:type="spellStart"/>
      <w:r w:rsidR="00DD1C41" w:rsidRPr="00422380">
        <w:rPr>
          <w:i/>
          <w:lang w:val="fr-CA"/>
        </w:rPr>
        <w:t>Insurance</w:t>
      </w:r>
      <w:proofErr w:type="spellEnd"/>
      <w:r w:rsidR="00DD1C41" w:rsidRPr="00422380">
        <w:rPr>
          <w:i/>
          <w:lang w:val="fr-CA"/>
        </w:rPr>
        <w:t xml:space="preserve"> Co.</w:t>
      </w:r>
      <w:r w:rsidR="00DD1C41" w:rsidRPr="00422380">
        <w:rPr>
          <w:lang w:val="fr-CA"/>
        </w:rPr>
        <w:t xml:space="preserve">, 2004 SCC 55, [2004] 3 S.C.R. 195; </w:t>
      </w:r>
      <w:r w:rsidR="00DD1C41" w:rsidRPr="00422380">
        <w:rPr>
          <w:i/>
          <w:lang w:val="fr-CA"/>
        </w:rPr>
        <w:t xml:space="preserve">Westmount (City) v. </w:t>
      </w:r>
      <w:proofErr w:type="spellStart"/>
      <w:r w:rsidR="00DD1C41" w:rsidRPr="00422380">
        <w:rPr>
          <w:i/>
          <w:lang w:val="fr-CA"/>
        </w:rPr>
        <w:t>Rossy</w:t>
      </w:r>
      <w:proofErr w:type="spellEnd"/>
      <w:r w:rsidR="00DD1C41" w:rsidRPr="00422380">
        <w:rPr>
          <w:lang w:val="fr-CA"/>
        </w:rPr>
        <w:t>, 2012 SCC 30, [2012] 2 S.C.R. 136</w:t>
      </w:r>
      <w:r w:rsidR="00C221A0" w:rsidRPr="00422380">
        <w:rPr>
          <w:lang w:val="fr-CA"/>
        </w:rPr>
        <w:t>.</w:t>
      </w:r>
    </w:p>
    <w:p w:rsidR="003B215F" w:rsidRPr="00422380" w:rsidRDefault="002E6705" w:rsidP="007D4186">
      <w:pPr>
        <w:pStyle w:val="SCCNormalDoubleSpacing"/>
        <w:spacing w:after="720" w:line="240" w:lineRule="auto"/>
      </w:pPr>
      <w:r w:rsidRPr="00422380">
        <w:rPr>
          <w:b/>
        </w:rPr>
        <w:t>Statutes and Regulations Cite</w:t>
      </w:r>
      <w:r w:rsidR="00A41805" w:rsidRPr="00422380">
        <w:rPr>
          <w:b/>
        </w:rPr>
        <w:t>d</w:t>
      </w:r>
    </w:p>
    <w:p w:rsidR="00F10367" w:rsidRPr="00422380" w:rsidRDefault="00F272AE" w:rsidP="007D4186">
      <w:pPr>
        <w:pStyle w:val="SCCNormalDoubleSpacing"/>
        <w:spacing w:after="240" w:line="240" w:lineRule="auto"/>
        <w:ind w:left="539" w:hanging="539"/>
      </w:pPr>
      <w:r w:rsidRPr="00422380">
        <w:rPr>
          <w:i/>
        </w:rPr>
        <w:t>Act respecting i</w:t>
      </w:r>
      <w:r w:rsidR="00F10367" w:rsidRPr="00422380">
        <w:rPr>
          <w:i/>
        </w:rPr>
        <w:t xml:space="preserve">ndustrial </w:t>
      </w:r>
      <w:r w:rsidRPr="00422380">
        <w:rPr>
          <w:i/>
        </w:rPr>
        <w:t>a</w:t>
      </w:r>
      <w:r w:rsidR="00F10367" w:rsidRPr="00422380">
        <w:rPr>
          <w:i/>
        </w:rPr>
        <w:t xml:space="preserve">ccidents and </w:t>
      </w:r>
      <w:r w:rsidRPr="00422380">
        <w:rPr>
          <w:i/>
        </w:rPr>
        <w:t>o</w:t>
      </w:r>
      <w:r w:rsidR="00F10367" w:rsidRPr="00422380">
        <w:rPr>
          <w:i/>
        </w:rPr>
        <w:t xml:space="preserve">ccupational </w:t>
      </w:r>
      <w:r w:rsidRPr="00422380">
        <w:rPr>
          <w:i/>
        </w:rPr>
        <w:t>d</w:t>
      </w:r>
      <w:r w:rsidR="00F10367" w:rsidRPr="00422380">
        <w:rPr>
          <w:i/>
        </w:rPr>
        <w:t>iseases</w:t>
      </w:r>
      <w:r w:rsidR="00F10367" w:rsidRPr="00422380">
        <w:t>, CQLR</w:t>
      </w:r>
      <w:r w:rsidR="00BC1BFB" w:rsidRPr="00422380">
        <w:t>,</w:t>
      </w:r>
      <w:r w:rsidR="00F10367" w:rsidRPr="00422380">
        <w:t xml:space="preserve"> c. A</w:t>
      </w:r>
      <w:r w:rsidR="007D4186">
        <w:t>-</w:t>
      </w:r>
      <w:r w:rsidR="00F10367" w:rsidRPr="00422380">
        <w:t xml:space="preserve">3.001, </w:t>
      </w:r>
      <w:r w:rsidR="00711C4C" w:rsidRPr="00422380">
        <w:t>ss. </w:t>
      </w:r>
      <w:r w:rsidR="00F10367" w:rsidRPr="00422380">
        <w:t>60, 63 to 76.</w:t>
      </w:r>
    </w:p>
    <w:p w:rsidR="00A149DF" w:rsidRPr="00422380" w:rsidRDefault="00F10367" w:rsidP="007D4186">
      <w:pPr>
        <w:pStyle w:val="SCCNormalDoubleSpacing"/>
        <w:spacing w:after="240" w:line="240" w:lineRule="auto"/>
        <w:ind w:left="539" w:hanging="539"/>
      </w:pPr>
      <w:r w:rsidRPr="00422380">
        <w:rPr>
          <w:i/>
        </w:rPr>
        <w:t xml:space="preserve">Act </w:t>
      </w:r>
      <w:r w:rsidR="00F272AE" w:rsidRPr="00422380">
        <w:rPr>
          <w:i/>
        </w:rPr>
        <w:t>r</w:t>
      </w:r>
      <w:r w:rsidRPr="00422380">
        <w:rPr>
          <w:i/>
        </w:rPr>
        <w:t xml:space="preserve">especting </w:t>
      </w:r>
      <w:r w:rsidR="00F272AE" w:rsidRPr="00422380">
        <w:rPr>
          <w:i/>
        </w:rPr>
        <w:t>o</w:t>
      </w:r>
      <w:r w:rsidRPr="00422380">
        <w:rPr>
          <w:i/>
        </w:rPr>
        <w:t xml:space="preserve">ccupational </w:t>
      </w:r>
      <w:r w:rsidR="00F272AE" w:rsidRPr="00422380">
        <w:rPr>
          <w:i/>
        </w:rPr>
        <w:t>h</w:t>
      </w:r>
      <w:r w:rsidRPr="00422380">
        <w:rPr>
          <w:i/>
        </w:rPr>
        <w:t xml:space="preserve">ealth and </w:t>
      </w:r>
      <w:r w:rsidR="00F272AE" w:rsidRPr="00422380">
        <w:rPr>
          <w:i/>
        </w:rPr>
        <w:t>s</w:t>
      </w:r>
      <w:r w:rsidRPr="00422380">
        <w:rPr>
          <w:i/>
        </w:rPr>
        <w:t>afety</w:t>
      </w:r>
      <w:r w:rsidRPr="00422380">
        <w:t>, CQLR</w:t>
      </w:r>
      <w:r w:rsidR="00BC1BFB" w:rsidRPr="00422380">
        <w:t>,</w:t>
      </w:r>
      <w:r w:rsidRPr="00422380">
        <w:t xml:space="preserve"> c. S</w:t>
      </w:r>
      <w:r w:rsidR="007D4186">
        <w:t>-</w:t>
      </w:r>
      <w:r w:rsidRPr="00422380">
        <w:t xml:space="preserve">2.1, </w:t>
      </w:r>
      <w:r w:rsidR="00711C4C" w:rsidRPr="00422380">
        <w:t>ss. </w:t>
      </w:r>
      <w:r w:rsidR="00C221A0" w:rsidRPr="00422380">
        <w:t xml:space="preserve">1 “worker”, </w:t>
      </w:r>
      <w:r w:rsidRPr="00422380">
        <w:t xml:space="preserve">2, </w:t>
      </w:r>
      <w:r w:rsidR="00C221A0" w:rsidRPr="00422380">
        <w:t xml:space="preserve">4, 11, 12, 14, 30, </w:t>
      </w:r>
      <w:r w:rsidRPr="00422380">
        <w:t>36, 40, 41, 43, 45.</w:t>
      </w:r>
    </w:p>
    <w:p w:rsidR="00C221A0" w:rsidRPr="00422380" w:rsidRDefault="00C221A0" w:rsidP="007D4186">
      <w:pPr>
        <w:pStyle w:val="SCCNormalDoubleSpacing"/>
        <w:spacing w:after="240" w:line="240" w:lineRule="auto"/>
        <w:ind w:left="539" w:hanging="539"/>
      </w:pPr>
      <w:r w:rsidRPr="00422380">
        <w:rPr>
          <w:i/>
        </w:rPr>
        <w:t>Civil Code of Québec</w:t>
      </w:r>
      <w:r w:rsidRPr="00422380">
        <w:t>, pre</w:t>
      </w:r>
      <w:r w:rsidR="004909D5" w:rsidRPr="00422380">
        <w:t>liminary provision</w:t>
      </w:r>
      <w:r w:rsidR="00711C4C" w:rsidRPr="00422380">
        <w:t>, arts. </w:t>
      </w:r>
      <w:proofErr w:type="gramStart"/>
      <w:r w:rsidRPr="00422380">
        <w:t>1385, 2085.</w:t>
      </w:r>
      <w:proofErr w:type="gramEnd"/>
    </w:p>
    <w:p w:rsidR="00C221A0" w:rsidRPr="00422380" w:rsidRDefault="00C221A0" w:rsidP="007D4186">
      <w:pPr>
        <w:pStyle w:val="SCCNormalDoubleSpacing"/>
        <w:spacing w:after="240" w:line="240" w:lineRule="auto"/>
        <w:ind w:left="539" w:hanging="539"/>
      </w:pPr>
      <w:r w:rsidRPr="00422380">
        <w:rPr>
          <w:i/>
        </w:rPr>
        <w:lastRenderedPageBreak/>
        <w:t>Interpretation Act</w:t>
      </w:r>
      <w:r w:rsidRPr="00422380">
        <w:t>, CQLR</w:t>
      </w:r>
      <w:r w:rsidR="00BC1BFB" w:rsidRPr="00422380">
        <w:t>,</w:t>
      </w:r>
      <w:r w:rsidRPr="00422380">
        <w:t xml:space="preserve"> c.</w:t>
      </w:r>
      <w:r w:rsidR="00711C4C" w:rsidRPr="00422380">
        <w:t> </w:t>
      </w:r>
      <w:r w:rsidRPr="00422380">
        <w:t>I</w:t>
      </w:r>
      <w:r w:rsidR="007D4186">
        <w:t>-</w:t>
      </w:r>
      <w:r w:rsidRPr="00422380">
        <w:t>16,</w:t>
      </w:r>
      <w:r w:rsidR="00711C4C" w:rsidRPr="00422380">
        <w:t xml:space="preserve"> s. </w:t>
      </w:r>
      <w:r w:rsidRPr="00422380">
        <w:t>41.</w:t>
      </w:r>
    </w:p>
    <w:p w:rsidR="00F10367" w:rsidRPr="00422380" w:rsidRDefault="00F10367" w:rsidP="007D4186">
      <w:pPr>
        <w:pStyle w:val="SCCNormalDoubleSpacing"/>
        <w:spacing w:after="720" w:line="240" w:lineRule="auto"/>
        <w:ind w:left="540" w:hanging="540"/>
      </w:pPr>
      <w:r w:rsidRPr="00422380">
        <w:rPr>
          <w:i/>
        </w:rPr>
        <w:t>Regulation respecting the certificate issued for the preventive withdrawal and re</w:t>
      </w:r>
      <w:r w:rsidR="007D4186">
        <w:rPr>
          <w:i/>
        </w:rPr>
        <w:t>-</w:t>
      </w:r>
      <w:r w:rsidRPr="00422380">
        <w:rPr>
          <w:i/>
        </w:rPr>
        <w:t>assignment of a pregnant or breast</w:t>
      </w:r>
      <w:r w:rsidR="007D4186">
        <w:rPr>
          <w:i/>
        </w:rPr>
        <w:t>-</w:t>
      </w:r>
      <w:r w:rsidRPr="00422380">
        <w:rPr>
          <w:i/>
        </w:rPr>
        <w:t>feeding worker</w:t>
      </w:r>
      <w:r w:rsidRPr="00422380">
        <w:t>, CQLR</w:t>
      </w:r>
      <w:r w:rsidR="00BC1BFB" w:rsidRPr="00422380">
        <w:t>,</w:t>
      </w:r>
      <w:r w:rsidRPr="00422380">
        <w:t xml:space="preserve"> c. S</w:t>
      </w:r>
      <w:r w:rsidR="007D4186">
        <w:t>-</w:t>
      </w:r>
      <w:r w:rsidRPr="00422380">
        <w:t>2.1, r. 3.</w:t>
      </w:r>
    </w:p>
    <w:p w:rsidR="002E6705" w:rsidRPr="00422380" w:rsidRDefault="002E6705" w:rsidP="007D4186">
      <w:pPr>
        <w:pStyle w:val="SCCNormalDoubleSpacing"/>
        <w:spacing w:after="720" w:line="240" w:lineRule="auto"/>
        <w:rPr>
          <w:b/>
          <w:lang w:val="fr-CA"/>
        </w:rPr>
      </w:pPr>
      <w:proofErr w:type="spellStart"/>
      <w:r w:rsidRPr="00422380">
        <w:rPr>
          <w:b/>
          <w:lang w:val="fr-CA"/>
        </w:rPr>
        <w:t>Authors</w:t>
      </w:r>
      <w:proofErr w:type="spellEnd"/>
      <w:r w:rsidRPr="00422380">
        <w:rPr>
          <w:b/>
          <w:lang w:val="fr-CA"/>
        </w:rPr>
        <w:t xml:space="preserve"> </w:t>
      </w:r>
      <w:proofErr w:type="spellStart"/>
      <w:r w:rsidRPr="00422380">
        <w:rPr>
          <w:b/>
          <w:lang w:val="fr-CA"/>
        </w:rPr>
        <w:t>Cited</w:t>
      </w:r>
      <w:proofErr w:type="spellEnd"/>
    </w:p>
    <w:p w:rsidR="00A149DF" w:rsidRPr="00422380" w:rsidRDefault="00F10367" w:rsidP="007D4186">
      <w:pPr>
        <w:pStyle w:val="SCCNormalDoubleSpacing"/>
        <w:spacing w:after="240" w:line="240" w:lineRule="auto"/>
        <w:ind w:left="539" w:hanging="539"/>
        <w:rPr>
          <w:lang w:val="fr-CA"/>
        </w:rPr>
      </w:pPr>
      <w:r w:rsidRPr="00422380">
        <w:rPr>
          <w:lang w:val="fr-CA"/>
        </w:rPr>
        <w:t xml:space="preserve">Cliche, </w:t>
      </w:r>
      <w:r w:rsidR="002E44B1" w:rsidRPr="00422380">
        <w:rPr>
          <w:lang w:val="fr-CA"/>
        </w:rPr>
        <w:t xml:space="preserve">Bernard, Serge Lafontaine et Richard </w:t>
      </w:r>
      <w:proofErr w:type="spellStart"/>
      <w:r w:rsidR="002E44B1" w:rsidRPr="00422380">
        <w:rPr>
          <w:lang w:val="fr-CA"/>
        </w:rPr>
        <w:t>Mailhot</w:t>
      </w:r>
      <w:proofErr w:type="spellEnd"/>
      <w:r w:rsidR="002E44B1" w:rsidRPr="00422380">
        <w:rPr>
          <w:lang w:val="fr-CA"/>
        </w:rPr>
        <w:t xml:space="preserve">.  </w:t>
      </w:r>
      <w:r w:rsidR="002E44B1" w:rsidRPr="00422380">
        <w:rPr>
          <w:i/>
          <w:lang w:val="fr-CA"/>
        </w:rPr>
        <w:t>Traité de droit de la santé et de la sécurité</w:t>
      </w:r>
      <w:r w:rsidR="003055DC" w:rsidRPr="00422380">
        <w:rPr>
          <w:i/>
          <w:lang w:val="fr-CA"/>
        </w:rPr>
        <w:t xml:space="preserve"> au travail</w:t>
      </w:r>
      <w:proofErr w:type="gramStart"/>
      <w:r w:rsidR="002E44B1" w:rsidRPr="00422380">
        <w:rPr>
          <w:i/>
          <w:lang w:val="fr-CA"/>
        </w:rPr>
        <w:t>:</w:t>
      </w:r>
      <w:r w:rsidR="003055DC" w:rsidRPr="00422380">
        <w:rPr>
          <w:i/>
          <w:lang w:val="fr-CA"/>
        </w:rPr>
        <w:t xml:space="preserve"> </w:t>
      </w:r>
      <w:r w:rsidR="00C94EAB" w:rsidRPr="00422380">
        <w:rPr>
          <w:i/>
          <w:lang w:val="fr-CA"/>
        </w:rPr>
        <w:t xml:space="preserve"> L</w:t>
      </w:r>
      <w:r w:rsidR="002E44B1" w:rsidRPr="00422380">
        <w:rPr>
          <w:i/>
          <w:lang w:val="fr-CA"/>
        </w:rPr>
        <w:t>e</w:t>
      </w:r>
      <w:proofErr w:type="gramEnd"/>
      <w:r w:rsidR="002E44B1" w:rsidRPr="00422380">
        <w:rPr>
          <w:i/>
          <w:lang w:val="fr-CA"/>
        </w:rPr>
        <w:t xml:space="preserve"> régime juridique de la prévention des accidents du travail et des maladies professionnelles</w:t>
      </w:r>
      <w:r w:rsidR="002E44B1" w:rsidRPr="00422380">
        <w:rPr>
          <w:lang w:val="fr-CA"/>
        </w:rPr>
        <w:t xml:space="preserve">. </w:t>
      </w:r>
      <w:r w:rsidRPr="00422380">
        <w:rPr>
          <w:lang w:val="fr-CA"/>
        </w:rPr>
        <w:t xml:space="preserve"> </w:t>
      </w:r>
      <w:proofErr w:type="spellStart"/>
      <w:r w:rsidR="002E44B1" w:rsidRPr="00422380">
        <w:rPr>
          <w:lang w:val="fr-CA"/>
        </w:rPr>
        <w:t>Cowansville</w:t>
      </w:r>
      <w:proofErr w:type="spellEnd"/>
      <w:r w:rsidR="002E44B1" w:rsidRPr="00422380">
        <w:rPr>
          <w:lang w:val="fr-CA"/>
        </w:rPr>
        <w:t xml:space="preserve">, </w:t>
      </w:r>
      <w:proofErr w:type="spellStart"/>
      <w:r w:rsidR="002E44B1" w:rsidRPr="00422380">
        <w:rPr>
          <w:lang w:val="fr-CA"/>
        </w:rPr>
        <w:t>Qué</w:t>
      </w:r>
      <w:proofErr w:type="spellEnd"/>
      <w:r w:rsidR="002E44B1" w:rsidRPr="00422380">
        <w:rPr>
          <w:lang w:val="fr-CA"/>
        </w:rPr>
        <w:t>.</w:t>
      </w:r>
      <w:proofErr w:type="gramStart"/>
      <w:r w:rsidR="002E44B1" w:rsidRPr="00422380">
        <w:rPr>
          <w:lang w:val="fr-CA"/>
        </w:rPr>
        <w:t>:  Yvon</w:t>
      </w:r>
      <w:proofErr w:type="gramEnd"/>
      <w:r w:rsidR="002E44B1" w:rsidRPr="00422380">
        <w:rPr>
          <w:lang w:val="fr-CA"/>
        </w:rPr>
        <w:t xml:space="preserve"> Blais, </w:t>
      </w:r>
      <w:r w:rsidRPr="00422380">
        <w:rPr>
          <w:lang w:val="fr-CA"/>
        </w:rPr>
        <w:t>1993.</w:t>
      </w:r>
    </w:p>
    <w:p w:rsidR="00C221A0" w:rsidRPr="00422380" w:rsidRDefault="00C221A0" w:rsidP="007D4186">
      <w:pPr>
        <w:pStyle w:val="SCCNormalDoubleSpacing"/>
        <w:spacing w:after="240" w:line="240" w:lineRule="auto"/>
        <w:ind w:left="539" w:hanging="539"/>
        <w:rPr>
          <w:lang w:val="fr-CA"/>
        </w:rPr>
      </w:pPr>
      <w:r w:rsidRPr="00422380">
        <w:rPr>
          <w:lang w:val="fr-CA"/>
        </w:rPr>
        <w:t xml:space="preserve">Gagnon, </w:t>
      </w:r>
      <w:r w:rsidR="00711C4C" w:rsidRPr="00422380">
        <w:rPr>
          <w:lang w:val="fr-CA"/>
        </w:rPr>
        <w:t>Robert </w:t>
      </w:r>
      <w:r w:rsidR="002E44B1" w:rsidRPr="00422380">
        <w:rPr>
          <w:lang w:val="fr-CA"/>
        </w:rPr>
        <w:t xml:space="preserve">P., </w:t>
      </w:r>
      <w:r w:rsidRPr="00422380">
        <w:rPr>
          <w:lang w:val="fr-CA"/>
        </w:rPr>
        <w:t>L</w:t>
      </w:r>
      <w:r w:rsidR="002E44B1" w:rsidRPr="00422380">
        <w:rPr>
          <w:lang w:val="fr-CA"/>
        </w:rPr>
        <w:t>ouis</w:t>
      </w:r>
      <w:r w:rsidRPr="00422380">
        <w:rPr>
          <w:lang w:val="fr-CA"/>
        </w:rPr>
        <w:t xml:space="preserve"> LeBel et P</w:t>
      </w:r>
      <w:r w:rsidR="002E44B1" w:rsidRPr="00422380">
        <w:rPr>
          <w:lang w:val="fr-CA"/>
        </w:rPr>
        <w:t>ierre</w:t>
      </w:r>
      <w:r w:rsidRPr="00422380">
        <w:rPr>
          <w:lang w:val="fr-CA"/>
        </w:rPr>
        <w:t xml:space="preserve"> Verge</w:t>
      </w:r>
      <w:r w:rsidR="002E44B1" w:rsidRPr="00422380">
        <w:rPr>
          <w:lang w:val="fr-CA"/>
        </w:rPr>
        <w:t xml:space="preserve">. </w:t>
      </w:r>
      <w:r w:rsidRPr="00422380">
        <w:rPr>
          <w:lang w:val="fr-CA"/>
        </w:rPr>
        <w:t xml:space="preserve"> </w:t>
      </w:r>
      <w:r w:rsidRPr="00422380">
        <w:rPr>
          <w:i/>
          <w:lang w:val="fr-CA"/>
        </w:rPr>
        <w:t>Droit du travail</w:t>
      </w:r>
      <w:r w:rsidR="002E44B1" w:rsidRPr="00422380">
        <w:rPr>
          <w:lang w:val="fr-CA"/>
        </w:rPr>
        <w:t>,</w:t>
      </w:r>
      <w:r w:rsidRPr="00422380">
        <w:rPr>
          <w:lang w:val="fr-CA"/>
        </w:rPr>
        <w:t xml:space="preserve"> 2</w:t>
      </w:r>
      <w:r w:rsidR="002E44B1" w:rsidRPr="00422380">
        <w:rPr>
          <w:vertAlign w:val="superscript"/>
          <w:lang w:val="fr-CA"/>
        </w:rPr>
        <w:t>e</w:t>
      </w:r>
      <w:r w:rsidRPr="00422380">
        <w:rPr>
          <w:lang w:val="fr-CA"/>
        </w:rPr>
        <w:t xml:space="preserve"> </w:t>
      </w:r>
      <w:r w:rsidR="002E44B1" w:rsidRPr="00422380">
        <w:rPr>
          <w:lang w:val="fr-CA"/>
        </w:rPr>
        <w:t>é</w:t>
      </w:r>
      <w:r w:rsidRPr="00422380">
        <w:rPr>
          <w:lang w:val="fr-CA"/>
        </w:rPr>
        <w:t>d.</w:t>
      </w:r>
      <w:r w:rsidR="002E44B1" w:rsidRPr="00422380">
        <w:rPr>
          <w:lang w:val="fr-CA"/>
        </w:rPr>
        <w:t xml:space="preserve"> </w:t>
      </w:r>
      <w:r w:rsidRPr="00422380">
        <w:rPr>
          <w:lang w:val="fr-CA"/>
        </w:rPr>
        <w:t xml:space="preserve"> </w:t>
      </w:r>
      <w:r w:rsidR="002E44B1" w:rsidRPr="00422380">
        <w:rPr>
          <w:lang w:val="fr-CA"/>
        </w:rPr>
        <w:t>Sainte</w:t>
      </w:r>
      <w:r w:rsidR="007D4186">
        <w:rPr>
          <w:lang w:val="fr-CA"/>
        </w:rPr>
        <w:t>-</w:t>
      </w:r>
      <w:r w:rsidR="002E44B1" w:rsidRPr="00422380">
        <w:rPr>
          <w:lang w:val="fr-CA"/>
        </w:rPr>
        <w:t xml:space="preserve">Foy, </w:t>
      </w:r>
      <w:proofErr w:type="spellStart"/>
      <w:r w:rsidR="002E44B1" w:rsidRPr="00422380">
        <w:rPr>
          <w:lang w:val="fr-CA"/>
        </w:rPr>
        <w:t>Qué</w:t>
      </w:r>
      <w:proofErr w:type="spellEnd"/>
      <w:r w:rsidR="002E44B1" w:rsidRPr="00422380">
        <w:rPr>
          <w:lang w:val="fr-CA"/>
        </w:rPr>
        <w:t>.</w:t>
      </w:r>
      <w:proofErr w:type="gramStart"/>
      <w:r w:rsidR="002E44B1" w:rsidRPr="00422380">
        <w:rPr>
          <w:lang w:val="fr-CA"/>
        </w:rPr>
        <w:t>:  Presses</w:t>
      </w:r>
      <w:proofErr w:type="gramEnd"/>
      <w:r w:rsidR="002E44B1" w:rsidRPr="00422380">
        <w:rPr>
          <w:lang w:val="fr-CA"/>
        </w:rPr>
        <w:t xml:space="preserve"> de l</w:t>
      </w:r>
      <w:r w:rsidR="00711C4C" w:rsidRPr="00422380">
        <w:rPr>
          <w:lang w:val="fr-CA"/>
        </w:rPr>
        <w:t>’</w:t>
      </w:r>
      <w:r w:rsidR="002E44B1" w:rsidRPr="00422380">
        <w:rPr>
          <w:lang w:val="fr-CA"/>
        </w:rPr>
        <w:t xml:space="preserve">Université Laval, </w:t>
      </w:r>
      <w:r w:rsidRPr="00422380">
        <w:rPr>
          <w:lang w:val="fr-CA"/>
        </w:rPr>
        <w:t>1991.</w:t>
      </w:r>
    </w:p>
    <w:p w:rsidR="00C221A0" w:rsidRPr="00422380" w:rsidRDefault="00C221A0" w:rsidP="007D4186">
      <w:pPr>
        <w:pStyle w:val="SCCNormalDoubleSpacing"/>
        <w:spacing w:after="240" w:line="240" w:lineRule="auto"/>
        <w:ind w:left="539" w:hanging="539"/>
      </w:pPr>
      <w:r w:rsidRPr="00422380">
        <w:rPr>
          <w:lang w:val="fr-CA"/>
        </w:rPr>
        <w:t xml:space="preserve">Lafontaine, </w:t>
      </w:r>
      <w:r w:rsidR="00027EAE" w:rsidRPr="00422380">
        <w:rPr>
          <w:lang w:val="fr-CA"/>
        </w:rPr>
        <w:t>Serge.  “</w:t>
      </w:r>
      <w:r w:rsidRPr="00422380">
        <w:rPr>
          <w:lang w:val="fr-CA"/>
        </w:rPr>
        <w:t>Le retrait préventif de la travailleuse enceinte ou qui allaite</w:t>
      </w:r>
      <w:proofErr w:type="gramStart"/>
      <w:r w:rsidRPr="00422380">
        <w:rPr>
          <w:lang w:val="fr-CA"/>
        </w:rPr>
        <w:t xml:space="preserve">: </w:t>
      </w:r>
      <w:r w:rsidR="00027EAE" w:rsidRPr="00422380">
        <w:rPr>
          <w:lang w:val="fr-CA"/>
        </w:rPr>
        <w:t xml:space="preserve"> </w:t>
      </w:r>
      <w:r w:rsidRPr="00422380">
        <w:rPr>
          <w:lang w:val="fr-CA"/>
        </w:rPr>
        <w:t>qui</w:t>
      </w:r>
      <w:proofErr w:type="gramEnd"/>
      <w:r w:rsidRPr="00422380">
        <w:rPr>
          <w:lang w:val="fr-CA"/>
        </w:rPr>
        <w:t xml:space="preserve"> d</w:t>
      </w:r>
      <w:r w:rsidR="00C94EAB" w:rsidRPr="00422380">
        <w:rPr>
          <w:lang w:val="fr-CA"/>
        </w:rPr>
        <w:t>é</w:t>
      </w:r>
      <w:r w:rsidRPr="00422380">
        <w:rPr>
          <w:lang w:val="fr-CA"/>
        </w:rPr>
        <w:t>cide quoi?</w:t>
      </w:r>
      <w:r w:rsidR="00027EAE" w:rsidRPr="00422380">
        <w:rPr>
          <w:lang w:val="fr-CA"/>
        </w:rPr>
        <w:t>”</w:t>
      </w:r>
      <w:r w:rsidRPr="00422380">
        <w:rPr>
          <w:lang w:val="fr-CA"/>
        </w:rPr>
        <w:t>,</w:t>
      </w:r>
      <w:r w:rsidR="00027EAE" w:rsidRPr="00422380">
        <w:rPr>
          <w:lang w:val="fr-CA"/>
        </w:rPr>
        <w:t xml:space="preserve"> dans</w:t>
      </w:r>
      <w:r w:rsidR="00C94EAB" w:rsidRPr="00422380">
        <w:rPr>
          <w:lang w:val="fr-CA"/>
        </w:rPr>
        <w:t xml:space="preserve"> Service de la formation permanente du Barreau du Québec,</w:t>
      </w:r>
      <w:r w:rsidR="00027EAE" w:rsidRPr="00422380">
        <w:rPr>
          <w:lang w:val="fr-CA"/>
        </w:rPr>
        <w:t xml:space="preserve"> </w:t>
      </w:r>
      <w:r w:rsidR="00027EAE" w:rsidRPr="00422380">
        <w:rPr>
          <w:i/>
          <w:lang w:val="fr-CA"/>
        </w:rPr>
        <w:t>Développements récents en droit du travail</w:t>
      </w:r>
      <w:r w:rsidR="00C94EAB" w:rsidRPr="00422380">
        <w:rPr>
          <w:i/>
          <w:lang w:val="fr-CA"/>
        </w:rPr>
        <w:t xml:space="preserve"> (1991)</w:t>
      </w:r>
      <w:r w:rsidR="00027EAE" w:rsidRPr="00422380">
        <w:rPr>
          <w:lang w:val="fr-CA"/>
        </w:rPr>
        <w:t xml:space="preserve">. </w:t>
      </w:r>
      <w:r w:rsidRPr="00422380">
        <w:rPr>
          <w:lang w:val="fr-CA"/>
        </w:rPr>
        <w:t xml:space="preserve"> </w:t>
      </w:r>
      <w:proofErr w:type="spellStart"/>
      <w:r w:rsidR="00027EAE" w:rsidRPr="00422380">
        <w:t>Cowansville</w:t>
      </w:r>
      <w:proofErr w:type="spellEnd"/>
      <w:r w:rsidR="00027EAE" w:rsidRPr="00422380">
        <w:t xml:space="preserve">, </w:t>
      </w:r>
      <w:proofErr w:type="spellStart"/>
      <w:proofErr w:type="gramStart"/>
      <w:r w:rsidR="00027EAE" w:rsidRPr="00422380">
        <w:t>Qué</w:t>
      </w:r>
      <w:proofErr w:type="spellEnd"/>
      <w:r w:rsidR="00027EAE" w:rsidRPr="00422380">
        <w:t>.:</w:t>
      </w:r>
      <w:proofErr w:type="gramEnd"/>
      <w:r w:rsidR="00027EAE" w:rsidRPr="00422380">
        <w:t xml:space="preserve">  </w:t>
      </w:r>
      <w:proofErr w:type="spellStart"/>
      <w:r w:rsidR="00027EAE" w:rsidRPr="00422380">
        <w:t>Yvon</w:t>
      </w:r>
      <w:proofErr w:type="spellEnd"/>
      <w:r w:rsidR="00027EAE" w:rsidRPr="00422380">
        <w:t xml:space="preserve"> </w:t>
      </w:r>
      <w:proofErr w:type="spellStart"/>
      <w:r w:rsidR="00027EAE" w:rsidRPr="00422380">
        <w:t>Blais</w:t>
      </w:r>
      <w:proofErr w:type="spellEnd"/>
      <w:r w:rsidR="00027EAE" w:rsidRPr="00422380">
        <w:t xml:space="preserve">, </w:t>
      </w:r>
      <w:r w:rsidRPr="00422380">
        <w:t>1991</w:t>
      </w:r>
      <w:r w:rsidR="00027EAE" w:rsidRPr="00422380">
        <w:t>, 133</w:t>
      </w:r>
      <w:r w:rsidRPr="00422380">
        <w:t>.</w:t>
      </w:r>
    </w:p>
    <w:p w:rsidR="00C221A0" w:rsidRPr="00422380" w:rsidRDefault="00C221A0" w:rsidP="007D4186">
      <w:pPr>
        <w:pStyle w:val="SCCNormalDoubleSpacing"/>
        <w:spacing w:after="240" w:line="240" w:lineRule="auto"/>
        <w:ind w:left="539" w:hanging="539"/>
      </w:pPr>
      <w:proofErr w:type="spellStart"/>
      <w:r w:rsidRPr="00422380">
        <w:t>Lippel</w:t>
      </w:r>
      <w:proofErr w:type="spellEnd"/>
      <w:r w:rsidRPr="00422380">
        <w:t xml:space="preserve">, </w:t>
      </w:r>
      <w:r w:rsidR="00027EAE" w:rsidRPr="00422380">
        <w:t xml:space="preserve">Katherine.  </w:t>
      </w:r>
      <w:proofErr w:type="gramStart"/>
      <w:r w:rsidRPr="00422380">
        <w:t>“Preventive Reassignment of Pregnant or Breast</w:t>
      </w:r>
      <w:r w:rsidR="007D4186">
        <w:t>-</w:t>
      </w:r>
      <w:r w:rsidRPr="00422380">
        <w:t xml:space="preserve">Feeding Workers: </w:t>
      </w:r>
      <w:r w:rsidR="00027EAE" w:rsidRPr="00422380">
        <w:t xml:space="preserve"> </w:t>
      </w:r>
      <w:r w:rsidR="009A455C" w:rsidRPr="00422380">
        <w:t>The Qué</w:t>
      </w:r>
      <w:r w:rsidRPr="00422380">
        <w:t>bec Model” (1998)</w:t>
      </w:r>
      <w:r w:rsidR="00027EAE" w:rsidRPr="00422380">
        <w:t>,</w:t>
      </w:r>
      <w:r w:rsidRPr="00422380">
        <w:t xml:space="preserve"> 8 </w:t>
      </w:r>
      <w:r w:rsidRPr="00422380">
        <w:rPr>
          <w:i/>
        </w:rPr>
        <w:t>New Solutions</w:t>
      </w:r>
      <w:r w:rsidRPr="00422380">
        <w:t xml:space="preserve"> 267.</w:t>
      </w:r>
      <w:proofErr w:type="gramEnd"/>
    </w:p>
    <w:p w:rsidR="00C221A0" w:rsidRPr="00422380" w:rsidRDefault="00C221A0" w:rsidP="007D4186">
      <w:pPr>
        <w:pStyle w:val="SCCNormalDoubleSpacing"/>
        <w:spacing w:after="240" w:line="240" w:lineRule="auto"/>
        <w:ind w:left="539" w:hanging="539"/>
      </w:pPr>
      <w:proofErr w:type="gramStart"/>
      <w:r w:rsidRPr="00422380">
        <w:t>Messing</w:t>
      </w:r>
      <w:r w:rsidR="00BF082E" w:rsidRPr="00422380">
        <w:t>, Karen,</w:t>
      </w:r>
      <w:r w:rsidRPr="00422380">
        <w:t xml:space="preserve"> et </w:t>
      </w:r>
      <w:r w:rsidR="00711C4C" w:rsidRPr="00422380">
        <w:t>al.</w:t>
      </w:r>
      <w:proofErr w:type="gramEnd"/>
      <w:r w:rsidR="00711C4C" w:rsidRPr="00422380">
        <w:t> </w:t>
      </w:r>
      <w:r w:rsidRPr="00422380">
        <w:t xml:space="preserve"> </w:t>
      </w:r>
      <w:proofErr w:type="gramStart"/>
      <w:r w:rsidRPr="00422380">
        <w:t>“Equality and Difference in the Workplace:</w:t>
      </w:r>
      <w:r w:rsidR="00543D03" w:rsidRPr="00422380">
        <w:t xml:space="preserve"> </w:t>
      </w:r>
      <w:r w:rsidRPr="00422380">
        <w:t xml:space="preserve"> Physical Job Demands, Occupational Illnesses, and Sex Differences” (2000)</w:t>
      </w:r>
      <w:r w:rsidR="00027EAE" w:rsidRPr="00422380">
        <w:t>,</w:t>
      </w:r>
      <w:r w:rsidRPr="00422380">
        <w:t xml:space="preserve"> 12 </w:t>
      </w:r>
      <w:r w:rsidRPr="00422380">
        <w:rPr>
          <w:i/>
        </w:rPr>
        <w:t>NWSA Journal</w:t>
      </w:r>
      <w:r w:rsidRPr="00422380">
        <w:t xml:space="preserve"> 21.</w:t>
      </w:r>
      <w:proofErr w:type="gramEnd"/>
    </w:p>
    <w:p w:rsidR="00757CA5" w:rsidRPr="009138D8" w:rsidRDefault="00757CA5" w:rsidP="007D4186">
      <w:pPr>
        <w:pStyle w:val="SCCNormalDoubleSpacing"/>
        <w:spacing w:after="240" w:line="240" w:lineRule="auto"/>
        <w:ind w:left="539" w:hanging="539"/>
        <w:rPr>
          <w:lang w:val="en-US"/>
        </w:rPr>
      </w:pPr>
      <w:r w:rsidRPr="00422380">
        <w:rPr>
          <w:lang w:val="fr-CA"/>
        </w:rPr>
        <w:t xml:space="preserve">Morin, Fernand, </w:t>
      </w:r>
      <w:r w:rsidR="00A74236" w:rsidRPr="00422380">
        <w:rPr>
          <w:lang w:val="fr-CA"/>
        </w:rPr>
        <w:t>et autres</w:t>
      </w:r>
      <w:r w:rsidRPr="00422380">
        <w:rPr>
          <w:lang w:val="fr-CA"/>
        </w:rPr>
        <w:t xml:space="preserve">.  </w:t>
      </w:r>
      <w:r w:rsidRPr="00422380">
        <w:rPr>
          <w:i/>
          <w:lang w:val="fr-CA"/>
        </w:rPr>
        <w:t>Le droit de l</w:t>
      </w:r>
      <w:r w:rsidR="00711C4C" w:rsidRPr="00422380">
        <w:rPr>
          <w:i/>
          <w:lang w:val="fr-CA"/>
        </w:rPr>
        <w:t>’</w:t>
      </w:r>
      <w:r w:rsidRPr="00422380">
        <w:rPr>
          <w:i/>
          <w:lang w:val="fr-CA"/>
        </w:rPr>
        <w:t>emploi au Québec</w:t>
      </w:r>
      <w:r w:rsidR="00755DF6">
        <w:rPr>
          <w:lang w:val="fr-CA"/>
        </w:rPr>
        <w:t>,</w:t>
      </w:r>
      <w:r w:rsidRPr="00422380">
        <w:rPr>
          <w:lang w:val="fr-CA"/>
        </w:rPr>
        <w:t xml:space="preserve"> 4</w:t>
      </w:r>
      <w:r w:rsidRPr="00422380">
        <w:rPr>
          <w:vertAlign w:val="superscript"/>
          <w:lang w:val="fr-CA"/>
        </w:rPr>
        <w:t>e</w:t>
      </w:r>
      <w:r w:rsidRPr="00422380">
        <w:rPr>
          <w:lang w:val="fr-CA"/>
        </w:rPr>
        <w:t xml:space="preserve"> éd.  </w:t>
      </w:r>
      <w:r w:rsidRPr="009138D8">
        <w:rPr>
          <w:lang w:val="en-US"/>
        </w:rPr>
        <w:t xml:space="preserve">Montréal:  Wilson &amp; </w:t>
      </w:r>
      <w:proofErr w:type="spellStart"/>
      <w:r w:rsidRPr="009138D8">
        <w:rPr>
          <w:lang w:val="en-US"/>
        </w:rPr>
        <w:t>Lafleur</w:t>
      </w:r>
      <w:proofErr w:type="spellEnd"/>
      <w:r w:rsidRPr="009138D8">
        <w:rPr>
          <w:lang w:val="en-US"/>
        </w:rPr>
        <w:t>, 2010.</w:t>
      </w:r>
    </w:p>
    <w:p w:rsidR="00C221A0" w:rsidRPr="00422380" w:rsidRDefault="00C221A0" w:rsidP="007D4186">
      <w:pPr>
        <w:pStyle w:val="SCCNormalDoubleSpacing"/>
        <w:spacing w:after="240" w:line="240" w:lineRule="auto"/>
        <w:ind w:left="539" w:hanging="539"/>
      </w:pPr>
      <w:proofErr w:type="spellStart"/>
      <w:proofErr w:type="gramStart"/>
      <w:r w:rsidRPr="00422380">
        <w:t>Plante</w:t>
      </w:r>
      <w:proofErr w:type="spellEnd"/>
      <w:r w:rsidR="00543D03" w:rsidRPr="00422380">
        <w:t>,</w:t>
      </w:r>
      <w:r w:rsidRPr="00422380">
        <w:t xml:space="preserve"> </w:t>
      </w:r>
      <w:r w:rsidR="00543D03" w:rsidRPr="00422380">
        <w:t xml:space="preserve">Robert, </w:t>
      </w:r>
      <w:r w:rsidRPr="00422380">
        <w:t xml:space="preserve">and Romaine </w:t>
      </w:r>
      <w:proofErr w:type="spellStart"/>
      <w:r w:rsidRPr="00422380">
        <w:t>Malenfant</w:t>
      </w:r>
      <w:proofErr w:type="spellEnd"/>
      <w:r w:rsidR="00543D03" w:rsidRPr="00422380">
        <w:t>.</w:t>
      </w:r>
      <w:proofErr w:type="gramEnd"/>
      <w:r w:rsidRPr="00422380">
        <w:t xml:space="preserve">  </w:t>
      </w:r>
      <w:proofErr w:type="gramStart"/>
      <w:r w:rsidRPr="00422380">
        <w:t xml:space="preserve">“Reproductive Health and Work: </w:t>
      </w:r>
      <w:r w:rsidR="00543D03" w:rsidRPr="00422380">
        <w:t xml:space="preserve"> </w:t>
      </w:r>
      <w:r w:rsidRPr="00422380">
        <w:t>Different Experiences” (1998)</w:t>
      </w:r>
      <w:r w:rsidR="00027EAE" w:rsidRPr="00422380">
        <w:t>,</w:t>
      </w:r>
      <w:r w:rsidRPr="00422380">
        <w:t xml:space="preserve"> 40 </w:t>
      </w:r>
      <w:r w:rsidRPr="00422380">
        <w:rPr>
          <w:i/>
        </w:rPr>
        <w:t>JOEM</w:t>
      </w:r>
      <w:r w:rsidRPr="00422380">
        <w:t xml:space="preserve"> 964.</w:t>
      </w:r>
      <w:proofErr w:type="gramEnd"/>
    </w:p>
    <w:p w:rsidR="00C221A0" w:rsidRPr="00422380" w:rsidRDefault="00C221A0" w:rsidP="007D4186">
      <w:pPr>
        <w:pStyle w:val="SCCNormalDoubleSpacing"/>
        <w:spacing w:after="240" w:line="240" w:lineRule="auto"/>
        <w:ind w:left="539" w:hanging="539"/>
        <w:rPr>
          <w:lang w:val="fr-CA"/>
        </w:rPr>
      </w:pPr>
      <w:r w:rsidRPr="00422380">
        <w:rPr>
          <w:lang w:val="fr-CA"/>
        </w:rPr>
        <w:t>Qu</w:t>
      </w:r>
      <w:r w:rsidR="00757CA5" w:rsidRPr="00422380">
        <w:rPr>
          <w:lang w:val="fr-CA"/>
        </w:rPr>
        <w:t>e</w:t>
      </w:r>
      <w:r w:rsidRPr="00422380">
        <w:rPr>
          <w:lang w:val="fr-CA"/>
        </w:rPr>
        <w:t xml:space="preserve">bec.  </w:t>
      </w:r>
      <w:r w:rsidR="009A455C" w:rsidRPr="00422380">
        <w:rPr>
          <w:lang w:val="fr-CA"/>
        </w:rPr>
        <w:t>Ministre d</w:t>
      </w:r>
      <w:r w:rsidR="00711C4C" w:rsidRPr="00422380">
        <w:rPr>
          <w:lang w:val="fr-CA"/>
        </w:rPr>
        <w:t>’</w:t>
      </w:r>
      <w:r w:rsidR="009A455C" w:rsidRPr="00422380">
        <w:rPr>
          <w:lang w:val="fr-CA"/>
        </w:rPr>
        <w:t>État au développement soci</w:t>
      </w:r>
      <w:r w:rsidR="00711C4C" w:rsidRPr="00422380">
        <w:rPr>
          <w:lang w:val="fr-CA"/>
        </w:rPr>
        <w:t>al. </w:t>
      </w:r>
      <w:r w:rsidR="009A455C" w:rsidRPr="00422380">
        <w:rPr>
          <w:lang w:val="fr-CA"/>
        </w:rPr>
        <w:t xml:space="preserve"> </w:t>
      </w:r>
      <w:r w:rsidR="009A455C" w:rsidRPr="00422380">
        <w:rPr>
          <w:i/>
          <w:lang w:val="fr-CA"/>
        </w:rPr>
        <w:t>Santé et sécurité au travail</w:t>
      </w:r>
      <w:proofErr w:type="gramStart"/>
      <w:r w:rsidR="009A455C" w:rsidRPr="00422380">
        <w:rPr>
          <w:i/>
          <w:lang w:val="fr-CA"/>
        </w:rPr>
        <w:t xml:space="preserve">:  </w:t>
      </w:r>
      <w:r w:rsidRPr="00422380">
        <w:rPr>
          <w:i/>
          <w:lang w:val="fr-CA"/>
        </w:rPr>
        <w:t>Politique</w:t>
      </w:r>
      <w:proofErr w:type="gramEnd"/>
      <w:r w:rsidRPr="00422380">
        <w:rPr>
          <w:i/>
          <w:lang w:val="fr-CA"/>
        </w:rPr>
        <w:t xml:space="preserve"> québécoise de la santé et de la sécurité des travailleurs</w:t>
      </w:r>
      <w:r w:rsidR="00543D03" w:rsidRPr="00422380">
        <w:rPr>
          <w:lang w:val="fr-CA"/>
        </w:rPr>
        <w:t xml:space="preserve">. </w:t>
      </w:r>
      <w:r w:rsidRPr="00422380">
        <w:rPr>
          <w:lang w:val="fr-CA"/>
        </w:rPr>
        <w:t xml:space="preserve"> </w:t>
      </w:r>
      <w:r w:rsidR="009A455C" w:rsidRPr="00422380">
        <w:rPr>
          <w:lang w:val="fr-CA"/>
        </w:rPr>
        <w:t>Québec</w:t>
      </w:r>
      <w:proofErr w:type="gramStart"/>
      <w:r w:rsidR="009A455C" w:rsidRPr="00422380">
        <w:rPr>
          <w:lang w:val="fr-CA"/>
        </w:rPr>
        <w:t xml:space="preserve">:  </w:t>
      </w:r>
      <w:r w:rsidR="00B00708" w:rsidRPr="00422380">
        <w:rPr>
          <w:lang w:val="fr-CA"/>
        </w:rPr>
        <w:t>Éditeur</w:t>
      </w:r>
      <w:proofErr w:type="gramEnd"/>
      <w:r w:rsidR="00B00708" w:rsidRPr="00422380">
        <w:rPr>
          <w:lang w:val="fr-CA"/>
        </w:rPr>
        <w:t xml:space="preserve"> officiel du Québec</w:t>
      </w:r>
      <w:r w:rsidR="009A455C" w:rsidRPr="00422380">
        <w:rPr>
          <w:lang w:val="fr-CA"/>
        </w:rPr>
        <w:t xml:space="preserve">, </w:t>
      </w:r>
      <w:r w:rsidRPr="00422380">
        <w:rPr>
          <w:lang w:val="fr-CA"/>
        </w:rPr>
        <w:t>1978.</w:t>
      </w:r>
    </w:p>
    <w:p w:rsidR="00623B29" w:rsidRPr="00422380" w:rsidRDefault="00623B29" w:rsidP="007D4186">
      <w:pPr>
        <w:pStyle w:val="SCCNormalDoubleSpacing"/>
        <w:spacing w:after="720" w:line="240" w:lineRule="auto"/>
        <w:ind w:left="533" w:hanging="533"/>
        <w:rPr>
          <w:lang w:val="fr-CA"/>
        </w:rPr>
      </w:pPr>
      <w:r w:rsidRPr="00422380">
        <w:rPr>
          <w:lang w:val="fr-CA"/>
        </w:rPr>
        <w:t>Trudeau, G</w:t>
      </w:r>
      <w:r w:rsidR="00382A9C" w:rsidRPr="00422380">
        <w:rPr>
          <w:lang w:val="fr-CA"/>
        </w:rPr>
        <w:t>illes</w:t>
      </w:r>
      <w:r w:rsidRPr="00422380">
        <w:rPr>
          <w:lang w:val="fr-CA"/>
        </w:rPr>
        <w:t xml:space="preserve">.  “Aspects constitutionnels du travail salarié”, dans </w:t>
      </w:r>
      <w:r w:rsidR="00B5092C" w:rsidRPr="00422380">
        <w:rPr>
          <w:lang w:val="fr-CA"/>
        </w:rPr>
        <w:t xml:space="preserve">Katherine </w:t>
      </w:r>
      <w:proofErr w:type="spellStart"/>
      <w:r w:rsidR="00B5092C" w:rsidRPr="00422380">
        <w:rPr>
          <w:lang w:val="fr-CA"/>
        </w:rPr>
        <w:t>Lippel</w:t>
      </w:r>
      <w:proofErr w:type="spellEnd"/>
      <w:r w:rsidR="00B5092C" w:rsidRPr="00422380">
        <w:rPr>
          <w:lang w:val="fr-CA"/>
        </w:rPr>
        <w:t xml:space="preserve"> et </w:t>
      </w:r>
      <w:r w:rsidRPr="00422380">
        <w:rPr>
          <w:lang w:val="fr-CA"/>
        </w:rPr>
        <w:t xml:space="preserve">Guylaine Vallée, </w:t>
      </w:r>
      <w:proofErr w:type="spellStart"/>
      <w:proofErr w:type="gramStart"/>
      <w:r w:rsidRPr="00422380">
        <w:rPr>
          <w:lang w:val="fr-CA"/>
        </w:rPr>
        <w:t>dir</w:t>
      </w:r>
      <w:proofErr w:type="spellEnd"/>
      <w:r w:rsidRPr="00422380">
        <w:rPr>
          <w:lang w:val="fr-CA"/>
        </w:rPr>
        <w:t>.,</w:t>
      </w:r>
      <w:proofErr w:type="gramEnd"/>
      <w:r w:rsidRPr="00422380">
        <w:rPr>
          <w:lang w:val="fr-CA"/>
        </w:rPr>
        <w:t xml:space="preserve"> </w:t>
      </w:r>
      <w:r w:rsidRPr="00422380">
        <w:rPr>
          <w:i/>
          <w:lang w:val="fr-CA"/>
        </w:rPr>
        <w:t>Rapports individuels et collectifs du travail</w:t>
      </w:r>
      <w:r w:rsidRPr="00422380">
        <w:rPr>
          <w:lang w:val="fr-CA"/>
        </w:rPr>
        <w:t>.  Montréal</w:t>
      </w:r>
      <w:proofErr w:type="gramStart"/>
      <w:r w:rsidRPr="00422380">
        <w:rPr>
          <w:lang w:val="fr-CA"/>
        </w:rPr>
        <w:t>:  LexisNexis</w:t>
      </w:r>
      <w:proofErr w:type="gramEnd"/>
      <w:r w:rsidRPr="00422380">
        <w:rPr>
          <w:lang w:val="fr-CA"/>
        </w:rPr>
        <w:t>, 2009</w:t>
      </w:r>
      <w:r w:rsidR="00B27AF0" w:rsidRPr="00422380">
        <w:rPr>
          <w:lang w:val="fr-CA"/>
        </w:rPr>
        <w:t>, 1/1</w:t>
      </w:r>
      <w:r w:rsidRPr="00422380">
        <w:rPr>
          <w:lang w:val="fr-CA"/>
        </w:rPr>
        <w:t xml:space="preserve"> (feuilles mobiles mises à jour </w:t>
      </w:r>
      <w:r w:rsidR="00B5092C" w:rsidRPr="00422380">
        <w:rPr>
          <w:lang w:val="fr-CA"/>
        </w:rPr>
        <w:t xml:space="preserve">mars </w:t>
      </w:r>
      <w:r w:rsidRPr="00422380">
        <w:rPr>
          <w:lang w:val="fr-CA"/>
        </w:rPr>
        <w:t>2013, envoi n</w:t>
      </w:r>
      <w:r w:rsidRPr="00422380">
        <w:rPr>
          <w:vertAlign w:val="superscript"/>
          <w:lang w:val="fr-CA"/>
        </w:rPr>
        <w:t>o</w:t>
      </w:r>
      <w:r w:rsidRPr="00422380">
        <w:rPr>
          <w:lang w:val="fr-CA"/>
        </w:rPr>
        <w:t xml:space="preserve"> 6).</w:t>
      </w:r>
    </w:p>
    <w:p w:rsidR="00842A91" w:rsidRPr="00422380" w:rsidRDefault="004C443A" w:rsidP="007D4186">
      <w:pPr>
        <w:pStyle w:val="SCCNormalDoubleSpacing"/>
        <w:spacing w:after="480"/>
      </w:pPr>
      <w:r w:rsidRPr="00422380">
        <w:rPr>
          <w:lang w:val="fr-CA"/>
        </w:rPr>
        <w:tab/>
      </w:r>
      <w:r w:rsidR="009B57B3" w:rsidRPr="00422380">
        <w:t xml:space="preserve">APPEAL from a judgment of the </w:t>
      </w:r>
      <w:r w:rsidRPr="00422380">
        <w:t xml:space="preserve">Quebec </w:t>
      </w:r>
      <w:r w:rsidR="009B57B3" w:rsidRPr="00422380">
        <w:t>Court of Appea</w:t>
      </w:r>
      <w:r w:rsidR="00D745B3" w:rsidRPr="00422380">
        <w:t>l (</w:t>
      </w:r>
      <w:proofErr w:type="spellStart"/>
      <w:r w:rsidR="00D745B3" w:rsidRPr="00422380">
        <w:t>Dalphond</w:t>
      </w:r>
      <w:proofErr w:type="spellEnd"/>
      <w:r w:rsidR="00D745B3" w:rsidRPr="00422380">
        <w:t>, Giroux and Wagner </w:t>
      </w:r>
      <w:r w:rsidR="00842A91" w:rsidRPr="00422380">
        <w:t>JJ.</w:t>
      </w:r>
      <w:r w:rsidR="00445CCE" w:rsidRPr="00422380">
        <w:t>A.</w:t>
      </w:r>
      <w:r w:rsidRPr="00422380">
        <w:t>)</w:t>
      </w:r>
      <w:r w:rsidR="00E47F67" w:rsidRPr="00422380">
        <w:t>,</w:t>
      </w:r>
      <w:r w:rsidR="00842A91" w:rsidRPr="00422380">
        <w:t xml:space="preserve"> 2012 QCCA 609, </w:t>
      </w:r>
      <w:r w:rsidR="0027349B" w:rsidRPr="00422380">
        <w:t>SOQUIJ AZ</w:t>
      </w:r>
      <w:r w:rsidR="007D4186">
        <w:t>-</w:t>
      </w:r>
      <w:r w:rsidR="0027349B" w:rsidRPr="00422380">
        <w:t xml:space="preserve">50844625, </w:t>
      </w:r>
      <w:r w:rsidR="00842A91" w:rsidRPr="00422380">
        <w:t>[2012] J.Q. n</w:t>
      </w:r>
      <w:r w:rsidR="00842A91" w:rsidRPr="00422380">
        <w:rPr>
          <w:vertAlign w:val="superscript"/>
        </w:rPr>
        <w:t>o</w:t>
      </w:r>
      <w:r w:rsidR="00842A91" w:rsidRPr="00422380">
        <w:t xml:space="preserve"> </w:t>
      </w:r>
      <w:r w:rsidR="00842A91" w:rsidRPr="00422380">
        <w:lastRenderedPageBreak/>
        <w:t xml:space="preserve">2984 (QL), 2012 </w:t>
      </w:r>
      <w:proofErr w:type="spellStart"/>
      <w:r w:rsidR="00842A91" w:rsidRPr="00422380">
        <w:t>CarswellQue</w:t>
      </w:r>
      <w:proofErr w:type="spellEnd"/>
      <w:r w:rsidR="00842A91" w:rsidRPr="00422380">
        <w:t xml:space="preserve"> 3214,</w:t>
      </w:r>
      <w:r w:rsidR="00377D58" w:rsidRPr="00422380">
        <w:t xml:space="preserve"> </w:t>
      </w:r>
      <w:r w:rsidR="00431D9A" w:rsidRPr="00422380">
        <w:t xml:space="preserve">affirming a decision of </w:t>
      </w:r>
      <w:proofErr w:type="spellStart"/>
      <w:r w:rsidR="00431D9A" w:rsidRPr="00422380">
        <w:t>Crête</w:t>
      </w:r>
      <w:proofErr w:type="spellEnd"/>
      <w:r w:rsidR="00431D9A" w:rsidRPr="00422380">
        <w:t xml:space="preserve"> J., 2010 QCCS 1550, [2010] C.L.</w:t>
      </w:r>
      <w:r w:rsidR="00711C4C" w:rsidRPr="00422380">
        <w:t>P. </w:t>
      </w:r>
      <w:r w:rsidR="00431D9A" w:rsidRPr="00422380">
        <w:t xml:space="preserve">251, </w:t>
      </w:r>
      <w:r w:rsidR="0027349B" w:rsidRPr="00422380">
        <w:t>SOQUIJ AZ</w:t>
      </w:r>
      <w:r w:rsidR="007D4186">
        <w:t>-</w:t>
      </w:r>
      <w:r w:rsidR="0027349B" w:rsidRPr="00422380">
        <w:t xml:space="preserve">50628222, </w:t>
      </w:r>
      <w:r w:rsidR="00431D9A" w:rsidRPr="00422380">
        <w:t>[2010] J.Q. n</w:t>
      </w:r>
      <w:r w:rsidR="00431D9A" w:rsidRPr="00422380">
        <w:rPr>
          <w:vertAlign w:val="superscript"/>
        </w:rPr>
        <w:t>o</w:t>
      </w:r>
      <w:r w:rsidR="00431D9A" w:rsidRPr="00422380">
        <w:t xml:space="preserve"> 3332</w:t>
      </w:r>
      <w:r w:rsidR="00377D58" w:rsidRPr="00422380">
        <w:t xml:space="preserve"> (QL)</w:t>
      </w:r>
      <w:r w:rsidR="00431D9A" w:rsidRPr="00422380">
        <w:t xml:space="preserve">, </w:t>
      </w:r>
      <w:r w:rsidR="00842A91" w:rsidRPr="00422380">
        <w:t xml:space="preserve">2010 </w:t>
      </w:r>
      <w:proofErr w:type="spellStart"/>
      <w:r w:rsidR="00842A91" w:rsidRPr="00422380">
        <w:t>CarswellQue</w:t>
      </w:r>
      <w:proofErr w:type="spellEnd"/>
      <w:r w:rsidR="00842A91" w:rsidRPr="00422380">
        <w:t xml:space="preserve"> 3470</w:t>
      </w:r>
      <w:r w:rsidR="00C22CF1" w:rsidRPr="00422380">
        <w:t xml:space="preserve">, </w:t>
      </w:r>
      <w:r w:rsidR="006C7410" w:rsidRPr="00422380">
        <w:t xml:space="preserve">dismissing an application for judicial review </w:t>
      </w:r>
      <w:r w:rsidR="002B2AED" w:rsidRPr="00422380">
        <w:t xml:space="preserve">of </w:t>
      </w:r>
      <w:r w:rsidR="006C7410" w:rsidRPr="00422380">
        <w:t xml:space="preserve">a decision of </w:t>
      </w:r>
      <w:r w:rsidR="002B2AED" w:rsidRPr="00422380">
        <w:t xml:space="preserve">the Commission des </w:t>
      </w:r>
      <w:proofErr w:type="spellStart"/>
      <w:r w:rsidR="002B2AED" w:rsidRPr="00422380">
        <w:t>lésions</w:t>
      </w:r>
      <w:proofErr w:type="spellEnd"/>
      <w:r w:rsidR="002B2AED" w:rsidRPr="00422380">
        <w:t xml:space="preserve"> </w:t>
      </w:r>
      <w:proofErr w:type="spellStart"/>
      <w:r w:rsidR="002B2AED" w:rsidRPr="00422380">
        <w:t>professionnelles</w:t>
      </w:r>
      <w:proofErr w:type="spellEnd"/>
      <w:r w:rsidR="002B2AED" w:rsidRPr="00422380">
        <w:t xml:space="preserve">, 2008 QCCLP 3215, </w:t>
      </w:r>
      <w:r w:rsidR="0027349B" w:rsidRPr="00422380">
        <w:t>SOQUIJ AZ</w:t>
      </w:r>
      <w:r w:rsidR="007D4186">
        <w:t>-</w:t>
      </w:r>
      <w:r w:rsidR="0027349B" w:rsidRPr="00422380">
        <w:t xml:space="preserve">50496029, </w:t>
      </w:r>
      <w:r w:rsidR="002B2AED" w:rsidRPr="00422380">
        <w:t xml:space="preserve">2008 LNQCCLP 141 (QL).  </w:t>
      </w:r>
      <w:r w:rsidR="00431D9A" w:rsidRPr="00422380">
        <w:t xml:space="preserve">Appeal </w:t>
      </w:r>
      <w:r w:rsidR="00AD4BFD" w:rsidRPr="00422380">
        <w:t>allowed</w:t>
      </w:r>
      <w:r w:rsidR="002B2AED" w:rsidRPr="00422380">
        <w:t>.</w:t>
      </w:r>
    </w:p>
    <w:p w:rsidR="004F00A5" w:rsidRPr="00326F51" w:rsidRDefault="00E45506" w:rsidP="007D4186">
      <w:pPr>
        <w:pStyle w:val="SCCNormalDoubleSpacing"/>
        <w:spacing w:after="480"/>
      </w:pPr>
      <w:r w:rsidRPr="00422380">
        <w:rPr>
          <w:rStyle w:val="SCCCounselNameChar"/>
        </w:rPr>
        <w:tab/>
      </w:r>
      <w:proofErr w:type="gramStart"/>
      <w:r w:rsidRPr="00326F51">
        <w:rPr>
          <w:rStyle w:val="SCCCounselNameChar"/>
        </w:rPr>
        <w:t>Denis Lavoie</w:t>
      </w:r>
      <w:r w:rsidRPr="00326F51">
        <w:rPr>
          <w:rStyle w:val="SCCCounselSeparatorChar"/>
        </w:rPr>
        <w:t xml:space="preserve">, </w:t>
      </w:r>
      <w:r w:rsidR="00487115" w:rsidRPr="00326F51">
        <w:rPr>
          <w:rStyle w:val="SCCCounselSeparatorChar"/>
          <w:i/>
        </w:rPr>
        <w:t xml:space="preserve">Graciela </w:t>
      </w:r>
      <w:proofErr w:type="spellStart"/>
      <w:r w:rsidR="00487115" w:rsidRPr="00326F51">
        <w:rPr>
          <w:rStyle w:val="SCCCounselSeparatorChar"/>
          <w:i/>
        </w:rPr>
        <w:t>Barrère</w:t>
      </w:r>
      <w:proofErr w:type="spellEnd"/>
      <w:r w:rsidR="00487115" w:rsidRPr="00326F51">
        <w:rPr>
          <w:rStyle w:val="SCCCounselSeparatorChar"/>
        </w:rPr>
        <w:t>,</w:t>
      </w:r>
      <w:r w:rsidR="00487115" w:rsidRPr="00326F51">
        <w:rPr>
          <w:rStyle w:val="SCCCounselSeparatorChar"/>
          <w:i/>
        </w:rPr>
        <w:t xml:space="preserve"> </w:t>
      </w:r>
      <w:r w:rsidRPr="00326F51">
        <w:rPr>
          <w:rStyle w:val="SCCCounselNameChar"/>
        </w:rPr>
        <w:t xml:space="preserve">Pierre </w:t>
      </w:r>
      <w:proofErr w:type="spellStart"/>
      <w:r w:rsidRPr="00326F51">
        <w:rPr>
          <w:rStyle w:val="SCCCounselNameChar"/>
        </w:rPr>
        <w:t>Brun</w:t>
      </w:r>
      <w:proofErr w:type="spellEnd"/>
      <w:r w:rsidRPr="00326F51">
        <w:rPr>
          <w:rStyle w:val="SCCCounselSeparatorChar"/>
        </w:rPr>
        <w:t xml:space="preserve"> and </w:t>
      </w:r>
      <w:r w:rsidR="00487115" w:rsidRPr="00326F51">
        <w:rPr>
          <w:rStyle w:val="SCCCounselSeparatorChar"/>
          <w:i/>
        </w:rPr>
        <w:t xml:space="preserve">Isabelle </w:t>
      </w:r>
      <w:proofErr w:type="spellStart"/>
      <w:r w:rsidR="00487115" w:rsidRPr="00326F51">
        <w:rPr>
          <w:rStyle w:val="SCCCounselSeparatorChar"/>
          <w:i/>
        </w:rPr>
        <w:t>Bolla</w:t>
      </w:r>
      <w:proofErr w:type="spellEnd"/>
      <w:r w:rsidRPr="00326F51">
        <w:rPr>
          <w:rStyle w:val="SCCCounselPartyRoleChar"/>
        </w:rPr>
        <w:t>, for the appellant.</w:t>
      </w:r>
      <w:proofErr w:type="gramEnd"/>
    </w:p>
    <w:p w:rsidR="004F00A5" w:rsidRPr="00326F51" w:rsidRDefault="00E45506" w:rsidP="007D4186">
      <w:pPr>
        <w:pStyle w:val="SCCNormalDoubleSpacing"/>
        <w:spacing w:after="480"/>
      </w:pPr>
      <w:r w:rsidRPr="00326F51">
        <w:rPr>
          <w:rStyle w:val="SCCCounselNameChar"/>
        </w:rPr>
        <w:tab/>
      </w:r>
      <w:proofErr w:type="spellStart"/>
      <w:proofErr w:type="gramStart"/>
      <w:r w:rsidR="00487115" w:rsidRPr="00326F51">
        <w:rPr>
          <w:rStyle w:val="SCCCounselNameChar"/>
        </w:rPr>
        <w:t>Yann</w:t>
      </w:r>
      <w:proofErr w:type="spellEnd"/>
      <w:r w:rsidR="00487115" w:rsidRPr="00326F51">
        <w:rPr>
          <w:rStyle w:val="SCCCounselNameChar"/>
        </w:rPr>
        <w:t xml:space="preserve"> Bernard</w:t>
      </w:r>
      <w:r w:rsidR="00487115" w:rsidRPr="00326F51">
        <w:rPr>
          <w:rStyle w:val="SCCCounselNameChar"/>
          <w:i w:val="0"/>
        </w:rPr>
        <w:t xml:space="preserve">, </w:t>
      </w:r>
      <w:proofErr w:type="spellStart"/>
      <w:r w:rsidRPr="00326F51">
        <w:rPr>
          <w:rStyle w:val="SCCCounselNameChar"/>
        </w:rPr>
        <w:t>Paule</w:t>
      </w:r>
      <w:proofErr w:type="spellEnd"/>
      <w:r w:rsidRPr="00326F51">
        <w:rPr>
          <w:rStyle w:val="SCCCounselNameChar"/>
        </w:rPr>
        <w:t xml:space="preserve"> </w:t>
      </w:r>
      <w:proofErr w:type="spellStart"/>
      <w:r w:rsidRPr="00326F51">
        <w:rPr>
          <w:rStyle w:val="SCCCounselNameChar"/>
        </w:rPr>
        <w:t>Veilleux</w:t>
      </w:r>
      <w:proofErr w:type="spellEnd"/>
      <w:r w:rsidR="009308A2" w:rsidRPr="00326F51">
        <w:rPr>
          <w:rStyle w:val="SCCCounselNameChar"/>
          <w:i w:val="0"/>
        </w:rPr>
        <w:t xml:space="preserve"> and</w:t>
      </w:r>
      <w:r w:rsidR="00487115" w:rsidRPr="00326F51">
        <w:rPr>
          <w:rStyle w:val="SCCCounselNameChar"/>
          <w:i w:val="0"/>
        </w:rPr>
        <w:t xml:space="preserve"> </w:t>
      </w:r>
      <w:r w:rsidR="00487115" w:rsidRPr="00326F51">
        <w:rPr>
          <w:rStyle w:val="SCCCounselNameChar"/>
        </w:rPr>
        <w:t>René Paquette</w:t>
      </w:r>
      <w:r w:rsidRPr="00326F51">
        <w:rPr>
          <w:rStyle w:val="SCCCounselPartyRoleChar"/>
        </w:rPr>
        <w:t>, for the respondent</w:t>
      </w:r>
      <w:r w:rsidR="00487115" w:rsidRPr="00326F51">
        <w:rPr>
          <w:rStyle w:val="SCCCounselPartyRoleChar"/>
        </w:rPr>
        <w:t xml:space="preserve"> Commission </w:t>
      </w:r>
      <w:proofErr w:type="spellStart"/>
      <w:r w:rsidR="00487115" w:rsidRPr="00326F51">
        <w:rPr>
          <w:rStyle w:val="SCCCounselPartyRoleChar"/>
        </w:rPr>
        <w:t>scolaire</w:t>
      </w:r>
      <w:proofErr w:type="spellEnd"/>
      <w:r w:rsidR="00487115" w:rsidRPr="00326F51">
        <w:rPr>
          <w:rStyle w:val="SCCCounselPartyRoleChar"/>
        </w:rPr>
        <w:t xml:space="preserve"> des </w:t>
      </w:r>
      <w:proofErr w:type="spellStart"/>
      <w:r w:rsidR="00487115" w:rsidRPr="00326F51">
        <w:rPr>
          <w:rStyle w:val="SCCCounselPartyRoleChar"/>
        </w:rPr>
        <w:t>Patriotes</w:t>
      </w:r>
      <w:proofErr w:type="spellEnd"/>
      <w:r w:rsidRPr="00326F51">
        <w:rPr>
          <w:rStyle w:val="SCCCounselPartyRoleChar"/>
        </w:rPr>
        <w:t>.</w:t>
      </w:r>
      <w:proofErr w:type="gramEnd"/>
    </w:p>
    <w:p w:rsidR="004F00A5" w:rsidRPr="00422380" w:rsidRDefault="00E45506" w:rsidP="007D4186">
      <w:pPr>
        <w:pStyle w:val="SCCNormalDoubleSpacing"/>
        <w:spacing w:after="480"/>
        <w:rPr>
          <w:lang w:val="fr-CA"/>
        </w:rPr>
      </w:pPr>
      <w:r w:rsidRPr="00326F51">
        <w:rPr>
          <w:rStyle w:val="SCCCounselNameChar"/>
        </w:rPr>
        <w:tab/>
      </w:r>
      <w:r w:rsidRPr="00422380">
        <w:rPr>
          <w:rStyle w:val="SCCCounselNameChar"/>
          <w:lang w:val="fr-CA"/>
        </w:rPr>
        <w:t>Marie</w:t>
      </w:r>
      <w:r w:rsidR="007D4186">
        <w:rPr>
          <w:rStyle w:val="SCCCounselNameChar"/>
          <w:lang w:val="fr-CA"/>
        </w:rPr>
        <w:t>-</w:t>
      </w:r>
      <w:r w:rsidRPr="00422380">
        <w:rPr>
          <w:rStyle w:val="SCCCounselNameChar"/>
          <w:lang w:val="fr-CA"/>
        </w:rPr>
        <w:t>France Bernier</w:t>
      </w:r>
      <w:r w:rsidRPr="00422380">
        <w:rPr>
          <w:rStyle w:val="SCCCounselPartyRoleChar"/>
          <w:lang w:val="fr-CA"/>
        </w:rPr>
        <w:t xml:space="preserve">, for the </w:t>
      </w:r>
      <w:proofErr w:type="spellStart"/>
      <w:r w:rsidRPr="00422380">
        <w:rPr>
          <w:rStyle w:val="SCCCounselPartyRoleChar"/>
          <w:lang w:val="fr-CA"/>
        </w:rPr>
        <w:t>respondent</w:t>
      </w:r>
      <w:proofErr w:type="spellEnd"/>
      <w:r w:rsidR="00487115" w:rsidRPr="00422380">
        <w:rPr>
          <w:rStyle w:val="SCCCounselPartyRoleChar"/>
          <w:lang w:val="fr-CA"/>
        </w:rPr>
        <w:t xml:space="preserve"> Commission des lésions professionnelles</w:t>
      </w:r>
      <w:r w:rsidRPr="00422380">
        <w:rPr>
          <w:rStyle w:val="SCCCounselPartyRoleChar"/>
          <w:lang w:val="fr-CA"/>
        </w:rPr>
        <w:t>.</w:t>
      </w:r>
    </w:p>
    <w:p w:rsidR="004F00A5" w:rsidRPr="00422380" w:rsidRDefault="00487115" w:rsidP="007D4186">
      <w:pPr>
        <w:pStyle w:val="SCCNormalDoubleSpacing"/>
        <w:spacing w:after="480"/>
        <w:rPr>
          <w:lang w:val="fr-CA"/>
        </w:rPr>
      </w:pPr>
      <w:r w:rsidRPr="00422380">
        <w:rPr>
          <w:rStyle w:val="SCCCounselNameChar"/>
          <w:lang w:val="fr-CA"/>
        </w:rPr>
        <w:tab/>
        <w:t>Pierre</w:t>
      </w:r>
      <w:r w:rsidR="007D4186">
        <w:rPr>
          <w:rStyle w:val="SCCCounselNameChar"/>
          <w:lang w:val="fr-CA"/>
        </w:rPr>
        <w:t>-</w:t>
      </w:r>
      <w:r w:rsidR="00E45506" w:rsidRPr="00422380">
        <w:rPr>
          <w:rStyle w:val="SCCCounselNameChar"/>
          <w:lang w:val="fr-CA"/>
        </w:rPr>
        <w:t xml:space="preserve">Michel </w:t>
      </w:r>
      <w:proofErr w:type="spellStart"/>
      <w:r w:rsidR="00E45506" w:rsidRPr="00422380">
        <w:rPr>
          <w:rStyle w:val="SCCCounselNameChar"/>
          <w:lang w:val="fr-CA"/>
        </w:rPr>
        <w:t>Lajeunesse</w:t>
      </w:r>
      <w:proofErr w:type="spellEnd"/>
      <w:r w:rsidR="00E45506" w:rsidRPr="00422380">
        <w:rPr>
          <w:rStyle w:val="SCCCounselSeparatorChar"/>
          <w:lang w:val="fr-CA"/>
        </w:rPr>
        <w:t xml:space="preserve"> and </w:t>
      </w:r>
      <w:r w:rsidR="00E45506" w:rsidRPr="00422380">
        <w:rPr>
          <w:rStyle w:val="SCCCounselNameChar"/>
          <w:lang w:val="fr-CA"/>
        </w:rPr>
        <w:t>Marie</w:t>
      </w:r>
      <w:r w:rsidR="007D4186">
        <w:rPr>
          <w:rStyle w:val="SCCCounselNameChar"/>
          <w:lang w:val="fr-CA"/>
        </w:rPr>
        <w:t>-</w:t>
      </w:r>
      <w:r w:rsidR="00E45506" w:rsidRPr="00422380">
        <w:rPr>
          <w:rStyle w:val="SCCCounselNameChar"/>
          <w:lang w:val="fr-CA"/>
        </w:rPr>
        <w:t xml:space="preserve">Anne </w:t>
      </w:r>
      <w:proofErr w:type="spellStart"/>
      <w:r w:rsidR="00E45506" w:rsidRPr="00422380">
        <w:rPr>
          <w:rStyle w:val="SCCCounselNameChar"/>
          <w:lang w:val="fr-CA"/>
        </w:rPr>
        <w:t>Lecavalier</w:t>
      </w:r>
      <w:proofErr w:type="spellEnd"/>
      <w:r w:rsidR="00E45506" w:rsidRPr="00422380">
        <w:rPr>
          <w:rStyle w:val="SCCCounselPartyRoleChar"/>
          <w:lang w:val="fr-CA"/>
        </w:rPr>
        <w:t xml:space="preserve">, for the </w:t>
      </w:r>
      <w:proofErr w:type="spellStart"/>
      <w:r w:rsidR="00E45506" w:rsidRPr="00422380">
        <w:rPr>
          <w:rStyle w:val="SCCCounselPartyRoleChar"/>
          <w:lang w:val="fr-CA"/>
        </w:rPr>
        <w:t>intervener</w:t>
      </w:r>
      <w:proofErr w:type="spellEnd"/>
      <w:r w:rsidR="00E45506" w:rsidRPr="00422380">
        <w:rPr>
          <w:rStyle w:val="SCCCounselPartyRoleChar"/>
          <w:lang w:val="fr-CA"/>
        </w:rPr>
        <w:t xml:space="preserve"> Commission de la santé et de la sécurité du travail.</w:t>
      </w:r>
    </w:p>
    <w:p w:rsidR="004F00A5" w:rsidRPr="00422380" w:rsidRDefault="00E45506" w:rsidP="007D4186">
      <w:pPr>
        <w:pStyle w:val="SCCNormalDoubleSpacing"/>
        <w:spacing w:after="480"/>
        <w:rPr>
          <w:lang w:val="fr-CA"/>
        </w:rPr>
      </w:pPr>
      <w:r w:rsidRPr="00422380">
        <w:rPr>
          <w:rStyle w:val="SCCCounselNameChar"/>
          <w:lang w:val="fr-CA"/>
        </w:rPr>
        <w:tab/>
        <w:t>Claudine Morin</w:t>
      </w:r>
      <w:r w:rsidRPr="00422380">
        <w:rPr>
          <w:rStyle w:val="SCCCounselSeparatorChar"/>
          <w:lang w:val="fr-CA"/>
        </w:rPr>
        <w:t xml:space="preserve"> and </w:t>
      </w:r>
      <w:r w:rsidRPr="00422380">
        <w:rPr>
          <w:rStyle w:val="SCCCounselNameChar"/>
          <w:lang w:val="fr-CA"/>
        </w:rPr>
        <w:t>Nathalie Léger</w:t>
      </w:r>
      <w:r w:rsidRPr="00422380">
        <w:rPr>
          <w:rStyle w:val="SCCCounselPartyRoleChar"/>
          <w:lang w:val="fr-CA"/>
        </w:rPr>
        <w:t xml:space="preserve">, for the </w:t>
      </w:r>
      <w:proofErr w:type="spellStart"/>
      <w:r w:rsidRPr="00422380">
        <w:rPr>
          <w:rStyle w:val="SCCCounselPartyRoleChar"/>
          <w:lang w:val="fr-CA"/>
        </w:rPr>
        <w:t>intervener</w:t>
      </w:r>
      <w:proofErr w:type="spellEnd"/>
      <w:r w:rsidRPr="00422380">
        <w:rPr>
          <w:rStyle w:val="SCCCounselPartyRoleChar"/>
          <w:lang w:val="fr-CA"/>
        </w:rPr>
        <w:t xml:space="preserve"> Fédération des syndicats de l</w:t>
      </w:r>
      <w:r w:rsidR="00711C4C" w:rsidRPr="00422380">
        <w:rPr>
          <w:rStyle w:val="SCCCounselPartyRoleChar"/>
          <w:lang w:val="fr-CA"/>
        </w:rPr>
        <w:t>’</w:t>
      </w:r>
      <w:r w:rsidRPr="00422380">
        <w:rPr>
          <w:rStyle w:val="SCCCounselPartyRoleChar"/>
          <w:lang w:val="fr-CA"/>
        </w:rPr>
        <w:t>enseignement.</w:t>
      </w:r>
    </w:p>
    <w:p w:rsidR="0074418B" w:rsidRDefault="007D4186" w:rsidP="007D4186">
      <w:pPr>
        <w:pStyle w:val="SCCNormalDoubleSpacing"/>
        <w:spacing w:after="480"/>
        <w:rPr>
          <w:szCs w:val="24"/>
        </w:rPr>
      </w:pPr>
      <w:r w:rsidRPr="00166E4E">
        <w:rPr>
          <w:szCs w:val="24"/>
          <w:lang w:val="fr-CA"/>
        </w:rPr>
        <w:tab/>
      </w:r>
      <w:r w:rsidR="0074418B" w:rsidRPr="003F6C0F">
        <w:rPr>
          <w:szCs w:val="24"/>
        </w:rPr>
        <w:t xml:space="preserve">The judgment of </w:t>
      </w:r>
      <w:r w:rsidR="0074418B">
        <w:rPr>
          <w:szCs w:val="24"/>
        </w:rPr>
        <w:t xml:space="preserve">the Court </w:t>
      </w:r>
      <w:r w:rsidR="0074418B" w:rsidRPr="003F6C0F">
        <w:rPr>
          <w:szCs w:val="24"/>
        </w:rPr>
        <w:t>was delivered by</w:t>
      </w:r>
    </w:p>
    <w:p w:rsidR="0074418B" w:rsidRPr="00A543DC" w:rsidRDefault="00166E4E" w:rsidP="007D4186">
      <w:pPr>
        <w:pStyle w:val="ParaNoNdepar-AltN"/>
        <w:rPr>
          <w:rFonts w:cs="Times New Roman"/>
          <w:lang w:val="en-US"/>
        </w:rPr>
      </w:pPr>
      <w:r w:rsidRPr="00166E4E">
        <w:rPr>
          <w:smallCaps/>
        </w:rPr>
        <w:t>Abella J.</w:t>
      </w:r>
      <w:r w:rsidRPr="00A543DC">
        <w:t xml:space="preserve"> — </w:t>
      </w:r>
      <w:r w:rsidR="0074418B" w:rsidRPr="00A543DC">
        <w:rPr>
          <w:rFonts w:cs="Times New Roman"/>
          <w:lang w:val="en-US"/>
        </w:rPr>
        <w:t>Quebec’s occupational health and safety legislation, together with legislation dealing with</w:t>
      </w:r>
      <w:r w:rsidR="0074418B" w:rsidRPr="00A543DC">
        <w:rPr>
          <w:rFonts w:cs="Times New Roman"/>
          <w:i/>
          <w:lang w:val="en-US"/>
        </w:rPr>
        <w:t xml:space="preserve"> </w:t>
      </w:r>
      <w:r w:rsidR="0074418B" w:rsidRPr="00A543DC">
        <w:rPr>
          <w:rFonts w:cs="Times New Roman"/>
          <w:lang w:val="en-US"/>
        </w:rPr>
        <w:t xml:space="preserve">industrial accidents and illnesses, creates a </w:t>
      </w:r>
      <w:r w:rsidR="0074418B" w:rsidRPr="00A543DC">
        <w:rPr>
          <w:rFonts w:cs="Times New Roman"/>
          <w:lang w:val="en-US"/>
        </w:rPr>
        <w:lastRenderedPageBreak/>
        <w:t>scheme designed to provide financial security when workers are required to withdraw temporarily from the workforce to avoid unsafe work. This appeal involves a pregnant supply teacher whose withdrawal from an unsafe workplace because of risks to herself and her fetus resulted in a tribunal finding that she was thereby</w:t>
      </w:r>
      <w:r w:rsidR="0074418B" w:rsidRPr="00A543DC">
        <w:rPr>
          <w:rFonts w:cs="Times New Roman"/>
          <w:b/>
          <w:lang w:val="en-US"/>
        </w:rPr>
        <w:t xml:space="preserve"> </w:t>
      </w:r>
      <w:r w:rsidR="0074418B" w:rsidRPr="00A543DC">
        <w:rPr>
          <w:rFonts w:cs="Times New Roman"/>
          <w:lang w:val="en-US"/>
        </w:rPr>
        <w:t xml:space="preserve">disentitled to the statutory income replacement benefits. In my view, this finding negates the objectives of the scheme and penalizes pregnant women for doing precisely what the legislative scheme mandates: avoiding workplace health risks during pregnancy. </w:t>
      </w:r>
    </w:p>
    <w:p w:rsidR="0074418B" w:rsidRPr="00A543DC" w:rsidRDefault="0074418B" w:rsidP="007D4186">
      <w:pPr>
        <w:pStyle w:val="TitleTitre-AltT"/>
        <w:rPr>
          <w:rFonts w:cs="Times New Roman"/>
          <w:u w:val="single"/>
        </w:rPr>
      </w:pPr>
      <w:r w:rsidRPr="00A543DC">
        <w:rPr>
          <w:rFonts w:cs="Times New Roman"/>
          <w:u w:val="single"/>
        </w:rPr>
        <w:t>Background</w:t>
      </w:r>
    </w:p>
    <w:p w:rsidR="0074418B" w:rsidRPr="00A543DC" w:rsidRDefault="0074418B" w:rsidP="007D4186">
      <w:pPr>
        <w:pStyle w:val="ParaNoNdepar-AltN"/>
        <w:rPr>
          <w:rFonts w:cs="Times New Roman"/>
        </w:rPr>
      </w:pPr>
      <w:r w:rsidRPr="00A543DC">
        <w:rPr>
          <w:rFonts w:cs="Times New Roman"/>
          <w:i/>
        </w:rPr>
        <w:t>An</w:t>
      </w:r>
      <w:r w:rsidRPr="00A543DC">
        <w:rPr>
          <w:rFonts w:cs="Times New Roman"/>
        </w:rPr>
        <w:t xml:space="preserve"> </w:t>
      </w:r>
      <w:r w:rsidRPr="00A543DC">
        <w:rPr>
          <w:rFonts w:cs="Times New Roman"/>
          <w:i/>
        </w:rPr>
        <w:t>Act respecting occupational health and safety</w:t>
      </w:r>
      <w:r w:rsidRPr="00A543DC">
        <w:rPr>
          <w:rFonts w:cs="Times New Roman"/>
        </w:rPr>
        <w:t>, CQLR, c. S-2.1,</w:t>
      </w:r>
      <w:r w:rsidRPr="00A543DC">
        <w:rPr>
          <w:rFonts w:cs="Times New Roman"/>
          <w:b/>
        </w:rPr>
        <w:t xml:space="preserve"> </w:t>
      </w:r>
      <w:r w:rsidRPr="00A543DC">
        <w:rPr>
          <w:rFonts w:cs="Times New Roman"/>
        </w:rPr>
        <w:t xml:space="preserve">sets out specific health and safety protections for pregnant women whereby they can refuse to perform work under conditions that present a health or safety danger to themselves or their fetus, and to have a reassignment of work to avoid those risks. If that reassignment is not possible, they have the right to stop working and receive income replacement benefits during the pregnancy. </w:t>
      </w:r>
      <w:r w:rsidRPr="00A543DC">
        <w:rPr>
          <w:rFonts w:cs="Times New Roman"/>
          <w:lang w:val="en-US"/>
        </w:rPr>
        <w:t>T</w:t>
      </w:r>
      <w:proofErr w:type="spellStart"/>
      <w:r w:rsidRPr="00A543DC">
        <w:rPr>
          <w:rFonts w:cs="Times New Roman"/>
        </w:rPr>
        <w:t>hese</w:t>
      </w:r>
      <w:proofErr w:type="spellEnd"/>
      <w:r w:rsidRPr="00A543DC">
        <w:rPr>
          <w:rFonts w:cs="Times New Roman"/>
        </w:rPr>
        <w:t xml:space="preserve"> rights are set out in ss. 40 and 41 of the </w:t>
      </w:r>
      <w:r w:rsidRPr="00A543DC">
        <w:rPr>
          <w:rFonts w:cs="Times New Roman"/>
          <w:i/>
          <w:lang w:val="en-US"/>
        </w:rPr>
        <w:t>Act</w:t>
      </w:r>
      <w:r w:rsidRPr="00A543DC">
        <w:rPr>
          <w:rFonts w:cs="Times New Roman"/>
        </w:rPr>
        <w:t>:</w:t>
      </w:r>
    </w:p>
    <w:p w:rsidR="0074418B" w:rsidRPr="00A543DC" w:rsidRDefault="0074418B" w:rsidP="007D4186">
      <w:pPr>
        <w:pStyle w:val="Citation-AltC"/>
      </w:pPr>
      <w:r w:rsidRPr="00A543DC">
        <w:rPr>
          <w:b/>
        </w:rPr>
        <w:t>40.</w:t>
      </w:r>
      <w:r w:rsidRPr="00A543DC">
        <w:t xml:space="preserve"> A pregnant worker who furnishes to her employer a certificate attesting that her working conditions may be physically dangerous to her unborn child, or to herself by reason of her pregnancy, may request to be re-assigned to other duties involving no such danger that she is reasonably capable of performing. </w:t>
      </w:r>
    </w:p>
    <w:p w:rsidR="0074418B" w:rsidRPr="00A543DC" w:rsidRDefault="0074418B" w:rsidP="007D4186">
      <w:pPr>
        <w:pStyle w:val="Citation-AltC"/>
        <w:jc w:val="center"/>
      </w:pPr>
    </w:p>
    <w:p w:rsidR="0074418B" w:rsidRPr="00A543DC" w:rsidRDefault="0074418B" w:rsidP="007D4186">
      <w:pPr>
        <w:pStyle w:val="Citation-AltC"/>
        <w:jc w:val="center"/>
      </w:pPr>
      <w:r w:rsidRPr="00A543DC">
        <w:t>. . .</w:t>
      </w:r>
    </w:p>
    <w:p w:rsidR="0074418B" w:rsidRPr="00A543DC" w:rsidRDefault="0074418B" w:rsidP="007D4186">
      <w:pPr>
        <w:pStyle w:val="Citation-AltC"/>
      </w:pPr>
    </w:p>
    <w:p w:rsidR="0074418B" w:rsidRPr="00A543DC" w:rsidRDefault="0074418B" w:rsidP="007D4186">
      <w:pPr>
        <w:pStyle w:val="Citation-AltC"/>
        <w:rPr>
          <w:lang w:val="en-US"/>
        </w:rPr>
      </w:pPr>
      <w:r w:rsidRPr="00A543DC">
        <w:rPr>
          <w:b/>
          <w:lang w:val="en-US"/>
        </w:rPr>
        <w:t>41.</w:t>
      </w:r>
      <w:r w:rsidRPr="00A543DC">
        <w:rPr>
          <w:lang w:val="en-US"/>
        </w:rPr>
        <w:t xml:space="preserve"> If a requested re-assignment is not made immediately, the pregnant worker may stop working until she is re-assigned or until the date of delivery.</w:t>
      </w:r>
    </w:p>
    <w:p w:rsidR="0074418B" w:rsidRPr="00A543DC" w:rsidRDefault="0074418B" w:rsidP="007D4186">
      <w:pPr>
        <w:pStyle w:val="Citation-AltC"/>
        <w:rPr>
          <w:lang w:val="en-US"/>
        </w:rPr>
      </w:pPr>
    </w:p>
    <w:p w:rsidR="0074418B" w:rsidRPr="00A543DC" w:rsidRDefault="0074418B" w:rsidP="007D4186">
      <w:pPr>
        <w:pStyle w:val="Citation-AltC"/>
        <w:rPr>
          <w:lang w:val="en-US"/>
        </w:rPr>
      </w:pPr>
      <w:r w:rsidRPr="00A543DC">
        <w:rPr>
          <w:lang w:val="en-US"/>
        </w:rPr>
        <w:lastRenderedPageBreak/>
        <w:t xml:space="preserve">“Delivery” means the natural or the lawfully, medically induced end of a pregnancy by childbirth, whether or not the child is viable. </w:t>
      </w:r>
    </w:p>
    <w:p w:rsidR="0074418B" w:rsidRPr="00A543DC" w:rsidRDefault="0074418B" w:rsidP="007D4186">
      <w:pPr>
        <w:pStyle w:val="ParaNoNdepar-AltN"/>
        <w:rPr>
          <w:rFonts w:cs="Times New Roman"/>
        </w:rPr>
      </w:pPr>
      <w:r w:rsidRPr="00A543DC">
        <w:rPr>
          <w:rFonts w:cs="Times New Roman"/>
        </w:rPr>
        <w:t xml:space="preserve">In order to qualify for reassignment, the pregnant worker must present her employer with a Preventive Withdrawal and Reassignment Certificate completed by a doctor confirming the workplace danger. </w:t>
      </w:r>
    </w:p>
    <w:p w:rsidR="0074418B" w:rsidRPr="00A543DC" w:rsidRDefault="0074418B" w:rsidP="007D4186">
      <w:pPr>
        <w:pStyle w:val="ParaNoNdepar-AltN"/>
        <w:rPr>
          <w:rFonts w:cs="Times New Roman"/>
          <w:lang w:val="en-US"/>
        </w:rPr>
      </w:pPr>
      <w:r w:rsidRPr="00A543DC">
        <w:rPr>
          <w:rFonts w:cs="Times New Roman"/>
        </w:rPr>
        <w:t xml:space="preserve">The form and required content of the Certificate are set out in the </w:t>
      </w:r>
      <w:r w:rsidRPr="00A543DC">
        <w:rPr>
          <w:rFonts w:cs="Times New Roman"/>
          <w:i/>
        </w:rPr>
        <w:t>Regulation respecting the certificate issued for the preventive withdrawal and re-assignment of a pregnant or breast-feeding worker</w:t>
      </w:r>
      <w:r w:rsidRPr="00A543DC">
        <w:rPr>
          <w:rFonts w:cs="Times New Roman"/>
        </w:rPr>
        <w:t xml:space="preserve">, CQLR, c. S-2.1, r. 3. In the Certificate, the worker must identify her perceived workplace risks and a physician must confirm which work conditions carry dangers to the worker or her fetus, and whether she is otherwise medically capable of working. </w:t>
      </w:r>
    </w:p>
    <w:p w:rsidR="0074418B" w:rsidRPr="00A543DC" w:rsidRDefault="0074418B" w:rsidP="007D4186">
      <w:pPr>
        <w:pStyle w:val="ParaNoNdepar-AltN"/>
        <w:rPr>
          <w:rFonts w:cs="Times New Roman"/>
        </w:rPr>
      </w:pPr>
      <w:proofErr w:type="spellStart"/>
      <w:r w:rsidRPr="00A543DC">
        <w:rPr>
          <w:rFonts w:cs="Times New Roman"/>
          <w:lang w:val="fr-CA"/>
        </w:rPr>
        <w:t>Notably</w:t>
      </w:r>
      <w:proofErr w:type="spellEnd"/>
      <w:r w:rsidRPr="00A543DC">
        <w:rPr>
          <w:rFonts w:cs="Times New Roman"/>
          <w:lang w:val="fr-CA"/>
        </w:rPr>
        <w:t xml:space="preserve">, a </w:t>
      </w:r>
      <w:proofErr w:type="spellStart"/>
      <w:r w:rsidRPr="00A543DC">
        <w:rPr>
          <w:rFonts w:cs="Times New Roman"/>
          <w:lang w:val="fr-CA"/>
        </w:rPr>
        <w:t>Certificate</w:t>
      </w:r>
      <w:proofErr w:type="spellEnd"/>
      <w:r w:rsidRPr="00A543DC">
        <w:rPr>
          <w:rFonts w:cs="Times New Roman"/>
          <w:lang w:val="fr-CA"/>
        </w:rPr>
        <w:t xml:space="preserve"> </w:t>
      </w:r>
      <w:proofErr w:type="spellStart"/>
      <w:r w:rsidRPr="00A543DC">
        <w:rPr>
          <w:rFonts w:cs="Times New Roman"/>
          <w:lang w:val="fr-CA"/>
        </w:rPr>
        <w:t>automatically</w:t>
      </w:r>
      <w:proofErr w:type="spellEnd"/>
      <w:r w:rsidRPr="00A543DC">
        <w:rPr>
          <w:rFonts w:cs="Times New Roman"/>
          <w:lang w:val="fr-CA"/>
        </w:rPr>
        <w:t xml:space="preserve"> </w:t>
      </w:r>
      <w:proofErr w:type="spellStart"/>
      <w:r w:rsidRPr="00A543DC">
        <w:rPr>
          <w:rFonts w:cs="Times New Roman"/>
          <w:lang w:val="fr-CA"/>
        </w:rPr>
        <w:t>constitutes</w:t>
      </w:r>
      <w:proofErr w:type="spellEnd"/>
      <w:r w:rsidRPr="00A543DC">
        <w:rPr>
          <w:rFonts w:cs="Times New Roman"/>
          <w:lang w:val="fr-CA"/>
        </w:rPr>
        <w:t xml:space="preserve"> an application for </w:t>
      </w:r>
      <w:proofErr w:type="spellStart"/>
      <w:r w:rsidRPr="00A543DC">
        <w:rPr>
          <w:rFonts w:cs="Times New Roman"/>
          <w:lang w:val="fr-CA"/>
        </w:rPr>
        <w:t>reassignment</w:t>
      </w:r>
      <w:proofErr w:type="spellEnd"/>
      <w:r w:rsidRPr="00A543DC">
        <w:rPr>
          <w:rFonts w:cs="Times New Roman"/>
          <w:lang w:val="fr-CA"/>
        </w:rPr>
        <w:t xml:space="preserve"> to a </w:t>
      </w:r>
      <w:proofErr w:type="spellStart"/>
      <w:r w:rsidRPr="00A543DC">
        <w:rPr>
          <w:rFonts w:cs="Times New Roman"/>
          <w:lang w:val="fr-CA"/>
        </w:rPr>
        <w:t>risk</w:t>
      </w:r>
      <w:proofErr w:type="spellEnd"/>
      <w:r w:rsidRPr="00A543DC">
        <w:rPr>
          <w:rFonts w:cs="Times New Roman"/>
          <w:lang w:val="fr-CA"/>
        </w:rPr>
        <w:t xml:space="preserve">-free </w:t>
      </w:r>
      <w:proofErr w:type="spellStart"/>
      <w:r w:rsidRPr="00A543DC">
        <w:rPr>
          <w:rFonts w:cs="Times New Roman"/>
          <w:lang w:val="fr-CA"/>
        </w:rPr>
        <w:t>task</w:t>
      </w:r>
      <w:proofErr w:type="spellEnd"/>
      <w:r w:rsidRPr="00A543DC">
        <w:rPr>
          <w:rFonts w:cs="Times New Roman"/>
          <w:lang w:val="fr-CA"/>
        </w:rPr>
        <w:t xml:space="preserve"> (Bernard Cliche, Serge Lafontaine and Richard </w:t>
      </w:r>
      <w:proofErr w:type="spellStart"/>
      <w:r w:rsidRPr="00A543DC">
        <w:rPr>
          <w:rFonts w:cs="Times New Roman"/>
          <w:lang w:val="fr-CA"/>
        </w:rPr>
        <w:t>Mailhot</w:t>
      </w:r>
      <w:proofErr w:type="spellEnd"/>
      <w:r w:rsidRPr="00A543DC">
        <w:rPr>
          <w:rFonts w:cs="Times New Roman"/>
          <w:lang w:val="fr-CA"/>
        </w:rPr>
        <w:t xml:space="preserve">, </w:t>
      </w:r>
      <w:r w:rsidRPr="00A543DC">
        <w:rPr>
          <w:rFonts w:cs="Times New Roman"/>
          <w:i/>
          <w:lang w:val="fr-CA"/>
        </w:rPr>
        <w:t>Traité de droit de la santé et de la sécurité au travail</w:t>
      </w:r>
      <w:r w:rsidRPr="00A543DC">
        <w:rPr>
          <w:rFonts w:cs="Times New Roman"/>
          <w:lang w:val="fr-CA"/>
        </w:rPr>
        <w:t xml:space="preserve"> (1993), </w:t>
      </w:r>
      <w:proofErr w:type="spellStart"/>
      <w:r w:rsidRPr="00A543DC">
        <w:rPr>
          <w:rFonts w:cs="Times New Roman"/>
          <w:lang w:val="fr-CA"/>
        </w:rPr>
        <w:t>at</w:t>
      </w:r>
      <w:proofErr w:type="spellEnd"/>
      <w:r w:rsidRPr="00A543DC">
        <w:rPr>
          <w:rFonts w:cs="Times New Roman"/>
          <w:lang w:val="fr-CA"/>
        </w:rPr>
        <w:t xml:space="preserve"> pp. 243-44). </w:t>
      </w:r>
      <w:r w:rsidRPr="00A543DC">
        <w:rPr>
          <w:rFonts w:cs="Times New Roman"/>
          <w:lang w:val="en-US"/>
        </w:rPr>
        <w:t>I</w:t>
      </w:r>
      <w:r w:rsidRPr="00A543DC">
        <w:rPr>
          <w:rFonts w:cs="Times New Roman"/>
        </w:rPr>
        <w:t>f the employer cannot or does not reassign the pregnant worker, she can withdraw from work until she can either be reassigned or has given birth.</w:t>
      </w:r>
      <w:r w:rsidRPr="0074418B">
        <w:rPr>
          <w:rStyle w:val="Hyperlink"/>
          <w:vertAlign w:val="superscript"/>
        </w:rPr>
        <w:footnoteReference w:id="1"/>
      </w:r>
      <w:r w:rsidRPr="00A543DC">
        <w:rPr>
          <w:rFonts w:cs="Times New Roman"/>
        </w:rPr>
        <w:t xml:space="preserve">  A worker on Preventive Withdrawal is entitled to full remuneration for her first five working days after stopping work</w:t>
      </w:r>
      <w:r w:rsidRPr="0074418B">
        <w:rPr>
          <w:rStyle w:val="Hyperlink"/>
          <w:vertAlign w:val="superscript"/>
        </w:rPr>
        <w:footnoteReference w:id="2"/>
      </w:r>
      <w:r w:rsidRPr="00A543DC">
        <w:rPr>
          <w:rFonts w:cs="Times New Roman"/>
        </w:rPr>
        <w:t xml:space="preserve"> and thereafter receives 90 percent of her net salary for the days that she would normally have worked but for the health or safety risk.</w:t>
      </w:r>
      <w:r w:rsidRPr="0074418B">
        <w:rPr>
          <w:rStyle w:val="Hyperlink"/>
          <w:vertAlign w:val="superscript"/>
        </w:rPr>
        <w:footnoteReference w:id="3"/>
      </w:r>
      <w:r w:rsidRPr="00A543DC">
        <w:rPr>
          <w:rFonts w:cs="Times New Roman"/>
        </w:rPr>
        <w:t xml:space="preserve"> These benefits </w:t>
      </w:r>
      <w:r w:rsidRPr="00A543DC">
        <w:rPr>
          <w:rFonts w:cs="Times New Roman"/>
        </w:rPr>
        <w:lastRenderedPageBreak/>
        <w:t>are paid out of a fund into which all Quebec employers contribute,</w:t>
      </w:r>
      <w:r w:rsidRPr="0074418B">
        <w:rPr>
          <w:rStyle w:val="Hyperlink"/>
          <w:vertAlign w:val="superscript"/>
        </w:rPr>
        <w:footnoteReference w:id="4"/>
      </w:r>
      <w:r w:rsidRPr="00A543DC">
        <w:rPr>
          <w:rFonts w:cs="Times New Roman"/>
        </w:rPr>
        <w:t xml:space="preserve"> and are calculated based on income earned by the worker during the year before her pregnancy.</w:t>
      </w:r>
      <w:r w:rsidRPr="0074418B">
        <w:rPr>
          <w:rStyle w:val="Hyperlink"/>
          <w:vertAlign w:val="superscript"/>
        </w:rPr>
        <w:footnoteReference w:id="5"/>
      </w:r>
      <w:r w:rsidRPr="00A543DC">
        <w:rPr>
          <w:rFonts w:cs="Times New Roman"/>
        </w:rPr>
        <w:t xml:space="preserve"> During her Preventive Withdrawal, she retains </w:t>
      </w:r>
      <w:r w:rsidRPr="00A543DC">
        <w:rPr>
          <w:rFonts w:cs="Times New Roman"/>
          <w:bCs/>
        </w:rPr>
        <w:t>all the benefits connected with her regular employment</w:t>
      </w:r>
      <w:r w:rsidRPr="00A543DC">
        <w:rPr>
          <w:rFonts w:cs="Times New Roman"/>
        </w:rPr>
        <w:t>.</w:t>
      </w:r>
      <w:r w:rsidRPr="0074418B">
        <w:rPr>
          <w:rStyle w:val="Hyperlink"/>
          <w:vertAlign w:val="superscript"/>
        </w:rPr>
        <w:footnoteReference w:id="6"/>
      </w:r>
      <w:r w:rsidRPr="00A543DC">
        <w:rPr>
          <w:rFonts w:cs="Times New Roman"/>
        </w:rPr>
        <w:t xml:space="preserve"> </w:t>
      </w:r>
    </w:p>
    <w:p w:rsidR="0074418B" w:rsidRPr="00A543DC" w:rsidRDefault="0074418B" w:rsidP="007D4186">
      <w:pPr>
        <w:pStyle w:val="ParaNoNdepar-AltN"/>
        <w:rPr>
          <w:rFonts w:cs="Times New Roman"/>
        </w:rPr>
      </w:pPr>
      <w:r w:rsidRPr="00A543DC">
        <w:rPr>
          <w:rFonts w:eastAsia="Times New Roman" w:cs="Times New Roman"/>
        </w:rPr>
        <w:t xml:space="preserve">Marilyne Dionne earned a bachelor’s degree in </w:t>
      </w:r>
      <w:r w:rsidRPr="00A543DC">
        <w:rPr>
          <w:rFonts w:cs="Times New Roman"/>
        </w:rPr>
        <w:t xml:space="preserve">preschool and elementary </w:t>
      </w:r>
      <w:r w:rsidRPr="00A543DC">
        <w:rPr>
          <w:rFonts w:eastAsia="Times New Roman" w:cs="Times New Roman"/>
        </w:rPr>
        <w:t xml:space="preserve">education in </w:t>
      </w:r>
      <w:r w:rsidRPr="00A543DC">
        <w:rPr>
          <w:rFonts w:cs="Times New Roman"/>
        </w:rPr>
        <w:t xml:space="preserve">December </w:t>
      </w:r>
      <w:r w:rsidRPr="00A543DC">
        <w:rPr>
          <w:rFonts w:eastAsia="Times New Roman" w:cs="Times New Roman"/>
        </w:rPr>
        <w:t>2005</w:t>
      </w:r>
      <w:r w:rsidRPr="00A543DC">
        <w:rPr>
          <w:rFonts w:cs="Times New Roman"/>
        </w:rPr>
        <w:t xml:space="preserve">. In early 2006, she was added to the Commission </w:t>
      </w:r>
      <w:proofErr w:type="spellStart"/>
      <w:r w:rsidRPr="00A543DC">
        <w:rPr>
          <w:rFonts w:cs="Times New Roman"/>
        </w:rPr>
        <w:t>scolaire</w:t>
      </w:r>
      <w:proofErr w:type="spellEnd"/>
      <w:r w:rsidRPr="00A543DC">
        <w:rPr>
          <w:rFonts w:cs="Times New Roman"/>
        </w:rPr>
        <w:t xml:space="preserve"> des </w:t>
      </w:r>
      <w:proofErr w:type="spellStart"/>
      <w:r w:rsidRPr="00A543DC">
        <w:rPr>
          <w:rFonts w:cs="Times New Roman"/>
        </w:rPr>
        <w:t>Patriotes</w:t>
      </w:r>
      <w:proofErr w:type="spellEnd"/>
      <w:r w:rsidRPr="00A543DC">
        <w:rPr>
          <w:rFonts w:cs="Times New Roman"/>
        </w:rPr>
        <w:t xml:space="preserve"> (“School Board”) list of about 500 supply teachers.  The list is maintained pursuant to a collective agreement, which requires the School Board to maintain a list which may be used when replacement teachers are needed.   Another collective agreement sets out the salaries and benefits payable to supply teachers called from the list. Replacements are called by a call centre. Rather than wait for a call, supply teachers occasionally call the centre directly to see if any work is available.  The collective agreement does not oblige the School Board to call any particular teacher from the list, leaving the choice of teacher up to the Board. </w:t>
      </w:r>
    </w:p>
    <w:p w:rsidR="0074418B" w:rsidRPr="00A543DC" w:rsidRDefault="0074418B" w:rsidP="007D4186">
      <w:pPr>
        <w:pStyle w:val="ParaNoNdepar-AltN"/>
        <w:rPr>
          <w:rFonts w:cs="Times New Roman"/>
        </w:rPr>
      </w:pPr>
      <w:r w:rsidRPr="00A543DC">
        <w:rPr>
          <w:rFonts w:cs="Times New Roman"/>
        </w:rPr>
        <w:t xml:space="preserve">Once on the list, Ms. Dionne worked frequently.  She supply taught 88.15 of the 200 school days in the 2005-2006 school </w:t>
      </w:r>
      <w:proofErr w:type="gramStart"/>
      <w:r w:rsidRPr="00A543DC">
        <w:rPr>
          <w:rFonts w:cs="Times New Roman"/>
        </w:rPr>
        <w:t>year</w:t>
      </w:r>
      <w:proofErr w:type="gramEnd"/>
      <w:r w:rsidRPr="00A543DC">
        <w:rPr>
          <w:rFonts w:cs="Times New Roman"/>
        </w:rPr>
        <w:t>, working nearly full-time in 2006.</w:t>
      </w:r>
    </w:p>
    <w:p w:rsidR="0074418B" w:rsidRPr="00A543DC" w:rsidRDefault="0074418B" w:rsidP="007D4186">
      <w:pPr>
        <w:pStyle w:val="ParaNoNdepar-AltN"/>
        <w:rPr>
          <w:rFonts w:cs="Times New Roman"/>
        </w:rPr>
      </w:pPr>
      <w:r w:rsidRPr="00A543DC">
        <w:rPr>
          <w:rFonts w:cs="Times New Roman"/>
        </w:rPr>
        <w:t xml:space="preserve">Ms. Dionne learned she was pregnant on September 24, 2006. She contacted the call centre the following day to inform them that she was pregnant and </w:t>
      </w:r>
      <w:r w:rsidRPr="00A543DC">
        <w:rPr>
          <w:rFonts w:cs="Times New Roman"/>
        </w:rPr>
        <w:lastRenderedPageBreak/>
        <w:t xml:space="preserve">that she was awaiting test results from her doctor in order to determine if she was immunized against certain infectious diseases. </w:t>
      </w:r>
    </w:p>
    <w:p w:rsidR="0074418B" w:rsidRPr="00A543DC" w:rsidRDefault="0074418B" w:rsidP="007D4186">
      <w:pPr>
        <w:pStyle w:val="ParaNoNdepar-AltN"/>
        <w:rPr>
          <w:rFonts w:cs="Times New Roman"/>
        </w:rPr>
      </w:pPr>
      <w:r w:rsidRPr="00A543DC">
        <w:rPr>
          <w:rFonts w:cs="Times New Roman"/>
        </w:rPr>
        <w:t xml:space="preserve">On October 5, 2006, Ms. Dionne learned from her doctor that she was vulnerable to Parvovirus B-19, a contagious virus which can harm the fetus. Because this virus can be spread by groups of children, a classroom posed a risk.  Her doctor completed a Preventive Withdrawal and Reassignment Certificate confirming that her workplace presented a health risk.  Shortly afterwards, her doctor completed a second Certificate confirming that the workplace also put her at risk for exposure to rubella. </w:t>
      </w:r>
    </w:p>
    <w:p w:rsidR="0074418B" w:rsidRPr="00A543DC" w:rsidRDefault="0074418B" w:rsidP="007D4186">
      <w:pPr>
        <w:pStyle w:val="ParaNoNdepar-AltN"/>
        <w:rPr>
          <w:rFonts w:cs="Times New Roman"/>
        </w:rPr>
      </w:pPr>
      <w:r w:rsidRPr="00A543DC">
        <w:rPr>
          <w:rFonts w:cs="Times New Roman"/>
          <w:lang w:val="fr-CA"/>
        </w:rPr>
        <w:t xml:space="preserve">Ms. Dionne gave the </w:t>
      </w:r>
      <w:proofErr w:type="spellStart"/>
      <w:r w:rsidRPr="00A543DC">
        <w:rPr>
          <w:rFonts w:cs="Times New Roman"/>
          <w:lang w:val="fr-CA"/>
        </w:rPr>
        <w:t>Certificates</w:t>
      </w:r>
      <w:proofErr w:type="spellEnd"/>
      <w:r w:rsidRPr="00A543DC">
        <w:rPr>
          <w:rFonts w:cs="Times New Roman"/>
          <w:lang w:val="fr-CA"/>
        </w:rPr>
        <w:t xml:space="preserve"> to the Commission de la santé et de la sécurité du travail.  </w:t>
      </w:r>
      <w:r w:rsidRPr="00A543DC">
        <w:rPr>
          <w:rFonts w:cs="Times New Roman"/>
        </w:rPr>
        <w:t xml:space="preserve">On November 3, 2006, she was informed that if she received a contract, she was eligible for Preventive Withdrawal as part of the “For a Safe Maternity Experience” program. The Commission’s letter stated, in part:  </w:t>
      </w:r>
    </w:p>
    <w:p w:rsidR="0074418B" w:rsidRPr="00A543DC" w:rsidRDefault="0074418B" w:rsidP="007D4186">
      <w:pPr>
        <w:pStyle w:val="Citation-AltC"/>
      </w:pPr>
      <w:r w:rsidRPr="00A543DC">
        <w:rPr>
          <w:sz w:val="20"/>
        </w:rPr>
        <w:t xml:space="preserve">[TRANSLATION] </w:t>
      </w:r>
      <w:r w:rsidRPr="00A543DC">
        <w:t xml:space="preserve">We inform you that you are eligible for the “For a Safe Maternity Experience” program. </w:t>
      </w:r>
    </w:p>
    <w:p w:rsidR="0074418B" w:rsidRPr="00A543DC" w:rsidRDefault="0074418B" w:rsidP="007D4186">
      <w:pPr>
        <w:pStyle w:val="Citation-AltC"/>
      </w:pPr>
    </w:p>
    <w:p w:rsidR="0074418B" w:rsidRPr="00A543DC" w:rsidRDefault="0074418B" w:rsidP="007D4186">
      <w:pPr>
        <w:pStyle w:val="Citation-AltC"/>
      </w:pPr>
      <w:r w:rsidRPr="00A543DC">
        <w:tab/>
        <w:t xml:space="preserve">However, given that you are a contract worker, and in the event your employer is unable to respect the risks identified in the CLSC report, your preventive withdrawal will begin the day when you are called to work by your employer to perform a contract. Your employer must provide us with the date, time and place. </w:t>
      </w:r>
    </w:p>
    <w:p w:rsidR="0074418B" w:rsidRPr="00A543DC" w:rsidRDefault="0074418B" w:rsidP="007D4186">
      <w:pPr>
        <w:pStyle w:val="ParaNoNdepar-AltN"/>
        <w:numPr>
          <w:ilvl w:val="0"/>
          <w:numId w:val="0"/>
        </w:numPr>
        <w:rPr>
          <w:rFonts w:cs="Times New Roman"/>
        </w:rPr>
      </w:pPr>
      <w:r w:rsidRPr="00A543DC">
        <w:rPr>
          <w:rFonts w:cs="Times New Roman"/>
        </w:rPr>
        <w:t xml:space="preserve">Ms. Dionne kept the School Board informed of her medical situation and submitted copies of the Certificates to them. </w:t>
      </w:r>
    </w:p>
    <w:p w:rsidR="0074418B" w:rsidRPr="00A543DC" w:rsidRDefault="0074418B" w:rsidP="007D4186">
      <w:pPr>
        <w:pStyle w:val="ParaNoNdepar-AltN"/>
        <w:rPr>
          <w:rFonts w:cs="Times New Roman"/>
        </w:rPr>
      </w:pPr>
      <w:r w:rsidRPr="00A543DC">
        <w:rPr>
          <w:rFonts w:cs="Times New Roman"/>
        </w:rPr>
        <w:lastRenderedPageBreak/>
        <w:t xml:space="preserve">The call centre offered her a one-day teaching position on November 13, 2006, which she accepted.  In total, Ms. Dionne received 10 offers to supply teach from the call centre between November 13 and 30, 2006, all of which she accepted. She was never reassigned. </w:t>
      </w:r>
    </w:p>
    <w:p w:rsidR="0074418B" w:rsidRPr="00A543DC" w:rsidRDefault="0074418B" w:rsidP="007D4186">
      <w:pPr>
        <w:pStyle w:val="ParaNoNdepar-AltN"/>
        <w:rPr>
          <w:rFonts w:cs="Times New Roman"/>
        </w:rPr>
      </w:pPr>
      <w:r w:rsidRPr="00A543DC">
        <w:rPr>
          <w:rFonts w:cs="Times New Roman"/>
        </w:rPr>
        <w:t xml:space="preserve">On November 27, 2006, the Commission told Ms. Dionne that because a contract was formed on November 13, she was entitled to take Preventive Withdrawal and receive an income indemnity during her pregnancy so long as she </w:t>
      </w:r>
      <w:r w:rsidRPr="00A543DC">
        <w:rPr>
          <w:rFonts w:cs="Times New Roman"/>
          <w:lang w:val="en-US"/>
        </w:rPr>
        <w:t xml:space="preserve">remained eligible for the indemnity in accordance with the </w:t>
      </w:r>
      <w:r w:rsidRPr="00A543DC">
        <w:rPr>
          <w:rFonts w:cs="Times New Roman"/>
          <w:i/>
          <w:lang w:val="en-US"/>
        </w:rPr>
        <w:t>Act</w:t>
      </w:r>
      <w:r w:rsidRPr="00A543DC">
        <w:rPr>
          <w:rFonts w:cs="Times New Roman"/>
          <w:lang w:val="en-US"/>
        </w:rPr>
        <w:t xml:space="preserve">. The Commission’s quantification of her indemnity was not at issue before this Court. </w:t>
      </w:r>
    </w:p>
    <w:p w:rsidR="0074418B" w:rsidRPr="00A543DC" w:rsidRDefault="0074418B" w:rsidP="007D4186">
      <w:pPr>
        <w:pStyle w:val="ParaNoNdepar-AltN"/>
        <w:rPr>
          <w:rFonts w:cs="Times New Roman"/>
        </w:rPr>
      </w:pPr>
      <w:r w:rsidRPr="00A543DC">
        <w:rPr>
          <w:rFonts w:cs="Times New Roman"/>
        </w:rPr>
        <w:t xml:space="preserve">The School Board asked the Commission to review this decision. On December 20, 2006, the Commission confirmed that Ms. Dionne’s right to Preventive Withdrawal and an earnings-replacement indemnity was triggered on </w:t>
      </w:r>
      <w:r w:rsidRPr="00A543DC">
        <w:rPr>
          <w:rFonts w:cs="Times New Roman"/>
          <w:lang w:val="en-US"/>
        </w:rPr>
        <w:t xml:space="preserve">November 13, 2006 when she received and accepted the offer from the School Board. </w:t>
      </w:r>
    </w:p>
    <w:p w:rsidR="0074418B" w:rsidRPr="00A543DC" w:rsidRDefault="0074418B" w:rsidP="007D4186">
      <w:pPr>
        <w:pStyle w:val="ParaNoNdepar-AltN"/>
        <w:rPr>
          <w:rFonts w:cs="Times New Roman"/>
        </w:rPr>
      </w:pPr>
      <w:r w:rsidRPr="00A543DC">
        <w:rPr>
          <w:rFonts w:cs="Times New Roman"/>
        </w:rPr>
        <w:t xml:space="preserve">The School Board appealed to the </w:t>
      </w:r>
      <w:r w:rsidRPr="00A543DC">
        <w:rPr>
          <w:rFonts w:cs="Times New Roman"/>
          <w:lang w:val="en-US"/>
        </w:rPr>
        <w:t xml:space="preserve">Commission des </w:t>
      </w:r>
      <w:proofErr w:type="spellStart"/>
      <w:r w:rsidRPr="00A543DC">
        <w:rPr>
          <w:rFonts w:cs="Times New Roman"/>
          <w:lang w:val="en-US"/>
        </w:rPr>
        <w:t>lésions</w:t>
      </w:r>
      <w:proofErr w:type="spellEnd"/>
      <w:r w:rsidRPr="00A543DC">
        <w:rPr>
          <w:rFonts w:cs="Times New Roman"/>
          <w:lang w:val="en-US"/>
        </w:rPr>
        <w:t xml:space="preserve"> </w:t>
      </w:r>
      <w:proofErr w:type="spellStart"/>
      <w:r w:rsidRPr="00A543DC">
        <w:rPr>
          <w:rFonts w:cs="Times New Roman"/>
          <w:lang w:val="en-US"/>
        </w:rPr>
        <w:t>professionnelles</w:t>
      </w:r>
      <w:proofErr w:type="spellEnd"/>
      <w:r w:rsidRPr="00A543DC">
        <w:rPr>
          <w:rFonts w:cs="Times New Roman"/>
          <w:i/>
          <w:lang w:val="en-US"/>
        </w:rPr>
        <w:t xml:space="preserve"> </w:t>
      </w:r>
      <w:r w:rsidRPr="00A543DC">
        <w:rPr>
          <w:rFonts w:cs="Times New Roman"/>
          <w:lang w:val="en-US"/>
        </w:rPr>
        <w:t xml:space="preserve">(“CLP”). The CLP set aside the </w:t>
      </w:r>
      <w:r w:rsidRPr="00A543DC">
        <w:rPr>
          <w:rFonts w:cs="Times New Roman"/>
        </w:rPr>
        <w:t>Commission’s</w:t>
      </w:r>
      <w:r w:rsidRPr="00A543DC">
        <w:rPr>
          <w:rFonts w:cs="Times New Roman"/>
          <w:lang w:val="en-US"/>
        </w:rPr>
        <w:t xml:space="preserve"> decision and concluded that Ms. Dionne was ineligible for Preventive Withdrawal.  In its view, withdrawal was only available to “workers” as defined in the</w:t>
      </w:r>
      <w:r w:rsidRPr="00A543DC">
        <w:rPr>
          <w:rFonts w:cs="Times New Roman"/>
          <w:i/>
          <w:lang w:val="en-US"/>
        </w:rPr>
        <w:t xml:space="preserve"> Act</w:t>
      </w:r>
      <w:r w:rsidRPr="00A543DC">
        <w:rPr>
          <w:rFonts w:cs="Times New Roman"/>
          <w:lang w:val="en-US"/>
        </w:rPr>
        <w:t xml:space="preserve">. </w:t>
      </w:r>
      <w:r w:rsidRPr="00A543DC">
        <w:rPr>
          <w:rFonts w:cs="Times New Roman"/>
        </w:rPr>
        <w:t xml:space="preserve">Ms. Dionne’s inability to go into the school due to health risks meant that she was incapable of performing the supply teaching work required by the School Board.  This incapacity meant that no contract of employment had been formed.  Without such a contract, </w:t>
      </w:r>
      <w:r w:rsidRPr="00A543DC">
        <w:rPr>
          <w:rFonts w:cs="Times New Roman"/>
        </w:rPr>
        <w:lastRenderedPageBreak/>
        <w:t xml:space="preserve">Ms. Dionne was not a “worker” and was therefore outside the scope of the protection provided by ss. 40 and 41 of </w:t>
      </w:r>
      <w:r w:rsidRPr="00A543DC">
        <w:rPr>
          <w:rFonts w:cs="Times New Roman"/>
          <w:lang w:val="en-US"/>
        </w:rPr>
        <w:t>the</w:t>
      </w:r>
      <w:r w:rsidRPr="00A543DC">
        <w:rPr>
          <w:rFonts w:cs="Times New Roman"/>
          <w:i/>
          <w:lang w:val="en-US"/>
        </w:rPr>
        <w:t xml:space="preserve"> Act</w:t>
      </w:r>
      <w:r w:rsidRPr="00A543DC">
        <w:rPr>
          <w:rFonts w:cs="Times New Roman"/>
        </w:rPr>
        <w:t xml:space="preserve">. </w:t>
      </w:r>
    </w:p>
    <w:p w:rsidR="0074418B" w:rsidRPr="00A543DC" w:rsidRDefault="0074418B" w:rsidP="007D4186">
      <w:pPr>
        <w:pStyle w:val="ParaNoNdepar-AltN"/>
        <w:rPr>
          <w:rFonts w:cs="Times New Roman"/>
        </w:rPr>
      </w:pPr>
      <w:r w:rsidRPr="00A543DC">
        <w:rPr>
          <w:rFonts w:cs="Times New Roman"/>
        </w:rPr>
        <w:t xml:space="preserve">On judicial review, the Superior Court found the CLP decision to be reasonable.  A majority in the Quebec Court of Appeal agreed with the Superior Court. </w:t>
      </w:r>
    </w:p>
    <w:p w:rsidR="0074418B" w:rsidRPr="00A543DC" w:rsidRDefault="0074418B" w:rsidP="007D4186">
      <w:pPr>
        <w:pStyle w:val="ParaNoNdepar-AltN"/>
        <w:rPr>
          <w:rFonts w:cs="Times New Roman"/>
        </w:rPr>
      </w:pPr>
      <w:r w:rsidRPr="00A543DC">
        <w:rPr>
          <w:rFonts w:cs="Times New Roman"/>
        </w:rPr>
        <w:t xml:space="preserve">The dissenting judge was of the view that the CLP’s decision would result in the denial of benefits to thousands of supply teachers. In his view, Ms. Dionne was not incapable of </w:t>
      </w:r>
      <w:proofErr w:type="gramStart"/>
      <w:r w:rsidRPr="00A543DC">
        <w:rPr>
          <w:rFonts w:cs="Times New Roman"/>
        </w:rPr>
        <w:t>working,</w:t>
      </w:r>
      <w:proofErr w:type="gramEnd"/>
      <w:r w:rsidRPr="00A543DC">
        <w:rPr>
          <w:rFonts w:cs="Times New Roman"/>
        </w:rPr>
        <w:t xml:space="preserve"> she was simply refusing, in accordance with her statutory rights, to perform work in an unsafe workplace.  I agree.</w:t>
      </w:r>
    </w:p>
    <w:p w:rsidR="0074418B" w:rsidRPr="004C06C8" w:rsidRDefault="0074418B" w:rsidP="007D4186">
      <w:pPr>
        <w:pStyle w:val="TitleTitre-AltT"/>
        <w:rPr>
          <w:rFonts w:cs="Times New Roman"/>
        </w:rPr>
      </w:pPr>
      <w:r>
        <w:rPr>
          <w:rFonts w:cs="Times New Roman"/>
          <w:u w:val="single"/>
        </w:rPr>
        <w:t>A</w:t>
      </w:r>
      <w:r w:rsidRPr="00A543DC">
        <w:rPr>
          <w:rFonts w:cs="Times New Roman"/>
          <w:u w:val="single"/>
        </w:rPr>
        <w:t>nalysis</w:t>
      </w:r>
    </w:p>
    <w:p w:rsidR="0074418B" w:rsidRPr="00A543DC" w:rsidRDefault="0074418B" w:rsidP="007D4186">
      <w:pPr>
        <w:pStyle w:val="ParaNoNdepar-AltN"/>
        <w:rPr>
          <w:rFonts w:cs="Times New Roman"/>
        </w:rPr>
      </w:pPr>
      <w:r w:rsidRPr="00A543DC">
        <w:rPr>
          <w:rFonts w:cs="Times New Roman"/>
        </w:rPr>
        <w:t xml:space="preserve">The purpose of the </w:t>
      </w:r>
      <w:r w:rsidRPr="00A543DC">
        <w:rPr>
          <w:rFonts w:cs="Times New Roman"/>
          <w:i/>
          <w:lang w:val="en-US"/>
        </w:rPr>
        <w:t>Act respecting occupational health and safety</w:t>
      </w:r>
      <w:r w:rsidRPr="00A543DC">
        <w:rPr>
          <w:rFonts w:cs="Times New Roman"/>
        </w:rPr>
        <w:t xml:space="preserve"> is to ensure the health and safety of workers by protecting them from workplace dangers. </w:t>
      </w:r>
      <w:r w:rsidRPr="00A543DC">
        <w:rPr>
          <w:rFonts w:cs="Times New Roman"/>
          <w:lang w:val="en-US"/>
        </w:rPr>
        <w:t>This purpose is delineated in s. 2:</w:t>
      </w:r>
    </w:p>
    <w:p w:rsidR="0074418B" w:rsidRPr="00A543DC" w:rsidRDefault="0074418B" w:rsidP="007D4186">
      <w:pPr>
        <w:pStyle w:val="Citation-AltC"/>
      </w:pPr>
      <w:r w:rsidRPr="00A543DC">
        <w:rPr>
          <w:b/>
        </w:rPr>
        <w:t>2.</w:t>
      </w:r>
      <w:r w:rsidRPr="00A543DC">
        <w:t xml:space="preserve"> The object of this Act is the elimination, at the source, of dangers to the health, safety and physical well-being of workers.</w:t>
      </w:r>
    </w:p>
    <w:p w:rsidR="0074418B" w:rsidRPr="00A543DC" w:rsidRDefault="0074418B" w:rsidP="007D4186">
      <w:pPr>
        <w:pStyle w:val="Citation-AltC"/>
      </w:pPr>
    </w:p>
    <w:p w:rsidR="0074418B" w:rsidRPr="00A543DC" w:rsidRDefault="0074418B" w:rsidP="007D4186">
      <w:pPr>
        <w:pStyle w:val="Citation-AltC"/>
      </w:pPr>
      <w:r w:rsidRPr="00A543DC">
        <w:t>This Act provides mechanisms for the participation of workers, workers’ associations, employers and employers' associations in the realization of its object.</w:t>
      </w:r>
    </w:p>
    <w:p w:rsidR="0074418B" w:rsidRPr="00A543DC" w:rsidRDefault="0074418B" w:rsidP="007D4186">
      <w:pPr>
        <w:pStyle w:val="ParaNoNdepar-AltN"/>
        <w:rPr>
          <w:rFonts w:cs="Times New Roman"/>
        </w:rPr>
      </w:pPr>
      <w:r w:rsidRPr="00A543DC">
        <w:rPr>
          <w:rFonts w:cs="Times New Roman"/>
        </w:rPr>
        <w:t xml:space="preserve">The protections set out in the </w:t>
      </w:r>
      <w:r w:rsidRPr="00A543DC">
        <w:rPr>
          <w:rFonts w:cs="Times New Roman"/>
          <w:i/>
        </w:rPr>
        <w:t>Act</w:t>
      </w:r>
      <w:r w:rsidRPr="00A543DC">
        <w:rPr>
          <w:rFonts w:cs="Times New Roman"/>
        </w:rPr>
        <w:t xml:space="preserve"> reflect a long history of legislative measures in Quebec intended to address and improve workplace health and safety </w:t>
      </w:r>
      <w:r w:rsidRPr="00A543DC">
        <w:rPr>
          <w:rFonts w:cs="Times New Roman"/>
        </w:rPr>
        <w:lastRenderedPageBreak/>
        <w:t>issues. These efforts culminated in the Quebec government’s extensive consultation process in the late ’70s to determine a general policy on occupational health and safety and to develop the necessary mechanisms to achieve health and safety goals (</w:t>
      </w:r>
      <w:proofErr w:type="spellStart"/>
      <w:r w:rsidRPr="00A543DC">
        <w:rPr>
          <w:rFonts w:cs="Times New Roman"/>
        </w:rPr>
        <w:t>Fernand</w:t>
      </w:r>
      <w:proofErr w:type="spellEnd"/>
      <w:r w:rsidRPr="00A543DC">
        <w:rPr>
          <w:rFonts w:cs="Times New Roman"/>
        </w:rPr>
        <w:t xml:space="preserve"> Morin et al., </w:t>
      </w:r>
      <w:r w:rsidRPr="00A543DC">
        <w:rPr>
          <w:rFonts w:cs="Times New Roman"/>
          <w:i/>
        </w:rPr>
        <w:t xml:space="preserve">Le </w:t>
      </w:r>
      <w:proofErr w:type="spellStart"/>
      <w:r w:rsidRPr="00A543DC">
        <w:rPr>
          <w:rFonts w:cs="Times New Roman"/>
          <w:i/>
        </w:rPr>
        <w:t>droit</w:t>
      </w:r>
      <w:proofErr w:type="spellEnd"/>
      <w:r w:rsidRPr="00A543DC">
        <w:rPr>
          <w:rFonts w:cs="Times New Roman"/>
          <w:i/>
        </w:rPr>
        <w:t xml:space="preserve"> de </w:t>
      </w:r>
      <w:proofErr w:type="spellStart"/>
      <w:r w:rsidRPr="00A543DC">
        <w:rPr>
          <w:rFonts w:cs="Times New Roman"/>
          <w:i/>
        </w:rPr>
        <w:t>l’emploi</w:t>
      </w:r>
      <w:proofErr w:type="spellEnd"/>
      <w:r w:rsidRPr="00A543DC">
        <w:rPr>
          <w:rFonts w:cs="Times New Roman"/>
          <w:i/>
        </w:rPr>
        <w:t xml:space="preserve"> au Québec</w:t>
      </w:r>
      <w:r w:rsidRPr="00A543DC">
        <w:rPr>
          <w:rFonts w:cs="Times New Roman"/>
        </w:rPr>
        <w:t xml:space="preserve"> (4th ed. 2010), at p. 679; Robert P. Gagnon, Louis LeBel and Pierre Verge, </w:t>
      </w:r>
      <w:proofErr w:type="spellStart"/>
      <w:r w:rsidRPr="00A543DC">
        <w:rPr>
          <w:rFonts w:cs="Times New Roman"/>
          <w:i/>
        </w:rPr>
        <w:t>Droit</w:t>
      </w:r>
      <w:proofErr w:type="spellEnd"/>
      <w:r w:rsidRPr="00A543DC">
        <w:rPr>
          <w:rFonts w:cs="Times New Roman"/>
          <w:i/>
        </w:rPr>
        <w:t xml:space="preserve"> du travail</w:t>
      </w:r>
      <w:r w:rsidRPr="00A543DC">
        <w:rPr>
          <w:rFonts w:cs="Times New Roman"/>
        </w:rPr>
        <w:t xml:space="preserve"> (2nd ed. 1991), at pp. 29-30; </w:t>
      </w:r>
      <w:proofErr w:type="spellStart"/>
      <w:r w:rsidRPr="00A543DC">
        <w:rPr>
          <w:rFonts w:cs="Times New Roman"/>
        </w:rPr>
        <w:t>Ministre</w:t>
      </w:r>
      <w:proofErr w:type="spellEnd"/>
      <w:r w:rsidRPr="00A543DC">
        <w:rPr>
          <w:rFonts w:cs="Times New Roman"/>
        </w:rPr>
        <w:t xml:space="preserve"> </w:t>
      </w:r>
      <w:proofErr w:type="spellStart"/>
      <w:r w:rsidRPr="00A543DC">
        <w:rPr>
          <w:rFonts w:cs="Times New Roman"/>
        </w:rPr>
        <w:t>d’État</w:t>
      </w:r>
      <w:proofErr w:type="spellEnd"/>
      <w:r w:rsidRPr="00A543DC">
        <w:rPr>
          <w:rFonts w:cs="Times New Roman"/>
        </w:rPr>
        <w:t xml:space="preserve"> au </w:t>
      </w:r>
      <w:proofErr w:type="spellStart"/>
      <w:r w:rsidRPr="00A543DC">
        <w:rPr>
          <w:rFonts w:cs="Times New Roman"/>
        </w:rPr>
        <w:t>développement</w:t>
      </w:r>
      <w:proofErr w:type="spellEnd"/>
      <w:r w:rsidRPr="00A543DC">
        <w:rPr>
          <w:rFonts w:cs="Times New Roman"/>
        </w:rPr>
        <w:t xml:space="preserve"> social, </w:t>
      </w:r>
      <w:r w:rsidRPr="00A543DC">
        <w:rPr>
          <w:rFonts w:cs="Times New Roman"/>
          <w:i/>
        </w:rPr>
        <w:t xml:space="preserve">Santé et </w:t>
      </w:r>
      <w:proofErr w:type="spellStart"/>
      <w:r w:rsidRPr="00A543DC">
        <w:rPr>
          <w:rFonts w:cs="Times New Roman"/>
          <w:i/>
        </w:rPr>
        <w:t>sécurité</w:t>
      </w:r>
      <w:proofErr w:type="spellEnd"/>
      <w:r w:rsidRPr="00A543DC">
        <w:rPr>
          <w:rFonts w:cs="Times New Roman"/>
          <w:i/>
        </w:rPr>
        <w:t xml:space="preserve"> au travail</w:t>
      </w:r>
      <w:r w:rsidRPr="00374D80">
        <w:rPr>
          <w:rFonts w:cs="Times New Roman"/>
          <w:i/>
        </w:rPr>
        <w:t>:</w:t>
      </w:r>
      <w:r w:rsidRPr="00A543DC">
        <w:rPr>
          <w:rFonts w:cs="Times New Roman"/>
        </w:rPr>
        <w:t xml:space="preserve"> </w:t>
      </w:r>
      <w:proofErr w:type="spellStart"/>
      <w:r w:rsidRPr="00A543DC">
        <w:rPr>
          <w:rFonts w:cs="Times New Roman"/>
          <w:i/>
        </w:rPr>
        <w:t>Politique</w:t>
      </w:r>
      <w:proofErr w:type="spellEnd"/>
      <w:r w:rsidRPr="00A543DC">
        <w:rPr>
          <w:rFonts w:cs="Times New Roman"/>
          <w:i/>
        </w:rPr>
        <w:t xml:space="preserve"> </w:t>
      </w:r>
      <w:proofErr w:type="spellStart"/>
      <w:r w:rsidRPr="00A543DC">
        <w:rPr>
          <w:rFonts w:cs="Times New Roman"/>
          <w:i/>
        </w:rPr>
        <w:t>québécoise</w:t>
      </w:r>
      <w:proofErr w:type="spellEnd"/>
      <w:r w:rsidRPr="00A543DC">
        <w:rPr>
          <w:rFonts w:cs="Times New Roman"/>
          <w:i/>
        </w:rPr>
        <w:t xml:space="preserve"> de la santé et de la </w:t>
      </w:r>
      <w:proofErr w:type="spellStart"/>
      <w:r w:rsidRPr="00A543DC">
        <w:rPr>
          <w:rFonts w:cs="Times New Roman"/>
          <w:i/>
        </w:rPr>
        <w:t>sécurité</w:t>
      </w:r>
      <w:proofErr w:type="spellEnd"/>
      <w:r w:rsidRPr="00A543DC">
        <w:rPr>
          <w:rFonts w:cs="Times New Roman"/>
          <w:i/>
        </w:rPr>
        <w:t xml:space="preserve"> des </w:t>
      </w:r>
      <w:proofErr w:type="spellStart"/>
      <w:r w:rsidRPr="00A543DC">
        <w:rPr>
          <w:rFonts w:cs="Times New Roman"/>
          <w:i/>
        </w:rPr>
        <w:t>travailleurs</w:t>
      </w:r>
      <w:proofErr w:type="spellEnd"/>
      <w:r w:rsidRPr="00A543DC">
        <w:rPr>
          <w:rFonts w:cs="Times New Roman"/>
        </w:rPr>
        <w:t xml:space="preserve"> (1978)).  As a result of this process, in 1979 the legislature adopted the </w:t>
      </w:r>
      <w:r w:rsidRPr="00A543DC">
        <w:rPr>
          <w:rFonts w:cs="Times New Roman"/>
          <w:i/>
        </w:rPr>
        <w:t>Act respecting occupational health and safety</w:t>
      </w:r>
      <w:r w:rsidRPr="00A543DC">
        <w:rPr>
          <w:rFonts w:cs="Times New Roman"/>
        </w:rPr>
        <w:t xml:space="preserve"> with the aim not only of protecting the health and safety of workers in the workplace, but also of eliminating the causes of workplace accidents and illnesses. </w:t>
      </w:r>
    </w:p>
    <w:p w:rsidR="0074418B" w:rsidRPr="00A543DC" w:rsidRDefault="0074418B" w:rsidP="007D4186">
      <w:pPr>
        <w:pStyle w:val="ParaNoNdepar-AltN"/>
        <w:rPr>
          <w:rFonts w:cs="Times New Roman"/>
        </w:rPr>
      </w:pPr>
      <w:r w:rsidRPr="00A543DC">
        <w:rPr>
          <w:rFonts w:cs="Times New Roman"/>
          <w:lang w:val="en-US"/>
        </w:rPr>
        <w:t xml:space="preserve">To achieve this protective purpose, the </w:t>
      </w:r>
      <w:r w:rsidRPr="00A543DC">
        <w:rPr>
          <w:rFonts w:cs="Times New Roman"/>
          <w:i/>
          <w:lang w:val="en-US"/>
        </w:rPr>
        <w:t>Act</w:t>
      </w:r>
      <w:r w:rsidRPr="00A543DC">
        <w:rPr>
          <w:rFonts w:cs="Times New Roman"/>
          <w:lang w:val="en-US"/>
        </w:rPr>
        <w:t xml:space="preserve"> imposes a duty on employers not to expose workers to unsafe or unhealthy working conditions. Correspondingly, it gives workers the right to be informed of hazards, to participate in the management of workplace risks, and most pertinently, the right to refuse unsafe work found in s. 12: </w:t>
      </w:r>
    </w:p>
    <w:p w:rsidR="0074418B" w:rsidRPr="00A543DC" w:rsidRDefault="0074418B" w:rsidP="007D4186">
      <w:pPr>
        <w:pStyle w:val="Citation-AltC"/>
      </w:pPr>
      <w:r w:rsidRPr="00A543DC">
        <w:rPr>
          <w:b/>
        </w:rPr>
        <w:t>12.</w:t>
      </w:r>
      <w:r w:rsidRPr="00A543DC">
        <w:t xml:space="preserve"> A worker has a right to refuse to perform particular work if he [or she] has reasonable grounds to believe that the performance of that work would expose him [or her] to danger to his [or her] health, safety or physical well-being, or would expose another person to a similar danger.</w:t>
      </w:r>
    </w:p>
    <w:p w:rsidR="0074418B" w:rsidRPr="00A543DC" w:rsidRDefault="0074418B" w:rsidP="007D4186">
      <w:pPr>
        <w:pStyle w:val="Citation-AltC"/>
      </w:pPr>
    </w:p>
    <w:p w:rsidR="0074418B" w:rsidRPr="00A543DC" w:rsidRDefault="0074418B" w:rsidP="007D4186">
      <w:pPr>
        <w:pStyle w:val="ParaNoNdepar-AltN"/>
        <w:rPr>
          <w:rFonts w:cs="Times New Roman"/>
        </w:rPr>
      </w:pPr>
      <w:r w:rsidRPr="00A543DC">
        <w:rPr>
          <w:rFonts w:cs="Times New Roman"/>
        </w:rPr>
        <w:t xml:space="preserve">Significantly, when a worker relies on the right to refuse unsafe work, he or she is deemed by s. 14 of the statute to still be “at work”: </w:t>
      </w:r>
    </w:p>
    <w:p w:rsidR="0074418B" w:rsidRPr="00A543DC" w:rsidRDefault="0074418B" w:rsidP="007D4186">
      <w:pPr>
        <w:pStyle w:val="Citation-AltC"/>
      </w:pPr>
      <w:r w:rsidRPr="00A543DC">
        <w:rPr>
          <w:b/>
        </w:rPr>
        <w:t>14.</w:t>
      </w:r>
      <w:r w:rsidRPr="00A543DC">
        <w:t xml:space="preserve">  Until an </w:t>
      </w:r>
      <w:proofErr w:type="spellStart"/>
      <w:r w:rsidRPr="00A543DC">
        <w:t>executory</w:t>
      </w:r>
      <w:proofErr w:type="spellEnd"/>
      <w:r w:rsidRPr="00A543DC">
        <w:t xml:space="preserve"> decision is rendered ordering a worker to resume work, the employer shall not . . . have the work performed by another </w:t>
      </w:r>
      <w:r w:rsidRPr="00A543DC">
        <w:lastRenderedPageBreak/>
        <w:t xml:space="preserve">worker or by a person who ordinarily works outside the establishment </w:t>
      </w:r>
      <w:r w:rsidRPr="00A543DC">
        <w:rPr>
          <w:i/>
        </w:rPr>
        <w:t>and a worker who is exercising his [or her] right of refusal is deemed to be at work</w:t>
      </w:r>
      <w:r w:rsidRPr="00A543DC">
        <w:t>.</w:t>
      </w:r>
    </w:p>
    <w:p w:rsidR="0074418B" w:rsidRPr="00A543DC" w:rsidRDefault="0074418B" w:rsidP="007D4186">
      <w:pPr>
        <w:pStyle w:val="ParaNoNdepar-AltN"/>
        <w:rPr>
          <w:rFonts w:cs="Times New Roman"/>
        </w:rPr>
      </w:pPr>
      <w:r w:rsidRPr="00A543DC">
        <w:rPr>
          <w:rFonts w:cs="Times New Roman"/>
        </w:rPr>
        <w:t xml:space="preserve">Section 30 prohibits reprisals by an employer against employees who assert their right to refuse unsafe work: </w:t>
      </w:r>
    </w:p>
    <w:p w:rsidR="0074418B" w:rsidRPr="00A543DC" w:rsidRDefault="0074418B" w:rsidP="007D4186">
      <w:pPr>
        <w:pStyle w:val="Citation-AltC"/>
      </w:pPr>
      <w:r w:rsidRPr="00A543DC">
        <w:rPr>
          <w:b/>
        </w:rPr>
        <w:t>30.</w:t>
      </w:r>
      <w:r w:rsidRPr="00A543DC">
        <w:t xml:space="preserve"> No employer may dismiss, suspend or transfer a worker, practise discrimination or take reprisals against him [or her] or impose any other penalty on him [or her</w:t>
      </w:r>
      <w:proofErr w:type="gramStart"/>
      <w:r w:rsidRPr="00A543DC">
        <w:t>]  on</w:t>
      </w:r>
      <w:proofErr w:type="gramEnd"/>
      <w:r w:rsidRPr="00A543DC">
        <w:t xml:space="preserve"> the ground that the worker exercised the right contemplated in section 12.</w:t>
      </w:r>
    </w:p>
    <w:p w:rsidR="0074418B" w:rsidRPr="00A543DC" w:rsidRDefault="0074418B" w:rsidP="007D4186">
      <w:pPr>
        <w:pStyle w:val="Citation-AltC"/>
      </w:pPr>
    </w:p>
    <w:p w:rsidR="0074418B" w:rsidRPr="00A543DC" w:rsidRDefault="0074418B" w:rsidP="007D4186">
      <w:pPr>
        <w:pStyle w:val="ParaNoNdepar-AltN"/>
        <w:rPr>
          <w:rFonts w:cs="Times New Roman"/>
        </w:rPr>
      </w:pPr>
      <w:r w:rsidRPr="00A543DC">
        <w:rPr>
          <w:rFonts w:cs="Times New Roman"/>
        </w:rPr>
        <w:t xml:space="preserve">Any new assignments or temporary withdrawal from the workplace are deemed to be a substitute for the work that the employee would ordinarily be expected to perform but for the danger. A refusal to perform unsafe work, therefore, is not seen as a refusal to fulfill the employment contract, it is the exercise of legislated protection </w:t>
      </w:r>
      <w:r w:rsidRPr="00A543DC">
        <w:rPr>
          <w:rFonts w:cs="Times New Roman"/>
          <w:lang w:val="en-US"/>
        </w:rPr>
        <w:t>(</w:t>
      </w:r>
      <w:r w:rsidRPr="00A543DC">
        <w:rPr>
          <w:rFonts w:cs="Times New Roman"/>
          <w:i/>
          <w:lang w:val="en-US"/>
        </w:rPr>
        <w:t xml:space="preserve">Bell Canada v. Quebec (Commission de la santé et de la </w:t>
      </w:r>
      <w:proofErr w:type="spellStart"/>
      <w:r w:rsidRPr="00A543DC">
        <w:rPr>
          <w:rFonts w:cs="Times New Roman"/>
          <w:i/>
          <w:lang w:val="en-US"/>
        </w:rPr>
        <w:t>sécurité</w:t>
      </w:r>
      <w:proofErr w:type="spellEnd"/>
      <w:r w:rsidRPr="00A543DC">
        <w:rPr>
          <w:rFonts w:cs="Times New Roman"/>
          <w:i/>
          <w:lang w:val="en-US"/>
        </w:rPr>
        <w:t xml:space="preserve"> du travail)</w:t>
      </w:r>
      <w:r w:rsidRPr="00A543DC">
        <w:rPr>
          <w:rFonts w:cs="Times New Roman"/>
          <w:lang w:val="en-US"/>
        </w:rPr>
        <w:t xml:space="preserve">, [1988] 1 S.C.R. 749, at p. 801). </w:t>
      </w:r>
    </w:p>
    <w:p w:rsidR="0074418B" w:rsidRPr="00A543DC" w:rsidRDefault="0074418B" w:rsidP="007D4186">
      <w:pPr>
        <w:pStyle w:val="ParaNoNdepar-AltN"/>
        <w:rPr>
          <w:rFonts w:cs="Times New Roman"/>
          <w:lang w:val="en-US"/>
        </w:rPr>
      </w:pPr>
      <w:r w:rsidRPr="00A543DC">
        <w:rPr>
          <w:rFonts w:cs="Times New Roman"/>
          <w:lang w:val="en-US"/>
        </w:rPr>
        <w:t xml:space="preserve">This right to refuse to perform unsafe work is automatically incorporated into the contract of employment between an employer and a worker by virtue of the public order status of the </w:t>
      </w:r>
      <w:r w:rsidRPr="00A543DC">
        <w:rPr>
          <w:rFonts w:cs="Times New Roman"/>
          <w:i/>
          <w:lang w:val="en-US"/>
        </w:rPr>
        <w:t>Act</w:t>
      </w:r>
      <w:r w:rsidRPr="00A543DC">
        <w:rPr>
          <w:rFonts w:cs="Times New Roman"/>
          <w:lang w:val="en-US"/>
        </w:rPr>
        <w:t xml:space="preserve">. As </w:t>
      </w:r>
      <w:proofErr w:type="spellStart"/>
      <w:r w:rsidRPr="00A543DC">
        <w:rPr>
          <w:rFonts w:cs="Times New Roman"/>
          <w:lang w:val="en-US"/>
        </w:rPr>
        <w:t>Beetz</w:t>
      </w:r>
      <w:proofErr w:type="spellEnd"/>
      <w:r w:rsidRPr="00A543DC">
        <w:rPr>
          <w:rFonts w:cs="Times New Roman"/>
          <w:lang w:val="en-US"/>
        </w:rPr>
        <w:t xml:space="preserve"> J. explained in </w:t>
      </w:r>
      <w:r w:rsidRPr="00A543DC">
        <w:rPr>
          <w:rFonts w:cs="Times New Roman"/>
          <w:i/>
          <w:lang w:val="en-US"/>
        </w:rPr>
        <w:t>Bell Canada</w:t>
      </w:r>
      <w:r w:rsidRPr="00A543DC">
        <w:rPr>
          <w:rFonts w:cs="Times New Roman"/>
          <w:lang w:val="en-US"/>
        </w:rPr>
        <w:t xml:space="preserve">: </w:t>
      </w:r>
    </w:p>
    <w:p w:rsidR="0074418B" w:rsidRPr="00A543DC" w:rsidRDefault="0074418B" w:rsidP="00D73B80">
      <w:pPr>
        <w:pStyle w:val="Citation-AltC"/>
      </w:pPr>
      <w:r w:rsidRPr="00A543DC">
        <w:t xml:space="preserve">The essence of [the </w:t>
      </w:r>
      <w:r w:rsidRPr="00A543DC">
        <w:rPr>
          <w:i/>
        </w:rPr>
        <w:t>Act</w:t>
      </w:r>
      <w:r w:rsidRPr="00A543DC">
        <w:t>] the purpose of which is to safeguard the health of workers is that it articulates the terms of the contract of employment, in the same way as does a collective agreement which contains preventive clauses dealing with occupational health and safety. [p. 799]</w:t>
      </w:r>
    </w:p>
    <w:p w:rsidR="0074418B" w:rsidRPr="00A543DC" w:rsidRDefault="0074418B" w:rsidP="007D4186">
      <w:pPr>
        <w:pStyle w:val="ParaNoNdepar-AltN"/>
        <w:rPr>
          <w:rFonts w:cs="Times New Roman"/>
        </w:rPr>
      </w:pPr>
      <w:r w:rsidRPr="00A543DC">
        <w:rPr>
          <w:rFonts w:cs="Times New Roman"/>
        </w:rPr>
        <w:lastRenderedPageBreak/>
        <w:t>Employers and workers are prohibited in s. 4 from derogating from these basic rights and are permitted only to enhance them:</w:t>
      </w:r>
    </w:p>
    <w:p w:rsidR="0074418B" w:rsidRPr="00A543DC" w:rsidRDefault="0074418B" w:rsidP="007D4186">
      <w:pPr>
        <w:pStyle w:val="Citation-AltC"/>
      </w:pPr>
      <w:r w:rsidRPr="00A543DC">
        <w:rPr>
          <w:b/>
        </w:rPr>
        <w:t>4.</w:t>
      </w:r>
      <w:r w:rsidRPr="00A543DC">
        <w:t xml:space="preserve"> This Act is of public order and any derogating provision of any agreement or decree is absolutely </w:t>
      </w:r>
      <w:proofErr w:type="gramStart"/>
      <w:r w:rsidRPr="00A543DC">
        <w:t>null</w:t>
      </w:r>
      <w:proofErr w:type="gramEnd"/>
      <w:r w:rsidRPr="00A543DC">
        <w:t>.</w:t>
      </w:r>
    </w:p>
    <w:p w:rsidR="0074418B" w:rsidRPr="00A543DC" w:rsidRDefault="0074418B" w:rsidP="007D4186">
      <w:pPr>
        <w:pStyle w:val="Citation-AltC"/>
      </w:pPr>
    </w:p>
    <w:p w:rsidR="0074418B" w:rsidRPr="00A543DC" w:rsidRDefault="0074418B" w:rsidP="007D4186">
      <w:pPr>
        <w:pStyle w:val="Citation-AltC"/>
      </w:pPr>
      <w:r w:rsidRPr="00A543DC">
        <w:t>However, an agreement or decree may provide, in respect of a worker, a person performing functions under this Act or a certified association, more favourable provisions for the health, safety and physical well-being of the worker.</w:t>
      </w:r>
    </w:p>
    <w:p w:rsidR="0074418B" w:rsidRPr="00A543DC" w:rsidRDefault="0074418B" w:rsidP="007D4186">
      <w:pPr>
        <w:pStyle w:val="ParaNoNdepar-AltN"/>
        <w:rPr>
          <w:rFonts w:cs="Times New Roman"/>
        </w:rPr>
      </w:pPr>
      <w:r w:rsidRPr="00A543DC">
        <w:rPr>
          <w:rFonts w:cs="Times New Roman"/>
        </w:rPr>
        <w:t xml:space="preserve">The </w:t>
      </w:r>
      <w:r w:rsidRPr="00A543DC">
        <w:rPr>
          <w:rFonts w:cs="Times New Roman"/>
          <w:i/>
        </w:rPr>
        <w:t>Act</w:t>
      </w:r>
      <w:r w:rsidRPr="00A543DC">
        <w:rPr>
          <w:rFonts w:cs="Times New Roman"/>
        </w:rPr>
        <w:t xml:space="preserve"> thereby regulates the rights and obligations of workers and employers by deeming the contract of employment to include working conditions that do not impair workers’ health, safety or physical well-being (</w:t>
      </w:r>
      <w:r w:rsidRPr="00A543DC">
        <w:rPr>
          <w:rFonts w:cs="Times New Roman"/>
          <w:i/>
        </w:rPr>
        <w:t>Bell Canada</w:t>
      </w:r>
      <w:r w:rsidR="00374D80">
        <w:rPr>
          <w:rFonts w:cs="Times New Roman"/>
        </w:rPr>
        <w:t>, at pp. 799-</w:t>
      </w:r>
      <w:r w:rsidRPr="00A543DC">
        <w:rPr>
          <w:rFonts w:cs="Times New Roman"/>
        </w:rPr>
        <w:t>800). Included among these deemed contractual working conditions are the right to refuse unsafe work and to continue to receive</w:t>
      </w:r>
      <w:r w:rsidRPr="00A543DC">
        <w:rPr>
          <w:rFonts w:cs="Times New Roman"/>
          <w:b/>
        </w:rPr>
        <w:t xml:space="preserve"> </w:t>
      </w:r>
      <w:r w:rsidRPr="00A543DC">
        <w:rPr>
          <w:rFonts w:cs="Times New Roman"/>
        </w:rPr>
        <w:t>wages and other benefits notwithstanding this refusal, the requirement of availability and assignment to other duties, and the right to return to the employment at the end of the assignment or cessation of work (</w:t>
      </w:r>
      <w:r w:rsidRPr="00A543DC">
        <w:rPr>
          <w:rFonts w:cs="Times New Roman"/>
          <w:i/>
        </w:rPr>
        <w:t>Bell Canada</w:t>
      </w:r>
      <w:r w:rsidRPr="00A543DC">
        <w:rPr>
          <w:rFonts w:cs="Times New Roman"/>
        </w:rPr>
        <w:t>, at p. 802). Workers are therefore protected from having to choose between job security and their health or safety.</w:t>
      </w:r>
    </w:p>
    <w:p w:rsidR="0074418B" w:rsidRPr="00A543DC" w:rsidRDefault="0074418B" w:rsidP="007D4186">
      <w:pPr>
        <w:pStyle w:val="ParaNoNdepar-AltN"/>
        <w:rPr>
          <w:rFonts w:cs="Times New Roman"/>
        </w:rPr>
      </w:pPr>
      <w:r w:rsidRPr="00A543DC">
        <w:rPr>
          <w:rFonts w:cs="Times New Roman"/>
        </w:rPr>
        <w:t xml:space="preserve">As this brief review shows, the </w:t>
      </w:r>
      <w:r w:rsidRPr="00A543DC">
        <w:rPr>
          <w:rFonts w:cs="Times New Roman"/>
          <w:i/>
        </w:rPr>
        <w:t>Act</w:t>
      </w:r>
      <w:r w:rsidRPr="00A543DC">
        <w:rPr>
          <w:rFonts w:cs="Times New Roman"/>
        </w:rPr>
        <w:t xml:space="preserve"> sets out a broad framework of health and safety rights and gives workers the necessary tools by which to safely and confidently assert those rights.  </w:t>
      </w:r>
    </w:p>
    <w:p w:rsidR="0074418B" w:rsidRPr="00A543DC" w:rsidRDefault="0074418B" w:rsidP="007D4186">
      <w:pPr>
        <w:pStyle w:val="ParaNoNdepar-AltN"/>
        <w:rPr>
          <w:rFonts w:cs="Times New Roman"/>
          <w:lang w:val="en-US"/>
        </w:rPr>
      </w:pPr>
      <w:r w:rsidRPr="00A543DC">
        <w:rPr>
          <w:rFonts w:cs="Times New Roman"/>
        </w:rPr>
        <w:t xml:space="preserve">Into this capacious protective tent, the legislature also added specific safeguards to address the health and safety concerns of pregnant women. </w:t>
      </w:r>
      <w:r w:rsidRPr="00A543DC">
        <w:rPr>
          <w:rFonts w:cs="Times New Roman"/>
          <w:lang w:val="en-US"/>
        </w:rPr>
        <w:t>These</w:t>
      </w:r>
      <w:r w:rsidRPr="00A543DC">
        <w:rPr>
          <w:rFonts w:cs="Times New Roman"/>
        </w:rPr>
        <w:t xml:space="preserve"> </w:t>
      </w:r>
      <w:r w:rsidRPr="00A543DC">
        <w:rPr>
          <w:rFonts w:cs="Times New Roman"/>
        </w:rPr>
        <w:lastRenderedPageBreak/>
        <w:t xml:space="preserve">included rights for pregnant workers to be reassigned to other tasks or, if reassignment is not possible, to immediately withdraw from work in order to protect their health or the health of their fetus and to receive an income indemnity while away from work (Serge Lafontaine, “Le </w:t>
      </w:r>
      <w:proofErr w:type="spellStart"/>
      <w:r w:rsidRPr="00A543DC">
        <w:rPr>
          <w:rFonts w:cs="Times New Roman"/>
        </w:rPr>
        <w:t>retrait</w:t>
      </w:r>
      <w:proofErr w:type="spellEnd"/>
      <w:r w:rsidRPr="00A543DC">
        <w:rPr>
          <w:rFonts w:cs="Times New Roman"/>
        </w:rPr>
        <w:t xml:space="preserve"> </w:t>
      </w:r>
      <w:proofErr w:type="spellStart"/>
      <w:r w:rsidRPr="00A543DC">
        <w:rPr>
          <w:rFonts w:cs="Times New Roman"/>
        </w:rPr>
        <w:t>préventif</w:t>
      </w:r>
      <w:proofErr w:type="spellEnd"/>
      <w:r w:rsidRPr="00A543DC">
        <w:rPr>
          <w:rFonts w:cs="Times New Roman"/>
        </w:rPr>
        <w:t xml:space="preserve"> de la </w:t>
      </w:r>
      <w:proofErr w:type="spellStart"/>
      <w:r w:rsidRPr="00A543DC">
        <w:rPr>
          <w:rFonts w:cs="Times New Roman"/>
        </w:rPr>
        <w:t>travailleuse</w:t>
      </w:r>
      <w:proofErr w:type="spellEnd"/>
      <w:r w:rsidRPr="00A543DC">
        <w:rPr>
          <w:rFonts w:cs="Times New Roman"/>
        </w:rPr>
        <w:t xml:space="preserve"> enceinte </w:t>
      </w:r>
      <w:proofErr w:type="spellStart"/>
      <w:r w:rsidRPr="00A543DC">
        <w:rPr>
          <w:rFonts w:cs="Times New Roman"/>
        </w:rPr>
        <w:t>ou</w:t>
      </w:r>
      <w:proofErr w:type="spellEnd"/>
      <w:r w:rsidRPr="00A543DC">
        <w:rPr>
          <w:rFonts w:cs="Times New Roman"/>
        </w:rPr>
        <w:t xml:space="preserve"> qui </w:t>
      </w:r>
      <w:proofErr w:type="spellStart"/>
      <w:r w:rsidRPr="00A543DC">
        <w:rPr>
          <w:rFonts w:cs="Times New Roman"/>
        </w:rPr>
        <w:t>allaite</w:t>
      </w:r>
      <w:proofErr w:type="spellEnd"/>
      <w:r w:rsidRPr="00A543DC">
        <w:rPr>
          <w:rFonts w:cs="Times New Roman"/>
        </w:rPr>
        <w:t xml:space="preserve">: qui </w:t>
      </w:r>
      <w:proofErr w:type="spellStart"/>
      <w:r w:rsidRPr="00A543DC">
        <w:rPr>
          <w:rFonts w:cs="Times New Roman"/>
        </w:rPr>
        <w:t>décide</w:t>
      </w:r>
      <w:proofErr w:type="spellEnd"/>
      <w:r w:rsidRPr="00A543DC">
        <w:rPr>
          <w:rFonts w:cs="Times New Roman"/>
        </w:rPr>
        <w:t xml:space="preserve"> quoi</w:t>
      </w:r>
      <w:r w:rsidRPr="00A543DC">
        <w:rPr>
          <w:rFonts w:cs="Times New Roman"/>
          <w:lang w:val="en-US"/>
        </w:rPr>
        <w:t xml:space="preserve">?”, in </w:t>
      </w:r>
      <w:proofErr w:type="spellStart"/>
      <w:r w:rsidRPr="00A543DC">
        <w:rPr>
          <w:rFonts w:cs="Times New Roman"/>
          <w:i/>
          <w:lang w:val="en-US"/>
        </w:rPr>
        <w:t>Développements</w:t>
      </w:r>
      <w:proofErr w:type="spellEnd"/>
      <w:r w:rsidRPr="00A543DC">
        <w:rPr>
          <w:rFonts w:cs="Times New Roman"/>
          <w:i/>
          <w:lang w:val="en-US"/>
        </w:rPr>
        <w:t xml:space="preserve"> </w:t>
      </w:r>
      <w:proofErr w:type="spellStart"/>
      <w:r w:rsidRPr="00A543DC">
        <w:rPr>
          <w:rFonts w:cs="Times New Roman"/>
          <w:i/>
          <w:lang w:val="en-US"/>
        </w:rPr>
        <w:t>récents</w:t>
      </w:r>
      <w:proofErr w:type="spellEnd"/>
      <w:r w:rsidRPr="00A543DC">
        <w:rPr>
          <w:rFonts w:cs="Times New Roman"/>
          <w:i/>
          <w:lang w:val="en-US"/>
        </w:rPr>
        <w:t xml:space="preserve"> en </w:t>
      </w:r>
      <w:proofErr w:type="spellStart"/>
      <w:r w:rsidRPr="00A543DC">
        <w:rPr>
          <w:rFonts w:cs="Times New Roman"/>
          <w:i/>
          <w:lang w:val="en-US"/>
        </w:rPr>
        <w:t>droit</w:t>
      </w:r>
      <w:proofErr w:type="spellEnd"/>
      <w:r w:rsidRPr="00A543DC">
        <w:rPr>
          <w:rFonts w:cs="Times New Roman"/>
          <w:i/>
          <w:lang w:val="en-US"/>
        </w:rPr>
        <w:t xml:space="preserve"> du travail</w:t>
      </w:r>
      <w:r w:rsidRPr="00A543DC">
        <w:rPr>
          <w:rFonts w:cs="Times New Roman"/>
          <w:lang w:val="en-US"/>
        </w:rPr>
        <w:t xml:space="preserve"> </w:t>
      </w:r>
      <w:r w:rsidRPr="009D4E8C">
        <w:rPr>
          <w:rFonts w:cs="Times New Roman"/>
          <w:i/>
          <w:lang w:val="en-US"/>
        </w:rPr>
        <w:t>(1991)</w:t>
      </w:r>
      <w:r w:rsidRPr="00A543DC">
        <w:rPr>
          <w:rFonts w:cs="Times New Roman"/>
          <w:lang w:val="en-US"/>
        </w:rPr>
        <w:t>,</w:t>
      </w:r>
      <w:r w:rsidRPr="00A543DC">
        <w:rPr>
          <w:rFonts w:cs="Times New Roman"/>
          <w:i/>
          <w:lang w:val="en-US"/>
        </w:rPr>
        <w:t xml:space="preserve"> </w:t>
      </w:r>
      <w:r w:rsidRPr="00A543DC">
        <w:rPr>
          <w:rFonts w:cs="Times New Roman"/>
          <w:lang w:val="en-US"/>
        </w:rPr>
        <w:t xml:space="preserve">133, at p. 135; </w:t>
      </w:r>
      <w:proofErr w:type="spellStart"/>
      <w:r w:rsidRPr="00A543DC">
        <w:rPr>
          <w:rFonts w:cs="Times New Roman"/>
          <w:lang w:val="en-US"/>
        </w:rPr>
        <w:t>Cliche</w:t>
      </w:r>
      <w:proofErr w:type="spellEnd"/>
      <w:r w:rsidRPr="00A543DC">
        <w:rPr>
          <w:rFonts w:cs="Times New Roman"/>
          <w:lang w:val="en-US"/>
        </w:rPr>
        <w:t xml:space="preserve">, Lafontaine and </w:t>
      </w:r>
      <w:proofErr w:type="spellStart"/>
      <w:r w:rsidRPr="00A543DC">
        <w:rPr>
          <w:rFonts w:cs="Times New Roman"/>
          <w:lang w:val="en-US"/>
        </w:rPr>
        <w:t>Mailhot</w:t>
      </w:r>
      <w:proofErr w:type="spellEnd"/>
      <w:r w:rsidR="009D4E8C">
        <w:rPr>
          <w:rFonts w:cs="Times New Roman"/>
          <w:lang w:val="en-US"/>
        </w:rPr>
        <w:t>,</w:t>
      </w:r>
      <w:r w:rsidRPr="00A543DC">
        <w:rPr>
          <w:rFonts w:cs="Times New Roman"/>
          <w:lang w:val="en-US"/>
        </w:rPr>
        <w:t xml:space="preserve"> at pp. 237-38). </w:t>
      </w:r>
      <w:r w:rsidRPr="00A543DC">
        <w:rPr>
          <w:rFonts w:cs="Times New Roman"/>
        </w:rPr>
        <w:t xml:space="preserve">These rights were designed to allow pregnant workers to continue working or, if no safe workplace alternative was available, to prevent them from being penalized economically (Katherine </w:t>
      </w:r>
      <w:proofErr w:type="spellStart"/>
      <w:r w:rsidRPr="00A543DC">
        <w:rPr>
          <w:rFonts w:cs="Times New Roman"/>
        </w:rPr>
        <w:t>Lippel</w:t>
      </w:r>
      <w:proofErr w:type="spellEnd"/>
      <w:r w:rsidRPr="00A543DC">
        <w:rPr>
          <w:rFonts w:cs="Times New Roman"/>
        </w:rPr>
        <w:t xml:space="preserve">, “Preventive Reassignment of Pregnant or Breast-Feeding Workers: The Québec Model” (1998), 8 </w:t>
      </w:r>
      <w:r w:rsidRPr="00A543DC">
        <w:rPr>
          <w:rFonts w:cs="Times New Roman"/>
          <w:i/>
        </w:rPr>
        <w:t>New Solutions</w:t>
      </w:r>
      <w:r w:rsidRPr="00A543DC">
        <w:rPr>
          <w:rFonts w:cs="Times New Roman"/>
        </w:rPr>
        <w:t xml:space="preserve"> 267, at p. 267). As </w:t>
      </w:r>
      <w:r w:rsidRPr="00A543DC">
        <w:rPr>
          <w:rFonts w:cs="Times New Roman"/>
          <w:lang w:val="en-US"/>
        </w:rPr>
        <w:t xml:space="preserve">Robert </w:t>
      </w:r>
      <w:proofErr w:type="spellStart"/>
      <w:r w:rsidRPr="00A543DC">
        <w:rPr>
          <w:rFonts w:cs="Times New Roman"/>
          <w:lang w:val="en-US"/>
        </w:rPr>
        <w:t>Plante</w:t>
      </w:r>
      <w:proofErr w:type="spellEnd"/>
      <w:r w:rsidRPr="00A543DC">
        <w:rPr>
          <w:rFonts w:cs="Times New Roman"/>
          <w:lang w:val="en-US"/>
        </w:rPr>
        <w:t xml:space="preserve"> and Romaine </w:t>
      </w:r>
      <w:proofErr w:type="spellStart"/>
      <w:r w:rsidRPr="00A543DC">
        <w:rPr>
          <w:rFonts w:cs="Times New Roman"/>
          <w:lang w:val="en-US"/>
        </w:rPr>
        <w:t>Malenfant</w:t>
      </w:r>
      <w:proofErr w:type="spellEnd"/>
      <w:r w:rsidRPr="00A543DC">
        <w:rPr>
          <w:rFonts w:cs="Times New Roman"/>
          <w:lang w:val="en-US"/>
        </w:rPr>
        <w:t xml:space="preserve"> noted in “Reproductive Health and Work: Different Experiences” (1998), 40 </w:t>
      </w:r>
      <w:r w:rsidRPr="00A543DC">
        <w:rPr>
          <w:rFonts w:cs="Times New Roman"/>
          <w:i/>
          <w:lang w:val="en-US"/>
        </w:rPr>
        <w:t>JOEM</w:t>
      </w:r>
      <w:r w:rsidRPr="00A543DC">
        <w:rPr>
          <w:rFonts w:cs="Times New Roman"/>
          <w:lang w:val="en-US"/>
        </w:rPr>
        <w:t xml:space="preserve"> 964, at p. 967</w:t>
      </w:r>
      <w:r w:rsidRPr="00A543DC">
        <w:rPr>
          <w:rFonts w:cs="Times New Roman"/>
        </w:rPr>
        <w:t xml:space="preserve">: </w:t>
      </w:r>
    </w:p>
    <w:p w:rsidR="0074418B" w:rsidRPr="00A543DC" w:rsidRDefault="0074418B" w:rsidP="007D4186">
      <w:pPr>
        <w:pStyle w:val="Citation-AltC"/>
      </w:pPr>
      <w:r w:rsidRPr="00A543DC">
        <w:rPr>
          <w:lang w:val="en-US"/>
        </w:rPr>
        <w:tab/>
        <w:t xml:space="preserve">. . .  </w:t>
      </w:r>
      <w:proofErr w:type="gramStart"/>
      <w:r w:rsidRPr="00A543DC">
        <w:rPr>
          <w:lang w:val="en-US"/>
        </w:rPr>
        <w:t>the</w:t>
      </w:r>
      <w:proofErr w:type="gramEnd"/>
      <w:r w:rsidRPr="00A543DC">
        <w:rPr>
          <w:lang w:val="en-US"/>
        </w:rPr>
        <w:t xml:space="preserve"> right to preventive reassignment plays a protective role for women’s jobs by reducing the likelihood of their being fired during pregnancy and by ensuring that the benefits associated with a job are maintained . . . .</w:t>
      </w:r>
    </w:p>
    <w:p w:rsidR="0074418B" w:rsidRPr="00A543DC" w:rsidRDefault="0074418B" w:rsidP="007D4186">
      <w:pPr>
        <w:pStyle w:val="ParaNoNdepar-AltN"/>
        <w:rPr>
          <w:rFonts w:cs="Times New Roman"/>
        </w:rPr>
      </w:pPr>
      <w:r w:rsidRPr="00A543DC">
        <w:rPr>
          <w:rFonts w:cs="Times New Roman"/>
        </w:rPr>
        <w:t>Underlying the health and safety protections for pregnant women is an effort to prevent the discriminatory exclusion of women from</w:t>
      </w:r>
      <w:r w:rsidRPr="00A543DC">
        <w:rPr>
          <w:rFonts w:cs="Times New Roman"/>
          <w:b/>
        </w:rPr>
        <w:t xml:space="preserve"> </w:t>
      </w:r>
      <w:r w:rsidRPr="00A543DC">
        <w:rPr>
          <w:rFonts w:cs="Times New Roman"/>
        </w:rPr>
        <w:t xml:space="preserve">the workplace based on pregnancy </w:t>
      </w:r>
      <w:r w:rsidRPr="00A543DC">
        <w:rPr>
          <w:rFonts w:cs="Times New Roman"/>
          <w:lang w:val="en-US"/>
        </w:rPr>
        <w:t xml:space="preserve">(see Karen Messing et al., “Equality and Difference in the Workplace: Physical Job Demands, Occupational Illnesses, and Sex Differences” (2000), 12 </w:t>
      </w:r>
      <w:r w:rsidRPr="00A543DC">
        <w:rPr>
          <w:rFonts w:cs="Times New Roman"/>
          <w:i/>
          <w:lang w:val="en-US"/>
        </w:rPr>
        <w:t>NWSA</w:t>
      </w:r>
      <w:r w:rsidRPr="00A543DC">
        <w:rPr>
          <w:rFonts w:cs="Times New Roman"/>
          <w:lang w:val="en-US"/>
        </w:rPr>
        <w:t xml:space="preserve"> </w:t>
      </w:r>
      <w:r w:rsidRPr="00A543DC">
        <w:rPr>
          <w:rFonts w:cs="Times New Roman"/>
          <w:i/>
          <w:lang w:val="en-US"/>
        </w:rPr>
        <w:t>Journal</w:t>
      </w:r>
      <w:r w:rsidRPr="00A543DC">
        <w:rPr>
          <w:rFonts w:cs="Times New Roman"/>
          <w:lang w:val="en-US"/>
        </w:rPr>
        <w:t xml:space="preserve"> 21, at p. 36; see also Gilles Trudeau, “Aspects </w:t>
      </w:r>
      <w:proofErr w:type="spellStart"/>
      <w:r w:rsidRPr="00A543DC">
        <w:rPr>
          <w:rFonts w:cs="Times New Roman"/>
          <w:lang w:val="en-US"/>
        </w:rPr>
        <w:t>con</w:t>
      </w:r>
      <w:r w:rsidR="00671D2A">
        <w:rPr>
          <w:rFonts w:cs="Times New Roman"/>
          <w:lang w:val="en-US"/>
        </w:rPr>
        <w:t>stitutionnels</w:t>
      </w:r>
      <w:proofErr w:type="spellEnd"/>
      <w:r w:rsidR="00671D2A">
        <w:rPr>
          <w:rFonts w:cs="Times New Roman"/>
          <w:lang w:val="en-US"/>
        </w:rPr>
        <w:t xml:space="preserve"> du travail </w:t>
      </w:r>
      <w:proofErr w:type="spellStart"/>
      <w:r w:rsidR="00671D2A">
        <w:rPr>
          <w:rFonts w:cs="Times New Roman"/>
          <w:lang w:val="en-US"/>
        </w:rPr>
        <w:t>salarié</w:t>
      </w:r>
      <w:proofErr w:type="spellEnd"/>
      <w:r w:rsidRPr="00A543DC">
        <w:rPr>
          <w:rFonts w:cs="Times New Roman"/>
          <w:lang w:val="en-US"/>
        </w:rPr>
        <w:t xml:space="preserve">”, in Katherine </w:t>
      </w:r>
      <w:proofErr w:type="spellStart"/>
      <w:r w:rsidRPr="00A543DC">
        <w:rPr>
          <w:rFonts w:cs="Times New Roman"/>
          <w:lang w:val="en-US"/>
        </w:rPr>
        <w:t>Lippel</w:t>
      </w:r>
      <w:proofErr w:type="spellEnd"/>
      <w:r w:rsidRPr="00A543DC">
        <w:rPr>
          <w:rFonts w:cs="Times New Roman"/>
          <w:lang w:val="en-US"/>
        </w:rPr>
        <w:t xml:space="preserve"> and </w:t>
      </w:r>
      <w:proofErr w:type="spellStart"/>
      <w:r w:rsidRPr="00A543DC">
        <w:rPr>
          <w:rFonts w:cs="Times New Roman"/>
          <w:lang w:val="en-US"/>
        </w:rPr>
        <w:t>Guylaine</w:t>
      </w:r>
      <w:proofErr w:type="spellEnd"/>
      <w:r w:rsidRPr="00A543DC">
        <w:rPr>
          <w:rFonts w:cs="Times New Roman"/>
          <w:lang w:val="en-US"/>
        </w:rPr>
        <w:t xml:space="preserve"> Vallée, eds., </w:t>
      </w:r>
      <w:r w:rsidRPr="00A543DC">
        <w:rPr>
          <w:rFonts w:cs="Times New Roman"/>
          <w:i/>
          <w:lang w:val="en-US"/>
        </w:rPr>
        <w:t xml:space="preserve">Rapports </w:t>
      </w:r>
      <w:proofErr w:type="spellStart"/>
      <w:r w:rsidRPr="00A543DC">
        <w:rPr>
          <w:rFonts w:cs="Times New Roman"/>
          <w:i/>
          <w:lang w:val="en-US"/>
        </w:rPr>
        <w:t>individuels</w:t>
      </w:r>
      <w:proofErr w:type="spellEnd"/>
      <w:r w:rsidRPr="00A543DC">
        <w:rPr>
          <w:rFonts w:cs="Times New Roman"/>
          <w:i/>
          <w:lang w:val="en-US"/>
        </w:rPr>
        <w:t xml:space="preserve"> et </w:t>
      </w:r>
      <w:proofErr w:type="spellStart"/>
      <w:r w:rsidRPr="00A543DC">
        <w:rPr>
          <w:rFonts w:cs="Times New Roman"/>
          <w:i/>
          <w:lang w:val="en-US"/>
        </w:rPr>
        <w:t>collectifs</w:t>
      </w:r>
      <w:proofErr w:type="spellEnd"/>
      <w:r w:rsidRPr="00A543DC">
        <w:rPr>
          <w:rFonts w:cs="Times New Roman"/>
          <w:i/>
          <w:lang w:val="en-US"/>
        </w:rPr>
        <w:t xml:space="preserve"> du travail</w:t>
      </w:r>
      <w:r w:rsidRPr="00A543DC">
        <w:rPr>
          <w:rFonts w:cs="Times New Roman"/>
          <w:lang w:val="en-US"/>
        </w:rPr>
        <w:t xml:space="preserve"> (loose-l</w:t>
      </w:r>
      <w:r w:rsidR="00E7017B">
        <w:rPr>
          <w:rFonts w:cs="Times New Roman"/>
          <w:lang w:val="en-US"/>
        </w:rPr>
        <w:t>eaf), 1/1, at pp. 1/14 and 1/15</w:t>
      </w:r>
      <w:r w:rsidRPr="00A543DC">
        <w:rPr>
          <w:rFonts w:cs="Times New Roman"/>
          <w:lang w:val="en-US"/>
        </w:rPr>
        <w:t xml:space="preserve">).  To confront the </w:t>
      </w:r>
      <w:r w:rsidRPr="00A543DC">
        <w:rPr>
          <w:rFonts w:cs="Times New Roman"/>
          <w:lang w:val="en-US"/>
        </w:rPr>
        <w:lastRenderedPageBreak/>
        <w:t>discriminatory assumptions which had historically attributed an incapacity to work to women who were pregnant, the scheme protects not only their right to work, but to work in a safe environment, by deeming them to be as available to work as a non-pregnant worker (</w:t>
      </w:r>
      <w:r w:rsidRPr="00A543DC">
        <w:rPr>
          <w:rFonts w:cs="Times New Roman"/>
          <w:i/>
          <w:lang w:val="en-US"/>
        </w:rPr>
        <w:t xml:space="preserve">Commission des </w:t>
      </w:r>
      <w:proofErr w:type="spellStart"/>
      <w:r w:rsidRPr="00A543DC">
        <w:rPr>
          <w:rFonts w:cs="Times New Roman"/>
          <w:i/>
          <w:lang w:val="en-US"/>
        </w:rPr>
        <w:t>écoles</w:t>
      </w:r>
      <w:proofErr w:type="spellEnd"/>
      <w:r w:rsidRPr="00A543DC">
        <w:rPr>
          <w:rFonts w:cs="Times New Roman"/>
          <w:i/>
          <w:lang w:val="en-US"/>
        </w:rPr>
        <w:t xml:space="preserve"> </w:t>
      </w:r>
      <w:proofErr w:type="spellStart"/>
      <w:r w:rsidRPr="00A543DC">
        <w:rPr>
          <w:rFonts w:cs="Times New Roman"/>
          <w:i/>
          <w:lang w:val="en-US"/>
        </w:rPr>
        <w:t>catholiques</w:t>
      </w:r>
      <w:proofErr w:type="spellEnd"/>
      <w:r w:rsidRPr="00A543DC">
        <w:rPr>
          <w:rFonts w:cs="Times New Roman"/>
          <w:i/>
          <w:lang w:val="en-US"/>
        </w:rPr>
        <w:t xml:space="preserve"> de Québec v. </w:t>
      </w:r>
      <w:proofErr w:type="spellStart"/>
      <w:r w:rsidRPr="00A543DC">
        <w:rPr>
          <w:rFonts w:cs="Times New Roman"/>
          <w:i/>
          <w:lang w:val="en-US"/>
        </w:rPr>
        <w:t>Gobeil</w:t>
      </w:r>
      <w:proofErr w:type="spellEnd"/>
      <w:r w:rsidRPr="00A543DC">
        <w:rPr>
          <w:rFonts w:cs="Times New Roman"/>
          <w:lang w:val="en-US"/>
        </w:rPr>
        <w:t xml:space="preserve">, [1999] R.J.Q. 1883 (C.A.), at p. 1893, </w:t>
      </w:r>
      <w:r w:rsidRPr="00A543DC">
        <w:rPr>
          <w:rFonts w:cs="Times New Roman"/>
          <w:i/>
          <w:lang w:val="en-US"/>
        </w:rPr>
        <w:t xml:space="preserve">per </w:t>
      </w:r>
      <w:r w:rsidRPr="00A543DC">
        <w:rPr>
          <w:rFonts w:cs="Times New Roman"/>
          <w:lang w:val="en-US"/>
        </w:rPr>
        <w:t xml:space="preserve">Robert J.A.; see also </w:t>
      </w:r>
      <w:r w:rsidRPr="00A543DC">
        <w:rPr>
          <w:rFonts w:cs="Times New Roman"/>
          <w:i/>
          <w:lang w:val="en-US"/>
        </w:rPr>
        <w:t xml:space="preserve">AT &amp; T Corp. v. </w:t>
      </w:r>
      <w:proofErr w:type="spellStart"/>
      <w:r w:rsidRPr="00A543DC">
        <w:rPr>
          <w:rFonts w:cs="Times New Roman"/>
          <w:i/>
          <w:lang w:val="en-US"/>
        </w:rPr>
        <w:t>Hulteen</w:t>
      </w:r>
      <w:proofErr w:type="spellEnd"/>
      <w:r w:rsidRPr="00A543DC">
        <w:rPr>
          <w:rFonts w:cs="Times New Roman"/>
          <w:lang w:val="en-US"/>
        </w:rPr>
        <w:t xml:space="preserve">, 129 S. Ct. 1962 (2009), at p. 1978, </w:t>
      </w:r>
      <w:r w:rsidRPr="00A543DC">
        <w:rPr>
          <w:rFonts w:cs="Times New Roman"/>
          <w:i/>
          <w:lang w:val="en-US"/>
        </w:rPr>
        <w:t>per</w:t>
      </w:r>
      <w:r w:rsidRPr="00A543DC">
        <w:rPr>
          <w:rFonts w:cs="Times New Roman"/>
          <w:lang w:val="en-US"/>
        </w:rPr>
        <w:t xml:space="preserve"> Ginsburg J., dissenting). As </w:t>
      </w:r>
      <w:proofErr w:type="spellStart"/>
      <w:r w:rsidRPr="00A543DC">
        <w:rPr>
          <w:rFonts w:cs="Times New Roman"/>
          <w:lang w:val="en-US"/>
        </w:rPr>
        <w:t>Plante</w:t>
      </w:r>
      <w:proofErr w:type="spellEnd"/>
      <w:r w:rsidRPr="00A543DC">
        <w:rPr>
          <w:rFonts w:cs="Times New Roman"/>
          <w:lang w:val="en-US"/>
        </w:rPr>
        <w:t xml:space="preserve"> and </w:t>
      </w:r>
      <w:proofErr w:type="spellStart"/>
      <w:r w:rsidRPr="00A543DC">
        <w:rPr>
          <w:rFonts w:cs="Times New Roman"/>
          <w:lang w:val="en-US"/>
        </w:rPr>
        <w:t>Malenfant</w:t>
      </w:r>
      <w:proofErr w:type="spellEnd"/>
      <w:r w:rsidRPr="00A543DC">
        <w:rPr>
          <w:rFonts w:cs="Times New Roman"/>
          <w:lang w:val="en-US"/>
        </w:rPr>
        <w:t xml:space="preserve"> note, the prime objective of reassignment and Preventive Withdrawal is “to protect the health of the pregnant worker and that of her unborn child by eliminating dangers in the workplace, </w:t>
      </w:r>
      <w:r w:rsidRPr="00A543DC">
        <w:rPr>
          <w:rFonts w:cs="Times New Roman"/>
          <w:i/>
          <w:lang w:val="en-US"/>
        </w:rPr>
        <w:t>thereby allowing her to continue working</w:t>
      </w:r>
      <w:r w:rsidRPr="00A543DC">
        <w:rPr>
          <w:rFonts w:cs="Times New Roman"/>
          <w:lang w:val="en-US"/>
        </w:rPr>
        <w:t xml:space="preserve">” (p. 965 (emphasis added); see also </w:t>
      </w:r>
      <w:proofErr w:type="spellStart"/>
      <w:r w:rsidRPr="00A543DC">
        <w:rPr>
          <w:rFonts w:cs="Times New Roman"/>
        </w:rPr>
        <w:t>Lippel</w:t>
      </w:r>
      <w:proofErr w:type="spellEnd"/>
      <w:r w:rsidRPr="00A543DC">
        <w:rPr>
          <w:rFonts w:cs="Times New Roman"/>
        </w:rPr>
        <w:t>, at pp. 269-70</w:t>
      </w:r>
      <w:r w:rsidRPr="00A543DC">
        <w:rPr>
          <w:rFonts w:cs="Times New Roman"/>
          <w:lang w:val="en-US"/>
        </w:rPr>
        <w:t xml:space="preserve">). If no reassignment alternative in the workplace is possible, she is entitled to withdraw from work. </w:t>
      </w:r>
    </w:p>
    <w:p w:rsidR="0074418B" w:rsidRPr="00A543DC" w:rsidRDefault="0074418B" w:rsidP="007D4186">
      <w:pPr>
        <w:pStyle w:val="ParaNoNdepar-AltN"/>
        <w:rPr>
          <w:rFonts w:cs="Times New Roman"/>
        </w:rPr>
      </w:pPr>
      <w:r w:rsidRPr="00A543DC">
        <w:rPr>
          <w:rFonts w:cs="Times New Roman"/>
          <w:lang w:val="en-US"/>
        </w:rPr>
        <w:t>Preventive Withdrawal operates within the context of the</w:t>
      </w:r>
      <w:r w:rsidRPr="00A543DC">
        <w:rPr>
          <w:rFonts w:cs="Times New Roman"/>
          <w:i/>
          <w:lang w:val="en-US"/>
        </w:rPr>
        <w:t xml:space="preserve"> Act</w:t>
      </w:r>
      <w:r w:rsidRPr="00A543DC">
        <w:rPr>
          <w:rFonts w:cs="Times New Roman"/>
          <w:lang w:val="en-US"/>
        </w:rPr>
        <w:t>’s broader health and safety scheme which gives workers the security to refuse unsafe work. B</w:t>
      </w:r>
      <w:r w:rsidRPr="00A543DC">
        <w:rPr>
          <w:rFonts w:cs="Times New Roman"/>
        </w:rPr>
        <w:t>y providing financial and job security to a worker whose workplace has become dangerous because of her pregnancy, the</w:t>
      </w:r>
      <w:r w:rsidRPr="00A543DC">
        <w:rPr>
          <w:rFonts w:cs="Times New Roman"/>
          <w:i/>
          <w:lang w:val="en-US"/>
        </w:rPr>
        <w:t xml:space="preserve"> Act </w:t>
      </w:r>
      <w:r w:rsidRPr="00A543DC">
        <w:rPr>
          <w:rFonts w:cs="Times New Roman"/>
          <w:lang w:val="en-US"/>
        </w:rPr>
        <w:t xml:space="preserve">protects a pregnant worker from having to </w:t>
      </w:r>
      <w:r w:rsidRPr="00A543DC">
        <w:rPr>
          <w:rFonts w:cs="Times New Roman"/>
        </w:rPr>
        <w:t xml:space="preserve">choose between her employment (and income) on the one hand, and her health or the health of her fetus on the other, “a choice that is clearly difficult, if not impossible” </w:t>
      </w:r>
      <w:r w:rsidRPr="00A543DC">
        <w:rPr>
          <w:rFonts w:cs="Times New Roman"/>
          <w:lang w:val="en-US"/>
        </w:rPr>
        <w:t>(</w:t>
      </w:r>
      <w:proofErr w:type="spellStart"/>
      <w:r w:rsidRPr="00A543DC">
        <w:rPr>
          <w:rFonts w:cs="Times New Roman"/>
          <w:lang w:val="en-US"/>
        </w:rPr>
        <w:t>Plante</w:t>
      </w:r>
      <w:proofErr w:type="spellEnd"/>
      <w:r w:rsidRPr="00A543DC">
        <w:rPr>
          <w:rFonts w:cs="Times New Roman"/>
          <w:lang w:val="en-US"/>
        </w:rPr>
        <w:t xml:space="preserve"> and </w:t>
      </w:r>
      <w:proofErr w:type="spellStart"/>
      <w:r w:rsidRPr="00A543DC">
        <w:rPr>
          <w:rFonts w:cs="Times New Roman"/>
          <w:lang w:val="en-US"/>
        </w:rPr>
        <w:t>Malenfant</w:t>
      </w:r>
      <w:proofErr w:type="spellEnd"/>
      <w:r w:rsidRPr="00A543DC">
        <w:rPr>
          <w:rFonts w:cs="Times New Roman"/>
          <w:lang w:val="en-US"/>
        </w:rPr>
        <w:t>, at p. 968).</w:t>
      </w:r>
      <w:r w:rsidRPr="00A543DC">
        <w:rPr>
          <w:rFonts w:cs="Times New Roman"/>
        </w:rPr>
        <w:t xml:space="preserve">   And, like any other worker refusing to do unsafe work, she is deemed by the </w:t>
      </w:r>
      <w:r w:rsidRPr="00A543DC">
        <w:rPr>
          <w:rFonts w:cs="Times New Roman"/>
          <w:i/>
        </w:rPr>
        <w:t>Act</w:t>
      </w:r>
      <w:r w:rsidRPr="00A543DC">
        <w:rPr>
          <w:rFonts w:cs="Times New Roman"/>
        </w:rPr>
        <w:t xml:space="preserve"> to still be “at work” while on Preventive Withdrawal. </w:t>
      </w:r>
    </w:p>
    <w:p w:rsidR="0074418B" w:rsidRPr="00A543DC" w:rsidRDefault="0074418B" w:rsidP="007D4186">
      <w:pPr>
        <w:pStyle w:val="ParaNoNdepar-AltN"/>
        <w:rPr>
          <w:rFonts w:cs="Times New Roman"/>
        </w:rPr>
      </w:pPr>
      <w:r w:rsidRPr="00A543DC">
        <w:rPr>
          <w:rFonts w:cs="Times New Roman"/>
        </w:rPr>
        <w:lastRenderedPageBreak/>
        <w:t xml:space="preserve">The </w:t>
      </w:r>
      <w:r w:rsidRPr="00A543DC">
        <w:rPr>
          <w:rFonts w:cs="Times New Roman"/>
          <w:i/>
        </w:rPr>
        <w:t>Act</w:t>
      </w:r>
      <w:r w:rsidRPr="00A543DC">
        <w:rPr>
          <w:rFonts w:cs="Times New Roman"/>
        </w:rPr>
        <w:t xml:space="preserve"> therefore protects pregnant women in two significant ways: it protects their health by substituting safe tasks for dangerous ones, and it protects their employment</w:t>
      </w:r>
      <w:r w:rsidRPr="00A543DC">
        <w:rPr>
          <w:rFonts w:cs="Times New Roman"/>
          <w:b/>
        </w:rPr>
        <w:t xml:space="preserve"> </w:t>
      </w:r>
      <w:r w:rsidRPr="00A543DC">
        <w:rPr>
          <w:rFonts w:cs="Times New Roman"/>
        </w:rPr>
        <w:t xml:space="preserve">by providing financial and job security. </w:t>
      </w:r>
    </w:p>
    <w:p w:rsidR="0074418B" w:rsidRPr="00A543DC" w:rsidRDefault="0074418B" w:rsidP="007D4186">
      <w:pPr>
        <w:pStyle w:val="ParaNoNdepar-AltN"/>
        <w:rPr>
          <w:rFonts w:cs="Times New Roman"/>
        </w:rPr>
      </w:pPr>
      <w:r w:rsidRPr="00A543DC">
        <w:rPr>
          <w:rFonts w:cs="Times New Roman"/>
        </w:rPr>
        <w:t xml:space="preserve">This is the statutory context for Ms. Dionne’s appeal.  The remaining task is to determine whether she is a “worker” within the meaning of the </w:t>
      </w:r>
      <w:r w:rsidRPr="00A543DC">
        <w:rPr>
          <w:rFonts w:cs="Times New Roman"/>
          <w:i/>
        </w:rPr>
        <w:t>Act</w:t>
      </w:r>
      <w:r w:rsidRPr="00A543DC">
        <w:rPr>
          <w:rFonts w:cs="Times New Roman"/>
        </w:rPr>
        <w:t xml:space="preserve"> and therefore entitled to access its protections.  “Worker” is defined in s. 1 of </w:t>
      </w:r>
      <w:r w:rsidRPr="00A543DC">
        <w:rPr>
          <w:rFonts w:cs="Times New Roman"/>
          <w:lang w:val="en-US"/>
        </w:rPr>
        <w:t>the</w:t>
      </w:r>
      <w:r w:rsidRPr="00A543DC">
        <w:rPr>
          <w:rFonts w:cs="Times New Roman"/>
          <w:i/>
          <w:lang w:val="en-US"/>
        </w:rPr>
        <w:t xml:space="preserve"> Act</w:t>
      </w:r>
      <w:r w:rsidRPr="00A543DC">
        <w:rPr>
          <w:rFonts w:cs="Times New Roman"/>
        </w:rPr>
        <w:t xml:space="preserve">: </w:t>
      </w:r>
    </w:p>
    <w:p w:rsidR="0074418B" w:rsidRPr="00A543DC" w:rsidRDefault="0074418B" w:rsidP="007D4186">
      <w:pPr>
        <w:pStyle w:val="Citation-AltC"/>
      </w:pPr>
      <w:r w:rsidRPr="00A543DC">
        <w:rPr>
          <w:rStyle w:val="emphtypegras1"/>
        </w:rPr>
        <w:t>“worker”</w:t>
      </w:r>
      <w:r w:rsidRPr="00A543DC">
        <w:t xml:space="preserve"> means a person, including a student in the cases determined by regulation, who, under a contract of employment or a contract of apprenticeship, even without remuneration, carries out work for an employer, except</w:t>
      </w:r>
    </w:p>
    <w:p w:rsidR="0074418B" w:rsidRPr="00A543DC" w:rsidRDefault="0074418B" w:rsidP="007D4186">
      <w:pPr>
        <w:pStyle w:val="Citation-AltC"/>
      </w:pPr>
    </w:p>
    <w:p w:rsidR="0074418B" w:rsidRPr="00A543DC" w:rsidRDefault="0074418B" w:rsidP="007D4186">
      <w:pPr>
        <w:pStyle w:val="Citation-AltC"/>
      </w:pPr>
      <w:r w:rsidRPr="00A543DC">
        <w:t xml:space="preserve">(1) </w:t>
      </w:r>
      <w:proofErr w:type="gramStart"/>
      <w:r w:rsidRPr="00A543DC">
        <w:t>a</w:t>
      </w:r>
      <w:proofErr w:type="gramEnd"/>
      <w:r w:rsidRPr="00A543DC">
        <w:t xml:space="preserve"> person employed as manager, superintendent, foreman or as the agent of the employer in his relations with his workers;</w:t>
      </w:r>
    </w:p>
    <w:p w:rsidR="0074418B" w:rsidRPr="00A543DC" w:rsidRDefault="0074418B" w:rsidP="007D4186">
      <w:pPr>
        <w:pStyle w:val="Citation-AltC"/>
      </w:pPr>
    </w:p>
    <w:p w:rsidR="0074418B" w:rsidRPr="00A543DC" w:rsidRDefault="0074418B" w:rsidP="007D4186">
      <w:pPr>
        <w:pStyle w:val="Citation-AltC"/>
      </w:pPr>
      <w:r w:rsidRPr="00A543DC">
        <w:t>(2) a director or officer of a legal person, except where a person acts as such in relation to his employer after being designated by the workers or by a certified association;</w:t>
      </w:r>
    </w:p>
    <w:p w:rsidR="0074418B" w:rsidRPr="00A543DC" w:rsidRDefault="0074418B" w:rsidP="007D4186">
      <w:pPr>
        <w:pStyle w:val="ParaNoNdepar-AltN"/>
        <w:rPr>
          <w:rFonts w:cs="Times New Roman"/>
        </w:rPr>
      </w:pPr>
      <w:r w:rsidRPr="00A543DC">
        <w:rPr>
          <w:rFonts w:cs="Times New Roman"/>
        </w:rPr>
        <w:t xml:space="preserve">This definition reflects a clear intention to extend occupational health and safety protection as widely as possible, including to students, interns, apprentices and individuals, whether or not they are remunerated.  Essentially anyone who carries out work for an employer is entitled to the </w:t>
      </w:r>
      <w:r w:rsidRPr="00A543DC">
        <w:rPr>
          <w:rFonts w:cs="Times New Roman"/>
          <w:i/>
        </w:rPr>
        <w:t>Act</w:t>
      </w:r>
      <w:r w:rsidRPr="00A543DC">
        <w:rPr>
          <w:rFonts w:cs="Times New Roman"/>
        </w:rPr>
        <w:t>’s protection unless he or she is in a managerial role. The scope of protection for pregnant workers is even more expansive, since s. 11 grants pregnant women who are managers, superintendents, foremen, and directors the same rights to reassignment and Preventive Withdrawal as “workers”.</w:t>
      </w:r>
    </w:p>
    <w:p w:rsidR="0074418B" w:rsidRPr="00A543DC" w:rsidRDefault="0074418B" w:rsidP="007D4186">
      <w:pPr>
        <w:pStyle w:val="ParaNoNdepar-AltN"/>
        <w:rPr>
          <w:rFonts w:cs="Times New Roman"/>
        </w:rPr>
      </w:pPr>
      <w:r w:rsidRPr="00A543DC">
        <w:rPr>
          <w:rFonts w:cs="Times New Roman"/>
        </w:rPr>
        <w:lastRenderedPageBreak/>
        <w:t xml:space="preserve">While there is no need for remuneration under the </w:t>
      </w:r>
      <w:r w:rsidRPr="00A543DC">
        <w:rPr>
          <w:rFonts w:cs="Times New Roman"/>
          <w:i/>
        </w:rPr>
        <w:t>Act</w:t>
      </w:r>
      <w:r w:rsidRPr="00A543DC">
        <w:rPr>
          <w:rFonts w:cs="Times New Roman"/>
        </w:rPr>
        <w:t xml:space="preserve"> to qualify as a “worker”, there must be a contract.  The </w:t>
      </w:r>
      <w:r w:rsidRPr="00A543DC">
        <w:rPr>
          <w:rFonts w:cs="Times New Roman"/>
          <w:i/>
        </w:rPr>
        <w:t>Act</w:t>
      </w:r>
      <w:r w:rsidRPr="00A543DC">
        <w:rPr>
          <w:rFonts w:cs="Times New Roman"/>
        </w:rPr>
        <w:t xml:space="preserve"> does not specifically define the term “contract of employment”, but the </w:t>
      </w:r>
      <w:r w:rsidRPr="00A543DC">
        <w:rPr>
          <w:rFonts w:cs="Times New Roman"/>
          <w:i/>
        </w:rPr>
        <w:t>Civil Code of Québec</w:t>
      </w:r>
      <w:r w:rsidRPr="00A543DC">
        <w:rPr>
          <w:rFonts w:cs="Times New Roman"/>
        </w:rPr>
        <w:t xml:space="preserve"> does so in art. 2085:  </w:t>
      </w:r>
    </w:p>
    <w:p w:rsidR="0074418B" w:rsidRPr="00A543DC" w:rsidRDefault="0074418B" w:rsidP="007D4186">
      <w:pPr>
        <w:pStyle w:val="Citation-AltC"/>
      </w:pPr>
      <w:r w:rsidRPr="00A543DC">
        <w:rPr>
          <w:b/>
        </w:rPr>
        <w:t>2085.</w:t>
      </w:r>
      <w:r w:rsidRPr="00A543DC">
        <w:t xml:space="preserve"> A contract of employment is a contract by which a person, the employee, undertakes for a limited period to do work for remuneration, according to the instructions and under the direction or control of another person, the employer.</w:t>
      </w:r>
    </w:p>
    <w:p w:rsidR="0074418B" w:rsidRPr="00A543DC" w:rsidRDefault="0074418B" w:rsidP="007D4186">
      <w:pPr>
        <w:pStyle w:val="ParaNoNdepar-AltN"/>
        <w:rPr>
          <w:rFonts w:cs="Times New Roman"/>
        </w:rPr>
      </w:pPr>
      <w:r w:rsidRPr="00A543DC">
        <w:rPr>
          <w:rFonts w:cs="Times New Roman"/>
        </w:rPr>
        <w:t xml:space="preserve">There are therefore three requirements for formation of a contract of employment under the </w:t>
      </w:r>
      <w:r w:rsidRPr="00A543DC">
        <w:rPr>
          <w:rFonts w:cs="Times New Roman"/>
          <w:i/>
        </w:rPr>
        <w:t>Civil Code</w:t>
      </w:r>
      <w:r w:rsidRPr="00A543DC">
        <w:rPr>
          <w:rFonts w:cs="Times New Roman"/>
        </w:rPr>
        <w:t xml:space="preserve"> — performance of work, payment of wages, and a relationship of subordination between the parties (</w:t>
      </w:r>
      <w:proofErr w:type="spellStart"/>
      <w:r w:rsidRPr="00A543DC">
        <w:rPr>
          <w:rFonts w:cs="Times New Roman"/>
          <w:i/>
        </w:rPr>
        <w:t>Cabiakman</w:t>
      </w:r>
      <w:proofErr w:type="spellEnd"/>
      <w:r w:rsidRPr="00A543DC">
        <w:rPr>
          <w:rFonts w:cs="Times New Roman"/>
          <w:i/>
        </w:rPr>
        <w:t xml:space="preserve"> v. Industrial Alliance Life Insurance Co.</w:t>
      </w:r>
      <w:r w:rsidRPr="00A543DC">
        <w:rPr>
          <w:rFonts w:cs="Times New Roman"/>
        </w:rPr>
        <w:t xml:space="preserve">, [2004] 3 S.C.R. 195, at </w:t>
      </w:r>
      <w:proofErr w:type="spellStart"/>
      <w:r w:rsidRPr="00A543DC">
        <w:rPr>
          <w:rFonts w:cs="Times New Roman"/>
        </w:rPr>
        <w:t>para</w:t>
      </w:r>
      <w:proofErr w:type="spellEnd"/>
      <w:r w:rsidRPr="00A543DC">
        <w:rPr>
          <w:rFonts w:cs="Times New Roman"/>
        </w:rPr>
        <w:t xml:space="preserve">. </w:t>
      </w:r>
      <w:r w:rsidRPr="00A543DC">
        <w:rPr>
          <w:rFonts w:cs="Times New Roman"/>
          <w:lang w:val="en-US"/>
        </w:rPr>
        <w:t xml:space="preserve">27; Morin et al., </w:t>
      </w:r>
      <w:r w:rsidRPr="00A543DC">
        <w:rPr>
          <w:rFonts w:cs="Times New Roman"/>
        </w:rPr>
        <w:t xml:space="preserve">at p. 271). A contract must also have a cause and an object (art. 1385 of the </w:t>
      </w:r>
      <w:r w:rsidRPr="00A543DC">
        <w:rPr>
          <w:rFonts w:cs="Times New Roman"/>
          <w:i/>
        </w:rPr>
        <w:t>Civil Code</w:t>
      </w:r>
      <w:r w:rsidRPr="00A543DC">
        <w:rPr>
          <w:rFonts w:cs="Times New Roman"/>
        </w:rPr>
        <w:t>).</w:t>
      </w:r>
    </w:p>
    <w:p w:rsidR="0074418B" w:rsidRPr="00A543DC" w:rsidRDefault="0074418B" w:rsidP="007D4186">
      <w:pPr>
        <w:pStyle w:val="ParaNoNdepar-AltN"/>
        <w:rPr>
          <w:rFonts w:cs="Times New Roman"/>
        </w:rPr>
      </w:pPr>
      <w:r w:rsidRPr="00A543DC">
        <w:rPr>
          <w:rFonts w:cs="Times New Roman"/>
        </w:rPr>
        <w:t xml:space="preserve">The CLP acknowledged that a supply teacher who goes into the school to teach fulfills all of the necessary elements for the formation of a contract of employment and is therefore a “worker” within the meaning of the </w:t>
      </w:r>
      <w:r w:rsidRPr="00A543DC">
        <w:rPr>
          <w:rFonts w:cs="Times New Roman"/>
          <w:i/>
          <w:lang w:val="en-US"/>
        </w:rPr>
        <w:t>Act</w:t>
      </w:r>
      <w:r w:rsidRPr="00A543DC">
        <w:rPr>
          <w:rFonts w:cs="Times New Roman"/>
        </w:rPr>
        <w:t xml:space="preserve">. She would accordingly be entitled to protection under the </w:t>
      </w:r>
      <w:r w:rsidRPr="00A543DC">
        <w:rPr>
          <w:rFonts w:cs="Times New Roman"/>
          <w:i/>
          <w:lang w:val="en-US"/>
        </w:rPr>
        <w:t>Act</w:t>
      </w:r>
      <w:r w:rsidRPr="00A543DC">
        <w:rPr>
          <w:rFonts w:cs="Times New Roman"/>
        </w:rPr>
        <w:t xml:space="preserve">, including Preventive Withdrawal in the appropriate circumstances. The dispute in this case therefore is not whether a supply teacher can claim rights under the </w:t>
      </w:r>
      <w:r w:rsidRPr="00A543DC">
        <w:rPr>
          <w:rFonts w:cs="Times New Roman"/>
          <w:i/>
          <w:lang w:val="en-US"/>
        </w:rPr>
        <w:t>Act</w:t>
      </w:r>
      <w:r w:rsidRPr="00A543DC">
        <w:rPr>
          <w:rFonts w:cs="Times New Roman"/>
        </w:rPr>
        <w:t xml:space="preserve">, but whether a workplace danger acts as an impediment to contract formation in the first place. </w:t>
      </w:r>
    </w:p>
    <w:p w:rsidR="0074418B" w:rsidRPr="00A543DC" w:rsidRDefault="0074418B" w:rsidP="007D4186">
      <w:pPr>
        <w:pStyle w:val="ParaNoNdepar-AltN"/>
        <w:rPr>
          <w:rFonts w:cs="Times New Roman"/>
        </w:rPr>
      </w:pPr>
      <w:r w:rsidRPr="00A543DC">
        <w:rPr>
          <w:rFonts w:cs="Times New Roman"/>
        </w:rPr>
        <w:t xml:space="preserve">The CLP was of the view that because Ms. Dionne could not enter the workplace to teach, this essential element of the performance of the contract was missing. As a result, no contract of employment was formed since Ms. Dionne’s </w:t>
      </w:r>
      <w:r w:rsidRPr="00A543DC">
        <w:rPr>
          <w:rFonts w:cs="Times New Roman"/>
        </w:rPr>
        <w:lastRenderedPageBreak/>
        <w:t xml:space="preserve">invocation of her right to Preventive Withdrawal meant she could not work. This, with respect, is an unreasonable interpretation of the performance requirement for the formation of a “contract of employment” under the </w:t>
      </w:r>
      <w:r w:rsidRPr="00A543DC">
        <w:rPr>
          <w:rFonts w:cs="Times New Roman"/>
          <w:i/>
        </w:rPr>
        <w:t>Act</w:t>
      </w:r>
      <w:r w:rsidRPr="00A543DC">
        <w:rPr>
          <w:rFonts w:cs="Times New Roman"/>
        </w:rPr>
        <w:t>.</w:t>
      </w:r>
    </w:p>
    <w:p w:rsidR="0074418B" w:rsidRPr="00A543DC" w:rsidRDefault="0074418B" w:rsidP="007D4186">
      <w:pPr>
        <w:pStyle w:val="ParaNoNdepar-AltN"/>
        <w:rPr>
          <w:rFonts w:cs="Times New Roman"/>
        </w:rPr>
      </w:pPr>
      <w:r w:rsidRPr="00A543DC">
        <w:rPr>
          <w:rFonts w:cs="Times New Roman"/>
        </w:rPr>
        <w:t xml:space="preserve">The </w:t>
      </w:r>
      <w:r w:rsidRPr="00A543DC">
        <w:rPr>
          <w:rFonts w:cs="Times New Roman"/>
          <w:i/>
        </w:rPr>
        <w:t>Act</w:t>
      </w:r>
      <w:r w:rsidRPr="00A543DC">
        <w:rPr>
          <w:rFonts w:cs="Times New Roman"/>
        </w:rPr>
        <w:t xml:space="preserve"> defines “worker” differently than does the </w:t>
      </w:r>
      <w:r w:rsidRPr="00A543DC">
        <w:rPr>
          <w:rFonts w:cs="Times New Roman"/>
          <w:i/>
        </w:rPr>
        <w:t>Civil Code</w:t>
      </w:r>
      <w:r w:rsidRPr="00A543DC">
        <w:rPr>
          <w:rFonts w:cs="Times New Roman"/>
        </w:rPr>
        <w:t xml:space="preserve"> — a person who carries out work even without remuneration rather than an employee who works for remuneration. It is therefore clear that the legislative intention was to reach a much broader worker constituency than that contemplated by “employee” in the </w:t>
      </w:r>
      <w:r w:rsidRPr="00A543DC">
        <w:rPr>
          <w:rFonts w:cs="Times New Roman"/>
          <w:i/>
        </w:rPr>
        <w:t>Civil Code</w:t>
      </w:r>
      <w:r w:rsidRPr="00A543DC">
        <w:rPr>
          <w:rFonts w:cs="Times New Roman"/>
        </w:rPr>
        <w:t xml:space="preserve">.  This more generous interpretation of “worker” is warranted not only by the </w:t>
      </w:r>
      <w:r w:rsidRPr="00A543DC">
        <w:rPr>
          <w:rFonts w:cs="Times New Roman"/>
          <w:i/>
        </w:rPr>
        <w:t>Act</w:t>
      </w:r>
      <w:r w:rsidRPr="00A543DC">
        <w:rPr>
          <w:rFonts w:cs="Times New Roman"/>
        </w:rPr>
        <w:t xml:space="preserve">’s status as being of public order, it is permitted by the preamble to the </w:t>
      </w:r>
      <w:r w:rsidRPr="00A543DC">
        <w:rPr>
          <w:rFonts w:cs="Times New Roman"/>
          <w:i/>
        </w:rPr>
        <w:t>Code</w:t>
      </w:r>
      <w:r w:rsidRPr="00A543DC">
        <w:rPr>
          <w:rFonts w:cs="Times New Roman"/>
        </w:rPr>
        <w:t xml:space="preserve">, which allows other laws to “complement the Code or make exceptions to it” (see </w:t>
      </w:r>
      <w:r w:rsidR="0066687A">
        <w:rPr>
          <w:rFonts w:cs="Times New Roman"/>
        </w:rPr>
        <w:t xml:space="preserve">also </w:t>
      </w:r>
      <w:r w:rsidRPr="00A543DC">
        <w:rPr>
          <w:rFonts w:cs="Times New Roman"/>
          <w:i/>
        </w:rPr>
        <w:t>Interpretation Act</w:t>
      </w:r>
      <w:r w:rsidRPr="00A543DC">
        <w:rPr>
          <w:rFonts w:cs="Times New Roman"/>
        </w:rPr>
        <w:t xml:space="preserve">, CQLR, c. I-16, s. 41; </w:t>
      </w:r>
      <w:r w:rsidRPr="00A543DC">
        <w:rPr>
          <w:rFonts w:cs="Times New Roman"/>
          <w:i/>
        </w:rPr>
        <w:t xml:space="preserve">Westmount (City) v. </w:t>
      </w:r>
      <w:proofErr w:type="spellStart"/>
      <w:r w:rsidRPr="00A543DC">
        <w:rPr>
          <w:rFonts w:cs="Times New Roman"/>
          <w:i/>
        </w:rPr>
        <w:t>Rossy</w:t>
      </w:r>
      <w:proofErr w:type="spellEnd"/>
      <w:r w:rsidRPr="00A543DC">
        <w:rPr>
          <w:rFonts w:cs="Times New Roman"/>
        </w:rPr>
        <w:t xml:space="preserve">, [2012] 2 S.C.R. 136, at </w:t>
      </w:r>
      <w:proofErr w:type="spellStart"/>
      <w:r w:rsidRPr="00A543DC">
        <w:rPr>
          <w:rFonts w:cs="Times New Roman"/>
        </w:rPr>
        <w:t>para</w:t>
      </w:r>
      <w:proofErr w:type="spellEnd"/>
      <w:r w:rsidRPr="00A543DC">
        <w:rPr>
          <w:rFonts w:cs="Times New Roman"/>
        </w:rPr>
        <w:t>. 21).</w:t>
      </w:r>
    </w:p>
    <w:p w:rsidR="0074418B" w:rsidRPr="00A543DC" w:rsidRDefault="0074418B" w:rsidP="007D4186">
      <w:pPr>
        <w:pStyle w:val="ParaNoNdepar-AltN"/>
        <w:rPr>
          <w:rFonts w:cs="Times New Roman"/>
        </w:rPr>
      </w:pPr>
      <w:r w:rsidRPr="00A543DC">
        <w:rPr>
          <w:rFonts w:cs="Times New Roman"/>
        </w:rPr>
        <w:t xml:space="preserve">The difference in wording also helps inform the interpretation of the performance of work requirement for the formation of a “contract of employment” for purposes of the definition of “worker” under s. 1 of the </w:t>
      </w:r>
      <w:r w:rsidRPr="00A543DC">
        <w:rPr>
          <w:rFonts w:cs="Times New Roman"/>
          <w:i/>
        </w:rPr>
        <w:t>Act</w:t>
      </w:r>
      <w:r w:rsidRPr="00A543DC">
        <w:rPr>
          <w:rFonts w:cs="Times New Roman"/>
        </w:rPr>
        <w:t xml:space="preserve">. In my view, this requirement must be interpreted in a way that renders it meaningful in the context of a scheme designed to allow workers to withdraw from an unsafe workplace.  In the same way that the legislature varied the </w:t>
      </w:r>
      <w:r w:rsidRPr="00A543DC">
        <w:rPr>
          <w:rFonts w:cs="Times New Roman"/>
          <w:i/>
        </w:rPr>
        <w:t>Civil Code</w:t>
      </w:r>
      <w:r w:rsidRPr="00A543DC">
        <w:rPr>
          <w:rFonts w:cs="Times New Roman"/>
        </w:rPr>
        <w:t xml:space="preserve"> requirement of remuneration for the formation of a “contract of employment” under the </w:t>
      </w:r>
      <w:r w:rsidRPr="00A543DC">
        <w:rPr>
          <w:rFonts w:cs="Times New Roman"/>
          <w:i/>
        </w:rPr>
        <w:t>Act</w:t>
      </w:r>
      <w:r w:rsidRPr="00A543DC">
        <w:rPr>
          <w:rFonts w:cs="Times New Roman"/>
        </w:rPr>
        <w:t xml:space="preserve">, it also addressed the performance of work requirement by stipulating that when someone withdraws from an unsafe workplace after contract formation, he or she is still working.  In other words, the “performance of work” requirement will be met even if, after the contract </w:t>
      </w:r>
      <w:r w:rsidRPr="00A543DC">
        <w:rPr>
          <w:rFonts w:cs="Times New Roman"/>
        </w:rPr>
        <w:lastRenderedPageBreak/>
        <w:t xml:space="preserve">is formed, the worker withdraws for workplace health and safety reasons since at that point he or she is deemed by the </w:t>
      </w:r>
      <w:r w:rsidRPr="00A543DC">
        <w:rPr>
          <w:rFonts w:cs="Times New Roman"/>
          <w:i/>
        </w:rPr>
        <w:t>Act</w:t>
      </w:r>
      <w:r w:rsidRPr="00A543DC">
        <w:rPr>
          <w:rFonts w:cs="Times New Roman"/>
        </w:rPr>
        <w:t xml:space="preserve"> to be “at work”.  </w:t>
      </w:r>
    </w:p>
    <w:p w:rsidR="0074418B" w:rsidRPr="00A543DC" w:rsidRDefault="0074418B" w:rsidP="007D4186">
      <w:pPr>
        <w:pStyle w:val="ParaNoNdepar-AltN"/>
        <w:rPr>
          <w:rFonts w:cs="Times New Roman"/>
        </w:rPr>
      </w:pPr>
      <w:r w:rsidRPr="00A543DC">
        <w:rPr>
          <w:rFonts w:cs="Times New Roman"/>
        </w:rPr>
        <w:t xml:space="preserve">The scheme is intended to protect pregnant workers who have a contract to work.  It would be anomalous, to say the least, to use the legislated right of a pregnant worker to withdraw from an unsafe workplace to conclude that her withdrawal negates the formation of the contract of employment.  </w:t>
      </w:r>
    </w:p>
    <w:p w:rsidR="0074418B" w:rsidRPr="00A543DC" w:rsidRDefault="0074418B" w:rsidP="007D4186">
      <w:pPr>
        <w:pStyle w:val="ParaNoNdepar-AltN"/>
        <w:rPr>
          <w:rFonts w:cs="Times New Roman"/>
        </w:rPr>
      </w:pPr>
      <w:r w:rsidRPr="00A543DC">
        <w:rPr>
          <w:rFonts w:cs="Times New Roman"/>
        </w:rPr>
        <w:t xml:space="preserve">As </w:t>
      </w:r>
      <w:proofErr w:type="spellStart"/>
      <w:r w:rsidRPr="00A543DC">
        <w:rPr>
          <w:rFonts w:cs="Times New Roman"/>
        </w:rPr>
        <w:t>Beetz</w:t>
      </w:r>
      <w:proofErr w:type="spellEnd"/>
      <w:r w:rsidRPr="00A543DC">
        <w:rPr>
          <w:rFonts w:cs="Times New Roman"/>
        </w:rPr>
        <w:t xml:space="preserve"> J. confirmed in </w:t>
      </w:r>
      <w:r w:rsidRPr="00A543DC">
        <w:rPr>
          <w:rFonts w:cs="Times New Roman"/>
          <w:i/>
        </w:rPr>
        <w:t>Bell Canada</w:t>
      </w:r>
      <w:r w:rsidRPr="00A543DC">
        <w:rPr>
          <w:rFonts w:cs="Times New Roman"/>
        </w:rPr>
        <w:t xml:space="preserve">, Preventive Withdrawal is not a failure or inability to perform the work, it is deemed by the statutory scheme to be a </w:t>
      </w:r>
      <w:r w:rsidRPr="00A543DC">
        <w:rPr>
          <w:rFonts w:cs="Times New Roman"/>
          <w:i/>
        </w:rPr>
        <w:t>substitution</w:t>
      </w:r>
      <w:r w:rsidRPr="00A543DC">
        <w:rPr>
          <w:rFonts w:cs="Times New Roman"/>
        </w:rPr>
        <w:t xml:space="preserve"> of the work. That is, exercising the right </w:t>
      </w:r>
      <w:r w:rsidRPr="00A543DC">
        <w:rPr>
          <w:rFonts w:cs="Times New Roman"/>
          <w:i/>
        </w:rPr>
        <w:t>is</w:t>
      </w:r>
      <w:r w:rsidRPr="00A543DC">
        <w:rPr>
          <w:rFonts w:cs="Times New Roman"/>
        </w:rPr>
        <w:t xml:space="preserve"> the performance of the work (</w:t>
      </w:r>
      <w:r w:rsidRPr="00A543DC">
        <w:rPr>
          <w:rFonts w:cs="Times New Roman"/>
          <w:i/>
        </w:rPr>
        <w:t>Bell Canada</w:t>
      </w:r>
      <w:r w:rsidRPr="00A543DC">
        <w:rPr>
          <w:rFonts w:cs="Times New Roman"/>
        </w:rPr>
        <w:t xml:space="preserve">, at p. 801). The right to reassignment ensures that workers can continue to fulfill their employment obligations without risk to their health.  The worker is offering himself or herself to perform work, but not work that endangers his or her health. In exercising her right to Preventive Withdrawal, she is not indicating that she is refusing to work, she is deemed to be asking instead that she be reassigned to safe tasks. What prevents the performance of work is the employer’s inability to provide a safe working alternative.  </w:t>
      </w:r>
    </w:p>
    <w:p w:rsidR="0074418B" w:rsidRPr="00A543DC" w:rsidRDefault="0074418B" w:rsidP="007D4186">
      <w:pPr>
        <w:pStyle w:val="ParaNoNdepar-AltN"/>
        <w:rPr>
          <w:rFonts w:cs="Times New Roman"/>
        </w:rPr>
      </w:pPr>
      <w:r w:rsidRPr="00A543DC">
        <w:rPr>
          <w:rFonts w:cs="Times New Roman"/>
        </w:rPr>
        <w:t xml:space="preserve">Upon accepting the School Board’s offer on November 13, 2006, Ms. Dionne was presented with a choice: she could attend at the school and teach for the day, exposing her fetus to danger, or she could rely on her Certificate to assert her right to Preventive Withdrawal under the </w:t>
      </w:r>
      <w:r w:rsidRPr="00A543DC">
        <w:rPr>
          <w:rFonts w:cs="Times New Roman"/>
          <w:i/>
          <w:lang w:val="en-US"/>
        </w:rPr>
        <w:t>Act</w:t>
      </w:r>
      <w:r w:rsidRPr="00A543DC">
        <w:rPr>
          <w:rFonts w:cs="Times New Roman"/>
        </w:rPr>
        <w:t xml:space="preserve">. She chose the latter, and in so doing relied on her statutory right to refuse dangerous work.  Upon invoking her Certificate, </w:t>
      </w:r>
      <w:r w:rsidRPr="00A543DC">
        <w:rPr>
          <w:rFonts w:cs="Times New Roman"/>
        </w:rPr>
        <w:lastRenderedPageBreak/>
        <w:t xml:space="preserve">she was entitled to Preventive Withdrawal, and the School Board was immediately required to offer her other tasks compatible with her health needs. No such offer of reassignment took place.  </w:t>
      </w:r>
    </w:p>
    <w:p w:rsidR="0074418B" w:rsidRPr="00A543DC" w:rsidRDefault="0074418B" w:rsidP="007D4186">
      <w:pPr>
        <w:pStyle w:val="ParaNoNdepar-AltN"/>
        <w:rPr>
          <w:rFonts w:cs="Times New Roman"/>
          <w:lang w:val="en-US"/>
        </w:rPr>
      </w:pPr>
      <w:r w:rsidRPr="00A543DC">
        <w:rPr>
          <w:rFonts w:cs="Times New Roman"/>
          <w:lang w:val="en-US"/>
        </w:rPr>
        <w:t xml:space="preserve">There is therefore no justification for excluding Ms. Dionne from the protections of the </w:t>
      </w:r>
      <w:r w:rsidRPr="00A543DC">
        <w:rPr>
          <w:rFonts w:cs="Times New Roman"/>
          <w:i/>
          <w:lang w:val="en-US"/>
        </w:rPr>
        <w:t>Act</w:t>
      </w:r>
      <w:r w:rsidRPr="00A543DC">
        <w:rPr>
          <w:rFonts w:cs="Times New Roman"/>
          <w:lang w:val="en-US"/>
        </w:rPr>
        <w:t xml:space="preserve">. </w:t>
      </w:r>
      <w:r w:rsidRPr="00A543DC">
        <w:rPr>
          <w:rFonts w:cs="Times New Roman"/>
        </w:rPr>
        <w:t xml:space="preserve">Since the CLP acknowledged that a teacher who performs a supply teaching contract is a “worker” under the </w:t>
      </w:r>
      <w:r w:rsidRPr="00A543DC">
        <w:rPr>
          <w:rFonts w:cs="Times New Roman"/>
          <w:i/>
          <w:lang w:val="en-US"/>
        </w:rPr>
        <w:t>Act</w:t>
      </w:r>
      <w:r w:rsidRPr="00A543DC">
        <w:rPr>
          <w:rFonts w:cs="Times New Roman"/>
        </w:rPr>
        <w:t xml:space="preserve">, that means that if Ms. Dionne had not been pregnant, there would be no dispute that she would be entitled to a healthy and safe work environment each time she went into the school to teach, as would any “worker” under the </w:t>
      </w:r>
      <w:r w:rsidRPr="00A543DC">
        <w:rPr>
          <w:rFonts w:cs="Times New Roman"/>
          <w:i/>
        </w:rPr>
        <w:t>Act</w:t>
      </w:r>
      <w:r w:rsidRPr="00A543DC">
        <w:rPr>
          <w:rFonts w:cs="Times New Roman"/>
          <w:lang w:val="en-US"/>
        </w:rPr>
        <w:t xml:space="preserve">.  A pregnant supply teacher is no less qualified for employment than a teacher who is not </w:t>
      </w:r>
      <w:proofErr w:type="gramStart"/>
      <w:r w:rsidRPr="00A543DC">
        <w:rPr>
          <w:rFonts w:cs="Times New Roman"/>
          <w:lang w:val="en-US"/>
        </w:rPr>
        <w:t>pregnant,</w:t>
      </w:r>
      <w:proofErr w:type="gramEnd"/>
      <w:r w:rsidRPr="00A543DC">
        <w:rPr>
          <w:rFonts w:cs="Times New Roman"/>
          <w:lang w:val="en-US"/>
        </w:rPr>
        <w:t xml:space="preserve"> and her aptitude and qualifications do not change upon becoming pregnant. </w:t>
      </w:r>
    </w:p>
    <w:p w:rsidR="0074418B" w:rsidRPr="00A543DC" w:rsidRDefault="0074418B" w:rsidP="007D4186">
      <w:pPr>
        <w:pStyle w:val="ParaNoNdepar-AltN"/>
        <w:rPr>
          <w:rFonts w:cs="Times New Roman"/>
        </w:rPr>
      </w:pPr>
      <w:r w:rsidRPr="00A543DC">
        <w:rPr>
          <w:rFonts w:cs="Times New Roman"/>
        </w:rPr>
        <w:t xml:space="preserve">A contract was formed on November 13, 2006 when Ms. Dionne accepted the School Board’s offer to supply teach and therefore became a “worker” in accordance with the definition in s. 1 of the </w:t>
      </w:r>
      <w:r w:rsidRPr="00A543DC">
        <w:rPr>
          <w:rFonts w:cs="Times New Roman"/>
          <w:i/>
        </w:rPr>
        <w:t>Act</w:t>
      </w:r>
      <w:r w:rsidRPr="00A543DC">
        <w:rPr>
          <w:rFonts w:cs="Times New Roman"/>
        </w:rPr>
        <w:t xml:space="preserve">. Her pregnancy was not an incapacity that prevented her from performing the work, it was the dangerous workplace, and that in turn triggered her statutory right to substitute that work with a safe task or withdraw. </w:t>
      </w:r>
    </w:p>
    <w:p w:rsidR="0074418B" w:rsidRPr="00A543DC" w:rsidRDefault="0074418B" w:rsidP="007D4186">
      <w:pPr>
        <w:pStyle w:val="ParaNoNdepar-AltN"/>
        <w:rPr>
          <w:rFonts w:cs="Times New Roman"/>
        </w:rPr>
      </w:pPr>
      <w:r w:rsidRPr="00A543DC">
        <w:rPr>
          <w:rFonts w:cs="Times New Roman"/>
        </w:rPr>
        <w:t xml:space="preserve">The CLP’s interpretation of Preventive Withdrawal as an incapacity to perform work also limits the definition of a “worker” to someone who can perform work immediately without any health or safety issues. Pre-emptively excluding a portion of the workforce from the protective scope of the </w:t>
      </w:r>
      <w:r w:rsidRPr="00A543DC">
        <w:rPr>
          <w:rFonts w:cs="Times New Roman"/>
          <w:i/>
        </w:rPr>
        <w:t>Act</w:t>
      </w:r>
      <w:r w:rsidRPr="00A543DC">
        <w:rPr>
          <w:rFonts w:cs="Times New Roman"/>
        </w:rPr>
        <w:t xml:space="preserve">, as the CLP did by </w:t>
      </w:r>
      <w:r w:rsidRPr="00A543DC">
        <w:rPr>
          <w:rFonts w:cs="Times New Roman"/>
        </w:rPr>
        <w:lastRenderedPageBreak/>
        <w:t xml:space="preserve">excluding pregnant contract workers, ignores the broad legislative purpose. It puts these women in the untenable position of having to choose between entering into an employment contract in order to work and protecting their health and safety. The </w:t>
      </w:r>
      <w:r w:rsidRPr="00A543DC">
        <w:rPr>
          <w:rFonts w:cs="Times New Roman"/>
          <w:i/>
        </w:rPr>
        <w:t>Act</w:t>
      </w:r>
      <w:r w:rsidRPr="00A543DC">
        <w:rPr>
          <w:rFonts w:cs="Times New Roman"/>
        </w:rPr>
        <w:t xml:space="preserve"> is designed to make these two concerns — work and safety — compatible.  The CLP’s approach, with respect, treats them as mutually exclusive. </w:t>
      </w:r>
    </w:p>
    <w:p w:rsidR="0074418B" w:rsidRPr="00A543DC" w:rsidRDefault="0074418B" w:rsidP="007D4186">
      <w:pPr>
        <w:pStyle w:val="ParaNoNdepar-AltN"/>
        <w:rPr>
          <w:rFonts w:cs="Times New Roman"/>
          <w:lang w:val="en-US"/>
        </w:rPr>
      </w:pPr>
      <w:r w:rsidRPr="00A543DC">
        <w:rPr>
          <w:rFonts w:cs="Times New Roman"/>
          <w:lang w:val="en-US"/>
        </w:rPr>
        <w:t xml:space="preserve">The </w:t>
      </w:r>
      <w:r w:rsidRPr="00A543DC">
        <w:rPr>
          <w:rFonts w:cs="Times New Roman"/>
          <w:i/>
          <w:lang w:val="en-US"/>
        </w:rPr>
        <w:t>Act</w:t>
      </w:r>
      <w:r w:rsidRPr="00A543DC">
        <w:rPr>
          <w:rFonts w:cs="Times New Roman"/>
          <w:lang w:val="en-US"/>
        </w:rPr>
        <w:t xml:space="preserve"> specifically allows Ms. Dionne to substitute her performance of the supply teaching contract with an alternative task or Preventive Withdrawal. Her invocation of the Certificate does not mean she is unwilling to work, it means that she is unwilling to expose herself or her fetus to health risks in the workplace. </w:t>
      </w:r>
      <w:r w:rsidRPr="00A543DC">
        <w:rPr>
          <w:rFonts w:cs="Times New Roman"/>
        </w:rPr>
        <w:t xml:space="preserve">The CLP’s conclusion that Ms. Dionne could not enter into a contract because she was pregnant and refused unsafe work, ignores the fact that Ms. Dionne was deemed by s. 14 of the </w:t>
      </w:r>
      <w:r w:rsidRPr="00A543DC">
        <w:rPr>
          <w:rFonts w:cs="Times New Roman"/>
          <w:i/>
        </w:rPr>
        <w:t>Act</w:t>
      </w:r>
      <w:r w:rsidRPr="00A543DC">
        <w:rPr>
          <w:rFonts w:cs="Times New Roman"/>
        </w:rPr>
        <w:t xml:space="preserve"> to be “at work” when she was on Preventive Withdrawal and left her having to choose between her work and her health.  This is an approach that recreates the very Gordian </w:t>
      </w:r>
      <w:proofErr w:type="gramStart"/>
      <w:r w:rsidRPr="00A543DC">
        <w:rPr>
          <w:rFonts w:cs="Times New Roman"/>
        </w:rPr>
        <w:t>Knot</w:t>
      </w:r>
      <w:proofErr w:type="gramEnd"/>
      <w:r w:rsidRPr="00A543DC">
        <w:rPr>
          <w:rFonts w:cs="Times New Roman"/>
        </w:rPr>
        <w:t xml:space="preserve"> the statutory scheme was designed to cut. Because the CLP’s conclusion undermines the objectives of the </w:t>
      </w:r>
      <w:r w:rsidRPr="00A543DC">
        <w:rPr>
          <w:rFonts w:cs="Times New Roman"/>
          <w:i/>
        </w:rPr>
        <w:t>Act</w:t>
      </w:r>
      <w:r w:rsidRPr="00A543DC">
        <w:rPr>
          <w:rFonts w:cs="Times New Roman"/>
        </w:rPr>
        <w:t>,</w:t>
      </w:r>
      <w:r w:rsidRPr="00A543DC">
        <w:rPr>
          <w:rFonts w:cs="Times New Roman"/>
          <w:i/>
        </w:rPr>
        <w:t xml:space="preserve"> </w:t>
      </w:r>
      <w:r w:rsidRPr="00A543DC">
        <w:rPr>
          <w:rFonts w:cs="Times New Roman"/>
        </w:rPr>
        <w:t>it is, in my respectful view, unreasonable.</w:t>
      </w:r>
    </w:p>
    <w:p w:rsidR="007D4186" w:rsidRPr="007D4186" w:rsidRDefault="0074418B" w:rsidP="007D4186">
      <w:pPr>
        <w:pStyle w:val="ParaNoNdepar-AltN"/>
        <w:rPr>
          <w:rFonts w:cs="Times New Roman"/>
          <w:b/>
        </w:rPr>
      </w:pPr>
      <w:r w:rsidRPr="00A543DC">
        <w:rPr>
          <w:rFonts w:cs="Times New Roman"/>
        </w:rPr>
        <w:t xml:space="preserve">I would allow the appeal with costs throughout. </w:t>
      </w:r>
    </w:p>
    <w:p w:rsidR="009B57B3" w:rsidRPr="007D4186" w:rsidRDefault="00651BF3" w:rsidP="007D4186">
      <w:pPr>
        <w:pStyle w:val="SCCLawFirm"/>
        <w:spacing w:after="480"/>
        <w:rPr>
          <w:b/>
        </w:rPr>
      </w:pPr>
      <w:r w:rsidRPr="007D4186">
        <w:rPr>
          <w:lang w:val="en-US"/>
        </w:rPr>
        <w:tab/>
      </w:r>
      <w:r w:rsidR="00656313" w:rsidRPr="007D4186">
        <w:rPr>
          <w:lang w:val="en-US"/>
        </w:rPr>
        <w:t>Appeal</w:t>
      </w:r>
      <w:r w:rsidRPr="007D4186">
        <w:rPr>
          <w:lang w:val="en-US"/>
        </w:rPr>
        <w:t xml:space="preserve"> </w:t>
      </w:r>
      <w:r w:rsidR="00AD4BFD" w:rsidRPr="007D4186">
        <w:rPr>
          <w:lang w:val="en-US"/>
        </w:rPr>
        <w:t>allowed with costs throughout</w:t>
      </w:r>
      <w:r w:rsidRPr="007D4186">
        <w:rPr>
          <w:lang w:val="en-US"/>
        </w:rPr>
        <w:t>.</w:t>
      </w:r>
    </w:p>
    <w:p w:rsidR="00CB397C" w:rsidRPr="00422380" w:rsidRDefault="008D68CC" w:rsidP="007D4186">
      <w:pPr>
        <w:pStyle w:val="SCCLawFirm"/>
        <w:spacing w:after="480"/>
        <w:rPr>
          <w:lang w:val="fr-CA"/>
        </w:rPr>
      </w:pPr>
      <w:r w:rsidRPr="00422380">
        <w:rPr>
          <w:lang w:val="en-US"/>
        </w:rPr>
        <w:tab/>
      </w:r>
      <w:r w:rsidRPr="00422380">
        <w:rPr>
          <w:lang w:val="fr-CA"/>
        </w:rPr>
        <w:t xml:space="preserve">Solicitors for the </w:t>
      </w:r>
      <w:proofErr w:type="spellStart"/>
      <w:r w:rsidRPr="00422380">
        <w:rPr>
          <w:lang w:val="fr-CA"/>
        </w:rPr>
        <w:t>appellant</w:t>
      </w:r>
      <w:proofErr w:type="spellEnd"/>
      <w:r w:rsidRPr="00422380">
        <w:rPr>
          <w:lang w:val="fr-CA"/>
        </w:rPr>
        <w:t>:</w:t>
      </w:r>
      <w:r w:rsidR="007D4186">
        <w:rPr>
          <w:lang w:val="fr-CA"/>
        </w:rPr>
        <w:t xml:space="preserve"> </w:t>
      </w:r>
      <w:proofErr w:type="spellStart"/>
      <w:r w:rsidR="00CB397C" w:rsidRPr="00422380">
        <w:rPr>
          <w:lang w:val="fr-CA"/>
        </w:rPr>
        <w:t>Melançon</w:t>
      </w:r>
      <w:proofErr w:type="spellEnd"/>
      <w:r w:rsidR="00CB397C" w:rsidRPr="00422380">
        <w:rPr>
          <w:lang w:val="fr-CA"/>
        </w:rPr>
        <w:t xml:space="preserve"> Marceau Grenier et </w:t>
      </w:r>
      <w:proofErr w:type="spellStart"/>
      <w:r w:rsidR="00CB397C" w:rsidRPr="00422380">
        <w:rPr>
          <w:lang w:val="fr-CA"/>
        </w:rPr>
        <w:t>Sciortino</w:t>
      </w:r>
      <w:proofErr w:type="spellEnd"/>
      <w:r w:rsidR="00CB397C" w:rsidRPr="00422380">
        <w:rPr>
          <w:lang w:val="fr-CA"/>
        </w:rPr>
        <w:t>, Montréal.</w:t>
      </w:r>
    </w:p>
    <w:p w:rsidR="00CB397C" w:rsidRPr="00422380" w:rsidRDefault="00CB397C" w:rsidP="007D4186">
      <w:pPr>
        <w:pStyle w:val="SCCLawFirm"/>
        <w:spacing w:after="480"/>
        <w:rPr>
          <w:lang w:val="fr-CA"/>
        </w:rPr>
      </w:pPr>
      <w:r w:rsidRPr="00422380">
        <w:rPr>
          <w:lang w:val="fr-CA"/>
        </w:rPr>
        <w:lastRenderedPageBreak/>
        <w:tab/>
        <w:t xml:space="preserve">Solicitors for the </w:t>
      </w:r>
      <w:proofErr w:type="spellStart"/>
      <w:r w:rsidRPr="00422380">
        <w:rPr>
          <w:lang w:val="fr-CA"/>
        </w:rPr>
        <w:t>respondent</w:t>
      </w:r>
      <w:proofErr w:type="spellEnd"/>
      <w:r w:rsidRPr="00422380">
        <w:rPr>
          <w:lang w:val="fr-CA"/>
        </w:rPr>
        <w:t xml:space="preserve"> Commission scolaire des Patriotes</w:t>
      </w:r>
      <w:r w:rsidR="008D68CC" w:rsidRPr="00422380">
        <w:rPr>
          <w:lang w:val="fr-CA"/>
        </w:rPr>
        <w:t>:</w:t>
      </w:r>
      <w:r w:rsidR="007D4186">
        <w:rPr>
          <w:lang w:val="fr-CA"/>
        </w:rPr>
        <w:t xml:space="preserve"> </w:t>
      </w:r>
      <w:r w:rsidRPr="00422380">
        <w:rPr>
          <w:lang w:val="fr-CA"/>
        </w:rPr>
        <w:t xml:space="preserve">Langlois </w:t>
      </w:r>
      <w:proofErr w:type="spellStart"/>
      <w:r w:rsidRPr="00422380">
        <w:rPr>
          <w:lang w:val="fr-CA"/>
        </w:rPr>
        <w:t>Kronström</w:t>
      </w:r>
      <w:proofErr w:type="spellEnd"/>
      <w:r w:rsidRPr="00422380">
        <w:rPr>
          <w:lang w:val="fr-CA"/>
        </w:rPr>
        <w:t xml:space="preserve"> Desjardins, Montréal.</w:t>
      </w:r>
    </w:p>
    <w:p w:rsidR="00CB397C" w:rsidRPr="00422380" w:rsidRDefault="00CB397C" w:rsidP="007D4186">
      <w:pPr>
        <w:pStyle w:val="SCCLawFirm"/>
        <w:spacing w:after="480"/>
        <w:rPr>
          <w:lang w:val="fr-CA"/>
        </w:rPr>
      </w:pPr>
      <w:r w:rsidRPr="00422380">
        <w:rPr>
          <w:lang w:val="fr-CA"/>
        </w:rPr>
        <w:tab/>
        <w:t xml:space="preserve">Solicitors for the </w:t>
      </w:r>
      <w:proofErr w:type="spellStart"/>
      <w:r w:rsidRPr="00422380">
        <w:rPr>
          <w:lang w:val="fr-CA"/>
        </w:rPr>
        <w:t>respondent</w:t>
      </w:r>
      <w:proofErr w:type="spellEnd"/>
      <w:r w:rsidRPr="00422380">
        <w:rPr>
          <w:lang w:val="fr-CA"/>
        </w:rPr>
        <w:t xml:space="preserve"> Commission des lésions professionnelles</w:t>
      </w:r>
      <w:r w:rsidR="008D68CC" w:rsidRPr="00422380">
        <w:rPr>
          <w:lang w:val="fr-CA"/>
        </w:rPr>
        <w:t>:</w:t>
      </w:r>
      <w:r w:rsidR="007D4186">
        <w:rPr>
          <w:lang w:val="fr-CA"/>
        </w:rPr>
        <w:t xml:space="preserve"> </w:t>
      </w:r>
      <w:r w:rsidRPr="00422380">
        <w:rPr>
          <w:lang w:val="fr-CA"/>
        </w:rPr>
        <w:t>Verge Bernier, Québec.</w:t>
      </w:r>
    </w:p>
    <w:p w:rsidR="00CB397C" w:rsidRPr="00422380" w:rsidRDefault="00CB397C" w:rsidP="007D4186">
      <w:pPr>
        <w:pStyle w:val="SCCLawFirm"/>
        <w:spacing w:after="480"/>
        <w:rPr>
          <w:lang w:val="fr-CA"/>
        </w:rPr>
      </w:pPr>
      <w:r w:rsidRPr="00422380">
        <w:rPr>
          <w:lang w:val="fr-CA"/>
        </w:rPr>
        <w:tab/>
        <w:t xml:space="preserve">Solicitors for the </w:t>
      </w:r>
      <w:proofErr w:type="spellStart"/>
      <w:r w:rsidRPr="00422380">
        <w:rPr>
          <w:lang w:val="fr-CA"/>
        </w:rPr>
        <w:t>intervener</w:t>
      </w:r>
      <w:proofErr w:type="spellEnd"/>
      <w:r w:rsidRPr="00422380">
        <w:rPr>
          <w:lang w:val="fr-CA"/>
        </w:rPr>
        <w:t xml:space="preserve"> Commission de la santé</w:t>
      </w:r>
      <w:r w:rsidR="008D68CC" w:rsidRPr="00422380">
        <w:rPr>
          <w:lang w:val="fr-CA"/>
        </w:rPr>
        <w:t xml:space="preserve"> et de la </w:t>
      </w:r>
      <w:r w:rsidR="007D4186">
        <w:rPr>
          <w:lang w:val="fr-CA"/>
        </w:rPr>
        <w:t xml:space="preserve">sécurité du travail: </w:t>
      </w:r>
      <w:r w:rsidRPr="00422380">
        <w:rPr>
          <w:lang w:val="fr-CA"/>
        </w:rPr>
        <w:t>Vigneault Thibodeau Bergeron, Québec and Montréal.</w:t>
      </w:r>
    </w:p>
    <w:p w:rsidR="004F00A5" w:rsidRPr="00422380" w:rsidRDefault="00CB397C" w:rsidP="007D4186">
      <w:pPr>
        <w:pStyle w:val="SCCLawFirm"/>
        <w:rPr>
          <w:lang w:val="fr-CA"/>
        </w:rPr>
      </w:pPr>
      <w:r w:rsidRPr="00422380">
        <w:rPr>
          <w:lang w:val="fr-CA"/>
        </w:rPr>
        <w:tab/>
        <w:t xml:space="preserve">Solicitors for the </w:t>
      </w:r>
      <w:proofErr w:type="spellStart"/>
      <w:r w:rsidRPr="00422380">
        <w:rPr>
          <w:lang w:val="fr-CA"/>
        </w:rPr>
        <w:t>intervener</w:t>
      </w:r>
      <w:proofErr w:type="spellEnd"/>
      <w:r w:rsidRPr="00422380">
        <w:rPr>
          <w:lang w:val="fr-CA"/>
        </w:rPr>
        <w:t xml:space="preserve"> Fédération des syndicats de l</w:t>
      </w:r>
      <w:r w:rsidR="00711C4C" w:rsidRPr="00422380">
        <w:rPr>
          <w:lang w:val="fr-CA"/>
        </w:rPr>
        <w:t>’</w:t>
      </w:r>
      <w:r w:rsidR="007D4186">
        <w:rPr>
          <w:lang w:val="fr-CA"/>
        </w:rPr>
        <w:t xml:space="preserve">enseignement: </w:t>
      </w:r>
      <w:proofErr w:type="spellStart"/>
      <w:r w:rsidRPr="00422380">
        <w:rPr>
          <w:lang w:val="fr-CA"/>
        </w:rPr>
        <w:t>Barabé</w:t>
      </w:r>
      <w:proofErr w:type="spellEnd"/>
      <w:r w:rsidRPr="00422380">
        <w:rPr>
          <w:lang w:val="fr-CA"/>
        </w:rPr>
        <w:t xml:space="preserve"> </w:t>
      </w:r>
      <w:proofErr w:type="spellStart"/>
      <w:r w:rsidRPr="00422380">
        <w:rPr>
          <w:lang w:val="fr-CA"/>
        </w:rPr>
        <w:t>Casavant</w:t>
      </w:r>
      <w:proofErr w:type="spellEnd"/>
      <w:r w:rsidRPr="00422380">
        <w:rPr>
          <w:lang w:val="fr-CA"/>
        </w:rPr>
        <w:t>, Montréal.</w:t>
      </w:r>
    </w:p>
    <w:sectPr w:rsidR="004F00A5" w:rsidRPr="00422380"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1F" w:rsidRDefault="00FF251F">
      <w:r>
        <w:separator/>
      </w:r>
    </w:p>
  </w:endnote>
  <w:endnote w:type="continuationSeparator" w:id="0">
    <w:p w:rsidR="00FF251F" w:rsidRDefault="00FF2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1F" w:rsidRDefault="00FF251F">
      <w:r>
        <w:separator/>
      </w:r>
    </w:p>
  </w:footnote>
  <w:footnote w:type="continuationSeparator" w:id="0">
    <w:p w:rsidR="00FF251F" w:rsidRDefault="00FF251F">
      <w:r>
        <w:continuationSeparator/>
      </w:r>
    </w:p>
  </w:footnote>
  <w:footnote w:id="1">
    <w:p w:rsidR="0074418B" w:rsidRPr="007D4E1C" w:rsidRDefault="0074418B" w:rsidP="0074418B">
      <w:pPr>
        <w:pStyle w:val="FootnoteText"/>
        <w:rPr>
          <w:lang w:val="en-US"/>
        </w:rPr>
      </w:pPr>
      <w:r>
        <w:rPr>
          <w:rStyle w:val="FootnoteReference"/>
        </w:rPr>
        <w:footnoteRef/>
      </w:r>
      <w:r w:rsidRPr="007D4E1C">
        <w:rPr>
          <w:lang w:val="en-US"/>
        </w:rPr>
        <w:t xml:space="preserve"> </w:t>
      </w:r>
      <w:r w:rsidRPr="00C3054F">
        <w:rPr>
          <w:i/>
          <w:lang w:val="en-US"/>
        </w:rPr>
        <w:t xml:space="preserve">Act </w:t>
      </w:r>
      <w:r w:rsidRPr="00570431">
        <w:rPr>
          <w:i/>
          <w:lang w:val="en-US"/>
        </w:rPr>
        <w:t>r</w:t>
      </w:r>
      <w:r w:rsidRPr="00C3054F">
        <w:rPr>
          <w:i/>
          <w:lang w:val="en-US"/>
        </w:rPr>
        <w:t xml:space="preserve">especting </w:t>
      </w:r>
      <w:r w:rsidRPr="00570431">
        <w:rPr>
          <w:i/>
          <w:lang w:val="en-US"/>
        </w:rPr>
        <w:t>o</w:t>
      </w:r>
      <w:r w:rsidRPr="00C3054F">
        <w:rPr>
          <w:i/>
          <w:lang w:val="en-US"/>
        </w:rPr>
        <w:t xml:space="preserve">ccupational </w:t>
      </w:r>
      <w:r w:rsidRPr="00570431">
        <w:rPr>
          <w:i/>
          <w:lang w:val="en-US"/>
        </w:rPr>
        <w:t>h</w:t>
      </w:r>
      <w:r w:rsidRPr="00C3054F">
        <w:rPr>
          <w:i/>
          <w:lang w:val="en-US"/>
        </w:rPr>
        <w:t xml:space="preserve">ealth and </w:t>
      </w:r>
      <w:r w:rsidRPr="00570431">
        <w:rPr>
          <w:i/>
          <w:lang w:val="en-US"/>
        </w:rPr>
        <w:t>s</w:t>
      </w:r>
      <w:r w:rsidRPr="00C3054F">
        <w:rPr>
          <w:i/>
          <w:lang w:val="en-US"/>
        </w:rPr>
        <w:t>afety</w:t>
      </w:r>
      <w:r w:rsidRPr="00570431">
        <w:rPr>
          <w:lang w:val="en-US"/>
        </w:rPr>
        <w:t>,</w:t>
      </w:r>
      <w:r>
        <w:t xml:space="preserve"> </w:t>
      </w:r>
      <w:r w:rsidRPr="007D4E1C">
        <w:rPr>
          <w:lang w:val="en-US"/>
        </w:rPr>
        <w:t>s. 41</w:t>
      </w:r>
      <w:r>
        <w:rPr>
          <w:lang w:val="en-US"/>
        </w:rPr>
        <w:t>.</w:t>
      </w:r>
    </w:p>
  </w:footnote>
  <w:footnote w:id="2">
    <w:p w:rsidR="0074418B" w:rsidRPr="007D4E1C" w:rsidRDefault="0074418B" w:rsidP="0074418B">
      <w:pPr>
        <w:pStyle w:val="FootnoteText"/>
        <w:rPr>
          <w:lang w:val="en-US"/>
        </w:rPr>
      </w:pPr>
      <w:r>
        <w:rPr>
          <w:rStyle w:val="FootnoteReference"/>
        </w:rPr>
        <w:footnoteRef/>
      </w:r>
      <w:r w:rsidRPr="007D4E1C">
        <w:rPr>
          <w:lang w:val="en-US"/>
        </w:rPr>
        <w:t xml:space="preserve"> </w:t>
      </w:r>
      <w:r w:rsidRPr="00C3054F">
        <w:rPr>
          <w:i/>
          <w:lang w:val="en-US"/>
        </w:rPr>
        <w:t xml:space="preserve">Act </w:t>
      </w:r>
      <w:r w:rsidRPr="00570431">
        <w:rPr>
          <w:i/>
          <w:lang w:val="en-US"/>
        </w:rPr>
        <w:t>r</w:t>
      </w:r>
      <w:r w:rsidRPr="00C3054F">
        <w:rPr>
          <w:i/>
          <w:lang w:val="en-US"/>
        </w:rPr>
        <w:t xml:space="preserve">especting </w:t>
      </w:r>
      <w:r w:rsidRPr="00570431">
        <w:rPr>
          <w:i/>
          <w:lang w:val="en-US"/>
        </w:rPr>
        <w:t>o</w:t>
      </w:r>
      <w:r w:rsidRPr="00C3054F">
        <w:rPr>
          <w:i/>
          <w:lang w:val="en-US"/>
        </w:rPr>
        <w:t xml:space="preserve">ccupational </w:t>
      </w:r>
      <w:r w:rsidRPr="00570431">
        <w:rPr>
          <w:i/>
          <w:lang w:val="en-US"/>
        </w:rPr>
        <w:t>h</w:t>
      </w:r>
      <w:r w:rsidRPr="00C3054F">
        <w:rPr>
          <w:i/>
          <w:lang w:val="en-US"/>
        </w:rPr>
        <w:t xml:space="preserve">ealth and </w:t>
      </w:r>
      <w:r w:rsidRPr="00570431">
        <w:rPr>
          <w:i/>
          <w:lang w:val="en-US"/>
        </w:rPr>
        <w:t>s</w:t>
      </w:r>
      <w:r w:rsidRPr="00C3054F">
        <w:rPr>
          <w:i/>
          <w:lang w:val="en-US"/>
        </w:rPr>
        <w:t>afety</w:t>
      </w:r>
      <w:r w:rsidRPr="00570431">
        <w:rPr>
          <w:lang w:val="en-US"/>
        </w:rPr>
        <w:t>,</w:t>
      </w:r>
      <w:r>
        <w:t xml:space="preserve"> </w:t>
      </w:r>
      <w:r w:rsidRPr="007D4E1C">
        <w:rPr>
          <w:lang w:val="en-US"/>
        </w:rPr>
        <w:t>s. 36.</w:t>
      </w:r>
    </w:p>
  </w:footnote>
  <w:footnote w:id="3">
    <w:p w:rsidR="0074418B" w:rsidRPr="009450D9" w:rsidRDefault="0074418B" w:rsidP="0074418B">
      <w:pPr>
        <w:pStyle w:val="FootnoteText"/>
      </w:pPr>
      <w:r>
        <w:rPr>
          <w:rStyle w:val="FootnoteReference"/>
        </w:rPr>
        <w:footnoteRef/>
      </w:r>
      <w:r>
        <w:t xml:space="preserve"> </w:t>
      </w:r>
      <w:r w:rsidRPr="003479B2">
        <w:rPr>
          <w:i/>
        </w:rPr>
        <w:t>An</w:t>
      </w:r>
      <w:r w:rsidRPr="00570431">
        <w:t xml:space="preserve"> </w:t>
      </w:r>
      <w:r w:rsidRPr="00E30698">
        <w:rPr>
          <w:i/>
          <w:lang w:val="en-US"/>
        </w:rPr>
        <w:t xml:space="preserve">Act </w:t>
      </w:r>
      <w:r w:rsidRPr="00570431">
        <w:rPr>
          <w:i/>
          <w:lang w:val="en-US"/>
        </w:rPr>
        <w:t>r</w:t>
      </w:r>
      <w:r w:rsidRPr="00E30698">
        <w:rPr>
          <w:i/>
          <w:lang w:val="en-US"/>
        </w:rPr>
        <w:t xml:space="preserve">especting </w:t>
      </w:r>
      <w:r w:rsidRPr="00570431">
        <w:rPr>
          <w:i/>
          <w:lang w:val="en-US"/>
        </w:rPr>
        <w:t>i</w:t>
      </w:r>
      <w:r w:rsidRPr="00E30698">
        <w:rPr>
          <w:i/>
          <w:lang w:val="en-US"/>
        </w:rPr>
        <w:t xml:space="preserve">ndustrial </w:t>
      </w:r>
      <w:r w:rsidRPr="00570431">
        <w:rPr>
          <w:i/>
          <w:lang w:val="en-US"/>
        </w:rPr>
        <w:t>a</w:t>
      </w:r>
      <w:r w:rsidRPr="00E30698">
        <w:rPr>
          <w:i/>
          <w:lang w:val="en-US"/>
        </w:rPr>
        <w:t xml:space="preserve">ccidents and </w:t>
      </w:r>
      <w:r w:rsidRPr="00570431">
        <w:rPr>
          <w:i/>
          <w:lang w:val="en-US"/>
        </w:rPr>
        <w:t>o</w:t>
      </w:r>
      <w:r w:rsidRPr="00E30698">
        <w:rPr>
          <w:i/>
          <w:lang w:val="en-US"/>
        </w:rPr>
        <w:t xml:space="preserve">ccupational </w:t>
      </w:r>
      <w:r w:rsidRPr="00570431">
        <w:rPr>
          <w:i/>
          <w:lang w:val="en-US"/>
        </w:rPr>
        <w:t>d</w:t>
      </w:r>
      <w:r w:rsidRPr="00E30698">
        <w:rPr>
          <w:i/>
          <w:lang w:val="en-US"/>
        </w:rPr>
        <w:t>iseases</w:t>
      </w:r>
      <w:r w:rsidRPr="00570431">
        <w:rPr>
          <w:lang w:val="en-US"/>
        </w:rPr>
        <w:t>,</w:t>
      </w:r>
      <w:r>
        <w:rPr>
          <w:i/>
          <w:lang w:val="en-US"/>
        </w:rPr>
        <w:t xml:space="preserve"> </w:t>
      </w:r>
      <w:r w:rsidRPr="00570431">
        <w:rPr>
          <w:lang w:val="en-US"/>
        </w:rPr>
        <w:t>CQLR,</w:t>
      </w:r>
      <w:r>
        <w:rPr>
          <w:lang w:val="en-US"/>
        </w:rPr>
        <w:t xml:space="preserve"> c. A-3.001, </w:t>
      </w:r>
      <w:r w:rsidRPr="00434686">
        <w:rPr>
          <w:lang w:val="en-US"/>
        </w:rPr>
        <w:t>s. 60</w:t>
      </w:r>
      <w:r>
        <w:rPr>
          <w:lang w:val="en-US"/>
        </w:rPr>
        <w:t>.</w:t>
      </w:r>
    </w:p>
  </w:footnote>
  <w:footnote w:id="4">
    <w:p w:rsidR="0074418B" w:rsidRPr="00434686" w:rsidRDefault="0074418B" w:rsidP="0074418B">
      <w:pPr>
        <w:pStyle w:val="FootnoteText"/>
        <w:rPr>
          <w:lang w:val="en-US"/>
        </w:rPr>
      </w:pPr>
      <w:r>
        <w:rPr>
          <w:rStyle w:val="FootnoteReference"/>
        </w:rPr>
        <w:footnoteRef/>
      </w:r>
      <w:r w:rsidRPr="00434686">
        <w:rPr>
          <w:i/>
          <w:lang w:val="en-US"/>
        </w:rPr>
        <w:t xml:space="preserve"> </w:t>
      </w:r>
      <w:r w:rsidRPr="00C3054F">
        <w:rPr>
          <w:i/>
          <w:lang w:val="en-US"/>
        </w:rPr>
        <w:t xml:space="preserve">Act </w:t>
      </w:r>
      <w:r w:rsidRPr="00570431">
        <w:rPr>
          <w:i/>
          <w:lang w:val="en-US"/>
        </w:rPr>
        <w:t>r</w:t>
      </w:r>
      <w:r w:rsidRPr="00C3054F">
        <w:rPr>
          <w:i/>
          <w:lang w:val="en-US"/>
        </w:rPr>
        <w:t xml:space="preserve">especting </w:t>
      </w:r>
      <w:r w:rsidRPr="00570431">
        <w:rPr>
          <w:i/>
          <w:lang w:val="en-US"/>
        </w:rPr>
        <w:t>o</w:t>
      </w:r>
      <w:r w:rsidRPr="00C3054F">
        <w:rPr>
          <w:i/>
          <w:lang w:val="en-US"/>
        </w:rPr>
        <w:t xml:space="preserve">ccupational </w:t>
      </w:r>
      <w:r w:rsidRPr="00570431">
        <w:rPr>
          <w:i/>
          <w:lang w:val="en-US"/>
        </w:rPr>
        <w:t>h</w:t>
      </w:r>
      <w:r w:rsidRPr="00C3054F">
        <w:rPr>
          <w:i/>
          <w:lang w:val="en-US"/>
        </w:rPr>
        <w:t xml:space="preserve">ealth and </w:t>
      </w:r>
      <w:r w:rsidRPr="00570431">
        <w:rPr>
          <w:i/>
          <w:lang w:val="en-US"/>
        </w:rPr>
        <w:t>s</w:t>
      </w:r>
      <w:r w:rsidRPr="00C3054F">
        <w:rPr>
          <w:i/>
          <w:lang w:val="en-US"/>
        </w:rPr>
        <w:t>afety</w:t>
      </w:r>
      <w:r w:rsidRPr="00570431">
        <w:rPr>
          <w:lang w:val="en-US"/>
        </w:rPr>
        <w:t>,</w:t>
      </w:r>
      <w:r>
        <w:rPr>
          <w:i/>
          <w:lang w:val="en-US"/>
        </w:rPr>
        <w:t xml:space="preserve"> </w:t>
      </w:r>
      <w:r>
        <w:rPr>
          <w:lang w:val="en-US"/>
        </w:rPr>
        <w:t>s. 45.</w:t>
      </w:r>
    </w:p>
  </w:footnote>
  <w:footnote w:id="5">
    <w:p w:rsidR="0074418B" w:rsidRPr="00B10A11" w:rsidRDefault="0074418B" w:rsidP="0074418B">
      <w:pPr>
        <w:pStyle w:val="FootnoteText"/>
        <w:rPr>
          <w:u w:val="single"/>
        </w:rPr>
      </w:pPr>
      <w:r>
        <w:rPr>
          <w:rStyle w:val="FootnoteReference"/>
        </w:rPr>
        <w:footnoteRef/>
      </w:r>
      <w:r>
        <w:t xml:space="preserve"> </w:t>
      </w:r>
      <w:r w:rsidRPr="00E30698">
        <w:rPr>
          <w:i/>
          <w:lang w:val="en-US"/>
        </w:rPr>
        <w:t xml:space="preserve">Act </w:t>
      </w:r>
      <w:r w:rsidRPr="00570431">
        <w:rPr>
          <w:i/>
          <w:lang w:val="en-US"/>
        </w:rPr>
        <w:t>r</w:t>
      </w:r>
      <w:r w:rsidRPr="00E30698">
        <w:rPr>
          <w:i/>
          <w:lang w:val="en-US"/>
        </w:rPr>
        <w:t xml:space="preserve">especting </w:t>
      </w:r>
      <w:r w:rsidRPr="00570431">
        <w:rPr>
          <w:i/>
          <w:lang w:val="en-US"/>
        </w:rPr>
        <w:t>i</w:t>
      </w:r>
      <w:r w:rsidRPr="00E30698">
        <w:rPr>
          <w:i/>
          <w:lang w:val="en-US"/>
        </w:rPr>
        <w:t xml:space="preserve">ndustrial </w:t>
      </w:r>
      <w:r w:rsidRPr="00570431">
        <w:rPr>
          <w:i/>
          <w:lang w:val="en-US"/>
        </w:rPr>
        <w:t>a</w:t>
      </w:r>
      <w:r w:rsidRPr="00E30698">
        <w:rPr>
          <w:i/>
          <w:lang w:val="en-US"/>
        </w:rPr>
        <w:t>cc</w:t>
      </w:r>
      <w:r>
        <w:rPr>
          <w:i/>
          <w:lang w:val="en-US"/>
        </w:rPr>
        <w:t xml:space="preserve">idents and </w:t>
      </w:r>
      <w:r w:rsidRPr="00570431">
        <w:rPr>
          <w:i/>
          <w:lang w:val="en-US"/>
        </w:rPr>
        <w:t>o</w:t>
      </w:r>
      <w:r>
        <w:rPr>
          <w:i/>
          <w:lang w:val="en-US"/>
        </w:rPr>
        <w:t xml:space="preserve">ccupational </w:t>
      </w:r>
      <w:r w:rsidRPr="00570431">
        <w:rPr>
          <w:i/>
          <w:lang w:val="en-US"/>
        </w:rPr>
        <w:t>d</w:t>
      </w:r>
      <w:r>
        <w:rPr>
          <w:i/>
          <w:lang w:val="en-US"/>
        </w:rPr>
        <w:t>iseases</w:t>
      </w:r>
      <w:r w:rsidRPr="00570431">
        <w:rPr>
          <w:lang w:val="en-US"/>
        </w:rPr>
        <w:t>,</w:t>
      </w:r>
      <w:r>
        <w:rPr>
          <w:i/>
          <w:lang w:val="en-US"/>
        </w:rPr>
        <w:t xml:space="preserve"> </w:t>
      </w:r>
      <w:r>
        <w:rPr>
          <w:lang w:val="en-US"/>
        </w:rPr>
        <w:t xml:space="preserve">ss. 63 </w:t>
      </w:r>
      <w:r w:rsidRPr="00570431">
        <w:rPr>
          <w:lang w:val="en-US"/>
        </w:rPr>
        <w:t xml:space="preserve">to </w:t>
      </w:r>
      <w:r>
        <w:rPr>
          <w:lang w:val="en-US"/>
        </w:rPr>
        <w:t>76.</w:t>
      </w:r>
    </w:p>
  </w:footnote>
  <w:footnote w:id="6">
    <w:p w:rsidR="0074418B" w:rsidRPr="00FA2037" w:rsidRDefault="0074418B" w:rsidP="0074418B">
      <w:pPr>
        <w:pStyle w:val="FootnoteText"/>
        <w:rPr>
          <w:lang w:val="en-US"/>
        </w:rPr>
      </w:pPr>
      <w:r>
        <w:rPr>
          <w:rStyle w:val="FootnoteReference"/>
        </w:rPr>
        <w:footnoteRef/>
      </w:r>
      <w:r>
        <w:t xml:space="preserve"> </w:t>
      </w:r>
      <w:r w:rsidRPr="00C3054F">
        <w:rPr>
          <w:i/>
          <w:lang w:val="en-US"/>
        </w:rPr>
        <w:t xml:space="preserve">Act </w:t>
      </w:r>
      <w:r w:rsidRPr="00570431">
        <w:rPr>
          <w:i/>
          <w:lang w:val="en-US"/>
        </w:rPr>
        <w:t>r</w:t>
      </w:r>
      <w:r w:rsidRPr="00C3054F">
        <w:rPr>
          <w:i/>
          <w:lang w:val="en-US"/>
        </w:rPr>
        <w:t xml:space="preserve">especting </w:t>
      </w:r>
      <w:r w:rsidRPr="00570431">
        <w:rPr>
          <w:i/>
          <w:lang w:val="en-US"/>
        </w:rPr>
        <w:t>o</w:t>
      </w:r>
      <w:r w:rsidRPr="00C3054F">
        <w:rPr>
          <w:i/>
          <w:lang w:val="en-US"/>
        </w:rPr>
        <w:t xml:space="preserve">ccupational </w:t>
      </w:r>
      <w:r w:rsidRPr="00570431">
        <w:rPr>
          <w:i/>
          <w:lang w:val="en-US"/>
        </w:rPr>
        <w:t>h</w:t>
      </w:r>
      <w:r w:rsidRPr="00C3054F">
        <w:rPr>
          <w:i/>
          <w:lang w:val="en-US"/>
        </w:rPr>
        <w:t xml:space="preserve">ealth and </w:t>
      </w:r>
      <w:r w:rsidRPr="00570431">
        <w:rPr>
          <w:i/>
          <w:lang w:val="en-US"/>
        </w:rPr>
        <w:t>s</w:t>
      </w:r>
      <w:r w:rsidRPr="00C3054F">
        <w:rPr>
          <w:i/>
          <w:lang w:val="en-US"/>
        </w:rPr>
        <w:t>afety</w:t>
      </w:r>
      <w:r w:rsidRPr="00570431">
        <w:rPr>
          <w:lang w:val="en-US"/>
        </w:rPr>
        <w:t>,</w:t>
      </w:r>
      <w:r>
        <w:t xml:space="preserve"> s. 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1F" w:rsidRPr="00450352" w:rsidRDefault="00FF251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F33501"/>
    <w:multiLevelType w:val="hybridMultilevel"/>
    <w:tmpl w:val="8868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2AC6236"/>
    <w:multiLevelType w:val="hybridMultilevel"/>
    <w:tmpl w:val="29900002"/>
    <w:lvl w:ilvl="0" w:tplc="828811E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83EE8"/>
    <w:multiLevelType w:val="multilevel"/>
    <w:tmpl w:val="74F66BD8"/>
    <w:lvl w:ilvl="0">
      <w:start w:val="1"/>
      <w:numFmt w:val="decimal"/>
      <w:pStyle w:val="ParaNoNdepar-AltN"/>
      <w:lvlText w:val="[%1]"/>
      <w:lvlJc w:val="left"/>
      <w:pPr>
        <w:tabs>
          <w:tab w:val="num" w:pos="1152"/>
        </w:tabs>
        <w:ind w:left="0" w:firstLine="0"/>
      </w:pPr>
      <w:rPr>
        <w:rFonts w:ascii="Times New Roman" w:hAnsi="Times New Roman" w:hint="default"/>
        <w:b w:val="0"/>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8BC44CC"/>
    <w:multiLevelType w:val="hybridMultilevel"/>
    <w:tmpl w:val="3E466FF0"/>
    <w:lvl w:ilvl="0" w:tplc="E94C96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stylePaneFormatFilter w:val="1024"/>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rsids>
    <w:rsidRoot w:val="0031414C"/>
    <w:rsid w:val="00000ED4"/>
    <w:rsid w:val="00025198"/>
    <w:rsid w:val="00027EAE"/>
    <w:rsid w:val="000578A3"/>
    <w:rsid w:val="000648CC"/>
    <w:rsid w:val="00073A85"/>
    <w:rsid w:val="000C59B8"/>
    <w:rsid w:val="000C6AF0"/>
    <w:rsid w:val="00104F33"/>
    <w:rsid w:val="00111DE2"/>
    <w:rsid w:val="00116B38"/>
    <w:rsid w:val="0012786C"/>
    <w:rsid w:val="00135406"/>
    <w:rsid w:val="00135972"/>
    <w:rsid w:val="001426A9"/>
    <w:rsid w:val="00154D7C"/>
    <w:rsid w:val="001570B0"/>
    <w:rsid w:val="0015752C"/>
    <w:rsid w:val="00157737"/>
    <w:rsid w:val="00160BDE"/>
    <w:rsid w:val="00165277"/>
    <w:rsid w:val="00166E4E"/>
    <w:rsid w:val="00170592"/>
    <w:rsid w:val="00174EC4"/>
    <w:rsid w:val="00186351"/>
    <w:rsid w:val="00195D83"/>
    <w:rsid w:val="001A00C1"/>
    <w:rsid w:val="001B33E0"/>
    <w:rsid w:val="001B4573"/>
    <w:rsid w:val="001C779F"/>
    <w:rsid w:val="001D2AC1"/>
    <w:rsid w:val="001D4E88"/>
    <w:rsid w:val="001F528B"/>
    <w:rsid w:val="002034F2"/>
    <w:rsid w:val="00206127"/>
    <w:rsid w:val="00220FC2"/>
    <w:rsid w:val="002222F4"/>
    <w:rsid w:val="00224FC0"/>
    <w:rsid w:val="00225EA4"/>
    <w:rsid w:val="00226EAF"/>
    <w:rsid w:val="00231F3A"/>
    <w:rsid w:val="00234199"/>
    <w:rsid w:val="002406EE"/>
    <w:rsid w:val="00243EC8"/>
    <w:rsid w:val="00270D93"/>
    <w:rsid w:val="00272199"/>
    <w:rsid w:val="0027349B"/>
    <w:rsid w:val="002745CC"/>
    <w:rsid w:val="00282DCA"/>
    <w:rsid w:val="002B2AED"/>
    <w:rsid w:val="002B7924"/>
    <w:rsid w:val="002C2067"/>
    <w:rsid w:val="002D28C3"/>
    <w:rsid w:val="002D39A4"/>
    <w:rsid w:val="002E44B1"/>
    <w:rsid w:val="002E6705"/>
    <w:rsid w:val="00301D08"/>
    <w:rsid w:val="0030329A"/>
    <w:rsid w:val="003055DC"/>
    <w:rsid w:val="0031086F"/>
    <w:rsid w:val="0031414C"/>
    <w:rsid w:val="00314E01"/>
    <w:rsid w:val="0032089D"/>
    <w:rsid w:val="00322F8E"/>
    <w:rsid w:val="00326F51"/>
    <w:rsid w:val="003310DE"/>
    <w:rsid w:val="003323B0"/>
    <w:rsid w:val="0035169A"/>
    <w:rsid w:val="0035259D"/>
    <w:rsid w:val="00364B18"/>
    <w:rsid w:val="00374D80"/>
    <w:rsid w:val="00377D58"/>
    <w:rsid w:val="00382A9C"/>
    <w:rsid w:val="003A125D"/>
    <w:rsid w:val="003A4C70"/>
    <w:rsid w:val="003A625F"/>
    <w:rsid w:val="003B215F"/>
    <w:rsid w:val="003C799C"/>
    <w:rsid w:val="003D0399"/>
    <w:rsid w:val="003D3BBA"/>
    <w:rsid w:val="003E1C71"/>
    <w:rsid w:val="003F327B"/>
    <w:rsid w:val="00406166"/>
    <w:rsid w:val="0040704B"/>
    <w:rsid w:val="00410A55"/>
    <w:rsid w:val="00411300"/>
    <w:rsid w:val="004116E8"/>
    <w:rsid w:val="00415417"/>
    <w:rsid w:val="00422380"/>
    <w:rsid w:val="00426659"/>
    <w:rsid w:val="00431D9A"/>
    <w:rsid w:val="00445CCE"/>
    <w:rsid w:val="00450352"/>
    <w:rsid w:val="00454BDB"/>
    <w:rsid w:val="00464800"/>
    <w:rsid w:val="00465132"/>
    <w:rsid w:val="00480C90"/>
    <w:rsid w:val="0048396F"/>
    <w:rsid w:val="00486AAB"/>
    <w:rsid w:val="00487115"/>
    <w:rsid w:val="004909D5"/>
    <w:rsid w:val="00493C18"/>
    <w:rsid w:val="004A600C"/>
    <w:rsid w:val="004A6118"/>
    <w:rsid w:val="004B322E"/>
    <w:rsid w:val="004C443A"/>
    <w:rsid w:val="004C478D"/>
    <w:rsid w:val="004E040E"/>
    <w:rsid w:val="004E2C26"/>
    <w:rsid w:val="004F00A5"/>
    <w:rsid w:val="004F36FF"/>
    <w:rsid w:val="005075A5"/>
    <w:rsid w:val="005125A8"/>
    <w:rsid w:val="005215E2"/>
    <w:rsid w:val="00521AE8"/>
    <w:rsid w:val="00527180"/>
    <w:rsid w:val="0054201E"/>
    <w:rsid w:val="00543D03"/>
    <w:rsid w:val="00555291"/>
    <w:rsid w:val="00560436"/>
    <w:rsid w:val="00566AD1"/>
    <w:rsid w:val="00583EDE"/>
    <w:rsid w:val="005A6079"/>
    <w:rsid w:val="005B7185"/>
    <w:rsid w:val="005E4698"/>
    <w:rsid w:val="006036D1"/>
    <w:rsid w:val="00605AB1"/>
    <w:rsid w:val="00610539"/>
    <w:rsid w:val="00613969"/>
    <w:rsid w:val="00623B29"/>
    <w:rsid w:val="00625C35"/>
    <w:rsid w:val="00651BF3"/>
    <w:rsid w:val="00653199"/>
    <w:rsid w:val="00656313"/>
    <w:rsid w:val="006565F4"/>
    <w:rsid w:val="006611FE"/>
    <w:rsid w:val="00661E0B"/>
    <w:rsid w:val="0066687A"/>
    <w:rsid w:val="00666B2A"/>
    <w:rsid w:val="00671D2A"/>
    <w:rsid w:val="00684EEA"/>
    <w:rsid w:val="0069689B"/>
    <w:rsid w:val="006A1551"/>
    <w:rsid w:val="006B5FF5"/>
    <w:rsid w:val="006C1BA5"/>
    <w:rsid w:val="006C7410"/>
    <w:rsid w:val="006F30AF"/>
    <w:rsid w:val="00701759"/>
    <w:rsid w:val="00705C15"/>
    <w:rsid w:val="00711C4C"/>
    <w:rsid w:val="0071600E"/>
    <w:rsid w:val="007208D1"/>
    <w:rsid w:val="00726EA6"/>
    <w:rsid w:val="0074418B"/>
    <w:rsid w:val="00747288"/>
    <w:rsid w:val="00747DD3"/>
    <w:rsid w:val="007549C8"/>
    <w:rsid w:val="00754A0B"/>
    <w:rsid w:val="00755DF6"/>
    <w:rsid w:val="00757CA5"/>
    <w:rsid w:val="00766D14"/>
    <w:rsid w:val="00767A0F"/>
    <w:rsid w:val="007706EA"/>
    <w:rsid w:val="00795527"/>
    <w:rsid w:val="007A05F6"/>
    <w:rsid w:val="007B6F4A"/>
    <w:rsid w:val="007D4186"/>
    <w:rsid w:val="007E1C47"/>
    <w:rsid w:val="007E337A"/>
    <w:rsid w:val="007E5C70"/>
    <w:rsid w:val="007F2FF5"/>
    <w:rsid w:val="007F3F08"/>
    <w:rsid w:val="00804CC6"/>
    <w:rsid w:val="00805DA6"/>
    <w:rsid w:val="00817190"/>
    <w:rsid w:val="00820EE5"/>
    <w:rsid w:val="008260E2"/>
    <w:rsid w:val="008322BD"/>
    <w:rsid w:val="00833E0A"/>
    <w:rsid w:val="00834F73"/>
    <w:rsid w:val="00842A91"/>
    <w:rsid w:val="0085288E"/>
    <w:rsid w:val="00864CF8"/>
    <w:rsid w:val="008714D1"/>
    <w:rsid w:val="00872819"/>
    <w:rsid w:val="00874914"/>
    <w:rsid w:val="00886094"/>
    <w:rsid w:val="00891422"/>
    <w:rsid w:val="00892E1A"/>
    <w:rsid w:val="008A2179"/>
    <w:rsid w:val="008A3F29"/>
    <w:rsid w:val="008B660A"/>
    <w:rsid w:val="008C01DA"/>
    <w:rsid w:val="008D68CC"/>
    <w:rsid w:val="008F78E9"/>
    <w:rsid w:val="00902861"/>
    <w:rsid w:val="00911989"/>
    <w:rsid w:val="009138D8"/>
    <w:rsid w:val="009179F9"/>
    <w:rsid w:val="009308A2"/>
    <w:rsid w:val="00933E5E"/>
    <w:rsid w:val="00935218"/>
    <w:rsid w:val="009403F3"/>
    <w:rsid w:val="00947694"/>
    <w:rsid w:val="009555B7"/>
    <w:rsid w:val="009567AA"/>
    <w:rsid w:val="00967374"/>
    <w:rsid w:val="0099287A"/>
    <w:rsid w:val="009957B6"/>
    <w:rsid w:val="009A343A"/>
    <w:rsid w:val="009A455C"/>
    <w:rsid w:val="009B2F23"/>
    <w:rsid w:val="009B57B3"/>
    <w:rsid w:val="009C5B92"/>
    <w:rsid w:val="009D2920"/>
    <w:rsid w:val="009D4E8C"/>
    <w:rsid w:val="009D5AEB"/>
    <w:rsid w:val="009F0E33"/>
    <w:rsid w:val="009F1573"/>
    <w:rsid w:val="00A030CE"/>
    <w:rsid w:val="00A130AC"/>
    <w:rsid w:val="00A149DF"/>
    <w:rsid w:val="00A1755C"/>
    <w:rsid w:val="00A21B90"/>
    <w:rsid w:val="00A41805"/>
    <w:rsid w:val="00A42DCD"/>
    <w:rsid w:val="00A52AFB"/>
    <w:rsid w:val="00A548CB"/>
    <w:rsid w:val="00A5521C"/>
    <w:rsid w:val="00A643E7"/>
    <w:rsid w:val="00A73C38"/>
    <w:rsid w:val="00A74236"/>
    <w:rsid w:val="00A76559"/>
    <w:rsid w:val="00A933B7"/>
    <w:rsid w:val="00AB0D77"/>
    <w:rsid w:val="00AB670D"/>
    <w:rsid w:val="00AC34BD"/>
    <w:rsid w:val="00AD4BFD"/>
    <w:rsid w:val="00AF03C5"/>
    <w:rsid w:val="00B000D8"/>
    <w:rsid w:val="00B00708"/>
    <w:rsid w:val="00B00F75"/>
    <w:rsid w:val="00B145B6"/>
    <w:rsid w:val="00B279EB"/>
    <w:rsid w:val="00B27AF0"/>
    <w:rsid w:val="00B5092C"/>
    <w:rsid w:val="00B50C81"/>
    <w:rsid w:val="00B557F8"/>
    <w:rsid w:val="00B642FA"/>
    <w:rsid w:val="00B815FC"/>
    <w:rsid w:val="00B93FBC"/>
    <w:rsid w:val="00BA3666"/>
    <w:rsid w:val="00BA7DA0"/>
    <w:rsid w:val="00BB2EE4"/>
    <w:rsid w:val="00BC1BFB"/>
    <w:rsid w:val="00BC1F41"/>
    <w:rsid w:val="00BC2108"/>
    <w:rsid w:val="00BD0E9E"/>
    <w:rsid w:val="00BD1BEC"/>
    <w:rsid w:val="00BD32FF"/>
    <w:rsid w:val="00BF082E"/>
    <w:rsid w:val="00C02092"/>
    <w:rsid w:val="00C221A0"/>
    <w:rsid w:val="00C22CF1"/>
    <w:rsid w:val="00C24D91"/>
    <w:rsid w:val="00C53F14"/>
    <w:rsid w:val="00C600CF"/>
    <w:rsid w:val="00C6084F"/>
    <w:rsid w:val="00C62A66"/>
    <w:rsid w:val="00C71458"/>
    <w:rsid w:val="00C77613"/>
    <w:rsid w:val="00C828E7"/>
    <w:rsid w:val="00C86719"/>
    <w:rsid w:val="00C921DD"/>
    <w:rsid w:val="00C94EAB"/>
    <w:rsid w:val="00CA6391"/>
    <w:rsid w:val="00CB397C"/>
    <w:rsid w:val="00CC34BD"/>
    <w:rsid w:val="00CE161A"/>
    <w:rsid w:val="00CE3171"/>
    <w:rsid w:val="00CF1601"/>
    <w:rsid w:val="00D0172F"/>
    <w:rsid w:val="00D068A7"/>
    <w:rsid w:val="00D17476"/>
    <w:rsid w:val="00D30190"/>
    <w:rsid w:val="00D32086"/>
    <w:rsid w:val="00D3757A"/>
    <w:rsid w:val="00D37A3F"/>
    <w:rsid w:val="00D4431D"/>
    <w:rsid w:val="00D4667A"/>
    <w:rsid w:val="00D5597E"/>
    <w:rsid w:val="00D63A1C"/>
    <w:rsid w:val="00D73B80"/>
    <w:rsid w:val="00D745B3"/>
    <w:rsid w:val="00D7516F"/>
    <w:rsid w:val="00D8579F"/>
    <w:rsid w:val="00D95F8E"/>
    <w:rsid w:val="00DA0590"/>
    <w:rsid w:val="00DB7BEA"/>
    <w:rsid w:val="00DC1739"/>
    <w:rsid w:val="00DC1788"/>
    <w:rsid w:val="00DD1C41"/>
    <w:rsid w:val="00DE319C"/>
    <w:rsid w:val="00DF0CA8"/>
    <w:rsid w:val="00DF2B48"/>
    <w:rsid w:val="00DF49A7"/>
    <w:rsid w:val="00E05589"/>
    <w:rsid w:val="00E07EE2"/>
    <w:rsid w:val="00E07FD1"/>
    <w:rsid w:val="00E24573"/>
    <w:rsid w:val="00E25E1E"/>
    <w:rsid w:val="00E27EE7"/>
    <w:rsid w:val="00E35404"/>
    <w:rsid w:val="00E45109"/>
    <w:rsid w:val="00E45506"/>
    <w:rsid w:val="00E47B7A"/>
    <w:rsid w:val="00E47F67"/>
    <w:rsid w:val="00E56A44"/>
    <w:rsid w:val="00E60269"/>
    <w:rsid w:val="00E7017B"/>
    <w:rsid w:val="00E712E3"/>
    <w:rsid w:val="00E77932"/>
    <w:rsid w:val="00E97830"/>
    <w:rsid w:val="00EE0EEB"/>
    <w:rsid w:val="00EE2F19"/>
    <w:rsid w:val="00EE643C"/>
    <w:rsid w:val="00EF0683"/>
    <w:rsid w:val="00EF69D2"/>
    <w:rsid w:val="00EF766E"/>
    <w:rsid w:val="00F0070C"/>
    <w:rsid w:val="00F00EB7"/>
    <w:rsid w:val="00F10367"/>
    <w:rsid w:val="00F272AE"/>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2B95"/>
    <w:rsid w:val="00FE6784"/>
    <w:rsid w:val="00FF251F"/>
    <w:rsid w:val="00FF4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8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FE2B95"/>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74418B"/>
    <w:pPr>
      <w:spacing w:after="480"/>
    </w:pPr>
    <w:rPr>
      <w:rFonts w:eastAsiaTheme="minorHAnsi" w:cstheme="minorBidi"/>
      <w:szCs w:val="22"/>
      <w:lang w:eastAsia="en-US"/>
    </w:rPr>
  </w:style>
  <w:style w:type="paragraph" w:customStyle="1" w:styleId="SCCCoram">
    <w:name w:val="SCC.Coram"/>
    <w:basedOn w:val="Normal"/>
    <w:next w:val="Normal"/>
    <w:link w:val="SCCCoramChar"/>
    <w:rsid w:val="0074418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4418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4418B"/>
    <w:rPr>
      <w:rFonts w:eastAsiaTheme="minorHAnsi" w:cstheme="minorBidi"/>
      <w:sz w:val="24"/>
      <w:szCs w:val="22"/>
      <w:lang w:eastAsia="en-US"/>
    </w:rPr>
  </w:style>
  <w:style w:type="character" w:customStyle="1" w:styleId="SCCBanSummaryChar">
    <w:name w:val="SCC.BanSummary Char"/>
    <w:basedOn w:val="DefaultParagraphFont"/>
    <w:link w:val="SCCBanSummary"/>
    <w:rsid w:val="0074418B"/>
    <w:rPr>
      <w:b/>
      <w:sz w:val="24"/>
    </w:rPr>
  </w:style>
  <w:style w:type="table" w:styleId="TableGrid">
    <w:name w:val="Table Grid"/>
    <w:basedOn w:val="TableNormal"/>
    <w:uiPriority w:val="59"/>
    <w:rsid w:val="0074418B"/>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4418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4418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4418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4418B"/>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4418B"/>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74418B"/>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74418B"/>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74418B"/>
    <w:pPr>
      <w:numPr>
        <w:ilvl w:val="4"/>
      </w:numPr>
      <w:tabs>
        <w:tab w:val="clear" w:pos="576"/>
        <w:tab w:val="left" w:pos="1620"/>
      </w:tabs>
      <w:ind w:left="1620" w:hanging="540"/>
    </w:pPr>
  </w:style>
  <w:style w:type="paragraph" w:styleId="TOC1">
    <w:name w:val="toc 1"/>
    <w:basedOn w:val="Normal"/>
    <w:next w:val="Normal"/>
    <w:autoRedefine/>
    <w:uiPriority w:val="39"/>
    <w:unhideWhenUsed/>
    <w:rsid w:val="0074418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4418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4418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4418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4418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4418B"/>
    <w:pPr>
      <w:tabs>
        <w:tab w:val="left" w:pos="2160"/>
        <w:tab w:val="right" w:leader="dot" w:pos="8270"/>
      </w:tabs>
      <w:spacing w:after="100"/>
      <w:ind w:left="1800"/>
    </w:pPr>
    <w:rPr>
      <w:noProof/>
    </w:rPr>
  </w:style>
  <w:style w:type="table" w:customStyle="1" w:styleId="TableGrid1">
    <w:name w:val="Table Grid1"/>
    <w:basedOn w:val="TableNormal"/>
    <w:uiPriority w:val="59"/>
    <w:rsid w:val="0074418B"/>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74418B"/>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Footnote Text Char Char Char Char Char"/>
    <w:basedOn w:val="Normal"/>
    <w:link w:val="FootnoteTextChar"/>
    <w:unhideWhenUsed/>
    <w:qFormat/>
    <w:rsid w:val="0074418B"/>
    <w:rPr>
      <w:sz w:val="20"/>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rsid w:val="0074418B"/>
  </w:style>
  <w:style w:type="character" w:styleId="FootnoteReference">
    <w:name w:val="footnote reference"/>
    <w:basedOn w:val="DefaultParagraphFont"/>
    <w:unhideWhenUsed/>
    <w:rsid w:val="0074418B"/>
    <w:rPr>
      <w:vertAlign w:val="superscript"/>
    </w:rPr>
  </w:style>
  <w:style w:type="character" w:customStyle="1" w:styleId="emphtypegras1">
    <w:name w:val="emphtypegras1"/>
    <w:basedOn w:val="DefaultParagraphFont"/>
    <w:rsid w:val="0074418B"/>
    <w:rPr>
      <w:b/>
      <w:bCs/>
    </w:rPr>
  </w:style>
  <w:style w:type="character" w:styleId="Hyperlink">
    <w:name w:val="Hyperlink"/>
    <w:basedOn w:val="DefaultParagraphFont"/>
    <w:uiPriority w:val="99"/>
    <w:unhideWhenUsed/>
    <w:rsid w:val="0074418B"/>
    <w:rPr>
      <w:color w:val="0000FF" w:themeColor="hyperlink"/>
      <w:u w:val="single"/>
    </w:rPr>
  </w:style>
  <w:style w:type="paragraph" w:customStyle="1" w:styleId="11">
    <w:name w:val="11"/>
    <w:basedOn w:val="Normal"/>
    <w:rsid w:val="0074418B"/>
    <w:pPr>
      <w:autoSpaceDE w:val="0"/>
      <w:autoSpaceDN w:val="0"/>
      <w:ind w:hanging="720"/>
    </w:pPr>
    <w:rPr>
      <w:szCs w:val="24"/>
      <w:lang w:val="en-US" w:eastAsia="en-US"/>
    </w:rPr>
  </w:style>
  <w:style w:type="character" w:styleId="FollowedHyperlink">
    <w:name w:val="FollowedHyperlink"/>
    <w:basedOn w:val="DefaultParagraphFont"/>
    <w:uiPriority w:val="99"/>
    <w:semiHidden/>
    <w:unhideWhenUsed/>
    <w:rsid w:val="0074418B"/>
    <w:rPr>
      <w:color w:val="800080" w:themeColor="followedHyperlink"/>
      <w:u w:val="single"/>
    </w:rPr>
  </w:style>
  <w:style w:type="character" w:customStyle="1" w:styleId="emphtypeital1">
    <w:name w:val="emphtypeital1"/>
    <w:basedOn w:val="DefaultParagraphFont"/>
    <w:rsid w:val="0074418B"/>
    <w:rPr>
      <w:i/>
      <w:iCs/>
    </w:rPr>
  </w:style>
  <w:style w:type="table" w:customStyle="1" w:styleId="TableGrid2">
    <w:name w:val="Table Grid2"/>
    <w:basedOn w:val="TableNormal"/>
    <w:next w:val="TableGrid"/>
    <w:uiPriority w:val="59"/>
    <w:rsid w:val="0074418B"/>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326F51"/>
    <w:rPr>
      <w:lang w:val="en-CA"/>
    </w:rPr>
  </w:style>
  <w:style w:type="paragraph" w:customStyle="1" w:styleId="SCCLsocPrefix">
    <w:name w:val="SCC.Lsoc.Prefix"/>
    <w:basedOn w:val="Normal"/>
    <w:next w:val="Normal"/>
    <w:link w:val="SCCLsocPrefixChar"/>
    <w:rsid w:val="00326F51"/>
    <w:rPr>
      <w:rFonts w:eastAsiaTheme="minorHAnsi" w:cstheme="minorBidi"/>
      <w:b/>
      <w:smallCaps/>
      <w:szCs w:val="24"/>
      <w:lang w:eastAsia="en-US"/>
    </w:rPr>
  </w:style>
  <w:style w:type="character" w:customStyle="1" w:styleId="SCCLsocPrefixChar">
    <w:name w:val="SCC.Lsoc.Prefix Char"/>
    <w:basedOn w:val="DefaultParagraphFont"/>
    <w:link w:val="SCCLsocPrefix"/>
    <w:rsid w:val="00326F51"/>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77441-9F78-400C-8B5B-EB34381B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5780</Words>
  <Characters>29892</Characters>
  <Application>Microsoft Office Word</Application>
  <DocSecurity>0</DocSecurity>
  <Lines>249</Lines>
  <Paragraphs>71</Paragraphs>
  <ScaleCrop>false</ScaleCrop>
  <LinksUpToDate>false</LinksUpToDate>
  <CharactersWithSpaces>35601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2014-05-02T20:59:00Z</dcterms:created>
  <dcterms:modified xsi:type="dcterms:W3CDTF">2014-09-19T13:20:00Z</dcterms:modified>
</cp:coreProperties>
</file>