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EE" w:rsidRDefault="001A46EE" w:rsidP="001A46EE">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8pt" o:ole="">
            <v:imagedata r:id="rId8" o:title=""/>
          </v:shape>
          <o:OLEObject Type="Embed" ProgID="Presentations.Drawing.13" ShapeID="_x0000_i1025" DrawAspect="Content" ObjectID="_1487158024" r:id="rId9"/>
        </w:object>
      </w:r>
    </w:p>
    <w:p w:rsidR="001A46EE" w:rsidRDefault="001A46EE" w:rsidP="001A46EE">
      <w:pPr>
        <w:pStyle w:val="Header"/>
      </w:pPr>
    </w:p>
    <w:p w:rsidR="001A46EE" w:rsidRPr="006B210C" w:rsidRDefault="001A46EE" w:rsidP="001A46EE">
      <w:pPr>
        <w:jc w:val="center"/>
        <w:rPr>
          <w:b/>
        </w:rPr>
      </w:pPr>
      <w:r w:rsidRPr="006B210C">
        <w:rPr>
          <w:b/>
        </w:rPr>
        <w:t>SUPREME COURT OF CANADA</w:t>
      </w:r>
    </w:p>
    <w:p w:rsidR="001A46EE" w:rsidRDefault="001A46EE" w:rsidP="001A46E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A46EE" w:rsidRPr="006B210C" w:rsidTr="00407445">
        <w:trPr>
          <w:cantSplit/>
        </w:trPr>
        <w:tc>
          <w:tcPr>
            <w:tcW w:w="6768" w:type="dxa"/>
          </w:tcPr>
          <w:p w:rsidR="001A46EE" w:rsidRPr="00D84C9C" w:rsidRDefault="001A46EE" w:rsidP="00407445">
            <w:pPr>
              <w:spacing w:line="480" w:lineRule="auto"/>
              <w:jc w:val="both"/>
            </w:pPr>
            <w:r w:rsidRPr="00D84C9C">
              <w:rPr>
                <w:b/>
                <w:smallCaps/>
              </w:rPr>
              <w:t>Citation:</w:t>
            </w:r>
            <w:r w:rsidRPr="00D84C9C">
              <w:t xml:space="preserve"> R.</w:t>
            </w:r>
            <w:r w:rsidRPr="00D84C9C">
              <w:rPr>
                <w:i/>
              </w:rPr>
              <w:t xml:space="preserve"> v. </w:t>
            </w:r>
            <w:r>
              <w:t>Wilcox</w:t>
            </w:r>
            <w:r w:rsidRPr="00D84C9C">
              <w:t xml:space="preserve">, </w:t>
            </w:r>
            <w:r>
              <w:t>2014 SCC 75</w:t>
            </w:r>
            <w:r w:rsidRPr="00D84C9C">
              <w:t xml:space="preserve">, [2014] 3 S.C.R. </w:t>
            </w:r>
            <w:r>
              <w:t>616</w:t>
            </w:r>
          </w:p>
          <w:p w:rsidR="001A46EE" w:rsidRPr="00D84C9C" w:rsidRDefault="001A46EE" w:rsidP="00407445"/>
        </w:tc>
        <w:tc>
          <w:tcPr>
            <w:tcW w:w="2808" w:type="dxa"/>
          </w:tcPr>
          <w:p w:rsidR="001A46EE" w:rsidRPr="006B210C" w:rsidRDefault="001A46EE" w:rsidP="00407445">
            <w:r w:rsidRPr="006B210C">
              <w:rPr>
                <w:b/>
                <w:smallCaps/>
              </w:rPr>
              <w:t>Date</w:t>
            </w:r>
            <w:r>
              <w:rPr>
                <w:b/>
                <w:smallCaps/>
              </w:rPr>
              <w:t>:</w:t>
            </w:r>
            <w:r w:rsidRPr="006B210C">
              <w:t xml:space="preserve"> </w:t>
            </w:r>
            <w:r>
              <w:t>20141208</w:t>
            </w:r>
          </w:p>
          <w:p w:rsidR="001A46EE" w:rsidRPr="006B210C" w:rsidRDefault="001A46EE" w:rsidP="00407445">
            <w:r w:rsidRPr="006B210C">
              <w:rPr>
                <w:b/>
                <w:smallCaps/>
              </w:rPr>
              <w:t>Docket</w:t>
            </w:r>
            <w:r>
              <w:rPr>
                <w:b/>
                <w:smallCaps/>
              </w:rPr>
              <w:t>:</w:t>
            </w:r>
            <w:r w:rsidRPr="006B210C">
              <w:t xml:space="preserve"> </w:t>
            </w:r>
            <w:r>
              <w:t>35758</w:t>
            </w:r>
          </w:p>
        </w:tc>
      </w:tr>
    </w:tbl>
    <w:p w:rsidR="001A46EE" w:rsidRDefault="001A46EE" w:rsidP="001A46EE">
      <w:pPr>
        <w:pStyle w:val="SCCLsocPrefix"/>
      </w:pPr>
      <w:r>
        <w:t>Between:</w:t>
      </w:r>
    </w:p>
    <w:p w:rsidR="001A46EE" w:rsidRDefault="001A46EE" w:rsidP="001A46EE">
      <w:pPr>
        <w:pStyle w:val="SCCLsocParty"/>
        <w:jc w:val="center"/>
      </w:pPr>
      <w:r>
        <w:t>James Steven Wilcox</w:t>
      </w:r>
    </w:p>
    <w:p w:rsidR="001A46EE" w:rsidRPr="00D84C9C" w:rsidRDefault="001A46EE" w:rsidP="001A46EE">
      <w:pPr>
        <w:jc w:val="center"/>
        <w:rPr>
          <w:lang w:val="en-US"/>
        </w:rPr>
      </w:pPr>
      <w:r w:rsidRPr="00D84C9C">
        <w:rPr>
          <w:lang w:val="en-US"/>
        </w:rPr>
        <w:t>Appellant</w:t>
      </w:r>
    </w:p>
    <w:p w:rsidR="001A46EE" w:rsidRPr="001A46EE" w:rsidRDefault="001A46EE" w:rsidP="001A46EE">
      <w:pPr>
        <w:pStyle w:val="SCCLsocVersus"/>
        <w:spacing w:after="0"/>
        <w:jc w:val="center"/>
        <w:rPr>
          <w:i w:val="0"/>
          <w:lang w:val="en-US"/>
        </w:rPr>
      </w:pPr>
      <w:proofErr w:type="gramStart"/>
      <w:r w:rsidRPr="001A46EE">
        <w:rPr>
          <w:i w:val="0"/>
          <w:lang w:val="en-US"/>
        </w:rPr>
        <w:t>and</w:t>
      </w:r>
      <w:proofErr w:type="gramEnd"/>
    </w:p>
    <w:p w:rsidR="001A46EE" w:rsidRPr="00945515" w:rsidRDefault="001A46EE" w:rsidP="001A46EE">
      <w:pPr>
        <w:pStyle w:val="SCCLsocParty"/>
        <w:jc w:val="center"/>
        <w:rPr>
          <w:lang w:val="en-US"/>
        </w:rPr>
      </w:pPr>
      <w:r>
        <w:t xml:space="preserve">Her Majesty </w:t>
      </w:r>
      <w:proofErr w:type="gramStart"/>
      <w:r>
        <w:t>The</w:t>
      </w:r>
      <w:proofErr w:type="gramEnd"/>
      <w:r>
        <w:t xml:space="preserve"> Queen</w:t>
      </w:r>
    </w:p>
    <w:p w:rsidR="001A46EE" w:rsidRDefault="001A46EE" w:rsidP="001A46EE">
      <w:pPr>
        <w:jc w:val="center"/>
        <w:rPr>
          <w:lang w:val="en-US"/>
        </w:rPr>
      </w:pPr>
      <w:r w:rsidRPr="00945515">
        <w:rPr>
          <w:lang w:val="en-US"/>
        </w:rPr>
        <w:t>Respondent</w:t>
      </w:r>
    </w:p>
    <w:p w:rsidR="001A46EE" w:rsidRDefault="001A46EE" w:rsidP="001A46EE">
      <w:pPr>
        <w:jc w:val="center"/>
        <w:rPr>
          <w:lang w:val="en-US"/>
        </w:rPr>
      </w:pPr>
      <w:proofErr w:type="gramStart"/>
      <w:r>
        <w:rPr>
          <w:lang w:val="en-US"/>
        </w:rPr>
        <w:t>and</w:t>
      </w:r>
      <w:proofErr w:type="gramEnd"/>
    </w:p>
    <w:p w:rsidR="001A46EE" w:rsidRDefault="001A46EE" w:rsidP="001A46EE">
      <w:pPr>
        <w:pStyle w:val="SCCLsocParty"/>
        <w:jc w:val="center"/>
      </w:pPr>
      <w:r>
        <w:t>Canadian HIV/AIDS Legal Network,</w:t>
      </w:r>
    </w:p>
    <w:p w:rsidR="001A46EE" w:rsidRDefault="001A46EE" w:rsidP="001A46EE">
      <w:pPr>
        <w:pStyle w:val="SCCLsocParty"/>
        <w:jc w:val="center"/>
      </w:pPr>
      <w:r>
        <w:t>HIV &amp; AIDS Legal Clinic Ontario and</w:t>
      </w:r>
    </w:p>
    <w:p w:rsidR="001A46EE" w:rsidRDefault="001A46EE" w:rsidP="001A46EE">
      <w:pPr>
        <w:pStyle w:val="SCCLsocLastPartyInRole"/>
        <w:spacing w:after="0"/>
        <w:jc w:val="center"/>
        <w:rPr>
          <w:lang w:val="fr-CA"/>
        </w:rPr>
      </w:pPr>
      <w:r w:rsidRPr="001A46EE">
        <w:rPr>
          <w:lang w:val="fr-CA"/>
        </w:rPr>
        <w:t>Coalition des org</w:t>
      </w:r>
      <w:r w:rsidRPr="00973C18">
        <w:rPr>
          <w:lang w:val="fr-CA"/>
        </w:rPr>
        <w:t>anismes communautaires</w:t>
      </w:r>
    </w:p>
    <w:p w:rsidR="001A46EE" w:rsidRPr="00A93090" w:rsidRDefault="001A46EE" w:rsidP="001A46EE">
      <w:pPr>
        <w:jc w:val="center"/>
        <w:rPr>
          <w:b/>
          <w:lang w:val="fr-CA"/>
        </w:rPr>
      </w:pPr>
      <w:proofErr w:type="gramStart"/>
      <w:r w:rsidRPr="00A93090">
        <w:rPr>
          <w:b/>
          <w:lang w:val="fr-CA"/>
        </w:rPr>
        <w:t>québécois</w:t>
      </w:r>
      <w:proofErr w:type="gramEnd"/>
      <w:r w:rsidRPr="00A93090">
        <w:rPr>
          <w:b/>
          <w:lang w:val="fr-CA"/>
        </w:rPr>
        <w:t xml:space="preserve"> de lutte contre le sida</w:t>
      </w:r>
    </w:p>
    <w:p w:rsidR="001A46EE" w:rsidRPr="00A93090" w:rsidRDefault="001A46EE" w:rsidP="001A46EE">
      <w:pPr>
        <w:jc w:val="center"/>
        <w:rPr>
          <w:lang w:val="en-US"/>
        </w:rPr>
      </w:pPr>
      <w:r w:rsidRPr="00A93090">
        <w:rPr>
          <w:lang w:val="en-US"/>
        </w:rPr>
        <w:t>Interveners</w:t>
      </w:r>
    </w:p>
    <w:p w:rsidR="001A46EE" w:rsidRPr="00A93090" w:rsidRDefault="001A46EE" w:rsidP="001A46EE">
      <w:pPr>
        <w:jc w:val="center"/>
        <w:rPr>
          <w:lang w:val="en-US"/>
        </w:rPr>
      </w:pPr>
    </w:p>
    <w:p w:rsidR="001A46EE" w:rsidRPr="00A93090" w:rsidRDefault="001A46EE" w:rsidP="001A46EE">
      <w:pPr>
        <w:rPr>
          <w:lang w:val="en-US"/>
        </w:rPr>
      </w:pPr>
    </w:p>
    <w:p w:rsidR="001A46EE" w:rsidRDefault="001A46EE" w:rsidP="001A46EE">
      <w:pPr>
        <w:jc w:val="both"/>
      </w:pPr>
      <w:r w:rsidRPr="006B210C">
        <w:rPr>
          <w:b/>
          <w:smallCaps/>
        </w:rPr>
        <w:t>Coram</w:t>
      </w:r>
      <w:r>
        <w:rPr>
          <w:b/>
          <w:smallCaps/>
        </w:rPr>
        <w:t>:</w:t>
      </w:r>
      <w:r w:rsidRPr="006B210C">
        <w:t xml:space="preserve"> </w:t>
      </w:r>
      <w:r>
        <w:t xml:space="preserve"> </w:t>
      </w:r>
      <w:proofErr w:type="spellStart"/>
      <w:r>
        <w:t>McLachlin</w:t>
      </w:r>
      <w:proofErr w:type="spellEnd"/>
      <w:r>
        <w:t xml:space="preserve"> C.J. and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xml:space="preserve"> JJ.</w:t>
      </w:r>
    </w:p>
    <w:p w:rsidR="001A46EE" w:rsidRDefault="001A46EE" w:rsidP="001A46EE">
      <w:pPr>
        <w:jc w:val="both"/>
      </w:pPr>
    </w:p>
    <w:p w:rsidR="001A46EE" w:rsidRPr="006B210C" w:rsidRDefault="001A46EE" w:rsidP="001A4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A46EE" w:rsidRPr="006B210C" w:rsidTr="00407445">
        <w:trPr>
          <w:cantSplit/>
        </w:trPr>
        <w:tc>
          <w:tcPr>
            <w:tcW w:w="3618" w:type="dxa"/>
          </w:tcPr>
          <w:p w:rsidR="001A46EE" w:rsidRDefault="001A46EE" w:rsidP="00407445">
            <w:pPr>
              <w:rPr>
                <w:b/>
                <w:smallCaps/>
              </w:rPr>
            </w:pPr>
            <w:r w:rsidRPr="006B210C">
              <w:rPr>
                <w:b/>
                <w:smallCaps/>
              </w:rPr>
              <w:t>Reasons for Judgment</w:t>
            </w:r>
            <w:r>
              <w:rPr>
                <w:b/>
                <w:smallCaps/>
              </w:rPr>
              <w:t>:</w:t>
            </w:r>
          </w:p>
          <w:p w:rsidR="001A46EE" w:rsidRPr="006B210C" w:rsidRDefault="001A46EE" w:rsidP="00407445">
            <w:r>
              <w:t>(</w:t>
            </w:r>
            <w:proofErr w:type="spellStart"/>
            <w:r>
              <w:t>para</w:t>
            </w:r>
            <w:proofErr w:type="spellEnd"/>
            <w:r>
              <w:t>. 1)</w:t>
            </w:r>
          </w:p>
        </w:tc>
        <w:tc>
          <w:tcPr>
            <w:tcW w:w="5958" w:type="dxa"/>
          </w:tcPr>
          <w:p w:rsidR="001A46EE" w:rsidRPr="006B210C" w:rsidRDefault="001A46EE" w:rsidP="00407445">
            <w:pPr>
              <w:jc w:val="both"/>
            </w:pPr>
            <w:proofErr w:type="spellStart"/>
            <w:r>
              <w:t>Karakatsanis</w:t>
            </w:r>
            <w:proofErr w:type="spellEnd"/>
            <w:r>
              <w:t xml:space="preserve"> J. (</w:t>
            </w:r>
            <w:proofErr w:type="spellStart"/>
            <w:r>
              <w:t>McLachlin</w:t>
            </w:r>
            <w:proofErr w:type="spellEnd"/>
            <w:r>
              <w:t xml:space="preserve"> C.J. and Rothstein, Cromwell, </w:t>
            </w:r>
            <w:proofErr w:type="spellStart"/>
            <w:r>
              <w:t>Moldaver</w:t>
            </w:r>
            <w:proofErr w:type="spellEnd"/>
            <w:r>
              <w:t xml:space="preserve">, Wagner and </w:t>
            </w:r>
            <w:proofErr w:type="spellStart"/>
            <w:r>
              <w:t>Gascon</w:t>
            </w:r>
            <w:proofErr w:type="spellEnd"/>
            <w:r>
              <w:t xml:space="preserve"> JJ. concurring) </w:t>
            </w:r>
          </w:p>
        </w:tc>
      </w:tr>
    </w:tbl>
    <w:p w:rsidR="001A46EE" w:rsidRDefault="001A46EE" w:rsidP="001A46EE"/>
    <w:p w:rsidR="001A46EE" w:rsidRPr="006B210C" w:rsidRDefault="001A46EE" w:rsidP="001A46EE">
      <w:r w:rsidRPr="005E7F8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A46EE" w:rsidRDefault="001A46EE" w:rsidP="001A46EE"/>
    <w:p w:rsidR="001A46EE" w:rsidRDefault="001A46EE" w:rsidP="00A24374">
      <w:pPr>
        <w:pStyle w:val="SCCSystemYear"/>
        <w:jc w:val="both"/>
        <w:rPr>
          <w:rStyle w:val="SCCAppellantForRunningHeadChar"/>
          <w:b w:val="0"/>
        </w:rPr>
      </w:pPr>
    </w:p>
    <w:p w:rsidR="00A24374" w:rsidRPr="00A24374" w:rsidRDefault="00973C18" w:rsidP="00A24374">
      <w:pPr>
        <w:pStyle w:val="SCCSystemYear"/>
        <w:jc w:val="both"/>
        <w:rPr>
          <w:b w:val="0"/>
        </w:rPr>
      </w:pPr>
      <w:r w:rsidRPr="00A24374">
        <w:rPr>
          <w:rStyle w:val="SCCAppellantForRunningHeadChar"/>
          <w:b w:val="0"/>
        </w:rPr>
        <w:t>r.</w:t>
      </w:r>
      <w:r w:rsidR="00480C90" w:rsidRPr="00A24374">
        <w:rPr>
          <w:b w:val="0"/>
        </w:rPr>
        <w:t xml:space="preserve"> </w:t>
      </w:r>
      <w:r w:rsidR="009B57B3" w:rsidRPr="00A24374">
        <w:rPr>
          <w:b w:val="0"/>
          <w:i/>
        </w:rPr>
        <w:t>v.</w:t>
      </w:r>
      <w:r w:rsidRPr="00A24374">
        <w:rPr>
          <w:b w:val="0"/>
        </w:rPr>
        <w:t xml:space="preserve"> </w:t>
      </w:r>
      <w:proofErr w:type="spellStart"/>
      <w:r w:rsidRPr="00A24374">
        <w:rPr>
          <w:b w:val="0"/>
          <w:smallCaps/>
        </w:rPr>
        <w:t>wilcox</w:t>
      </w:r>
      <w:proofErr w:type="spellEnd"/>
      <w:r w:rsidR="00A24374" w:rsidRPr="00A24374">
        <w:rPr>
          <w:b w:val="0"/>
          <w:smallCaps/>
        </w:rPr>
        <w:t xml:space="preserve">, </w:t>
      </w:r>
      <w:r w:rsidR="00A24374" w:rsidRPr="00A24374">
        <w:rPr>
          <w:b w:val="0"/>
        </w:rPr>
        <w:t>2014 SCC 75</w:t>
      </w:r>
      <w:r w:rsidR="00A24374">
        <w:rPr>
          <w:b w:val="0"/>
        </w:rPr>
        <w:t>, [2014] 3 S.C.R. 616</w:t>
      </w:r>
    </w:p>
    <w:p w:rsidR="008322BD" w:rsidRPr="00A24374" w:rsidRDefault="008322BD" w:rsidP="00866919">
      <w:pPr>
        <w:spacing w:line="480" w:lineRule="auto"/>
        <w:jc w:val="both"/>
      </w:pPr>
    </w:p>
    <w:p w:rsidR="00766D14" w:rsidRDefault="00766D14" w:rsidP="00866919">
      <w:pPr>
        <w:jc w:val="both"/>
      </w:pPr>
    </w:p>
    <w:p w:rsidR="009B5348" w:rsidRDefault="002331F8" w:rsidP="00866919">
      <w:pPr>
        <w:pStyle w:val="SCCLsocLastPartyInRole"/>
      </w:pPr>
      <w:r>
        <w:t>James Steven Wilcox</w:t>
      </w:r>
      <w:r>
        <w:rPr>
          <w:rStyle w:val="SCCLsocPartyRole"/>
        </w:rPr>
        <w:tab/>
        <w:t>Appellant</w:t>
      </w:r>
    </w:p>
    <w:p w:rsidR="009B5348" w:rsidRDefault="002331F8" w:rsidP="00866919">
      <w:pPr>
        <w:pStyle w:val="SCCLsocVersus"/>
      </w:pPr>
      <w:r>
        <w:t>v.</w:t>
      </w:r>
    </w:p>
    <w:p w:rsidR="009B5348" w:rsidRDefault="00973C18" w:rsidP="00866919">
      <w:pPr>
        <w:pStyle w:val="SCCLsocLastPartyInRole"/>
      </w:pPr>
      <w:r>
        <w:t xml:space="preserve">Her Majesty </w:t>
      </w:r>
      <w:proofErr w:type="gramStart"/>
      <w:r>
        <w:t>T</w:t>
      </w:r>
      <w:r w:rsidR="002331F8">
        <w:t>he</w:t>
      </w:r>
      <w:proofErr w:type="gramEnd"/>
      <w:r w:rsidR="002331F8">
        <w:t xml:space="preserve"> Queen</w:t>
      </w:r>
      <w:r w:rsidR="002331F8">
        <w:rPr>
          <w:rStyle w:val="SCCLsocPartyRole"/>
        </w:rPr>
        <w:tab/>
        <w:t>Respondent</w:t>
      </w:r>
    </w:p>
    <w:p w:rsidR="009B5348" w:rsidRDefault="002331F8" w:rsidP="00866919">
      <w:pPr>
        <w:pStyle w:val="SCCLsocOtherPartySeparator"/>
      </w:pPr>
      <w:r>
        <w:lastRenderedPageBreak/>
        <w:t>and</w:t>
      </w:r>
    </w:p>
    <w:p w:rsidR="009B5348" w:rsidRDefault="002331F8" w:rsidP="00866919">
      <w:pPr>
        <w:pStyle w:val="SCCLsocParty"/>
      </w:pPr>
      <w:r>
        <w:t>Canadian HIV/AIDS Legal Network,</w:t>
      </w:r>
    </w:p>
    <w:p w:rsidR="009B5348" w:rsidRDefault="00F6760A" w:rsidP="00866919">
      <w:pPr>
        <w:pStyle w:val="SCCLsocParty"/>
      </w:pPr>
      <w:r>
        <w:t>HIV &amp; AIDS Legal Clinic Ontario and</w:t>
      </w:r>
    </w:p>
    <w:p w:rsidR="00973C18" w:rsidRDefault="002331F8" w:rsidP="00866919">
      <w:pPr>
        <w:pStyle w:val="SCCLsocLastPartyInRole"/>
        <w:spacing w:after="0"/>
        <w:rPr>
          <w:lang w:val="fr-CA"/>
        </w:rPr>
      </w:pPr>
      <w:r w:rsidRPr="00A24374">
        <w:rPr>
          <w:lang w:val="en-US"/>
        </w:rPr>
        <w:t>Coalition des org</w:t>
      </w:r>
      <w:proofErr w:type="spellStart"/>
      <w:r w:rsidRPr="00973C18">
        <w:rPr>
          <w:lang w:val="fr-CA"/>
        </w:rPr>
        <w:t>anismes</w:t>
      </w:r>
      <w:proofErr w:type="spellEnd"/>
      <w:r w:rsidRPr="00973C18">
        <w:rPr>
          <w:lang w:val="fr-CA"/>
        </w:rPr>
        <w:t xml:space="preserve"> communautaires </w:t>
      </w:r>
    </w:p>
    <w:p w:rsidR="009B5348" w:rsidRPr="00973C18" w:rsidRDefault="002331F8" w:rsidP="00866919">
      <w:pPr>
        <w:pStyle w:val="SCCLsocLastPartyInRole"/>
        <w:spacing w:after="0"/>
        <w:rPr>
          <w:lang w:val="fr-CA"/>
        </w:rPr>
      </w:pPr>
      <w:proofErr w:type="gramStart"/>
      <w:r w:rsidRPr="00973C18">
        <w:rPr>
          <w:lang w:val="fr-CA"/>
        </w:rPr>
        <w:t>québécois</w:t>
      </w:r>
      <w:proofErr w:type="gramEnd"/>
      <w:r w:rsidRPr="00973C18">
        <w:rPr>
          <w:lang w:val="fr-CA"/>
        </w:rPr>
        <w:t xml:space="preserve"> de lutte contre le sida</w:t>
      </w:r>
      <w:r w:rsidRPr="00973C18">
        <w:rPr>
          <w:rStyle w:val="SCCLsocPartyRole"/>
          <w:lang w:val="fr-CA"/>
        </w:rPr>
        <w:tab/>
      </w:r>
      <w:proofErr w:type="spellStart"/>
      <w:r w:rsidRPr="00973C18">
        <w:rPr>
          <w:rStyle w:val="SCCLsocPartyRole"/>
          <w:lang w:val="fr-CA"/>
        </w:rPr>
        <w:t>Interveners</w:t>
      </w:r>
      <w:proofErr w:type="spellEnd"/>
    </w:p>
    <w:p w:rsidR="00766D14" w:rsidRPr="00973C18" w:rsidRDefault="00766D14" w:rsidP="00866919">
      <w:pPr>
        <w:jc w:val="both"/>
        <w:rPr>
          <w:lang w:val="fr-CA"/>
        </w:rPr>
      </w:pPr>
    </w:p>
    <w:p w:rsidR="00426659" w:rsidRPr="00426659" w:rsidRDefault="00426659" w:rsidP="00866919">
      <w:pPr>
        <w:jc w:val="both"/>
        <w:rPr>
          <w:b/>
        </w:rPr>
      </w:pPr>
      <w:r w:rsidRPr="00426659">
        <w:rPr>
          <w:b/>
        </w:rPr>
        <w:t xml:space="preserve">Indexed as: </w:t>
      </w:r>
      <w:r w:rsidR="00782EBA">
        <w:rPr>
          <w:b/>
        </w:rPr>
        <w:t xml:space="preserve">R. </w:t>
      </w:r>
      <w:r w:rsidR="00782EBA" w:rsidRPr="00782EBA">
        <w:rPr>
          <w:b/>
          <w:i/>
        </w:rPr>
        <w:t xml:space="preserve">v. </w:t>
      </w:r>
      <w:r w:rsidR="00782EBA">
        <w:rPr>
          <w:b/>
        </w:rPr>
        <w:t>Wilcox</w:t>
      </w:r>
    </w:p>
    <w:p w:rsidR="00A149DF" w:rsidRDefault="00A149DF" w:rsidP="00866919">
      <w:pPr>
        <w:jc w:val="both"/>
      </w:pPr>
    </w:p>
    <w:p w:rsidR="00426659" w:rsidRPr="00C02092" w:rsidRDefault="004F36FF" w:rsidP="00866919">
      <w:pPr>
        <w:pStyle w:val="SCCSystemYear"/>
        <w:jc w:val="both"/>
      </w:pPr>
      <w:r>
        <w:t>2014</w:t>
      </w:r>
      <w:r w:rsidR="003D0399">
        <w:t xml:space="preserve"> </w:t>
      </w:r>
      <w:r w:rsidR="00AB5F68">
        <w:t xml:space="preserve">SCC </w:t>
      </w:r>
      <w:r w:rsidR="00782EBA">
        <w:t>75</w:t>
      </w:r>
    </w:p>
    <w:p w:rsidR="00A149DF" w:rsidRDefault="00A149DF" w:rsidP="00866919">
      <w:pPr>
        <w:jc w:val="both"/>
      </w:pPr>
    </w:p>
    <w:p w:rsidR="008322BD" w:rsidRDefault="00AB5F68" w:rsidP="00866919">
      <w:pPr>
        <w:jc w:val="both"/>
      </w:pPr>
      <w:r>
        <w:t xml:space="preserve">File No.: </w:t>
      </w:r>
      <w:r w:rsidR="009B57B3">
        <w:t>35758</w:t>
      </w:r>
      <w:r w:rsidR="009B57B3" w:rsidRPr="001426A9">
        <w:t>.</w:t>
      </w:r>
    </w:p>
    <w:p w:rsidR="00E97830" w:rsidRDefault="00E97830" w:rsidP="00866919">
      <w:pPr>
        <w:jc w:val="both"/>
      </w:pPr>
    </w:p>
    <w:p w:rsidR="008322BD" w:rsidRDefault="00AB5F68" w:rsidP="00866919">
      <w:pPr>
        <w:jc w:val="both"/>
      </w:pPr>
      <w:r>
        <w:t xml:space="preserve">2014: </w:t>
      </w:r>
      <w:r w:rsidR="004F36FF">
        <w:t>December 8</w:t>
      </w:r>
      <w:r w:rsidR="00782EBA">
        <w:t>.</w:t>
      </w:r>
    </w:p>
    <w:p w:rsidR="00E97830" w:rsidRDefault="00E97830" w:rsidP="00866919">
      <w:pPr>
        <w:jc w:val="both"/>
      </w:pPr>
    </w:p>
    <w:p w:rsidR="008322BD" w:rsidRDefault="00AB5F68" w:rsidP="00866919">
      <w:pPr>
        <w:jc w:val="both"/>
      </w:pPr>
      <w:r>
        <w:t xml:space="preserve">Present: </w:t>
      </w:r>
      <w:proofErr w:type="spellStart"/>
      <w:r>
        <w:t>McLachlin</w:t>
      </w:r>
      <w:proofErr w:type="spellEnd"/>
      <w:r>
        <w:t xml:space="preserve"> </w:t>
      </w:r>
      <w:r w:rsidR="009B57B3">
        <w:t xml:space="preserve">C.J. and Rothstein, Cromwell, </w:t>
      </w:r>
      <w:proofErr w:type="spellStart"/>
      <w:r w:rsidR="009B57B3">
        <w:t>Moldaver</w:t>
      </w:r>
      <w:proofErr w:type="spellEnd"/>
      <w:r w:rsidR="009B57B3">
        <w:t xml:space="preserve">, </w:t>
      </w:r>
      <w:proofErr w:type="spellStart"/>
      <w:r w:rsidR="009B57B3">
        <w:t>Karakatsanis</w:t>
      </w:r>
      <w:proofErr w:type="spellEnd"/>
      <w:r w:rsidR="009B57B3">
        <w:t xml:space="preserve">, Wagner and </w:t>
      </w:r>
      <w:proofErr w:type="spellStart"/>
      <w:r>
        <w:t>Gascon</w:t>
      </w:r>
      <w:proofErr w:type="spellEnd"/>
      <w:r>
        <w:t xml:space="preserve"> </w:t>
      </w:r>
      <w:r w:rsidR="009B57B3">
        <w:t>JJ.</w:t>
      </w:r>
    </w:p>
    <w:p w:rsidR="006A1551" w:rsidRDefault="006A1551" w:rsidP="00866919">
      <w:pPr>
        <w:jc w:val="both"/>
      </w:pPr>
    </w:p>
    <w:p w:rsidR="008322BD" w:rsidRDefault="00656313" w:rsidP="00866919">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2331F8">
        <w:t>for</w:t>
      </w:r>
      <w:r w:rsidR="009B57B3">
        <w:t xml:space="preserve"> </w:t>
      </w:r>
      <w:proofErr w:type="spellStart"/>
      <w:r w:rsidR="009B57B3">
        <w:t>quebec</w:t>
      </w:r>
      <w:proofErr w:type="spellEnd"/>
      <w:r w:rsidR="009B57B3">
        <w:t xml:space="preserve"> </w:t>
      </w:r>
    </w:p>
    <w:p w:rsidR="00AB5F68" w:rsidRPr="00AB5F68" w:rsidRDefault="00AB5F68" w:rsidP="00AB5F68">
      <w:pPr>
        <w:pStyle w:val="SCCNormalDoubleSpacing"/>
      </w:pPr>
    </w:p>
    <w:p w:rsidR="000B7FEE" w:rsidRPr="007B04BC" w:rsidRDefault="00866919" w:rsidP="00866919">
      <w:pPr>
        <w:pStyle w:val="SCCNormalDoubleSpacing"/>
        <w:rPr>
          <w:i/>
        </w:rPr>
      </w:pPr>
      <w:r w:rsidRPr="00866919">
        <w:rPr>
          <w:b/>
        </w:rPr>
        <w:tab/>
      </w:r>
      <w:r w:rsidR="007B04BC">
        <w:rPr>
          <w:i/>
        </w:rPr>
        <w:t xml:space="preserve">Criminal law </w:t>
      </w:r>
      <w:r w:rsidR="00EA4B46">
        <w:rPr>
          <w:i/>
        </w:rPr>
        <w:t>―</w:t>
      </w:r>
      <w:r w:rsidR="007B04BC">
        <w:rPr>
          <w:i/>
        </w:rPr>
        <w:t xml:space="preserve"> </w:t>
      </w:r>
      <w:r w:rsidR="00160F8E">
        <w:rPr>
          <w:i/>
        </w:rPr>
        <w:t xml:space="preserve">Evidence </w:t>
      </w:r>
      <w:r w:rsidR="00EA4B46">
        <w:rPr>
          <w:i/>
        </w:rPr>
        <w:t>―</w:t>
      </w:r>
      <w:r w:rsidR="00160F8E">
        <w:rPr>
          <w:i/>
        </w:rPr>
        <w:t xml:space="preserve"> Assessment </w:t>
      </w:r>
      <w:r w:rsidR="00EA4B46">
        <w:rPr>
          <w:i/>
        </w:rPr>
        <w:t>―</w:t>
      </w:r>
      <w:r w:rsidR="00160F8E">
        <w:rPr>
          <w:i/>
        </w:rPr>
        <w:t xml:space="preserve"> Accused</w:t>
      </w:r>
      <w:r w:rsidR="007B04BC">
        <w:rPr>
          <w:i/>
        </w:rPr>
        <w:t xml:space="preserve"> convicted of aggravated sexual assault as a result of having transmitted HIV to complainant </w:t>
      </w:r>
      <w:r w:rsidR="00EA4B46">
        <w:rPr>
          <w:i/>
        </w:rPr>
        <w:t>―</w:t>
      </w:r>
      <w:r w:rsidR="007B04BC">
        <w:rPr>
          <w:i/>
        </w:rPr>
        <w:t xml:space="preserve"> </w:t>
      </w:r>
      <w:r w:rsidR="00160F8E">
        <w:rPr>
          <w:i/>
        </w:rPr>
        <w:t>T</w:t>
      </w:r>
      <w:r w:rsidR="007B04BC">
        <w:rPr>
          <w:i/>
        </w:rPr>
        <w:t>rial judge finding that complainant would not have engaged in sexual relati</w:t>
      </w:r>
      <w:r w:rsidR="00160F8E">
        <w:rPr>
          <w:i/>
        </w:rPr>
        <w:t xml:space="preserve">ons had he known about </w:t>
      </w:r>
      <w:proofErr w:type="spellStart"/>
      <w:r w:rsidR="00160F8E">
        <w:rPr>
          <w:i/>
        </w:rPr>
        <w:t>accused</w:t>
      </w:r>
      <w:r w:rsidR="007B04BC">
        <w:rPr>
          <w:i/>
        </w:rPr>
        <w:t>’s</w:t>
      </w:r>
      <w:proofErr w:type="spellEnd"/>
      <w:r w:rsidR="007B04BC">
        <w:rPr>
          <w:i/>
        </w:rPr>
        <w:t xml:space="preserve"> HIV positive status </w:t>
      </w:r>
      <w:r w:rsidR="00EA4B46">
        <w:rPr>
          <w:i/>
        </w:rPr>
        <w:t>―</w:t>
      </w:r>
      <w:r w:rsidR="007B04BC">
        <w:rPr>
          <w:i/>
        </w:rPr>
        <w:t xml:space="preserve"> </w:t>
      </w:r>
      <w:r w:rsidR="00160F8E">
        <w:rPr>
          <w:i/>
        </w:rPr>
        <w:t>T</w:t>
      </w:r>
      <w:r w:rsidR="007B04BC">
        <w:rPr>
          <w:i/>
        </w:rPr>
        <w:t>rial judge</w:t>
      </w:r>
      <w:r w:rsidR="00D36DEB">
        <w:rPr>
          <w:i/>
        </w:rPr>
        <w:t xml:space="preserve"> properly analyze</w:t>
      </w:r>
      <w:r w:rsidR="00491D6F">
        <w:rPr>
          <w:i/>
        </w:rPr>
        <w:t>d</w:t>
      </w:r>
      <w:r w:rsidR="00D36DEB">
        <w:rPr>
          <w:i/>
        </w:rPr>
        <w:t xml:space="preserve"> </w:t>
      </w:r>
      <w:r w:rsidR="007B04BC">
        <w:rPr>
          <w:i/>
        </w:rPr>
        <w:t xml:space="preserve">complainant’s credibility </w:t>
      </w:r>
      <w:r w:rsidR="00D36DEB">
        <w:rPr>
          <w:i/>
        </w:rPr>
        <w:t xml:space="preserve">in light of evidence as a </w:t>
      </w:r>
      <w:r w:rsidR="000B7FEE">
        <w:rPr>
          <w:i/>
        </w:rPr>
        <w:t>whole</w:t>
      </w:r>
      <w:r w:rsidR="007B04BC">
        <w:rPr>
          <w:i/>
        </w:rPr>
        <w:t>.</w:t>
      </w:r>
    </w:p>
    <w:p w:rsidR="007E1C47" w:rsidRDefault="002E6705" w:rsidP="00866919">
      <w:pPr>
        <w:pStyle w:val="SCCNormalDoubleSpacing"/>
        <w:rPr>
          <w:b/>
        </w:rPr>
      </w:pPr>
      <w:r w:rsidRPr="00314E01">
        <w:rPr>
          <w:b/>
        </w:rPr>
        <w:t>Cases Cited</w:t>
      </w:r>
    </w:p>
    <w:p w:rsidR="00A149DF" w:rsidRPr="00613969" w:rsidRDefault="00A149DF" w:rsidP="00866919">
      <w:pPr>
        <w:pStyle w:val="SCCNormalDoubleSpacing"/>
      </w:pPr>
    </w:p>
    <w:p w:rsidR="004E2C26" w:rsidRPr="007E1C47" w:rsidRDefault="002E6705" w:rsidP="00866919">
      <w:pPr>
        <w:pStyle w:val="SCCNormalDoubleSpacing"/>
      </w:pPr>
      <w:r>
        <w:tab/>
      </w:r>
      <w:r w:rsidRPr="00314E01">
        <w:rPr>
          <w:b/>
        </w:rPr>
        <w:t>Referred to:</w:t>
      </w:r>
      <w:r w:rsidR="00BD0E9E" w:rsidRPr="00BD0E9E">
        <w:t xml:space="preserve"> </w:t>
      </w:r>
      <w:r w:rsidR="00FD30C0">
        <w:rPr>
          <w:i/>
          <w:szCs w:val="24"/>
        </w:rPr>
        <w:t>R. v. W. (</w:t>
      </w:r>
      <w:r w:rsidR="00FD30C0" w:rsidRPr="00092A13">
        <w:rPr>
          <w:i/>
          <w:szCs w:val="24"/>
        </w:rPr>
        <w:t>D</w:t>
      </w:r>
      <w:r w:rsidR="00FD30C0">
        <w:rPr>
          <w:i/>
          <w:szCs w:val="24"/>
        </w:rPr>
        <w:t>.)</w:t>
      </w:r>
      <w:r w:rsidR="00FD30C0">
        <w:rPr>
          <w:szCs w:val="24"/>
        </w:rPr>
        <w:t>, [1991] 1 S.C.R. 742.</w:t>
      </w:r>
    </w:p>
    <w:p w:rsidR="00A149DF" w:rsidRDefault="00A149DF" w:rsidP="00866919">
      <w:pPr>
        <w:pStyle w:val="SCCNormalDoubleSpacing"/>
      </w:pPr>
    </w:p>
    <w:p w:rsidR="00656313" w:rsidRPr="001D364D" w:rsidRDefault="009B57B3" w:rsidP="00866919">
      <w:pPr>
        <w:pStyle w:val="SCCNormalDoubleSpacing"/>
        <w:rPr>
          <w:lang w:val="en-US"/>
        </w:rPr>
      </w:pPr>
      <w:r w:rsidRPr="001426A9">
        <w:tab/>
        <w:t xml:space="preserve">APPEAL from a judgment of the </w:t>
      </w:r>
      <w:r w:rsidR="002331F8">
        <w:t xml:space="preserve">Quebec </w:t>
      </w:r>
      <w:r>
        <w:t xml:space="preserve">Court of Appeal </w:t>
      </w:r>
      <w:r w:rsidR="007E5964">
        <w:t>(</w:t>
      </w:r>
      <w:proofErr w:type="spellStart"/>
      <w:r w:rsidR="007E5964">
        <w:t>Dalphond</w:t>
      </w:r>
      <w:proofErr w:type="spellEnd"/>
      <w:r w:rsidR="007E5964">
        <w:t xml:space="preserve">, Hilton and </w:t>
      </w:r>
      <w:proofErr w:type="spellStart"/>
      <w:r w:rsidR="007E5964">
        <w:t>Bélanger</w:t>
      </w:r>
      <w:proofErr w:type="spellEnd"/>
      <w:r w:rsidR="007E5964">
        <w:t xml:space="preserve"> JJ.A.),</w:t>
      </w:r>
      <w:r w:rsidR="000F36FD">
        <w:t xml:space="preserve"> 2014 QCCA 321, </w:t>
      </w:r>
      <w:r w:rsidR="000F36FD" w:rsidRPr="000F36FD">
        <w:rPr>
          <w:lang w:val="en-US"/>
        </w:rPr>
        <w:t>307 C.C.C. (3d) 355,</w:t>
      </w:r>
      <w:r w:rsidR="000F36FD">
        <w:rPr>
          <w:lang w:val="en-US"/>
        </w:rPr>
        <w:t xml:space="preserve"> </w:t>
      </w:r>
      <w:r w:rsidR="002331F8">
        <w:rPr>
          <w:lang w:val="en-US"/>
        </w:rPr>
        <w:t xml:space="preserve">SOQUIJ AZ-51046931, </w:t>
      </w:r>
      <w:r w:rsidR="001D364D" w:rsidRPr="001D364D">
        <w:rPr>
          <w:lang w:val="en-US"/>
        </w:rPr>
        <w:t>[2014] Q.J. No. 1180</w:t>
      </w:r>
      <w:r w:rsidR="00973985">
        <w:rPr>
          <w:lang w:val="en-US"/>
        </w:rPr>
        <w:t xml:space="preserve"> (QL)</w:t>
      </w:r>
      <w:r w:rsidR="001D364D" w:rsidRPr="001D364D">
        <w:rPr>
          <w:lang w:val="en-US"/>
        </w:rPr>
        <w:t>,</w:t>
      </w:r>
      <w:r w:rsidR="00491D6F">
        <w:rPr>
          <w:lang w:val="en-US"/>
        </w:rPr>
        <w:t xml:space="preserve"> 2014 </w:t>
      </w:r>
      <w:proofErr w:type="spellStart"/>
      <w:r w:rsidR="00491D6F">
        <w:rPr>
          <w:lang w:val="en-US"/>
        </w:rPr>
        <w:t>CarswellQue</w:t>
      </w:r>
      <w:proofErr w:type="spellEnd"/>
      <w:r w:rsidR="00491D6F">
        <w:rPr>
          <w:lang w:val="en-US"/>
        </w:rPr>
        <w:t xml:space="preserve"> 1137</w:t>
      </w:r>
      <w:r w:rsidR="001D364D">
        <w:rPr>
          <w:lang w:val="en-US"/>
        </w:rPr>
        <w:t xml:space="preserve">, </w:t>
      </w:r>
      <w:r w:rsidR="00ED206B">
        <w:rPr>
          <w:lang w:val="en-US"/>
        </w:rPr>
        <w:t xml:space="preserve">upholding the </w:t>
      </w:r>
      <w:proofErr w:type="spellStart"/>
      <w:r w:rsidR="00ED206B">
        <w:rPr>
          <w:lang w:val="en-US"/>
        </w:rPr>
        <w:t>accused’s</w:t>
      </w:r>
      <w:proofErr w:type="spellEnd"/>
      <w:r w:rsidR="00ED206B">
        <w:rPr>
          <w:lang w:val="en-US"/>
        </w:rPr>
        <w:t xml:space="preserve"> conviction for aggravated sexual assault.  Appeal </w:t>
      </w:r>
      <w:r w:rsidR="00FD30C0">
        <w:rPr>
          <w:lang w:val="en-US"/>
        </w:rPr>
        <w:t>dismissed</w:t>
      </w:r>
      <w:r w:rsidR="00ED206B">
        <w:rPr>
          <w:lang w:val="en-US"/>
        </w:rPr>
        <w:t>.</w:t>
      </w:r>
    </w:p>
    <w:p w:rsidR="00656313" w:rsidRDefault="00656313" w:rsidP="00866919">
      <w:pPr>
        <w:pStyle w:val="SCCNormalDoubleSpacing"/>
      </w:pPr>
    </w:p>
    <w:p w:rsidR="009B5348" w:rsidRDefault="002331F8" w:rsidP="00866919">
      <w:pPr>
        <w:pStyle w:val="SCCNormalDoubleSpacing"/>
      </w:pPr>
      <w:r>
        <w:rPr>
          <w:rStyle w:val="SCCCounselNameChar"/>
        </w:rPr>
        <w:tab/>
        <w:t>Jeffrey K. Boro</w:t>
      </w:r>
      <w:r>
        <w:rPr>
          <w:rStyle w:val="SCCCounselSeparatorChar"/>
        </w:rPr>
        <w:t xml:space="preserve"> and </w:t>
      </w:r>
      <w:r>
        <w:rPr>
          <w:rStyle w:val="SCCCounselNameChar"/>
        </w:rPr>
        <w:t>Jonathan Gordon</w:t>
      </w:r>
      <w:r>
        <w:rPr>
          <w:rStyle w:val="SCCCounselPartyRoleChar"/>
        </w:rPr>
        <w:t>, for the appellant.</w:t>
      </w:r>
    </w:p>
    <w:p w:rsidR="009B5348" w:rsidRDefault="009B5348" w:rsidP="00866919">
      <w:pPr>
        <w:pStyle w:val="SCCNormalDoubleSpacing"/>
      </w:pPr>
    </w:p>
    <w:p w:rsidR="009B5348" w:rsidRDefault="002331F8" w:rsidP="00866919">
      <w:pPr>
        <w:pStyle w:val="SCCNormalDoubleSpacing"/>
      </w:pPr>
      <w:r>
        <w:rPr>
          <w:rStyle w:val="SCCCounselNameChar"/>
        </w:rPr>
        <w:tab/>
        <w:t>Dennis Galiatsatos</w:t>
      </w:r>
      <w:r>
        <w:rPr>
          <w:rStyle w:val="SCCCounselSeparatorChar"/>
        </w:rPr>
        <w:t xml:space="preserve"> and </w:t>
      </w:r>
      <w:r>
        <w:rPr>
          <w:rStyle w:val="SCCCounselNameChar"/>
        </w:rPr>
        <w:t>Richard Audet</w:t>
      </w:r>
      <w:r>
        <w:rPr>
          <w:rStyle w:val="SCCCounselPartyRoleChar"/>
        </w:rPr>
        <w:t>, for the respondent.</w:t>
      </w:r>
    </w:p>
    <w:p w:rsidR="009B5348" w:rsidRDefault="009B5348" w:rsidP="00866919">
      <w:pPr>
        <w:pStyle w:val="SCCNormalDoubleSpacing"/>
      </w:pPr>
    </w:p>
    <w:p w:rsidR="009B5348" w:rsidRDefault="002331F8" w:rsidP="00866919">
      <w:pPr>
        <w:pStyle w:val="SCCNormalDoubleSpacing"/>
      </w:pPr>
      <w:r>
        <w:rPr>
          <w:rStyle w:val="SCCCounselNameChar"/>
        </w:rPr>
        <w:tab/>
      </w:r>
      <w:proofErr w:type="gramStart"/>
      <w:r>
        <w:rPr>
          <w:rStyle w:val="SCCCounselNameChar"/>
        </w:rPr>
        <w:t xml:space="preserve">Jonathan A. </w:t>
      </w:r>
      <w:proofErr w:type="spellStart"/>
      <w:r>
        <w:rPr>
          <w:rStyle w:val="SCCCounselNameChar"/>
        </w:rPr>
        <w:t>Shime</w:t>
      </w:r>
      <w:proofErr w:type="spellEnd"/>
      <w:r w:rsidR="008465D4">
        <w:rPr>
          <w:rStyle w:val="SCCCounselSeparatorChar"/>
        </w:rPr>
        <w:t xml:space="preserve"> and</w:t>
      </w:r>
      <w:r>
        <w:rPr>
          <w:rStyle w:val="SCCCounselSeparatorChar"/>
        </w:rPr>
        <w:t xml:space="preserve"> </w:t>
      </w:r>
      <w:r>
        <w:rPr>
          <w:rStyle w:val="SCCCounselNameChar"/>
        </w:rPr>
        <w:t>Amanda Ross</w:t>
      </w:r>
      <w:r>
        <w:rPr>
          <w:rStyle w:val="SCCCounselPartyRoleChar"/>
        </w:rPr>
        <w:t xml:space="preserve">, for the intervener </w:t>
      </w:r>
      <w:r w:rsidR="008465D4">
        <w:rPr>
          <w:rStyle w:val="SCCCounselPartyRoleChar"/>
        </w:rPr>
        <w:t xml:space="preserve">the </w:t>
      </w:r>
      <w:r>
        <w:rPr>
          <w:rStyle w:val="SCCCounselPartyRoleChar"/>
        </w:rPr>
        <w:t>Canadian HIV/AIDS Legal Network.</w:t>
      </w:r>
      <w:proofErr w:type="gramEnd"/>
    </w:p>
    <w:p w:rsidR="009B5348" w:rsidRDefault="009B5348" w:rsidP="00866919">
      <w:pPr>
        <w:pStyle w:val="SCCNormalDoubleSpacing"/>
      </w:pPr>
    </w:p>
    <w:p w:rsidR="009B5348" w:rsidRDefault="002331F8" w:rsidP="00866919">
      <w:pPr>
        <w:pStyle w:val="SCCNormalDoubleSpacing"/>
      </w:pPr>
      <w:r>
        <w:rPr>
          <w:rStyle w:val="SCCCounselNameChar"/>
        </w:rPr>
        <w:tab/>
      </w:r>
      <w:proofErr w:type="gramStart"/>
      <w:r>
        <w:rPr>
          <w:rStyle w:val="SCCCounselNameChar"/>
        </w:rPr>
        <w:t>Ryan Peck</w:t>
      </w:r>
      <w:r>
        <w:rPr>
          <w:rStyle w:val="SCCCounselPartyRoleChar"/>
        </w:rPr>
        <w:t xml:space="preserve">, for the intervener </w:t>
      </w:r>
      <w:r w:rsidR="008465D4">
        <w:rPr>
          <w:rStyle w:val="SCCCounselPartyRoleChar"/>
        </w:rPr>
        <w:t xml:space="preserve">the </w:t>
      </w:r>
      <w:r>
        <w:rPr>
          <w:rStyle w:val="SCCCounselPartyRoleChar"/>
        </w:rPr>
        <w:t>HIV &amp; AIDS Legal Clinic Ontario.</w:t>
      </w:r>
      <w:proofErr w:type="gramEnd"/>
    </w:p>
    <w:p w:rsidR="009B5348" w:rsidRDefault="009B5348" w:rsidP="00866919">
      <w:pPr>
        <w:pStyle w:val="SCCNormalDoubleSpacing"/>
      </w:pPr>
    </w:p>
    <w:p w:rsidR="00FD30C0" w:rsidRDefault="002331F8" w:rsidP="00866919">
      <w:pPr>
        <w:pStyle w:val="SCCNormalDoubleSpacing"/>
        <w:rPr>
          <w:rStyle w:val="SCCCounselPartyRoleChar"/>
          <w:lang w:val="fr-CA"/>
        </w:rPr>
      </w:pPr>
      <w:r>
        <w:rPr>
          <w:rStyle w:val="SCCCounselNameChar"/>
        </w:rPr>
        <w:tab/>
      </w:r>
      <w:r w:rsidRPr="00973C18">
        <w:rPr>
          <w:rStyle w:val="SCCCounselNameChar"/>
          <w:lang w:val="fr-CA"/>
        </w:rPr>
        <w:t xml:space="preserve">Liz </w:t>
      </w:r>
      <w:proofErr w:type="spellStart"/>
      <w:r w:rsidRPr="00973C18">
        <w:rPr>
          <w:rStyle w:val="SCCCounselNameChar"/>
          <w:lang w:val="fr-CA"/>
        </w:rPr>
        <w:t>Lacharpagne</w:t>
      </w:r>
      <w:proofErr w:type="spellEnd"/>
      <w:r w:rsidRPr="00973C18">
        <w:rPr>
          <w:rStyle w:val="SCCCounselPartyRoleChar"/>
          <w:lang w:val="fr-CA"/>
        </w:rPr>
        <w:t xml:space="preserve">, for the </w:t>
      </w:r>
      <w:proofErr w:type="spellStart"/>
      <w:r w:rsidRPr="00973C18">
        <w:rPr>
          <w:rStyle w:val="SCCCounselPartyRoleChar"/>
          <w:lang w:val="fr-CA"/>
        </w:rPr>
        <w:t>intervener</w:t>
      </w:r>
      <w:proofErr w:type="spellEnd"/>
      <w:r w:rsidRPr="00973C18">
        <w:rPr>
          <w:rStyle w:val="SCCCounselPartyRoleChar"/>
          <w:lang w:val="fr-CA"/>
        </w:rPr>
        <w:t xml:space="preserve"> Coalition des organismes communautaires québécois de lutte contre le sida.</w:t>
      </w:r>
    </w:p>
    <w:p w:rsidR="00B7445B" w:rsidRDefault="00B7445B" w:rsidP="00866919">
      <w:pPr>
        <w:pStyle w:val="SCCNormalDoubleSpacing"/>
        <w:rPr>
          <w:lang w:val="fr-CA"/>
        </w:rPr>
      </w:pPr>
    </w:p>
    <w:p w:rsidR="00B7445B" w:rsidRPr="00B7445B" w:rsidRDefault="00B7445B" w:rsidP="00866919">
      <w:pPr>
        <w:pStyle w:val="SCCNormalDoubleSpacing"/>
        <w:spacing w:after="480"/>
        <w:rPr>
          <w:lang w:val="en-US"/>
        </w:rPr>
      </w:pPr>
      <w:r w:rsidRPr="007B04BC">
        <w:rPr>
          <w:rStyle w:val="SCCCounselPartyRoleChar"/>
          <w:lang w:val="fr-CA"/>
        </w:rPr>
        <w:tab/>
      </w:r>
      <w:r>
        <w:rPr>
          <w:rStyle w:val="SCCCounselPartyRoleChar"/>
        </w:rPr>
        <w:t xml:space="preserve">The judgment </w:t>
      </w:r>
      <w:r w:rsidR="00491D6F">
        <w:rPr>
          <w:rStyle w:val="SCCCounselPartyRoleChar"/>
        </w:rPr>
        <w:t xml:space="preserve">of the Court </w:t>
      </w:r>
      <w:r w:rsidR="00EA4B46">
        <w:rPr>
          <w:rStyle w:val="SCCCounselPartyRoleChar"/>
        </w:rPr>
        <w:t xml:space="preserve">was </w:t>
      </w:r>
      <w:r>
        <w:rPr>
          <w:rStyle w:val="SCCCounselPartyRoleChar"/>
        </w:rPr>
        <w:t>delivered orally by</w:t>
      </w:r>
    </w:p>
    <w:p w:rsidR="00FD30C0" w:rsidRDefault="00FD30C0" w:rsidP="00866919">
      <w:pPr>
        <w:pStyle w:val="ParaNoNdepar-AltN"/>
        <w:rPr>
          <w:szCs w:val="24"/>
        </w:rPr>
      </w:pPr>
      <w:proofErr w:type="spellStart"/>
      <w:r w:rsidRPr="00092A13">
        <w:rPr>
          <w:smallCaps/>
        </w:rPr>
        <w:t>Karakatsanis</w:t>
      </w:r>
      <w:proofErr w:type="spellEnd"/>
      <w:r w:rsidRPr="00092A13">
        <w:t xml:space="preserve"> J. </w:t>
      </w:r>
      <w:r w:rsidRPr="00092A13">
        <w:rPr>
          <w:rFonts w:cs="Times New Roman"/>
        </w:rPr>
        <w:t>—</w:t>
      </w:r>
      <w:r w:rsidRPr="00092A13">
        <w:t xml:space="preserve"> </w:t>
      </w:r>
      <w:r w:rsidRPr="00092A13">
        <w:rPr>
          <w:szCs w:val="24"/>
        </w:rPr>
        <w:t>T</w:t>
      </w:r>
      <w:r>
        <w:rPr>
          <w:szCs w:val="24"/>
        </w:rPr>
        <w:t>his is an appeal as</w:t>
      </w:r>
      <w:r w:rsidR="00AB5F68">
        <w:rPr>
          <w:szCs w:val="24"/>
        </w:rPr>
        <w:t xml:space="preserve"> of right on a question of law.</w:t>
      </w:r>
      <w:r>
        <w:rPr>
          <w:szCs w:val="24"/>
        </w:rPr>
        <w:t xml:space="preserve">  We agree with the majority of the Quebec Court of Appeal that it was open to the trial judge to conclude beyond a reasonable doubt that the complainant would not have engaged in sexual relations had he known about the appellant’s HIV positive status.  The fact that the trial judge also found that it was possible that the sexual relationship continued after disclosure, despite the complainant’s denial, does not necessarily render that first finding unreasonable.  While it would have been preferable for the trial judge to more fully explain his reasoning relating to the complainant’s credibility, we are not satisfied that the trial judge erred in the analytical process set </w:t>
      </w:r>
      <w:r>
        <w:rPr>
          <w:szCs w:val="24"/>
        </w:rPr>
        <w:lastRenderedPageBreak/>
        <w:t xml:space="preserve">out in </w:t>
      </w:r>
      <w:r>
        <w:rPr>
          <w:i/>
          <w:szCs w:val="24"/>
        </w:rPr>
        <w:t>R. v. W. (</w:t>
      </w:r>
      <w:r w:rsidRPr="00092A13">
        <w:rPr>
          <w:i/>
          <w:szCs w:val="24"/>
        </w:rPr>
        <w:t>D</w:t>
      </w:r>
      <w:r>
        <w:rPr>
          <w:i/>
          <w:szCs w:val="24"/>
        </w:rPr>
        <w:t>.)</w:t>
      </w:r>
      <w:r>
        <w:rPr>
          <w:szCs w:val="24"/>
        </w:rPr>
        <w:t>, [1991] 1 S.C.R. 742, or that he failed to analyze the evidence as a whole relating to an ultimate issue.  The appeal is dismissed.</w:t>
      </w:r>
    </w:p>
    <w:p w:rsidR="00940771" w:rsidRPr="006A0525" w:rsidRDefault="00940771" w:rsidP="00866919">
      <w:pPr>
        <w:pStyle w:val="SCCNormalDoubleSpacing"/>
        <w:rPr>
          <w:i/>
          <w:lang w:val="en-US"/>
        </w:rPr>
      </w:pPr>
      <w:r>
        <w:rPr>
          <w:lang w:val="fr-CA"/>
        </w:rPr>
        <w:tab/>
      </w:r>
      <w:proofErr w:type="gramStart"/>
      <w:r w:rsidRPr="006A0525">
        <w:rPr>
          <w:i/>
          <w:lang w:val="en-US"/>
        </w:rPr>
        <w:t>Judgment accordingly.</w:t>
      </w:r>
      <w:proofErr w:type="gramEnd"/>
    </w:p>
    <w:p w:rsidR="00940771" w:rsidRPr="006A0525" w:rsidRDefault="00940771" w:rsidP="00866919">
      <w:pPr>
        <w:pStyle w:val="SCCNormalDoubleSpacing"/>
        <w:rPr>
          <w:lang w:val="en-US"/>
        </w:rPr>
      </w:pPr>
    </w:p>
    <w:p w:rsidR="009B5348" w:rsidRDefault="002331F8" w:rsidP="00866919">
      <w:pPr>
        <w:pStyle w:val="SCCLawFirm"/>
      </w:pPr>
      <w:r w:rsidRPr="006A0525">
        <w:rPr>
          <w:lang w:val="en-US"/>
        </w:rPr>
        <w:tab/>
      </w:r>
      <w:r>
        <w:t>Solicitor</w:t>
      </w:r>
      <w:r w:rsidR="006A0525">
        <w:t>s</w:t>
      </w:r>
      <w:r>
        <w:t xml:space="preserve"> for the appellant: </w:t>
      </w:r>
      <w:r w:rsidR="006A0525">
        <w:t xml:space="preserve"> </w:t>
      </w:r>
      <w:proofErr w:type="spellStart"/>
      <w:r w:rsidR="006A0525">
        <w:t>Boro</w:t>
      </w:r>
      <w:proofErr w:type="spellEnd"/>
      <w:r w:rsidR="006A0525">
        <w:t xml:space="preserve">, </w:t>
      </w:r>
      <w:proofErr w:type="spellStart"/>
      <w:r w:rsidR="006A0525">
        <w:t>Polnicky</w:t>
      </w:r>
      <w:proofErr w:type="spellEnd"/>
      <w:r w:rsidR="006A0525">
        <w:t>, Lighter, Montré</w:t>
      </w:r>
      <w:r>
        <w:t>al.</w:t>
      </w:r>
    </w:p>
    <w:p w:rsidR="009B5348" w:rsidRDefault="009B5348" w:rsidP="00866919">
      <w:pPr>
        <w:pStyle w:val="SCCLawFirm"/>
      </w:pPr>
    </w:p>
    <w:p w:rsidR="009B5348" w:rsidRDefault="002331F8" w:rsidP="00866919">
      <w:pPr>
        <w:pStyle w:val="SCCLawFirm"/>
      </w:pPr>
      <w:r>
        <w:tab/>
        <w:t xml:space="preserve">Solicitor for the respondent:  </w:t>
      </w:r>
      <w:r w:rsidR="00E60A6C">
        <w:t xml:space="preserve">Director of </w:t>
      </w:r>
      <w:r>
        <w:t>Criminal and Penal Prosec</w:t>
      </w:r>
      <w:r w:rsidR="006A0525">
        <w:t>ution Services of Quebec, Montré</w:t>
      </w:r>
      <w:r>
        <w:t>al.</w:t>
      </w:r>
    </w:p>
    <w:p w:rsidR="009B5348" w:rsidRDefault="009B5348" w:rsidP="00866919">
      <w:pPr>
        <w:pStyle w:val="SCCLawFirm"/>
      </w:pPr>
    </w:p>
    <w:p w:rsidR="009B5348" w:rsidRDefault="006A0525" w:rsidP="00866919">
      <w:pPr>
        <w:pStyle w:val="SCCLawFirm"/>
      </w:pPr>
      <w:r>
        <w:tab/>
        <w:t>Solicitors</w:t>
      </w:r>
      <w:r w:rsidR="002331F8">
        <w:t xml:space="preserve"> for the intervener </w:t>
      </w:r>
      <w:r>
        <w:t xml:space="preserve">the </w:t>
      </w:r>
      <w:r w:rsidR="002331F8">
        <w:t xml:space="preserve">Canadian HIV/AIDS Legal Network:  Cooper, Sandler, </w:t>
      </w:r>
      <w:proofErr w:type="spellStart"/>
      <w:r w:rsidR="002331F8">
        <w:t>Shime</w:t>
      </w:r>
      <w:proofErr w:type="spellEnd"/>
      <w:r w:rsidR="002331F8">
        <w:t xml:space="preserve"> &amp; Bergman, </w:t>
      </w:r>
      <w:proofErr w:type="gramStart"/>
      <w:r w:rsidR="002331F8">
        <w:t>Toronto</w:t>
      </w:r>
      <w:proofErr w:type="gramEnd"/>
      <w:r w:rsidR="002331F8">
        <w:t>.</w:t>
      </w:r>
    </w:p>
    <w:p w:rsidR="009B5348" w:rsidRDefault="009B5348" w:rsidP="00866919">
      <w:pPr>
        <w:pStyle w:val="SCCLawFirm"/>
      </w:pPr>
    </w:p>
    <w:p w:rsidR="009B5348" w:rsidRDefault="002331F8" w:rsidP="00866919">
      <w:pPr>
        <w:pStyle w:val="SCCLawFirm"/>
      </w:pPr>
      <w:r>
        <w:tab/>
        <w:t>Solic</w:t>
      </w:r>
      <w:r w:rsidR="006031F4">
        <w:t xml:space="preserve">itor </w:t>
      </w:r>
      <w:r>
        <w:t xml:space="preserve">for the intervener </w:t>
      </w:r>
      <w:r w:rsidR="006031F4">
        <w:t xml:space="preserve">the </w:t>
      </w:r>
      <w:r>
        <w:t>HIV &amp; AIDS Legal Clinic Ontario:  HIV &amp; AIDS Legal Clinic Ontario, Toronto.</w:t>
      </w:r>
    </w:p>
    <w:p w:rsidR="009B5348" w:rsidRDefault="009B5348" w:rsidP="00866919">
      <w:pPr>
        <w:pStyle w:val="SCCLawFirm"/>
      </w:pPr>
    </w:p>
    <w:p w:rsidR="009B5348" w:rsidRPr="00973C18" w:rsidRDefault="002331F8" w:rsidP="00866919">
      <w:pPr>
        <w:pStyle w:val="SCCLawFirm"/>
        <w:rPr>
          <w:lang w:val="fr-CA"/>
        </w:rPr>
      </w:pPr>
      <w:r>
        <w:tab/>
      </w:r>
      <w:r w:rsidRPr="00973C18">
        <w:rPr>
          <w:lang w:val="fr-CA"/>
        </w:rPr>
        <w:t>Solicitor</w:t>
      </w:r>
      <w:r w:rsidR="006031F4">
        <w:rPr>
          <w:lang w:val="fr-CA"/>
        </w:rPr>
        <w:t xml:space="preserve"> </w:t>
      </w:r>
      <w:r w:rsidRPr="00973C18">
        <w:rPr>
          <w:lang w:val="fr-CA"/>
        </w:rPr>
        <w:t xml:space="preserve">for the </w:t>
      </w:r>
      <w:proofErr w:type="spellStart"/>
      <w:r w:rsidRPr="00973C18">
        <w:rPr>
          <w:lang w:val="fr-CA"/>
        </w:rPr>
        <w:t>intervener</w:t>
      </w:r>
      <w:proofErr w:type="spellEnd"/>
      <w:r w:rsidRPr="00973C18">
        <w:rPr>
          <w:lang w:val="fr-CA"/>
        </w:rPr>
        <w:t xml:space="preserve"> Coalition des organismes communautaires québécois de lutte contre le sida</w:t>
      </w:r>
      <w:proofErr w:type="gramStart"/>
      <w:r w:rsidRPr="00973C18">
        <w:rPr>
          <w:lang w:val="fr-CA"/>
        </w:rPr>
        <w:t>:  Coalition</w:t>
      </w:r>
      <w:proofErr w:type="gramEnd"/>
      <w:r w:rsidRPr="00973C18">
        <w:rPr>
          <w:lang w:val="fr-CA"/>
        </w:rPr>
        <w:t xml:space="preserve"> des organismes communautaires québécois de lutte contre le sida, Montréal.</w:t>
      </w:r>
    </w:p>
    <w:sectPr w:rsidR="009B5348" w:rsidRPr="00973C18" w:rsidSect="00940771">
      <w:type w:val="continuous"/>
      <w:pgSz w:w="12240" w:h="15840" w:code="1"/>
      <w:pgMar w:top="1267" w:right="2160" w:bottom="720" w:left="180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8E" w:rsidRDefault="00160F8E">
      <w:r>
        <w:separator/>
      </w:r>
    </w:p>
  </w:endnote>
  <w:endnote w:type="continuationSeparator" w:id="0">
    <w:p w:rsidR="00160F8E" w:rsidRDefault="00160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8E" w:rsidRDefault="00160F8E">
      <w:r>
        <w:separator/>
      </w:r>
    </w:p>
  </w:footnote>
  <w:footnote w:type="continuationSeparator" w:id="0">
    <w:p w:rsidR="00160F8E" w:rsidRDefault="00160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25198"/>
    <w:rsid w:val="000578A3"/>
    <w:rsid w:val="000648CC"/>
    <w:rsid w:val="000B7FEE"/>
    <w:rsid w:val="000C0E55"/>
    <w:rsid w:val="000C59B8"/>
    <w:rsid w:val="000C6AF0"/>
    <w:rsid w:val="000F36FD"/>
    <w:rsid w:val="00104F33"/>
    <w:rsid w:val="00111DE2"/>
    <w:rsid w:val="00116B38"/>
    <w:rsid w:val="00135406"/>
    <w:rsid w:val="00135972"/>
    <w:rsid w:val="001426A9"/>
    <w:rsid w:val="00154D7C"/>
    <w:rsid w:val="001570B0"/>
    <w:rsid w:val="0015752C"/>
    <w:rsid w:val="00157737"/>
    <w:rsid w:val="00160F8E"/>
    <w:rsid w:val="00165277"/>
    <w:rsid w:val="00170592"/>
    <w:rsid w:val="00186351"/>
    <w:rsid w:val="00195D83"/>
    <w:rsid w:val="001A00C1"/>
    <w:rsid w:val="001A46EE"/>
    <w:rsid w:val="001B33E0"/>
    <w:rsid w:val="001B4573"/>
    <w:rsid w:val="001C779F"/>
    <w:rsid w:val="001D2AC1"/>
    <w:rsid w:val="001D364D"/>
    <w:rsid w:val="001D4E88"/>
    <w:rsid w:val="00220FC2"/>
    <w:rsid w:val="002222F4"/>
    <w:rsid w:val="00224FC0"/>
    <w:rsid w:val="00225EA4"/>
    <w:rsid w:val="00226EAF"/>
    <w:rsid w:val="00231F3A"/>
    <w:rsid w:val="002331F8"/>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7683C"/>
    <w:rsid w:val="00394008"/>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1D6F"/>
    <w:rsid w:val="00493C18"/>
    <w:rsid w:val="004A600C"/>
    <w:rsid w:val="004A6118"/>
    <w:rsid w:val="004C478D"/>
    <w:rsid w:val="004E2C26"/>
    <w:rsid w:val="004F36FF"/>
    <w:rsid w:val="005034ED"/>
    <w:rsid w:val="005125A8"/>
    <w:rsid w:val="00521AE8"/>
    <w:rsid w:val="00527180"/>
    <w:rsid w:val="0054201E"/>
    <w:rsid w:val="00555291"/>
    <w:rsid w:val="00566AD1"/>
    <w:rsid w:val="00583EDE"/>
    <w:rsid w:val="005A6079"/>
    <w:rsid w:val="005E4698"/>
    <w:rsid w:val="006031F4"/>
    <w:rsid w:val="00610539"/>
    <w:rsid w:val="00613969"/>
    <w:rsid w:val="00625C35"/>
    <w:rsid w:val="00656313"/>
    <w:rsid w:val="006565F4"/>
    <w:rsid w:val="00684EEA"/>
    <w:rsid w:val="0069689B"/>
    <w:rsid w:val="006A0525"/>
    <w:rsid w:val="006A1551"/>
    <w:rsid w:val="006B5FF5"/>
    <w:rsid w:val="006F30AF"/>
    <w:rsid w:val="00701759"/>
    <w:rsid w:val="00705C15"/>
    <w:rsid w:val="0071600E"/>
    <w:rsid w:val="007208D1"/>
    <w:rsid w:val="00727634"/>
    <w:rsid w:val="00747288"/>
    <w:rsid w:val="00747DD3"/>
    <w:rsid w:val="007549C8"/>
    <w:rsid w:val="00754A0B"/>
    <w:rsid w:val="00766D14"/>
    <w:rsid w:val="00767A0F"/>
    <w:rsid w:val="00782EBA"/>
    <w:rsid w:val="007922A0"/>
    <w:rsid w:val="007A05F6"/>
    <w:rsid w:val="007B04BC"/>
    <w:rsid w:val="007B6F4A"/>
    <w:rsid w:val="007E1C47"/>
    <w:rsid w:val="007E337A"/>
    <w:rsid w:val="007E5964"/>
    <w:rsid w:val="007E5C70"/>
    <w:rsid w:val="007F2FF5"/>
    <w:rsid w:val="007F3F08"/>
    <w:rsid w:val="00804CC6"/>
    <w:rsid w:val="00814BA6"/>
    <w:rsid w:val="00817190"/>
    <w:rsid w:val="00820EE5"/>
    <w:rsid w:val="008260E2"/>
    <w:rsid w:val="008322BD"/>
    <w:rsid w:val="00833E0A"/>
    <w:rsid w:val="00834F73"/>
    <w:rsid w:val="008465D4"/>
    <w:rsid w:val="00864CF8"/>
    <w:rsid w:val="00866919"/>
    <w:rsid w:val="00872819"/>
    <w:rsid w:val="00874914"/>
    <w:rsid w:val="00891422"/>
    <w:rsid w:val="00892E1A"/>
    <w:rsid w:val="008A3F29"/>
    <w:rsid w:val="008B660A"/>
    <w:rsid w:val="008C01DA"/>
    <w:rsid w:val="008F78E9"/>
    <w:rsid w:val="00911989"/>
    <w:rsid w:val="00913F9E"/>
    <w:rsid w:val="009179F9"/>
    <w:rsid w:val="00933E5E"/>
    <w:rsid w:val="00935218"/>
    <w:rsid w:val="009403F3"/>
    <w:rsid w:val="00940771"/>
    <w:rsid w:val="009555B7"/>
    <w:rsid w:val="009567AA"/>
    <w:rsid w:val="00967374"/>
    <w:rsid w:val="00973985"/>
    <w:rsid w:val="00973C18"/>
    <w:rsid w:val="009954C1"/>
    <w:rsid w:val="009A343A"/>
    <w:rsid w:val="009B2F23"/>
    <w:rsid w:val="009B5348"/>
    <w:rsid w:val="009B57B3"/>
    <w:rsid w:val="009C5B92"/>
    <w:rsid w:val="009D2920"/>
    <w:rsid w:val="009D5AEB"/>
    <w:rsid w:val="009F0E33"/>
    <w:rsid w:val="00A030CE"/>
    <w:rsid w:val="00A149DF"/>
    <w:rsid w:val="00A1755C"/>
    <w:rsid w:val="00A21B90"/>
    <w:rsid w:val="00A24374"/>
    <w:rsid w:val="00A41805"/>
    <w:rsid w:val="00A42DCD"/>
    <w:rsid w:val="00A52AFB"/>
    <w:rsid w:val="00A548CB"/>
    <w:rsid w:val="00A5521C"/>
    <w:rsid w:val="00A643E7"/>
    <w:rsid w:val="00A73C38"/>
    <w:rsid w:val="00AB48E9"/>
    <w:rsid w:val="00AB5F68"/>
    <w:rsid w:val="00AB670D"/>
    <w:rsid w:val="00AF03C5"/>
    <w:rsid w:val="00B000D8"/>
    <w:rsid w:val="00B00F75"/>
    <w:rsid w:val="00B145B6"/>
    <w:rsid w:val="00B279EB"/>
    <w:rsid w:val="00B332B7"/>
    <w:rsid w:val="00B33319"/>
    <w:rsid w:val="00B50C81"/>
    <w:rsid w:val="00B557F8"/>
    <w:rsid w:val="00B7445B"/>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6DEB"/>
    <w:rsid w:val="00D37A3F"/>
    <w:rsid w:val="00D4431D"/>
    <w:rsid w:val="00D4667A"/>
    <w:rsid w:val="00D63A1C"/>
    <w:rsid w:val="00D7516F"/>
    <w:rsid w:val="00D8579F"/>
    <w:rsid w:val="00D90F9E"/>
    <w:rsid w:val="00D95F8E"/>
    <w:rsid w:val="00DA0590"/>
    <w:rsid w:val="00DB7BEA"/>
    <w:rsid w:val="00DC1739"/>
    <w:rsid w:val="00DC1788"/>
    <w:rsid w:val="00DE319C"/>
    <w:rsid w:val="00DF0CA8"/>
    <w:rsid w:val="00DF2B48"/>
    <w:rsid w:val="00DF49A7"/>
    <w:rsid w:val="00E05EC8"/>
    <w:rsid w:val="00E07EE2"/>
    <w:rsid w:val="00E07FD1"/>
    <w:rsid w:val="00E24573"/>
    <w:rsid w:val="00E25E1E"/>
    <w:rsid w:val="00E27EE7"/>
    <w:rsid w:val="00E35404"/>
    <w:rsid w:val="00E45109"/>
    <w:rsid w:val="00E47B7A"/>
    <w:rsid w:val="00E56A44"/>
    <w:rsid w:val="00E60269"/>
    <w:rsid w:val="00E60A6C"/>
    <w:rsid w:val="00E77932"/>
    <w:rsid w:val="00E97830"/>
    <w:rsid w:val="00EA4B46"/>
    <w:rsid w:val="00ED206B"/>
    <w:rsid w:val="00EE643C"/>
    <w:rsid w:val="00EF0683"/>
    <w:rsid w:val="00EF69D2"/>
    <w:rsid w:val="00EF766E"/>
    <w:rsid w:val="00F0070C"/>
    <w:rsid w:val="00F00EB7"/>
    <w:rsid w:val="00F36AB6"/>
    <w:rsid w:val="00F37A09"/>
    <w:rsid w:val="00F409CE"/>
    <w:rsid w:val="00F4379D"/>
    <w:rsid w:val="00F50D2D"/>
    <w:rsid w:val="00F56C8B"/>
    <w:rsid w:val="00F66810"/>
    <w:rsid w:val="00F6760A"/>
    <w:rsid w:val="00F846D9"/>
    <w:rsid w:val="00F84DF4"/>
    <w:rsid w:val="00F85C97"/>
    <w:rsid w:val="00FB37D2"/>
    <w:rsid w:val="00FC0085"/>
    <w:rsid w:val="00FC4EFB"/>
    <w:rsid w:val="00FD068D"/>
    <w:rsid w:val="00FD30C0"/>
    <w:rsid w:val="00FD4F28"/>
    <w:rsid w:val="00FE4D6A"/>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B7445B"/>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1A46E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1A46EE"/>
    <w:rPr>
      <w:rFonts w:eastAsiaTheme="minorHAnsi" w:cstheme="minorBidi"/>
      <w:sz w:val="24"/>
      <w:szCs w:val="24"/>
      <w:lang w:eastAsia="en-US"/>
    </w:rPr>
  </w:style>
  <w:style w:type="paragraph" w:customStyle="1" w:styleId="SCCLsocPrefix">
    <w:name w:val="SCC.Lsoc.Prefix"/>
    <w:basedOn w:val="Normal"/>
    <w:next w:val="Normal"/>
    <w:link w:val="SCCLsocPrefixChar"/>
    <w:rsid w:val="001A46EE"/>
    <w:rPr>
      <w:rFonts w:eastAsiaTheme="minorHAnsi" w:cstheme="minorBidi"/>
      <w:b/>
      <w:smallCaps/>
      <w:szCs w:val="24"/>
      <w:lang w:eastAsia="en-US"/>
    </w:rPr>
  </w:style>
  <w:style w:type="character" w:customStyle="1" w:styleId="SCCLsocPrefixChar">
    <w:name w:val="SCC.Lsoc.Prefix Char"/>
    <w:basedOn w:val="DefaultParagraphFont"/>
    <w:link w:val="SCCLsocPrefix"/>
    <w:rsid w:val="001A46EE"/>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28FD9-B810-4647-9FBE-296C4F4C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3216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2015-01-08T19:51:00Z</dcterms:created>
  <dcterms:modified xsi:type="dcterms:W3CDTF">2015-03-06T19:38:00Z</dcterms:modified>
</cp:coreProperties>
</file>