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804" w:rsidRDefault="00273804" w:rsidP="00DC509D">
      <w:pPr>
        <w:pStyle w:val="Court"/>
        <w:rPr>
          <w:lang w:val="en-US"/>
        </w:rPr>
      </w:pPr>
      <w:r>
        <w:rPr>
          <w:lang w:val="en-US"/>
        </w:rPr>
        <w:t>Supreme Court of Canada</w:t>
      </w:r>
    </w:p>
    <w:p w:rsidR="00273804" w:rsidRDefault="00740CC0" w:rsidP="00DC509D">
      <w:pPr>
        <w:pStyle w:val="CitationLine"/>
        <w:rPr>
          <w:lang w:val="en-US"/>
        </w:rPr>
      </w:pPr>
      <w:r w:rsidRPr="00740CC0">
        <w:rPr>
          <w:lang w:val="en-US"/>
        </w:rPr>
        <w:t xml:space="preserve">Bowmanville Machine. Company </w:t>
      </w:r>
      <w:r w:rsidRPr="00740CC0">
        <w:rPr>
          <w:i/>
          <w:iCs/>
          <w:lang w:val="en-US"/>
        </w:rPr>
        <w:t>v.</w:t>
      </w:r>
      <w:r w:rsidRPr="00740CC0">
        <w:rPr>
          <w:lang w:val="en-US"/>
        </w:rPr>
        <w:t xml:space="preserve"> Dempster</w:t>
      </w:r>
      <w:r>
        <w:rPr>
          <w:lang w:val="en-US"/>
        </w:rPr>
        <w:t xml:space="preserve"> </w:t>
      </w:r>
      <w:r w:rsidR="00273804">
        <w:rPr>
          <w:lang w:val="en-US"/>
        </w:rPr>
        <w:t>(1877) 2 SCR 21</w:t>
      </w:r>
    </w:p>
    <w:p w:rsidR="00273804" w:rsidRDefault="00273804" w:rsidP="00DC509D">
      <w:pPr>
        <w:pStyle w:val="DateISO"/>
        <w:rPr>
          <w:lang w:val="en-US"/>
        </w:rPr>
      </w:pPr>
      <w:r>
        <w:rPr>
          <w:lang w:val="en-US"/>
        </w:rPr>
        <w:t>Date: 1877-06-09</w:t>
      </w:r>
    </w:p>
    <w:p w:rsidR="00D55547" w:rsidRPr="00273804" w:rsidRDefault="00273804" w:rsidP="00DC509D">
      <w:pPr>
        <w:pStyle w:val="Metadata"/>
        <w:rPr>
          <w:lang w:val="en-US"/>
        </w:rPr>
      </w:pPr>
      <w:r w:rsidRPr="00273804">
        <w:rPr>
          <w:lang w:val="en-US"/>
        </w:rPr>
        <w:t>The Bowmanville Machine Company</w:t>
      </w:r>
    </w:p>
    <w:p w:rsidR="00D55547" w:rsidRPr="00273804" w:rsidRDefault="00D55547" w:rsidP="00DC509D">
      <w:pPr>
        <w:pStyle w:val="Metadata"/>
        <w:rPr>
          <w:lang w:val="en-US"/>
        </w:rPr>
      </w:pPr>
      <w:r w:rsidRPr="00273804">
        <w:rPr>
          <w:lang w:val="en-US"/>
        </w:rPr>
        <w:t>Appellants</w:t>
      </w:r>
    </w:p>
    <w:p w:rsidR="00D55547" w:rsidRPr="00273804" w:rsidRDefault="00273804" w:rsidP="00DC509D">
      <w:pPr>
        <w:pStyle w:val="Metadata"/>
        <w:rPr>
          <w:lang w:val="en-US"/>
        </w:rPr>
      </w:pPr>
      <w:r w:rsidRPr="00273804">
        <w:rPr>
          <w:lang w:val="en-US"/>
        </w:rPr>
        <w:t>And</w:t>
      </w:r>
    </w:p>
    <w:p w:rsidR="00D55547" w:rsidRPr="00273804" w:rsidRDefault="00273804" w:rsidP="00DC509D">
      <w:pPr>
        <w:pStyle w:val="Metadata"/>
        <w:rPr>
          <w:lang w:val="en-US"/>
        </w:rPr>
      </w:pPr>
      <w:r w:rsidRPr="00273804">
        <w:rPr>
          <w:lang w:val="en-US"/>
        </w:rPr>
        <w:t>James Dempster</w:t>
      </w:r>
    </w:p>
    <w:p w:rsidR="00D55547" w:rsidRPr="00273804" w:rsidRDefault="00D55547" w:rsidP="00DC509D">
      <w:pPr>
        <w:pStyle w:val="Metadata"/>
        <w:rPr>
          <w:lang w:val="en-US"/>
        </w:rPr>
      </w:pPr>
      <w:r w:rsidRPr="00273804">
        <w:rPr>
          <w:lang w:val="en-US"/>
        </w:rPr>
        <w:t>Respondent</w:t>
      </w:r>
    </w:p>
    <w:p w:rsidR="00273804" w:rsidRDefault="00273804" w:rsidP="00DC509D">
      <w:pPr>
        <w:pStyle w:val="Metadata"/>
        <w:rPr>
          <w:lang w:val="en-US"/>
        </w:rPr>
      </w:pPr>
      <w:r>
        <w:rPr>
          <w:lang w:val="en-US"/>
        </w:rPr>
        <w:t>1877: June 9</w:t>
      </w:r>
    </w:p>
    <w:p w:rsidR="00273804" w:rsidRDefault="00273804" w:rsidP="00DC509D">
      <w:pPr>
        <w:pStyle w:val="Metadata"/>
        <w:rPr>
          <w:lang w:val="en-US"/>
        </w:rPr>
      </w:pPr>
      <w:r w:rsidRPr="00273804">
        <w:rPr>
          <w:lang w:val="en-US"/>
        </w:rPr>
        <w:t>Present</w:t>
      </w:r>
      <w:r>
        <w:rPr>
          <w:lang w:val="en-US"/>
        </w:rPr>
        <w:t>:—Richards, C. J., and Ritchie, Strong, Taschereau and Fournier, J. J.</w:t>
      </w:r>
    </w:p>
    <w:p w:rsidR="00D55547" w:rsidRDefault="00D55547" w:rsidP="00DC509D">
      <w:pPr>
        <w:pStyle w:val="Metadata"/>
        <w:rPr>
          <w:lang w:val="en-US"/>
        </w:rPr>
      </w:pPr>
      <w:r>
        <w:rPr>
          <w:lang w:val="en-US"/>
        </w:rPr>
        <w:t>ON APPEAL FROM THE SUPREME COURT OF NOVA SCOTIA.</w:t>
      </w:r>
    </w:p>
    <w:p w:rsidR="00D55547" w:rsidRDefault="00D55547" w:rsidP="00DC509D">
      <w:pPr>
        <w:pStyle w:val="Keywords"/>
        <w:rPr>
          <w:lang w:val="en-US"/>
        </w:rPr>
      </w:pPr>
      <w:r>
        <w:rPr>
          <w:lang w:val="en-US"/>
        </w:rPr>
        <w:t>Goods sold by Agent as Principal.—Right of set off.</w:t>
      </w:r>
    </w:p>
    <w:p w:rsidR="00D55547" w:rsidRDefault="00D55547" w:rsidP="00DC509D">
      <w:pPr>
        <w:pStyle w:val="Summary"/>
        <w:rPr>
          <w:lang w:val="en-US"/>
        </w:rPr>
      </w:pPr>
      <w:r>
        <w:rPr>
          <w:lang w:val="en-US"/>
        </w:rPr>
        <w:t xml:space="preserve">The </w:t>
      </w:r>
      <w:r>
        <w:rPr>
          <w:i/>
          <w:iCs/>
          <w:lang w:val="en-US"/>
        </w:rPr>
        <w:t>B. M. Co.</w:t>
      </w:r>
      <w:r>
        <w:rPr>
          <w:lang w:val="en-US"/>
        </w:rPr>
        <w:t xml:space="preserve"> (Plaintiffs) sued </w:t>
      </w:r>
      <w:r>
        <w:rPr>
          <w:i/>
          <w:iCs/>
          <w:lang w:val="en-US"/>
        </w:rPr>
        <w:t>D.</w:t>
      </w:r>
      <w:r>
        <w:rPr>
          <w:lang w:val="en-US"/>
        </w:rPr>
        <w:t xml:space="preserve"> (Defendant) for goods sold and delivered. </w:t>
      </w:r>
      <w:r>
        <w:rPr>
          <w:i/>
          <w:iCs/>
          <w:lang w:val="en-US"/>
        </w:rPr>
        <w:t>D.</w:t>
      </w:r>
      <w:r>
        <w:rPr>
          <w:lang w:val="en-US"/>
        </w:rPr>
        <w:t xml:space="preserve"> pleaded that the goods were sold to him by one </w:t>
      </w:r>
      <w:r>
        <w:rPr>
          <w:i/>
          <w:iCs/>
          <w:lang w:val="en-US"/>
        </w:rPr>
        <w:t>A.</w:t>
      </w:r>
      <w:r>
        <w:rPr>
          <w:lang w:val="en-US"/>
        </w:rPr>
        <w:t xml:space="preserve">, whom the Defendant believed to be the Principal, and that before the Defendant knew that the Plaintiffs were the Principals, the said </w:t>
      </w:r>
      <w:r>
        <w:rPr>
          <w:i/>
          <w:iCs/>
          <w:lang w:val="en-US"/>
        </w:rPr>
        <w:t>A.</w:t>
      </w:r>
      <w:r>
        <w:rPr>
          <w:lang w:val="en-US"/>
        </w:rPr>
        <w:t xml:space="preserve"> became indebted to the Defendant in a sum of $400, which he, the Defendant, was willing to set-off against the Plaintiff's claim. The Jury found a verdict for the Defendant on this plea:—</w:t>
      </w:r>
    </w:p>
    <w:p w:rsidR="00D55547" w:rsidRDefault="00D55547" w:rsidP="00DC509D">
      <w:pPr>
        <w:pStyle w:val="Summary"/>
        <w:rPr>
          <w:szCs w:val="24"/>
          <w:lang w:val="en-US"/>
        </w:rPr>
      </w:pPr>
      <w:r>
        <w:rPr>
          <w:i/>
          <w:iCs/>
          <w:szCs w:val="24"/>
          <w:lang w:val="en-US"/>
        </w:rPr>
        <w:t>Held</w:t>
      </w:r>
      <w:r>
        <w:rPr>
          <w:szCs w:val="24"/>
          <w:lang w:val="en-US"/>
        </w:rPr>
        <w:t xml:space="preserve">,—That the Defendant, having purchased the goods without notice of </w:t>
      </w:r>
      <w:r>
        <w:rPr>
          <w:i/>
          <w:iCs/>
          <w:szCs w:val="24"/>
          <w:lang w:val="en-US"/>
        </w:rPr>
        <w:t>A's</w:t>
      </w:r>
      <w:r>
        <w:rPr>
          <w:szCs w:val="24"/>
          <w:lang w:val="en-US"/>
        </w:rPr>
        <w:t xml:space="preserve"> being an agent, and </w:t>
      </w:r>
      <w:r>
        <w:rPr>
          <w:i/>
          <w:iCs/>
          <w:szCs w:val="24"/>
          <w:lang w:val="en-US"/>
        </w:rPr>
        <w:t>A.</w:t>
      </w:r>
      <w:r>
        <w:rPr>
          <w:szCs w:val="24"/>
          <w:lang w:val="en-US"/>
        </w:rPr>
        <w:t xml:space="preserve"> having sold them in his own name, could set off the debt due to him from </w:t>
      </w:r>
      <w:r>
        <w:rPr>
          <w:i/>
          <w:iCs/>
          <w:szCs w:val="24"/>
          <w:lang w:val="en-US"/>
        </w:rPr>
        <w:t>A.</w:t>
      </w:r>
      <w:r>
        <w:rPr>
          <w:szCs w:val="24"/>
          <w:lang w:val="en-US"/>
        </w:rPr>
        <w:t xml:space="preserve"> personally, in the same way as if </w:t>
      </w:r>
      <w:r>
        <w:rPr>
          <w:i/>
          <w:iCs/>
          <w:szCs w:val="24"/>
          <w:lang w:val="en-US"/>
        </w:rPr>
        <w:t>A.</w:t>
      </w:r>
      <w:r>
        <w:rPr>
          <w:szCs w:val="24"/>
          <w:lang w:val="en-US"/>
        </w:rPr>
        <w:t xml:space="preserve"> had been the Principal; and that the verdict should be sustained.</w:t>
      </w:r>
    </w:p>
    <w:p w:rsidR="00D55547" w:rsidRDefault="00D55547" w:rsidP="00DC509D">
      <w:pPr>
        <w:pStyle w:val="History"/>
        <w:rPr>
          <w:rFonts w:cs="Arial"/>
          <w:szCs w:val="24"/>
          <w:lang w:val="en-US"/>
        </w:rPr>
      </w:pPr>
      <w:r w:rsidRPr="00740CC0">
        <w:rPr>
          <w:rFonts w:cs="Arial"/>
          <w:szCs w:val="24"/>
          <w:lang w:val="en-US"/>
        </w:rPr>
        <w:t xml:space="preserve">Appeal </w:t>
      </w:r>
      <w:r>
        <w:rPr>
          <w:rFonts w:cs="Arial"/>
          <w:szCs w:val="24"/>
          <w:lang w:val="en-US"/>
        </w:rPr>
        <w:t xml:space="preserve">from a judgment of the Supreme Court of </w:t>
      </w:r>
      <w:r>
        <w:rPr>
          <w:rFonts w:cs="Arial"/>
          <w:i/>
          <w:iCs/>
          <w:szCs w:val="24"/>
          <w:lang w:val="en-US"/>
        </w:rPr>
        <w:t>Nova Scotia</w:t>
      </w:r>
      <w:r>
        <w:rPr>
          <w:rFonts w:cs="Arial"/>
          <w:szCs w:val="24"/>
          <w:lang w:val="en-US"/>
        </w:rPr>
        <w:t xml:space="preserve">, discharging the rule </w:t>
      </w:r>
      <w:r>
        <w:rPr>
          <w:rFonts w:cs="Arial"/>
          <w:i/>
          <w:iCs/>
          <w:szCs w:val="24"/>
          <w:lang w:val="en-US"/>
        </w:rPr>
        <w:t>nisi</w:t>
      </w:r>
      <w:r>
        <w:rPr>
          <w:rFonts w:cs="Arial"/>
          <w:szCs w:val="24"/>
          <w:lang w:val="en-US"/>
        </w:rPr>
        <w:t xml:space="preserve"> taken out on the part of the Appellants to set aside the verdict and obtain a new trial.</w:t>
      </w:r>
    </w:p>
    <w:p w:rsidR="00D55547" w:rsidRDefault="00D55547" w:rsidP="00DC509D">
      <w:pPr>
        <w:pStyle w:val="History"/>
        <w:rPr>
          <w:rFonts w:cs="Arial"/>
          <w:szCs w:val="24"/>
          <w:lang w:val="en-US"/>
        </w:rPr>
      </w:pPr>
      <w:r>
        <w:rPr>
          <w:rFonts w:cs="Arial"/>
          <w:szCs w:val="24"/>
          <w:lang w:val="en-US"/>
        </w:rPr>
        <w:t>The action was brought for goods sold and delivered, work and materials, money lent, laid out and out and expended, for money received, money due on account stated, and for interest on moneys of the Plaintiffs held by the Defendants.</w:t>
      </w:r>
    </w:p>
    <w:p w:rsidR="00D55547" w:rsidRDefault="00D55547" w:rsidP="00DC509D">
      <w:pPr>
        <w:pStyle w:val="History"/>
        <w:rPr>
          <w:rFonts w:cs="Arial"/>
          <w:szCs w:val="24"/>
          <w:lang w:val="en-US"/>
        </w:rPr>
      </w:pPr>
      <w:r>
        <w:rPr>
          <w:rFonts w:cs="Arial"/>
          <w:szCs w:val="24"/>
          <w:lang w:val="en-US"/>
        </w:rPr>
        <w:t>The pleas were—</w:t>
      </w:r>
    </w:p>
    <w:p w:rsidR="00D55547" w:rsidRDefault="00D55547" w:rsidP="00DC509D">
      <w:pPr>
        <w:pStyle w:val="History"/>
        <w:rPr>
          <w:rFonts w:cs="Arial"/>
          <w:szCs w:val="24"/>
          <w:lang w:val="en-US"/>
        </w:rPr>
      </w:pPr>
      <w:r>
        <w:rPr>
          <w:rFonts w:cs="Arial"/>
          <w:szCs w:val="24"/>
          <w:lang w:val="en-US"/>
        </w:rPr>
        <w:t>1st. Never indebted;</w:t>
      </w:r>
    </w:p>
    <w:p w:rsidR="00D55547" w:rsidRDefault="00D55547" w:rsidP="00DC509D">
      <w:pPr>
        <w:pStyle w:val="History"/>
        <w:rPr>
          <w:rFonts w:cs="Arial"/>
          <w:szCs w:val="24"/>
          <w:lang w:val="en-US"/>
        </w:rPr>
      </w:pPr>
      <w:r>
        <w:rPr>
          <w:rFonts w:cs="Arial"/>
          <w:szCs w:val="24"/>
          <w:lang w:val="en-US"/>
        </w:rPr>
        <w:t>2nd. Payment before action;</w:t>
      </w:r>
    </w:p>
    <w:p w:rsidR="00D55547" w:rsidRDefault="00CD504E" w:rsidP="00DC509D">
      <w:pPr>
        <w:pStyle w:val="Page"/>
        <w:rPr>
          <w:lang w:val="en-US"/>
        </w:rPr>
      </w:pPr>
      <w:r>
        <w:rPr>
          <w:rFonts w:cs="Arial"/>
          <w:szCs w:val="24"/>
          <w:lang w:val="en-US"/>
        </w:rPr>
        <w:t xml:space="preserve">[Page </w:t>
      </w:r>
      <w:r w:rsidR="00D55547">
        <w:rPr>
          <w:rFonts w:cs="Arial"/>
          <w:szCs w:val="24"/>
          <w:lang w:val="en-US"/>
        </w:rPr>
        <w:t>22]</w:t>
      </w:r>
    </w:p>
    <w:p w:rsidR="00D55547" w:rsidRDefault="00D55547" w:rsidP="00DC509D">
      <w:pPr>
        <w:pStyle w:val="History"/>
        <w:rPr>
          <w:rFonts w:cs="Arial"/>
          <w:szCs w:val="24"/>
          <w:lang w:val="en-US"/>
        </w:rPr>
      </w:pPr>
      <w:r>
        <w:rPr>
          <w:rFonts w:cs="Arial"/>
          <w:szCs w:val="24"/>
          <w:lang w:val="en-US"/>
        </w:rPr>
        <w:lastRenderedPageBreak/>
        <w:t xml:space="preserve">3rd. Special plea of set-off that the goods so sold and delivered, and the work and materials, and moneys paid, &amp;c., were sold to Defendant, and provided and paid by one </w:t>
      </w:r>
      <w:r>
        <w:rPr>
          <w:rFonts w:cs="Arial"/>
          <w:i/>
          <w:iCs/>
          <w:szCs w:val="24"/>
          <w:lang w:val="en-US"/>
        </w:rPr>
        <w:t>Alexander B. Almour</w:t>
      </w:r>
      <w:r>
        <w:rPr>
          <w:rFonts w:cs="Arial"/>
          <w:szCs w:val="24"/>
          <w:lang w:val="en-US"/>
        </w:rPr>
        <w:t xml:space="preserve">; that the said </w:t>
      </w:r>
      <w:r>
        <w:rPr>
          <w:rFonts w:cs="Arial"/>
          <w:i/>
          <w:iCs/>
          <w:szCs w:val="24"/>
          <w:lang w:val="en-US"/>
        </w:rPr>
        <w:t>Almour</w:t>
      </w:r>
      <w:r>
        <w:rPr>
          <w:rFonts w:cs="Arial"/>
          <w:szCs w:val="24"/>
          <w:lang w:val="en-US"/>
        </w:rPr>
        <w:t xml:space="preserve"> sold the said goods, &amp;c., &amp;c., in his own name, and as his own goods, &amp;c., &amp;c., with the consent of the Plaintiffs, and that the Defendant believed the said </w:t>
      </w:r>
      <w:r>
        <w:rPr>
          <w:rFonts w:cs="Arial"/>
          <w:i/>
          <w:iCs/>
          <w:szCs w:val="24"/>
          <w:lang w:val="en-US"/>
        </w:rPr>
        <w:t>Almour</w:t>
      </w:r>
      <w:r>
        <w:rPr>
          <w:rFonts w:cs="Arial"/>
          <w:szCs w:val="24"/>
          <w:lang w:val="en-US"/>
        </w:rPr>
        <w:t xml:space="preserve"> to be the Principal, and did not know the Plaintiffs in the matter, and that before the Defendant knew that the Plaintiffs were the Principals, the said </w:t>
      </w:r>
      <w:r>
        <w:rPr>
          <w:rFonts w:cs="Arial"/>
          <w:i/>
          <w:iCs/>
          <w:szCs w:val="24"/>
          <w:lang w:val="en-US"/>
        </w:rPr>
        <w:t>Almour</w:t>
      </w:r>
      <w:r>
        <w:rPr>
          <w:rFonts w:cs="Arial"/>
          <w:szCs w:val="24"/>
          <w:lang w:val="en-US"/>
        </w:rPr>
        <w:t xml:space="preserve"> became indebted to the Defendant in an amount greater than the Plaintiff's claim, upon his </w:t>
      </w:r>
      <w:r>
        <w:rPr>
          <w:rFonts w:cs="Arial"/>
          <w:i/>
          <w:iCs/>
          <w:szCs w:val="24"/>
          <w:lang w:val="en-US"/>
        </w:rPr>
        <w:t>(Almour's)</w:t>
      </w:r>
      <w:r>
        <w:rPr>
          <w:rFonts w:cs="Arial"/>
          <w:szCs w:val="24"/>
          <w:lang w:val="en-US"/>
        </w:rPr>
        <w:t xml:space="preserve"> promissory note then overdue, and for money lent and advanced, and $400 of which moneys, he, the Defendant, was willing to set off against the Plaintiffs' claim.</w:t>
      </w:r>
    </w:p>
    <w:p w:rsidR="00D55547" w:rsidRDefault="00D55547" w:rsidP="00DC509D">
      <w:pPr>
        <w:pStyle w:val="History"/>
        <w:rPr>
          <w:rFonts w:cs="Arial"/>
          <w:szCs w:val="24"/>
          <w:lang w:val="en-US"/>
        </w:rPr>
      </w:pPr>
      <w:r>
        <w:rPr>
          <w:rFonts w:cs="Arial"/>
          <w:szCs w:val="24"/>
          <w:lang w:val="en-US"/>
        </w:rPr>
        <w:t xml:space="preserve">The case came on for trial at </w:t>
      </w:r>
      <w:r>
        <w:rPr>
          <w:rFonts w:cs="Arial"/>
          <w:i/>
          <w:iCs/>
          <w:szCs w:val="24"/>
          <w:lang w:val="en-US"/>
        </w:rPr>
        <w:t>Halifax</w:t>
      </w:r>
      <w:r>
        <w:rPr>
          <w:rFonts w:cs="Arial"/>
          <w:szCs w:val="24"/>
          <w:lang w:val="en-US"/>
        </w:rPr>
        <w:t xml:space="preserve"> on the 31st March, 1876.</w:t>
      </w:r>
    </w:p>
    <w:p w:rsidR="00D55547" w:rsidRDefault="00D55547" w:rsidP="00DC509D">
      <w:pPr>
        <w:pStyle w:val="History"/>
        <w:rPr>
          <w:rFonts w:cs="Arial"/>
          <w:szCs w:val="24"/>
          <w:lang w:val="en-US"/>
        </w:rPr>
      </w:pPr>
      <w:r>
        <w:rPr>
          <w:rFonts w:cs="Arial"/>
          <w:szCs w:val="24"/>
          <w:lang w:val="en-US"/>
        </w:rPr>
        <w:t xml:space="preserve">There was conflicting evidence as to whom the goods were purchased from. The Respondent positively stated that he bought the goods from </w:t>
      </w:r>
      <w:r>
        <w:rPr>
          <w:rFonts w:cs="Arial"/>
          <w:i/>
          <w:iCs/>
          <w:szCs w:val="24"/>
          <w:lang w:val="en-US"/>
        </w:rPr>
        <w:t>Almour</w:t>
      </w:r>
      <w:r>
        <w:rPr>
          <w:rFonts w:cs="Arial"/>
          <w:szCs w:val="24"/>
          <w:lang w:val="en-US"/>
        </w:rPr>
        <w:t xml:space="preserve">, not knowing him to be Appellants' agent, and that he would not have bought them if </w:t>
      </w:r>
      <w:r>
        <w:rPr>
          <w:rFonts w:cs="Arial"/>
          <w:i/>
          <w:iCs/>
          <w:szCs w:val="24"/>
          <w:lang w:val="en-US"/>
        </w:rPr>
        <w:t>Almour</w:t>
      </w:r>
      <w:r>
        <w:rPr>
          <w:rFonts w:cs="Arial"/>
          <w:szCs w:val="24"/>
          <w:lang w:val="en-US"/>
        </w:rPr>
        <w:t xml:space="preserve"> had not been indebted to him. This statement was disputed and contradicted by </w:t>
      </w:r>
      <w:r>
        <w:rPr>
          <w:rFonts w:cs="Arial"/>
          <w:i/>
          <w:iCs/>
          <w:szCs w:val="24"/>
          <w:lang w:val="en-US"/>
        </w:rPr>
        <w:t>Almour</w:t>
      </w:r>
      <w:r>
        <w:rPr>
          <w:rFonts w:cs="Arial"/>
          <w:szCs w:val="24"/>
          <w:lang w:val="en-US"/>
        </w:rPr>
        <w:t xml:space="preserve"> and the witness </w:t>
      </w:r>
      <w:r>
        <w:rPr>
          <w:rFonts w:cs="Arial"/>
          <w:i/>
          <w:iCs/>
          <w:szCs w:val="24"/>
          <w:lang w:val="en-US"/>
        </w:rPr>
        <w:t>Cutlip</w:t>
      </w:r>
      <w:r>
        <w:rPr>
          <w:rFonts w:cs="Arial"/>
          <w:szCs w:val="24"/>
          <w:lang w:val="en-US"/>
        </w:rPr>
        <w:t>, his clerk. The following order taken from the order book and admitted to have been signed by the Defendant was put in evidence in support of their version of the contract:</w:t>
      </w:r>
    </w:p>
    <w:p w:rsidR="00D55547" w:rsidRDefault="00D55547" w:rsidP="00DC509D">
      <w:pPr>
        <w:pStyle w:val="History"/>
        <w:jc w:val="right"/>
        <w:rPr>
          <w:rFonts w:cs="Arial"/>
          <w:szCs w:val="24"/>
          <w:lang w:val="en-US"/>
        </w:rPr>
      </w:pPr>
      <w:r>
        <w:rPr>
          <w:rFonts w:cs="Arial"/>
          <w:szCs w:val="24"/>
          <w:lang w:val="en-US"/>
        </w:rPr>
        <w:t>"</w:t>
      </w:r>
      <w:r>
        <w:rPr>
          <w:rFonts w:cs="Arial"/>
          <w:i/>
          <w:iCs/>
          <w:szCs w:val="24"/>
          <w:lang w:val="en-US"/>
        </w:rPr>
        <w:t>Halifax, N. S.</w:t>
      </w:r>
      <w:r>
        <w:rPr>
          <w:rFonts w:cs="Arial"/>
          <w:szCs w:val="24"/>
          <w:lang w:val="en-US"/>
        </w:rPr>
        <w:t>, 13th March, 1875</w:t>
      </w:r>
    </w:p>
    <w:p w:rsidR="00D55547" w:rsidRPr="00740CC0" w:rsidRDefault="00D55547" w:rsidP="00DC509D">
      <w:pPr>
        <w:pStyle w:val="History"/>
        <w:ind w:firstLine="0"/>
        <w:jc w:val="center"/>
        <w:rPr>
          <w:rFonts w:cs="Arial"/>
          <w:szCs w:val="24"/>
          <w:lang w:val="en-US"/>
        </w:rPr>
      </w:pPr>
      <w:r w:rsidRPr="00740CC0">
        <w:rPr>
          <w:rFonts w:cs="Arial"/>
          <w:szCs w:val="24"/>
          <w:lang w:val="en-US"/>
        </w:rPr>
        <w:t>Ordered for Bowmanville Machine Company.</w:t>
      </w:r>
    </w:p>
    <w:p w:rsidR="00D55547" w:rsidRDefault="00D55547" w:rsidP="00DC509D">
      <w:pPr>
        <w:pStyle w:val="History"/>
        <w:rPr>
          <w:rFonts w:cs="Arial"/>
          <w:szCs w:val="24"/>
          <w:lang w:val="en-US"/>
        </w:rPr>
      </w:pPr>
      <w:r>
        <w:rPr>
          <w:rFonts w:cs="Arial"/>
          <w:szCs w:val="24"/>
          <w:lang w:val="en-US"/>
        </w:rPr>
        <w:t xml:space="preserve">From </w:t>
      </w:r>
      <w:r>
        <w:rPr>
          <w:rFonts w:cs="Arial"/>
          <w:i/>
          <w:iCs/>
          <w:szCs w:val="24"/>
          <w:lang w:val="en-US"/>
        </w:rPr>
        <w:t>James Dempster</w:t>
      </w:r>
      <w:r>
        <w:rPr>
          <w:rFonts w:cs="Arial"/>
          <w:szCs w:val="24"/>
          <w:lang w:val="en-US"/>
        </w:rPr>
        <w:t>:</w:t>
      </w:r>
    </w:p>
    <w:p w:rsidR="00D55547" w:rsidRDefault="00D55547" w:rsidP="00DC509D">
      <w:pPr>
        <w:pStyle w:val="History"/>
        <w:rPr>
          <w:rFonts w:cs="Arial"/>
          <w:szCs w:val="24"/>
          <w:lang w:val="en-US"/>
        </w:rPr>
      </w:pPr>
      <w:r>
        <w:rPr>
          <w:rFonts w:cs="Arial"/>
          <w:szCs w:val="24"/>
          <w:lang w:val="en-US"/>
        </w:rPr>
        <w:t xml:space="preserve">Terms—$400 cash on arrival </w:t>
      </w:r>
      <w:r>
        <w:rPr>
          <w:rFonts w:cs="Arial"/>
          <w:i/>
          <w:iCs/>
          <w:szCs w:val="24"/>
          <w:lang w:val="en-US"/>
        </w:rPr>
        <w:t>Halifax</w:t>
      </w:r>
      <w:r>
        <w:rPr>
          <w:rFonts w:cs="Arial"/>
          <w:szCs w:val="24"/>
          <w:lang w:val="en-US"/>
        </w:rPr>
        <w:t>, balance 4 months."</w:t>
      </w:r>
    </w:p>
    <w:p w:rsidR="00D55547" w:rsidRDefault="00D55547" w:rsidP="00DC509D">
      <w:pPr>
        <w:pStyle w:val="History"/>
        <w:rPr>
          <w:rFonts w:cs="Arial"/>
          <w:szCs w:val="24"/>
          <w:lang w:val="en-US"/>
        </w:rPr>
      </w:pPr>
      <w:r>
        <w:rPr>
          <w:rFonts w:cs="Arial"/>
          <w:szCs w:val="24"/>
          <w:lang w:val="en-US"/>
        </w:rPr>
        <w:t>A red line here divides these entries from the list of articles ordered, and Defendant's signature is appended. The Respondent positively denied that the words above</w:t>
      </w:r>
    </w:p>
    <w:p w:rsidR="00D55547" w:rsidRDefault="00CD504E" w:rsidP="00DC509D">
      <w:pPr>
        <w:pStyle w:val="Page"/>
        <w:rPr>
          <w:lang w:val="en-US"/>
        </w:rPr>
      </w:pPr>
      <w:r>
        <w:rPr>
          <w:rFonts w:cs="Arial"/>
          <w:szCs w:val="24"/>
          <w:lang w:val="en-US"/>
        </w:rPr>
        <w:t xml:space="preserve">[Page </w:t>
      </w:r>
      <w:r w:rsidR="00D55547">
        <w:rPr>
          <w:rFonts w:cs="Arial"/>
          <w:szCs w:val="24"/>
          <w:lang w:val="en-US"/>
        </w:rPr>
        <w:t>23]</w:t>
      </w:r>
    </w:p>
    <w:p w:rsidR="00D55547" w:rsidRDefault="00D55547" w:rsidP="00DC509D">
      <w:pPr>
        <w:pStyle w:val="History"/>
        <w:ind w:firstLine="0"/>
        <w:rPr>
          <w:rFonts w:cs="Arial"/>
          <w:szCs w:val="24"/>
          <w:lang w:val="en-US"/>
        </w:rPr>
      </w:pPr>
      <w:r>
        <w:rPr>
          <w:rFonts w:cs="Arial"/>
          <w:szCs w:val="24"/>
          <w:lang w:val="en-US"/>
        </w:rPr>
        <w:t>the red line, viz.: "Bowmanville Machine Company—</w:t>
      </w:r>
      <w:r>
        <w:rPr>
          <w:rFonts w:cs="Arial"/>
          <w:i/>
          <w:iCs/>
          <w:szCs w:val="24"/>
          <w:lang w:val="en-US"/>
        </w:rPr>
        <w:t>James Dempster</w:t>
      </w:r>
      <w:r>
        <w:rPr>
          <w:rFonts w:cs="Arial"/>
          <w:szCs w:val="24"/>
          <w:lang w:val="en-US"/>
        </w:rPr>
        <w:t xml:space="preserve">—$400 cash on arrival </w:t>
      </w:r>
      <w:r>
        <w:rPr>
          <w:rFonts w:cs="Arial"/>
          <w:i/>
          <w:iCs/>
          <w:szCs w:val="24"/>
          <w:lang w:val="en-US"/>
        </w:rPr>
        <w:t>Halifax</w:t>
      </w:r>
      <w:r>
        <w:rPr>
          <w:rFonts w:cs="Arial"/>
          <w:szCs w:val="24"/>
          <w:lang w:val="en-US"/>
        </w:rPr>
        <w:t xml:space="preserve">, balance 4 months" were present when he signed the order. </w:t>
      </w:r>
      <w:r>
        <w:rPr>
          <w:rFonts w:cs="Arial"/>
          <w:i/>
          <w:iCs/>
          <w:szCs w:val="24"/>
          <w:lang w:val="en-US"/>
        </w:rPr>
        <w:t>Almour</w:t>
      </w:r>
      <w:r>
        <w:rPr>
          <w:rFonts w:cs="Arial"/>
          <w:szCs w:val="24"/>
          <w:lang w:val="en-US"/>
        </w:rPr>
        <w:t xml:space="preserve"> refused to produce his books at the trial, which, as testified to by his clerk, would have shewn an entry of the machine. The Appellants were not examined as to the nature of </w:t>
      </w:r>
      <w:r>
        <w:rPr>
          <w:rFonts w:cs="Arial"/>
          <w:i/>
          <w:iCs/>
          <w:szCs w:val="24"/>
          <w:lang w:val="en-US"/>
        </w:rPr>
        <w:t>Almour's</w:t>
      </w:r>
      <w:r>
        <w:rPr>
          <w:rFonts w:cs="Arial"/>
          <w:szCs w:val="24"/>
          <w:lang w:val="en-US"/>
        </w:rPr>
        <w:t xml:space="preserve"> agency.</w:t>
      </w:r>
    </w:p>
    <w:p w:rsidR="00D55547" w:rsidRDefault="00D55547" w:rsidP="00DC509D">
      <w:pPr>
        <w:pStyle w:val="History"/>
        <w:rPr>
          <w:rFonts w:cs="Arial"/>
          <w:szCs w:val="24"/>
          <w:lang w:val="en-US"/>
        </w:rPr>
      </w:pPr>
      <w:r>
        <w:rPr>
          <w:rFonts w:cs="Arial"/>
          <w:szCs w:val="24"/>
          <w:lang w:val="en-US"/>
        </w:rPr>
        <w:t xml:space="preserve">The Judge in his charge to the Jury amongst other things, stated that if they thought that all the writing above the red lines was inserted in the order after the Defendant signed it, then Defendant might very well consider it as an order to </w:t>
      </w:r>
      <w:r>
        <w:rPr>
          <w:rFonts w:cs="Arial"/>
          <w:i/>
          <w:iCs/>
          <w:szCs w:val="24"/>
          <w:lang w:val="en-US"/>
        </w:rPr>
        <w:t>Almour</w:t>
      </w:r>
      <w:r>
        <w:rPr>
          <w:rFonts w:cs="Arial"/>
          <w:szCs w:val="24"/>
          <w:lang w:val="en-US"/>
        </w:rPr>
        <w:t xml:space="preserve">, and that he was dealing with him as a Principal and not as an agent of the Plaintiffs, a fact which was not, but might and ought to have been, disclosed at the time, and, in that case, he thought the debt claimed to be due to Defendant by </w:t>
      </w:r>
      <w:r>
        <w:rPr>
          <w:rFonts w:cs="Arial"/>
          <w:i/>
          <w:iCs/>
          <w:szCs w:val="24"/>
          <w:lang w:val="en-US"/>
        </w:rPr>
        <w:t>Almour</w:t>
      </w:r>
      <w:r>
        <w:rPr>
          <w:rFonts w:cs="Arial"/>
          <w:szCs w:val="24"/>
          <w:lang w:val="en-US"/>
        </w:rPr>
        <w:t xml:space="preserve"> might be set off against the debt claimed by Plaintiffs from Defendant in this suit.</w:t>
      </w:r>
    </w:p>
    <w:p w:rsidR="00D55547" w:rsidRDefault="00D55547" w:rsidP="00DC509D">
      <w:pPr>
        <w:pStyle w:val="History"/>
        <w:rPr>
          <w:rFonts w:cs="Arial"/>
          <w:szCs w:val="24"/>
          <w:lang w:val="en-US"/>
        </w:rPr>
      </w:pPr>
      <w:r>
        <w:rPr>
          <w:rFonts w:cs="Arial"/>
          <w:szCs w:val="24"/>
          <w:lang w:val="en-US"/>
        </w:rPr>
        <w:t>They found a verdict for Defendant for $75.</w:t>
      </w:r>
    </w:p>
    <w:p w:rsidR="00D55547" w:rsidRDefault="00D55547" w:rsidP="00DC509D">
      <w:pPr>
        <w:pStyle w:val="History"/>
        <w:rPr>
          <w:rFonts w:cs="Arial"/>
          <w:szCs w:val="24"/>
          <w:lang w:val="en-US"/>
        </w:rPr>
      </w:pPr>
      <w:r>
        <w:rPr>
          <w:rFonts w:cs="Arial"/>
          <w:szCs w:val="24"/>
          <w:lang w:val="en-US"/>
        </w:rPr>
        <w:t xml:space="preserve">On the 12th day of April, A. D. 1876, a rule </w:t>
      </w:r>
      <w:r>
        <w:rPr>
          <w:rFonts w:cs="Arial"/>
          <w:i/>
          <w:iCs/>
          <w:szCs w:val="24"/>
          <w:lang w:val="en-US"/>
        </w:rPr>
        <w:t>nisi</w:t>
      </w:r>
      <w:r>
        <w:rPr>
          <w:rFonts w:cs="Arial"/>
          <w:szCs w:val="24"/>
          <w:lang w:val="en-US"/>
        </w:rPr>
        <w:t xml:space="preserve"> was taken out on the part of the </w:t>
      </w:r>
      <w:r>
        <w:rPr>
          <w:rFonts w:cs="Arial"/>
          <w:szCs w:val="24"/>
          <w:lang w:val="en-US"/>
        </w:rPr>
        <w:lastRenderedPageBreak/>
        <w:t>Appellants to set aside the verdict, and to obtain a new trial on the grounds, amongst others:—</w:t>
      </w:r>
    </w:p>
    <w:p w:rsidR="00D55547" w:rsidRDefault="00D55547" w:rsidP="00DC509D">
      <w:pPr>
        <w:pStyle w:val="History"/>
        <w:rPr>
          <w:rFonts w:cs="Arial"/>
          <w:szCs w:val="24"/>
          <w:lang w:val="en-US"/>
        </w:rPr>
      </w:pPr>
      <w:r>
        <w:rPr>
          <w:rFonts w:cs="Arial"/>
          <w:szCs w:val="24"/>
          <w:lang w:val="en-US"/>
        </w:rPr>
        <w:t>1. Because the verdict was against law and evidence.</w:t>
      </w:r>
    </w:p>
    <w:p w:rsidR="00D55547" w:rsidRDefault="00D55547" w:rsidP="00DC509D">
      <w:pPr>
        <w:pStyle w:val="History"/>
        <w:rPr>
          <w:rFonts w:cs="Arial"/>
          <w:szCs w:val="24"/>
          <w:lang w:val="en-US"/>
        </w:rPr>
      </w:pPr>
      <w:r>
        <w:rPr>
          <w:rFonts w:cs="Arial"/>
          <w:szCs w:val="24"/>
          <w:lang w:val="en-US"/>
        </w:rPr>
        <w:t>2. Because the verdict was against the weight of evidence.</w:t>
      </w:r>
    </w:p>
    <w:p w:rsidR="00D55547" w:rsidRDefault="00D55547" w:rsidP="00DC509D">
      <w:pPr>
        <w:pStyle w:val="History"/>
        <w:rPr>
          <w:rFonts w:cs="Arial"/>
          <w:szCs w:val="24"/>
          <w:lang w:val="en-US"/>
        </w:rPr>
      </w:pPr>
      <w:r>
        <w:rPr>
          <w:rFonts w:cs="Arial"/>
          <w:szCs w:val="24"/>
          <w:lang w:val="en-US"/>
        </w:rPr>
        <w:t>3. Because the verdict was against the direction of the Judge who tried the case.</w:t>
      </w:r>
    </w:p>
    <w:p w:rsidR="00D55547" w:rsidRDefault="00D55547" w:rsidP="00DC509D">
      <w:pPr>
        <w:pStyle w:val="History"/>
        <w:rPr>
          <w:rFonts w:cs="Arial"/>
          <w:szCs w:val="24"/>
          <w:lang w:val="en-US"/>
        </w:rPr>
      </w:pPr>
      <w:r>
        <w:rPr>
          <w:rFonts w:cs="Arial"/>
          <w:szCs w:val="24"/>
          <w:lang w:val="en-US"/>
        </w:rPr>
        <w:t>4. For excessive damages.</w:t>
      </w:r>
    </w:p>
    <w:p w:rsidR="00D55547" w:rsidRDefault="00D55547" w:rsidP="00DC509D">
      <w:pPr>
        <w:pStyle w:val="History"/>
        <w:rPr>
          <w:rFonts w:cs="Arial"/>
          <w:szCs w:val="24"/>
          <w:lang w:val="en-US"/>
        </w:rPr>
      </w:pPr>
      <w:r>
        <w:rPr>
          <w:rFonts w:cs="Arial"/>
          <w:szCs w:val="24"/>
          <w:lang w:val="en-US"/>
        </w:rPr>
        <w:t xml:space="preserve">On the 11th September following, the Defendant entered a </w:t>
      </w:r>
      <w:r>
        <w:rPr>
          <w:rFonts w:cs="Arial"/>
          <w:i/>
          <w:iCs/>
          <w:szCs w:val="24"/>
          <w:lang w:val="en-US"/>
        </w:rPr>
        <w:t>remittitur</w:t>
      </w:r>
      <w:r>
        <w:rPr>
          <w:rFonts w:cs="Arial"/>
          <w:szCs w:val="24"/>
          <w:lang w:val="en-US"/>
        </w:rPr>
        <w:t xml:space="preserve"> in favor of the Plaintiffs, as to the the amount of the verdict rendered in his favour, viz.: the sum of $75.00.</w:t>
      </w:r>
    </w:p>
    <w:p w:rsidR="00D55547" w:rsidRDefault="00D55547" w:rsidP="00DC509D">
      <w:pPr>
        <w:pStyle w:val="History"/>
        <w:rPr>
          <w:rFonts w:cs="Arial"/>
          <w:szCs w:val="24"/>
          <w:lang w:val="en-US"/>
        </w:rPr>
      </w:pPr>
      <w:r>
        <w:rPr>
          <w:rFonts w:cs="Arial"/>
          <w:szCs w:val="24"/>
          <w:lang w:val="en-US"/>
        </w:rPr>
        <w:t xml:space="preserve">On the fifth day of February, A.D. 1877, an order was made by the Court discharging the rule </w:t>
      </w:r>
      <w:r>
        <w:rPr>
          <w:rFonts w:cs="Arial"/>
          <w:i/>
          <w:iCs/>
          <w:szCs w:val="24"/>
          <w:lang w:val="en-US"/>
        </w:rPr>
        <w:t>nisi</w:t>
      </w:r>
      <w:r>
        <w:rPr>
          <w:rFonts w:cs="Arial"/>
          <w:szCs w:val="24"/>
          <w:lang w:val="en-US"/>
        </w:rPr>
        <w:t>, granted to set aside the verdict, and for a new trial as above stated.</w:t>
      </w:r>
    </w:p>
    <w:p w:rsidR="00D55547" w:rsidRDefault="00CD504E" w:rsidP="00DC509D">
      <w:pPr>
        <w:pStyle w:val="Page"/>
        <w:rPr>
          <w:lang w:val="en-US"/>
        </w:rPr>
      </w:pPr>
      <w:r>
        <w:rPr>
          <w:rFonts w:cs="Arial"/>
          <w:szCs w:val="24"/>
          <w:lang w:val="en-US"/>
        </w:rPr>
        <w:t xml:space="preserve">[Page </w:t>
      </w:r>
      <w:r w:rsidR="00D55547">
        <w:rPr>
          <w:rFonts w:cs="Arial"/>
          <w:szCs w:val="24"/>
          <w:lang w:val="en-US"/>
        </w:rPr>
        <w:t>24]</w:t>
      </w:r>
    </w:p>
    <w:p w:rsidR="00D55547" w:rsidRDefault="00D55547" w:rsidP="00DC509D">
      <w:pPr>
        <w:pStyle w:val="History"/>
        <w:rPr>
          <w:rFonts w:cs="Arial"/>
          <w:szCs w:val="24"/>
          <w:lang w:val="en-US"/>
        </w:rPr>
      </w:pPr>
      <w:r>
        <w:rPr>
          <w:rFonts w:cs="Arial"/>
          <w:szCs w:val="24"/>
          <w:lang w:val="en-US"/>
        </w:rPr>
        <w:t xml:space="preserve">Mr. </w:t>
      </w:r>
      <w:r>
        <w:rPr>
          <w:rFonts w:cs="Arial"/>
          <w:i/>
          <w:iCs/>
          <w:szCs w:val="24"/>
          <w:lang w:val="en-US"/>
        </w:rPr>
        <w:t>A. F. McIntyre</w:t>
      </w:r>
      <w:r>
        <w:rPr>
          <w:rFonts w:cs="Arial"/>
          <w:szCs w:val="24"/>
          <w:lang w:val="en-US"/>
        </w:rPr>
        <w:t xml:space="preserve"> for Appellant;—</w:t>
      </w:r>
    </w:p>
    <w:p w:rsidR="00D55547" w:rsidRDefault="00D55547" w:rsidP="00DC509D">
      <w:pPr>
        <w:pStyle w:val="History"/>
        <w:rPr>
          <w:rFonts w:cs="Arial"/>
          <w:szCs w:val="24"/>
          <w:lang w:val="en-US"/>
        </w:rPr>
      </w:pPr>
      <w:r>
        <w:rPr>
          <w:rFonts w:cs="Arial"/>
          <w:szCs w:val="24"/>
          <w:lang w:val="en-US"/>
        </w:rPr>
        <w:t xml:space="preserve">To entitle the Respondent to set off a debt due him from </w:t>
      </w:r>
      <w:r>
        <w:rPr>
          <w:rFonts w:cs="Arial"/>
          <w:i/>
          <w:iCs/>
          <w:szCs w:val="24"/>
          <w:lang w:val="en-US"/>
        </w:rPr>
        <w:t>Almour</w:t>
      </w:r>
      <w:r>
        <w:rPr>
          <w:rFonts w:cs="Arial"/>
          <w:szCs w:val="24"/>
          <w:lang w:val="en-US"/>
        </w:rPr>
        <w:t xml:space="preserve"> against the claim of the Appellants, he should have averred and </w:t>
      </w:r>
      <w:r>
        <w:rPr>
          <w:rFonts w:cs="Arial"/>
          <w:i/>
          <w:iCs/>
          <w:szCs w:val="24"/>
          <w:lang w:val="en-US"/>
        </w:rPr>
        <w:t>proved</w:t>
      </w:r>
      <w:r>
        <w:rPr>
          <w:rFonts w:cs="Arial"/>
          <w:szCs w:val="24"/>
          <w:lang w:val="en-US"/>
        </w:rPr>
        <w:t xml:space="preserve"> that the sale was made by a person whom the Appellant had intrusted with the possession of the goods. </w:t>
      </w:r>
      <w:r>
        <w:rPr>
          <w:rFonts w:cs="Arial"/>
          <w:i/>
          <w:iCs/>
          <w:szCs w:val="24"/>
          <w:lang w:val="en-US"/>
        </w:rPr>
        <w:t>Almour</w:t>
      </w:r>
      <w:r>
        <w:rPr>
          <w:rFonts w:cs="Arial"/>
          <w:szCs w:val="24"/>
          <w:lang w:val="en-US"/>
        </w:rPr>
        <w:t xml:space="preserve"> sold them as his own goods, in his own name, as Principal, with the authority of the Plaintiff. The Respondent dealt with him as, and believed him to be, the Principal in the transaction, and before the Defendant was undeceived in that respect the set-off accrued.</w:t>
      </w:r>
    </w:p>
    <w:p w:rsidR="00D55547" w:rsidRDefault="00D55547" w:rsidP="00DC509D">
      <w:pPr>
        <w:pStyle w:val="History"/>
        <w:rPr>
          <w:rFonts w:cs="Arial"/>
          <w:szCs w:val="24"/>
          <w:lang w:val="en-US"/>
        </w:rPr>
      </w:pPr>
      <w:r>
        <w:rPr>
          <w:rFonts w:cs="Arial"/>
          <w:szCs w:val="24"/>
          <w:lang w:val="en-US"/>
        </w:rPr>
        <w:t xml:space="preserve">And there is a total absence of evidence to establish the fact that at the time of the sale </w:t>
      </w:r>
      <w:r>
        <w:rPr>
          <w:rFonts w:cs="Arial"/>
          <w:i/>
          <w:iCs/>
          <w:szCs w:val="24"/>
          <w:lang w:val="en-US"/>
        </w:rPr>
        <w:t>Almour</w:t>
      </w:r>
      <w:r>
        <w:rPr>
          <w:rFonts w:cs="Arial"/>
          <w:szCs w:val="24"/>
          <w:lang w:val="en-US"/>
        </w:rPr>
        <w:t xml:space="preserve"> had in any wise the possession of the goods.</w:t>
      </w:r>
    </w:p>
    <w:p w:rsidR="00D55547" w:rsidRDefault="00D55547" w:rsidP="00DC509D">
      <w:pPr>
        <w:pStyle w:val="History"/>
        <w:rPr>
          <w:rFonts w:cs="Arial"/>
          <w:szCs w:val="24"/>
          <w:lang w:val="en-US"/>
        </w:rPr>
      </w:pPr>
      <w:r>
        <w:rPr>
          <w:rFonts w:cs="Arial"/>
          <w:i/>
          <w:iCs/>
          <w:szCs w:val="24"/>
          <w:lang w:val="en-US"/>
        </w:rPr>
        <w:t>Fish</w:t>
      </w:r>
      <w:r>
        <w:rPr>
          <w:rFonts w:cs="Arial"/>
          <w:szCs w:val="24"/>
          <w:lang w:val="en-US"/>
        </w:rPr>
        <w:t xml:space="preserve"> v. </w:t>
      </w:r>
      <w:r>
        <w:rPr>
          <w:rFonts w:cs="Arial"/>
          <w:i/>
          <w:iCs/>
          <w:szCs w:val="24"/>
          <w:lang w:val="en-US"/>
        </w:rPr>
        <w:t>Kempton</w:t>
      </w:r>
      <w:r w:rsidR="00740CC0">
        <w:rPr>
          <w:rStyle w:val="FootnoteReference"/>
          <w:rFonts w:cs="Arial"/>
          <w:i/>
          <w:iCs/>
          <w:szCs w:val="24"/>
          <w:lang w:val="en-US"/>
        </w:rPr>
        <w:footnoteReference w:id="2"/>
      </w:r>
      <w:r>
        <w:rPr>
          <w:rFonts w:cs="Arial"/>
          <w:szCs w:val="24"/>
          <w:lang w:val="en-US"/>
        </w:rPr>
        <w:t xml:space="preserve">; </w:t>
      </w:r>
      <w:r>
        <w:rPr>
          <w:rFonts w:cs="Arial"/>
          <w:i/>
          <w:iCs/>
          <w:szCs w:val="24"/>
          <w:lang w:val="en-US"/>
        </w:rPr>
        <w:t>George</w:t>
      </w:r>
      <w:r>
        <w:rPr>
          <w:rFonts w:cs="Arial"/>
          <w:szCs w:val="24"/>
          <w:lang w:val="en-US"/>
        </w:rPr>
        <w:t xml:space="preserve"> v. </w:t>
      </w:r>
      <w:r>
        <w:rPr>
          <w:rFonts w:cs="Arial"/>
          <w:i/>
          <w:iCs/>
          <w:szCs w:val="24"/>
          <w:lang w:val="en-US"/>
        </w:rPr>
        <w:t>Claggitt</w:t>
      </w:r>
      <w:r w:rsidR="00740CC0">
        <w:rPr>
          <w:rStyle w:val="FootnoteReference"/>
          <w:rFonts w:cs="Arial"/>
          <w:i/>
          <w:iCs/>
          <w:szCs w:val="24"/>
          <w:lang w:val="en-US"/>
        </w:rPr>
        <w:footnoteReference w:id="3"/>
      </w:r>
      <w:r>
        <w:rPr>
          <w:rFonts w:cs="Arial"/>
          <w:szCs w:val="24"/>
          <w:lang w:val="en-US"/>
        </w:rPr>
        <w:t xml:space="preserve">; </w:t>
      </w:r>
      <w:r>
        <w:rPr>
          <w:rFonts w:cs="Arial"/>
          <w:i/>
          <w:iCs/>
          <w:szCs w:val="24"/>
          <w:lang w:val="en-US"/>
        </w:rPr>
        <w:t>Hall</w:t>
      </w:r>
      <w:r>
        <w:rPr>
          <w:rFonts w:cs="Arial"/>
          <w:szCs w:val="24"/>
          <w:lang w:val="en-US"/>
        </w:rPr>
        <w:t xml:space="preserve"> v. </w:t>
      </w:r>
      <w:r>
        <w:rPr>
          <w:rFonts w:cs="Arial"/>
          <w:i/>
          <w:iCs/>
          <w:szCs w:val="24"/>
          <w:lang w:val="en-US"/>
        </w:rPr>
        <w:t>Hamilton</w:t>
      </w:r>
      <w:r w:rsidR="00740CC0">
        <w:rPr>
          <w:rStyle w:val="FootnoteReference"/>
          <w:rFonts w:cs="Arial"/>
          <w:i/>
          <w:iCs/>
          <w:szCs w:val="24"/>
          <w:lang w:val="en-US"/>
        </w:rPr>
        <w:footnoteReference w:id="4"/>
      </w:r>
      <w:r>
        <w:rPr>
          <w:rFonts w:cs="Arial"/>
          <w:szCs w:val="24"/>
          <w:lang w:val="en-US"/>
        </w:rPr>
        <w:t>.</w:t>
      </w:r>
    </w:p>
    <w:p w:rsidR="00D55547" w:rsidRDefault="00D55547" w:rsidP="00DC509D">
      <w:pPr>
        <w:pStyle w:val="History"/>
        <w:rPr>
          <w:rFonts w:cs="Arial"/>
          <w:szCs w:val="24"/>
          <w:lang w:val="en-US"/>
        </w:rPr>
      </w:pPr>
      <w:r>
        <w:rPr>
          <w:rFonts w:cs="Arial"/>
          <w:szCs w:val="24"/>
          <w:lang w:val="en-US"/>
        </w:rPr>
        <w:t xml:space="preserve">In the case of </w:t>
      </w:r>
      <w:r>
        <w:rPr>
          <w:rFonts w:cs="Arial"/>
          <w:i/>
          <w:iCs/>
          <w:szCs w:val="24"/>
          <w:lang w:val="en-US"/>
        </w:rPr>
        <w:t>Semenza and others</w:t>
      </w:r>
      <w:r>
        <w:rPr>
          <w:rFonts w:cs="Arial"/>
          <w:szCs w:val="24"/>
          <w:lang w:val="en-US"/>
        </w:rPr>
        <w:t xml:space="preserve"> v. </w:t>
      </w:r>
      <w:r>
        <w:rPr>
          <w:rFonts w:cs="Arial"/>
          <w:i/>
          <w:iCs/>
          <w:szCs w:val="24"/>
          <w:lang w:val="en-US"/>
        </w:rPr>
        <w:t>Brinsley</w:t>
      </w:r>
      <w:r w:rsidR="00740CC0">
        <w:rPr>
          <w:rStyle w:val="FootnoteReference"/>
          <w:rFonts w:cs="Arial"/>
          <w:i/>
          <w:iCs/>
          <w:szCs w:val="24"/>
          <w:lang w:val="en-US"/>
        </w:rPr>
        <w:footnoteReference w:id="5"/>
      </w:r>
      <w:r>
        <w:rPr>
          <w:rFonts w:cs="Arial"/>
          <w:szCs w:val="24"/>
          <w:lang w:val="en-US"/>
        </w:rPr>
        <w:t xml:space="preserve">, the plea was held bad, for not averring that the Defendants did not know and had not the means of knowing that </w:t>
      </w:r>
      <w:r>
        <w:rPr>
          <w:rFonts w:cs="Arial"/>
          <w:i/>
          <w:iCs/>
          <w:szCs w:val="24"/>
          <w:lang w:val="en-US"/>
        </w:rPr>
        <w:t>Moll</w:t>
      </w:r>
      <w:r>
        <w:rPr>
          <w:rFonts w:cs="Arial"/>
          <w:szCs w:val="24"/>
          <w:lang w:val="en-US"/>
        </w:rPr>
        <w:t xml:space="preserve"> at the time he sold the goods to them was a mere agent. In this case </w:t>
      </w:r>
      <w:r>
        <w:rPr>
          <w:rFonts w:cs="Arial"/>
          <w:i/>
          <w:iCs/>
          <w:szCs w:val="24"/>
          <w:lang w:val="en-US"/>
        </w:rPr>
        <w:t>Almour</w:t>
      </w:r>
      <w:r>
        <w:rPr>
          <w:rFonts w:cs="Arial"/>
          <w:szCs w:val="24"/>
          <w:lang w:val="en-US"/>
        </w:rPr>
        <w:t xml:space="preserve"> was not entrusted with the possession of the goods.</w:t>
      </w:r>
    </w:p>
    <w:p w:rsidR="00740CC0" w:rsidRDefault="00D55547" w:rsidP="00DC509D">
      <w:pPr>
        <w:pStyle w:val="History"/>
        <w:rPr>
          <w:rFonts w:cs="Arial"/>
          <w:szCs w:val="24"/>
          <w:lang w:val="en-US"/>
        </w:rPr>
      </w:pPr>
      <w:r>
        <w:rPr>
          <w:rFonts w:cs="Arial"/>
          <w:szCs w:val="24"/>
          <w:lang w:val="en-US"/>
        </w:rPr>
        <w:t>[</w:t>
      </w:r>
      <w:r w:rsidR="00740CC0" w:rsidRPr="00740CC0">
        <w:rPr>
          <w:rFonts w:cs="Arial"/>
          <w:szCs w:val="24"/>
          <w:lang w:val="en-US"/>
        </w:rPr>
        <w:t>RITCHIE</w:t>
      </w:r>
      <w:r>
        <w:rPr>
          <w:rFonts w:cs="Arial"/>
          <w:szCs w:val="24"/>
          <w:lang w:val="en-US"/>
        </w:rPr>
        <w:t>, J.:—</w:t>
      </w:r>
      <w:r>
        <w:rPr>
          <w:rFonts w:cs="Arial"/>
          <w:i/>
          <w:iCs/>
          <w:szCs w:val="24"/>
          <w:lang w:val="en-US"/>
        </w:rPr>
        <w:t>Exparte Dixon</w:t>
      </w:r>
      <w:r w:rsidR="00740CC0">
        <w:rPr>
          <w:rStyle w:val="FootnoteReference"/>
          <w:rFonts w:cs="Arial"/>
          <w:i/>
          <w:iCs/>
          <w:szCs w:val="24"/>
          <w:lang w:val="en-US"/>
        </w:rPr>
        <w:footnoteReference w:id="6"/>
      </w:r>
      <w:r>
        <w:rPr>
          <w:rFonts w:cs="Arial"/>
          <w:szCs w:val="24"/>
          <w:lang w:val="en-US"/>
        </w:rPr>
        <w:t xml:space="preserve"> is the latest case.]</w:t>
      </w:r>
    </w:p>
    <w:p w:rsidR="00D55547" w:rsidRDefault="00D55547" w:rsidP="00DC509D">
      <w:pPr>
        <w:pStyle w:val="History"/>
        <w:rPr>
          <w:rFonts w:cs="Arial"/>
          <w:szCs w:val="24"/>
          <w:lang w:val="en-US"/>
        </w:rPr>
      </w:pPr>
      <w:r>
        <w:rPr>
          <w:rFonts w:cs="Arial"/>
          <w:szCs w:val="24"/>
          <w:lang w:val="en-US"/>
        </w:rPr>
        <w:t xml:space="preserve">A factor generally sells in his own name, but a broker cannot sell in his own name. The order which Respondent signed proves that </w:t>
      </w:r>
      <w:r>
        <w:rPr>
          <w:rFonts w:cs="Arial"/>
          <w:i/>
          <w:iCs/>
          <w:szCs w:val="24"/>
          <w:lang w:val="en-US"/>
        </w:rPr>
        <w:t>Almour</w:t>
      </w:r>
      <w:r>
        <w:rPr>
          <w:rFonts w:cs="Arial"/>
          <w:szCs w:val="24"/>
          <w:lang w:val="en-US"/>
        </w:rPr>
        <w:t xml:space="preserve"> was acting for others.</w:t>
      </w:r>
    </w:p>
    <w:p w:rsidR="00D55547" w:rsidRDefault="00D55547" w:rsidP="00DC509D">
      <w:pPr>
        <w:pStyle w:val="History"/>
        <w:rPr>
          <w:rFonts w:cs="Arial"/>
          <w:szCs w:val="24"/>
          <w:lang w:val="en-US"/>
        </w:rPr>
      </w:pPr>
      <w:r>
        <w:rPr>
          <w:rFonts w:cs="Arial"/>
          <w:szCs w:val="24"/>
          <w:lang w:val="en-US"/>
        </w:rPr>
        <w:t xml:space="preserve">The Appellants' also contend that the Respondent could not cure a verdict bad for </w:t>
      </w:r>
      <w:r>
        <w:rPr>
          <w:rFonts w:cs="Arial"/>
          <w:szCs w:val="24"/>
          <w:lang w:val="en-US"/>
        </w:rPr>
        <w:lastRenderedPageBreak/>
        <w:t xml:space="preserve">excess save on motion and by order of the Court, and that it is not shewn that the </w:t>
      </w:r>
      <w:r>
        <w:rPr>
          <w:rFonts w:cs="Arial"/>
          <w:i/>
          <w:iCs/>
          <w:szCs w:val="24"/>
          <w:lang w:val="en-US"/>
        </w:rPr>
        <w:t>remittitur</w:t>
      </w:r>
      <w:r>
        <w:rPr>
          <w:rFonts w:cs="Arial"/>
          <w:szCs w:val="24"/>
          <w:lang w:val="en-US"/>
        </w:rPr>
        <w:t xml:space="preserve"> was entered by virtue of any order of the Court. </w:t>
      </w:r>
      <w:r>
        <w:rPr>
          <w:rFonts w:cs="Arial"/>
          <w:i/>
          <w:iCs/>
          <w:szCs w:val="24"/>
          <w:lang w:val="en-US"/>
        </w:rPr>
        <w:t>Usher</w:t>
      </w:r>
      <w:r>
        <w:rPr>
          <w:rFonts w:cs="Arial"/>
          <w:szCs w:val="24"/>
          <w:lang w:val="en-US"/>
        </w:rPr>
        <w:t xml:space="preserve"> v. </w:t>
      </w:r>
      <w:r>
        <w:rPr>
          <w:rFonts w:cs="Arial"/>
          <w:i/>
          <w:iCs/>
          <w:szCs w:val="24"/>
          <w:lang w:val="en-US"/>
        </w:rPr>
        <w:t>Dansey</w:t>
      </w:r>
      <w:r w:rsidR="00740CC0">
        <w:rPr>
          <w:rStyle w:val="FootnoteReference"/>
          <w:rFonts w:cs="Arial"/>
          <w:i/>
          <w:iCs/>
          <w:szCs w:val="24"/>
          <w:lang w:val="en-US"/>
        </w:rPr>
        <w:footnoteReference w:id="7"/>
      </w:r>
      <w:r>
        <w:rPr>
          <w:rFonts w:cs="Arial"/>
          <w:szCs w:val="24"/>
          <w:lang w:val="en-US"/>
        </w:rPr>
        <w:t>.</w:t>
      </w:r>
    </w:p>
    <w:p w:rsidR="00D55547" w:rsidRDefault="00CD504E" w:rsidP="00DC509D">
      <w:pPr>
        <w:pStyle w:val="Page"/>
        <w:rPr>
          <w:lang w:val="en-US"/>
        </w:rPr>
      </w:pPr>
      <w:r>
        <w:rPr>
          <w:rFonts w:cs="Arial"/>
          <w:szCs w:val="24"/>
          <w:lang w:val="en-US"/>
        </w:rPr>
        <w:t xml:space="preserve">[Page </w:t>
      </w:r>
      <w:r w:rsidR="00D55547">
        <w:rPr>
          <w:rFonts w:cs="Arial"/>
          <w:szCs w:val="24"/>
          <w:lang w:val="en-US"/>
        </w:rPr>
        <w:t>25]</w:t>
      </w:r>
    </w:p>
    <w:p w:rsidR="00D55547" w:rsidRDefault="00D55547" w:rsidP="00DC509D">
      <w:pPr>
        <w:pStyle w:val="Sollicitors"/>
        <w:rPr>
          <w:lang w:val="en-US"/>
        </w:rPr>
      </w:pPr>
      <w:r>
        <w:rPr>
          <w:lang w:val="en-US"/>
        </w:rPr>
        <w:t xml:space="preserve">Mr. </w:t>
      </w:r>
      <w:r>
        <w:rPr>
          <w:iCs/>
          <w:lang w:val="en-US"/>
        </w:rPr>
        <w:t>Cockburn</w:t>
      </w:r>
      <w:r>
        <w:rPr>
          <w:lang w:val="en-US"/>
        </w:rPr>
        <w:t>, Q. C., for Respondent, was not called upon.</w:t>
      </w:r>
    </w:p>
    <w:p w:rsidR="00D55547" w:rsidRDefault="00D55547" w:rsidP="00DC509D">
      <w:pPr>
        <w:pStyle w:val="Reasons"/>
        <w:rPr>
          <w:lang w:val="en-US"/>
        </w:rPr>
      </w:pPr>
      <w:r>
        <w:rPr>
          <w:lang w:val="en-US"/>
        </w:rPr>
        <w:t xml:space="preserve">The judgment of the Court was delivered by </w:t>
      </w:r>
      <w:r w:rsidR="00740CC0" w:rsidRPr="00740CC0">
        <w:rPr>
          <w:lang w:val="en-US"/>
        </w:rPr>
        <w:t>THE CHIEF JUSTICE</w:t>
      </w:r>
      <w:r>
        <w:rPr>
          <w:lang w:val="en-US"/>
        </w:rPr>
        <w:t>:</w:t>
      </w:r>
    </w:p>
    <w:p w:rsidR="00D55547" w:rsidRDefault="00D55547" w:rsidP="00DC509D">
      <w:pPr>
        <w:pStyle w:val="Reasons"/>
        <w:rPr>
          <w:rFonts w:cs="Arial"/>
          <w:szCs w:val="24"/>
          <w:lang w:val="en-US"/>
        </w:rPr>
      </w:pPr>
      <w:r>
        <w:rPr>
          <w:rFonts w:cs="Arial"/>
          <w:szCs w:val="24"/>
          <w:lang w:val="en-US"/>
        </w:rPr>
        <w:t>We are all of opinion that the judgment of the Court below is right. From the evidence, so far as it goes, the jury, it is clear, decided on all the facts. There is no evidence of any sort, or affidavit, to show that the Appellants were prejudiced. They rested their case on the evidence adduced, and we think the reasons given by the Court below on discharging the rule are sufficient to sustain the verdict, and that this appeal should be dismissed with costs.</w:t>
      </w:r>
    </w:p>
    <w:p w:rsidR="00D55547" w:rsidRDefault="00D55547" w:rsidP="00DC509D">
      <w:pPr>
        <w:pStyle w:val="Reasons"/>
        <w:rPr>
          <w:rFonts w:cs="Arial"/>
          <w:szCs w:val="24"/>
          <w:lang w:val="en-US"/>
        </w:rPr>
      </w:pPr>
      <w:r>
        <w:rPr>
          <w:rFonts w:cs="Arial"/>
          <w:i/>
          <w:iCs/>
          <w:szCs w:val="24"/>
          <w:lang w:val="en-US"/>
        </w:rPr>
        <w:t>Appeal dismissed with costs.</w:t>
      </w:r>
    </w:p>
    <w:p w:rsidR="00D55547" w:rsidRDefault="00D55547" w:rsidP="00DC509D">
      <w:pPr>
        <w:pStyle w:val="Sollicitors"/>
        <w:rPr>
          <w:lang w:val="en-US"/>
        </w:rPr>
      </w:pPr>
      <w:r>
        <w:rPr>
          <w:lang w:val="en-US"/>
        </w:rPr>
        <w:t xml:space="preserve">Solicitors for Appellants: </w:t>
      </w:r>
      <w:r>
        <w:rPr>
          <w:iCs/>
          <w:lang w:val="en-US"/>
        </w:rPr>
        <w:t>Walker, McIntyre</w:t>
      </w:r>
      <w:r>
        <w:rPr>
          <w:lang w:val="en-US"/>
        </w:rPr>
        <w:t xml:space="preserve"> and </w:t>
      </w:r>
      <w:r>
        <w:rPr>
          <w:iCs/>
          <w:lang w:val="en-US"/>
        </w:rPr>
        <w:t>Ferguson.</w:t>
      </w:r>
    </w:p>
    <w:p w:rsidR="00D55547" w:rsidRDefault="00D55547" w:rsidP="00DC509D">
      <w:pPr>
        <w:pStyle w:val="Sollicitors"/>
        <w:rPr>
          <w:lang w:val="en-US"/>
        </w:rPr>
      </w:pPr>
      <w:r>
        <w:rPr>
          <w:lang w:val="en-US"/>
        </w:rPr>
        <w:t xml:space="preserve">Solicitor for Respondent: </w:t>
      </w:r>
      <w:r>
        <w:rPr>
          <w:iCs/>
          <w:lang w:val="en-US"/>
        </w:rPr>
        <w:t>W. F. McCoy.</w:t>
      </w:r>
    </w:p>
    <w:sectPr w:rsidR="00D55547" w:rsidSect="002C40C6">
      <w:headerReference w:type="even" r:id="rId8"/>
      <w:headerReference w:type="default" r:id="rId9"/>
      <w:footerReference w:type="even" r:id="rId10"/>
      <w:footerReference w:type="default" r:id="rId11"/>
      <w:headerReference w:type="first" r:id="rId12"/>
      <w:footerReference w:type="first" r:id="rId13"/>
      <w:pgSz w:w="12240" w:h="15840"/>
      <w:pgMar w:top="1138" w:right="1138" w:bottom="1138" w:left="1138"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3DD" w:rsidRDefault="007073DD" w:rsidP="002C40C6">
      <w:r>
        <w:separator/>
      </w:r>
    </w:p>
  </w:endnote>
  <w:endnote w:type="continuationSeparator" w:id="1">
    <w:p w:rsidR="007073DD" w:rsidRDefault="007073DD" w:rsidP="002C40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C6" w:rsidRDefault="002C40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C6" w:rsidRPr="002C40C6" w:rsidRDefault="002C40C6">
    <w:pPr>
      <w:pStyle w:val="Footer"/>
      <w:rPr>
        <w:rFonts w:ascii="Arial" w:hAnsi="Arial" w:cs="Arial"/>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C6" w:rsidRDefault="002C40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3DD" w:rsidRDefault="007073DD" w:rsidP="002C40C6">
      <w:r>
        <w:separator/>
      </w:r>
    </w:p>
  </w:footnote>
  <w:footnote w:type="continuationSeparator" w:id="1">
    <w:p w:rsidR="007073DD" w:rsidRDefault="007073DD" w:rsidP="002C40C6">
      <w:r>
        <w:continuationSeparator/>
      </w:r>
    </w:p>
  </w:footnote>
  <w:footnote w:id="2">
    <w:p w:rsidR="00740CC0" w:rsidRPr="00740CC0" w:rsidRDefault="00740CC0">
      <w:pPr>
        <w:pStyle w:val="FootnoteText"/>
        <w:rPr>
          <w:lang w:val="en-US"/>
        </w:rPr>
      </w:pPr>
      <w:r>
        <w:rPr>
          <w:rStyle w:val="FootnoteReference"/>
        </w:rPr>
        <w:footnoteRef/>
      </w:r>
      <w:r>
        <w:t xml:space="preserve"> </w:t>
      </w:r>
      <w:r>
        <w:rPr>
          <w:rFonts w:cs="Arial"/>
          <w:szCs w:val="24"/>
          <w:lang w:val="en-US"/>
        </w:rPr>
        <w:t>7 C. B. 694.</w:t>
      </w:r>
    </w:p>
  </w:footnote>
  <w:footnote w:id="3">
    <w:p w:rsidR="00740CC0" w:rsidRPr="00740CC0" w:rsidRDefault="00740CC0">
      <w:pPr>
        <w:pStyle w:val="FootnoteText"/>
        <w:rPr>
          <w:lang w:val="en-US"/>
        </w:rPr>
      </w:pPr>
      <w:r>
        <w:rPr>
          <w:rStyle w:val="FootnoteReference"/>
        </w:rPr>
        <w:footnoteRef/>
      </w:r>
      <w:r>
        <w:t xml:space="preserve"> </w:t>
      </w:r>
      <w:r>
        <w:rPr>
          <w:rFonts w:cs="Arial"/>
          <w:szCs w:val="24"/>
          <w:lang w:val="en-US"/>
        </w:rPr>
        <w:t xml:space="preserve">2 </w:t>
      </w:r>
      <w:r>
        <w:rPr>
          <w:rFonts w:cs="Arial"/>
          <w:i/>
          <w:iCs/>
          <w:szCs w:val="24"/>
          <w:lang w:val="en-US"/>
        </w:rPr>
        <w:t>Smith's</w:t>
      </w:r>
      <w:r>
        <w:rPr>
          <w:rFonts w:cs="Arial"/>
          <w:szCs w:val="24"/>
          <w:lang w:val="en-US"/>
        </w:rPr>
        <w:t xml:space="preserve"> L.C., 6th Am. ed., 198-9.</w:t>
      </w:r>
    </w:p>
  </w:footnote>
  <w:footnote w:id="4">
    <w:p w:rsidR="00740CC0" w:rsidRPr="00740CC0" w:rsidRDefault="00740CC0">
      <w:pPr>
        <w:pStyle w:val="FootnoteText"/>
        <w:rPr>
          <w:lang w:val="en-US"/>
        </w:rPr>
      </w:pPr>
      <w:r>
        <w:rPr>
          <w:rStyle w:val="FootnoteReference"/>
        </w:rPr>
        <w:footnoteRef/>
      </w:r>
      <w:r>
        <w:t xml:space="preserve"> </w:t>
      </w:r>
      <w:r>
        <w:rPr>
          <w:rFonts w:cs="Arial"/>
          <w:szCs w:val="24"/>
          <w:lang w:val="en-US"/>
        </w:rPr>
        <w:t>24 U. C. C. P. 305.</w:t>
      </w:r>
    </w:p>
  </w:footnote>
  <w:footnote w:id="5">
    <w:p w:rsidR="00740CC0" w:rsidRPr="00740CC0" w:rsidRDefault="00740CC0">
      <w:pPr>
        <w:pStyle w:val="FootnoteText"/>
        <w:rPr>
          <w:lang w:val="en-US"/>
        </w:rPr>
      </w:pPr>
      <w:r>
        <w:rPr>
          <w:rStyle w:val="FootnoteReference"/>
        </w:rPr>
        <w:footnoteRef/>
      </w:r>
      <w:r>
        <w:t xml:space="preserve"> </w:t>
      </w:r>
      <w:r>
        <w:rPr>
          <w:rFonts w:cs="Arial"/>
          <w:szCs w:val="24"/>
          <w:lang w:val="en-US"/>
        </w:rPr>
        <w:t>18 C. B. N. S. 467.</w:t>
      </w:r>
    </w:p>
  </w:footnote>
  <w:footnote w:id="6">
    <w:p w:rsidR="00740CC0" w:rsidRPr="00740CC0" w:rsidRDefault="00740CC0">
      <w:pPr>
        <w:pStyle w:val="FootnoteText"/>
        <w:rPr>
          <w:lang w:val="en-US"/>
        </w:rPr>
      </w:pPr>
      <w:r>
        <w:rPr>
          <w:rStyle w:val="FootnoteReference"/>
        </w:rPr>
        <w:footnoteRef/>
      </w:r>
      <w:r>
        <w:t xml:space="preserve"> </w:t>
      </w:r>
      <w:r>
        <w:rPr>
          <w:rFonts w:cs="Arial"/>
          <w:szCs w:val="24"/>
          <w:lang w:val="en-US"/>
        </w:rPr>
        <w:t>L. R. 4 Ch. D. 133.</w:t>
      </w:r>
    </w:p>
  </w:footnote>
  <w:footnote w:id="7">
    <w:p w:rsidR="00740CC0" w:rsidRPr="00740CC0" w:rsidRDefault="00740CC0">
      <w:pPr>
        <w:pStyle w:val="FootnoteText"/>
        <w:rPr>
          <w:lang w:val="en-US"/>
        </w:rPr>
      </w:pPr>
      <w:r>
        <w:rPr>
          <w:rStyle w:val="FootnoteReference"/>
        </w:rPr>
        <w:footnoteRef/>
      </w:r>
      <w:r>
        <w:t xml:space="preserve"> </w:t>
      </w:r>
      <w:r>
        <w:rPr>
          <w:rFonts w:cs="Arial"/>
          <w:szCs w:val="24"/>
          <w:lang w:val="en-US"/>
        </w:rPr>
        <w:t>4 M. &amp; S. 94.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C6" w:rsidRDefault="002C40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C6" w:rsidRPr="002C40C6" w:rsidRDefault="002C40C6">
    <w:pPr>
      <w:pStyle w:val="Header"/>
      <w:rPr>
        <w:rFonts w:ascii="Arial" w:hAnsi="Arial" w:cs="Arial"/>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C6" w:rsidRDefault="002C40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48D0E5FA">
      <w:start w:val="1"/>
      <w:numFmt w:val="decimal"/>
      <w:pStyle w:val="ParagNum"/>
      <w:lvlText w:val="[%1]"/>
      <w:lvlJc w:val="left"/>
      <w:pPr>
        <w:tabs>
          <w:tab w:val="num" w:pos="369"/>
        </w:tabs>
        <w:ind w:left="369" w:hanging="369"/>
      </w:pPr>
    </w:lvl>
    <w:lvl w:ilvl="1" w:tplc="514C55DC" w:tentative="1">
      <w:start w:val="1"/>
      <w:numFmt w:val="lowerLetter"/>
      <w:lvlText w:val="%2."/>
      <w:lvlJc w:val="left"/>
      <w:pPr>
        <w:tabs>
          <w:tab w:val="num" w:pos="1440"/>
        </w:tabs>
        <w:ind w:left="1440" w:hanging="360"/>
      </w:pPr>
    </w:lvl>
    <w:lvl w:ilvl="2" w:tplc="4EFCA536" w:tentative="1">
      <w:start w:val="1"/>
      <w:numFmt w:val="lowerRoman"/>
      <w:lvlText w:val="%3."/>
      <w:lvlJc w:val="right"/>
      <w:pPr>
        <w:tabs>
          <w:tab w:val="num" w:pos="2160"/>
        </w:tabs>
        <w:ind w:left="2160" w:hanging="180"/>
      </w:pPr>
    </w:lvl>
    <w:lvl w:ilvl="3" w:tplc="B8A4163E" w:tentative="1">
      <w:start w:val="1"/>
      <w:numFmt w:val="decimal"/>
      <w:lvlText w:val="%4."/>
      <w:lvlJc w:val="left"/>
      <w:pPr>
        <w:tabs>
          <w:tab w:val="num" w:pos="2880"/>
        </w:tabs>
        <w:ind w:left="2880" w:hanging="360"/>
      </w:pPr>
    </w:lvl>
    <w:lvl w:ilvl="4" w:tplc="A3A807D0" w:tentative="1">
      <w:start w:val="1"/>
      <w:numFmt w:val="lowerLetter"/>
      <w:lvlText w:val="%5."/>
      <w:lvlJc w:val="left"/>
      <w:pPr>
        <w:tabs>
          <w:tab w:val="num" w:pos="3600"/>
        </w:tabs>
        <w:ind w:left="3600" w:hanging="360"/>
      </w:pPr>
    </w:lvl>
    <w:lvl w:ilvl="5" w:tplc="F0B4D460" w:tentative="1">
      <w:start w:val="1"/>
      <w:numFmt w:val="lowerRoman"/>
      <w:lvlText w:val="%6."/>
      <w:lvlJc w:val="right"/>
      <w:pPr>
        <w:tabs>
          <w:tab w:val="num" w:pos="4320"/>
        </w:tabs>
        <w:ind w:left="4320" w:hanging="180"/>
      </w:pPr>
    </w:lvl>
    <w:lvl w:ilvl="6" w:tplc="1180AE70" w:tentative="1">
      <w:start w:val="1"/>
      <w:numFmt w:val="decimal"/>
      <w:lvlText w:val="%7."/>
      <w:lvlJc w:val="left"/>
      <w:pPr>
        <w:tabs>
          <w:tab w:val="num" w:pos="5040"/>
        </w:tabs>
        <w:ind w:left="5040" w:hanging="360"/>
      </w:pPr>
    </w:lvl>
    <w:lvl w:ilvl="7" w:tplc="9438A6BC" w:tentative="1">
      <w:start w:val="1"/>
      <w:numFmt w:val="lowerLetter"/>
      <w:lvlText w:val="%8."/>
      <w:lvlJc w:val="left"/>
      <w:pPr>
        <w:tabs>
          <w:tab w:val="num" w:pos="5760"/>
        </w:tabs>
        <w:ind w:left="5760" w:hanging="360"/>
      </w:pPr>
    </w:lvl>
    <w:lvl w:ilvl="8" w:tplc="0CC0935A"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55547"/>
    <w:rsid w:val="000A08DA"/>
    <w:rsid w:val="000B03E6"/>
    <w:rsid w:val="00167DA9"/>
    <w:rsid w:val="00195253"/>
    <w:rsid w:val="001B40F4"/>
    <w:rsid w:val="0020006A"/>
    <w:rsid w:val="00273804"/>
    <w:rsid w:val="002C40C6"/>
    <w:rsid w:val="00392CC1"/>
    <w:rsid w:val="0057643E"/>
    <w:rsid w:val="007073DD"/>
    <w:rsid w:val="00740CC0"/>
    <w:rsid w:val="007E451D"/>
    <w:rsid w:val="008203AF"/>
    <w:rsid w:val="008A764A"/>
    <w:rsid w:val="009D4D2A"/>
    <w:rsid w:val="00A1227B"/>
    <w:rsid w:val="00A86E88"/>
    <w:rsid w:val="00C41ECD"/>
    <w:rsid w:val="00C717D5"/>
    <w:rsid w:val="00CD03FD"/>
    <w:rsid w:val="00CD504E"/>
    <w:rsid w:val="00D55547"/>
    <w:rsid w:val="00D66814"/>
    <w:rsid w:val="00DC509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0006A"/>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20006A"/>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20006A"/>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0006A"/>
  </w:style>
  <w:style w:type="paragraph" w:styleId="Header">
    <w:name w:val="header"/>
    <w:basedOn w:val="Normal"/>
    <w:link w:val="HeaderChar"/>
    <w:uiPriority w:val="99"/>
    <w:unhideWhenUsed/>
    <w:rsid w:val="0020006A"/>
    <w:pPr>
      <w:tabs>
        <w:tab w:val="center" w:pos="4680"/>
        <w:tab w:val="right" w:pos="9360"/>
      </w:tabs>
    </w:pPr>
    <w:rPr>
      <w:rFonts w:ascii="Times New Roman" w:hAnsi="Times New Roman"/>
    </w:rPr>
  </w:style>
  <w:style w:type="character" w:customStyle="1" w:styleId="HeaderChar">
    <w:name w:val="Header Char"/>
    <w:link w:val="Header"/>
    <w:uiPriority w:val="99"/>
    <w:rsid w:val="0020006A"/>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20006A"/>
    <w:pPr>
      <w:tabs>
        <w:tab w:val="center" w:pos="4680"/>
        <w:tab w:val="right" w:pos="9360"/>
      </w:tabs>
    </w:pPr>
    <w:rPr>
      <w:rFonts w:ascii="Times New Roman" w:hAnsi="Times New Roman"/>
    </w:rPr>
  </w:style>
  <w:style w:type="character" w:customStyle="1" w:styleId="FooterChar">
    <w:name w:val="Footer Char"/>
    <w:link w:val="Footer"/>
    <w:uiPriority w:val="99"/>
    <w:rsid w:val="0020006A"/>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A1227B"/>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20006A"/>
    <w:pPr>
      <w:spacing w:before="100" w:beforeAutospacing="1"/>
      <w:ind w:left="567"/>
      <w:jc w:val="both"/>
    </w:pPr>
  </w:style>
  <w:style w:type="paragraph" w:customStyle="1" w:styleId="Metadata">
    <w:name w:val="Metadata"/>
    <w:basedOn w:val="Normal"/>
    <w:rsid w:val="0020006A"/>
    <w:pPr>
      <w:spacing w:before="100" w:beforeAutospacing="1" w:after="100" w:afterAutospacing="1"/>
    </w:pPr>
    <w:rPr>
      <w:rFonts w:cs="Arial"/>
      <w:szCs w:val="24"/>
    </w:rPr>
  </w:style>
  <w:style w:type="paragraph" w:customStyle="1" w:styleId="Page">
    <w:name w:val="Page"/>
    <w:basedOn w:val="Normal"/>
    <w:link w:val="PageChar"/>
    <w:rsid w:val="0020006A"/>
    <w:pPr>
      <w:spacing w:before="100" w:beforeAutospacing="1" w:after="100" w:afterAutospacing="1"/>
    </w:pPr>
    <w:rPr>
      <w:i/>
    </w:rPr>
  </w:style>
  <w:style w:type="paragraph" w:styleId="FootnoteText">
    <w:name w:val="footnote text"/>
    <w:basedOn w:val="Normal"/>
    <w:link w:val="FootnoteTextChar"/>
    <w:autoRedefine/>
    <w:semiHidden/>
    <w:rsid w:val="0020006A"/>
    <w:rPr>
      <w:sz w:val="16"/>
      <w:szCs w:val="20"/>
    </w:rPr>
  </w:style>
  <w:style w:type="character" w:customStyle="1" w:styleId="FootnoteTextChar">
    <w:name w:val="Footnote Text Char"/>
    <w:link w:val="FootnoteText"/>
    <w:semiHidden/>
    <w:rsid w:val="0020006A"/>
    <w:rPr>
      <w:rFonts w:ascii="Arial" w:eastAsia="MS Mincho" w:hAnsi="Arial" w:cs="Times New Roman"/>
      <w:sz w:val="16"/>
      <w:szCs w:val="20"/>
      <w:lang w:val="en-CA" w:eastAsia="ja-JP"/>
    </w:rPr>
  </w:style>
  <w:style w:type="character" w:styleId="FootnoteReference">
    <w:name w:val="footnote reference"/>
    <w:semiHidden/>
    <w:rsid w:val="0020006A"/>
    <w:rPr>
      <w:vertAlign w:val="superscript"/>
    </w:rPr>
  </w:style>
  <w:style w:type="paragraph" w:customStyle="1" w:styleId="ParagNum">
    <w:name w:val="ParagNum"/>
    <w:basedOn w:val="Normal"/>
    <w:rsid w:val="0020006A"/>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20006A"/>
    <w:pPr>
      <w:spacing w:before="100" w:beforeAutospacing="1" w:after="100" w:afterAutospacing="1" w:line="360" w:lineRule="auto"/>
    </w:pPr>
  </w:style>
  <w:style w:type="paragraph" w:customStyle="1" w:styleId="Indent2">
    <w:name w:val="Indent 2"/>
    <w:basedOn w:val="Indent1"/>
    <w:rsid w:val="0020006A"/>
    <w:pPr>
      <w:ind w:left="1134"/>
    </w:pPr>
  </w:style>
  <w:style w:type="paragraph" w:customStyle="1" w:styleId="Indent3">
    <w:name w:val="Indent 3"/>
    <w:basedOn w:val="Indent1"/>
    <w:rsid w:val="0020006A"/>
    <w:pPr>
      <w:ind w:left="1701"/>
    </w:pPr>
  </w:style>
  <w:style w:type="paragraph" w:customStyle="1" w:styleId="Indent4">
    <w:name w:val="Indent 4"/>
    <w:basedOn w:val="Indent1"/>
    <w:rsid w:val="0020006A"/>
    <w:pPr>
      <w:ind w:left="2268"/>
    </w:pPr>
  </w:style>
  <w:style w:type="paragraph" w:customStyle="1" w:styleId="Indent10">
    <w:name w:val="Indent1"/>
    <w:basedOn w:val="Reasons"/>
    <w:rsid w:val="0020006A"/>
    <w:pPr>
      <w:ind w:left="567"/>
    </w:pPr>
  </w:style>
  <w:style w:type="paragraph" w:customStyle="1" w:styleId="Indent20">
    <w:name w:val="Indent2"/>
    <w:basedOn w:val="Indent10"/>
    <w:rsid w:val="0020006A"/>
    <w:pPr>
      <w:ind w:left="1134"/>
    </w:pPr>
  </w:style>
  <w:style w:type="paragraph" w:customStyle="1" w:styleId="Indent30">
    <w:name w:val="Indent3"/>
    <w:basedOn w:val="Indent10"/>
    <w:rsid w:val="0020006A"/>
    <w:pPr>
      <w:ind w:left="1701"/>
    </w:pPr>
  </w:style>
  <w:style w:type="paragraph" w:customStyle="1" w:styleId="Indent40">
    <w:name w:val="Indent4"/>
    <w:basedOn w:val="Indent10"/>
    <w:rsid w:val="0020006A"/>
    <w:pPr>
      <w:ind w:left="2268"/>
    </w:pPr>
  </w:style>
  <w:style w:type="paragraph" w:customStyle="1" w:styleId="Keywords">
    <w:name w:val="Keywords"/>
    <w:basedOn w:val="Normal"/>
    <w:rsid w:val="0020006A"/>
    <w:pPr>
      <w:spacing w:before="100" w:beforeAutospacing="1" w:after="100" w:afterAutospacing="1"/>
    </w:pPr>
    <w:rPr>
      <w:rFonts w:cs="Arial"/>
      <w:i/>
      <w:szCs w:val="24"/>
    </w:rPr>
  </w:style>
  <w:style w:type="paragraph" w:customStyle="1" w:styleId="Summary">
    <w:name w:val="Summary"/>
    <w:basedOn w:val="Normal"/>
    <w:autoRedefine/>
    <w:rsid w:val="0020006A"/>
    <w:pPr>
      <w:spacing w:before="100" w:beforeAutospacing="1" w:after="100" w:afterAutospacing="1"/>
      <w:ind w:left="562" w:hanging="562"/>
    </w:pPr>
    <w:rPr>
      <w:rFonts w:cs="Arial"/>
    </w:rPr>
  </w:style>
  <w:style w:type="paragraph" w:customStyle="1" w:styleId="History">
    <w:name w:val="History"/>
    <w:basedOn w:val="Normal"/>
    <w:rsid w:val="0020006A"/>
    <w:pPr>
      <w:spacing w:before="100" w:beforeAutospacing="1" w:after="100" w:afterAutospacing="1"/>
      <w:ind w:firstLine="567"/>
    </w:pPr>
  </w:style>
  <w:style w:type="paragraph" w:customStyle="1" w:styleId="T1">
    <w:name w:val="T1"/>
    <w:basedOn w:val="Normal"/>
    <w:rsid w:val="0020006A"/>
    <w:pPr>
      <w:spacing w:before="240" w:after="100" w:afterAutospacing="1"/>
    </w:pPr>
    <w:rPr>
      <w:b/>
    </w:rPr>
  </w:style>
  <w:style w:type="paragraph" w:customStyle="1" w:styleId="T2">
    <w:name w:val="T2"/>
    <w:basedOn w:val="Normal"/>
    <w:rsid w:val="0020006A"/>
    <w:pPr>
      <w:spacing w:before="240" w:after="100" w:afterAutospacing="1"/>
    </w:pPr>
  </w:style>
  <w:style w:type="paragraph" w:customStyle="1" w:styleId="Sollicitors">
    <w:name w:val="Sollicitors"/>
    <w:basedOn w:val="Normal"/>
    <w:rsid w:val="0020006A"/>
    <w:pPr>
      <w:spacing w:before="100" w:beforeAutospacing="1" w:after="100" w:afterAutospacing="1"/>
    </w:pPr>
    <w:rPr>
      <w:i/>
    </w:rPr>
  </w:style>
  <w:style w:type="paragraph" w:customStyle="1" w:styleId="Court">
    <w:name w:val="Court"/>
    <w:basedOn w:val="Normal"/>
    <w:rsid w:val="0020006A"/>
    <w:rPr>
      <w:rFonts w:cs="Arial"/>
      <w:b/>
      <w:szCs w:val="24"/>
    </w:rPr>
  </w:style>
  <w:style w:type="character" w:customStyle="1" w:styleId="PageChar">
    <w:name w:val="Page Char"/>
    <w:link w:val="Page"/>
    <w:rsid w:val="0020006A"/>
    <w:rPr>
      <w:rFonts w:ascii="Arial" w:eastAsia="MS Mincho" w:hAnsi="Arial" w:cs="Times New Roman"/>
      <w:i/>
      <w:sz w:val="24"/>
      <w:szCs w:val="28"/>
      <w:lang w:val="en-CA" w:eastAsia="ja-JP"/>
    </w:rPr>
  </w:style>
  <w:style w:type="character" w:customStyle="1" w:styleId="ReasonsCar">
    <w:name w:val="Reasons Car"/>
    <w:link w:val="Reasons"/>
    <w:rsid w:val="0020006A"/>
    <w:rPr>
      <w:rFonts w:ascii="Arial" w:eastAsia="MS Mincho" w:hAnsi="Arial" w:cs="Times New Roman"/>
      <w:sz w:val="24"/>
      <w:szCs w:val="28"/>
      <w:lang w:val="en-CA" w:eastAsia="ja-JP"/>
    </w:rPr>
  </w:style>
  <w:style w:type="paragraph" w:customStyle="1" w:styleId="CitationLine">
    <w:name w:val="CitationLine"/>
    <w:basedOn w:val="Court"/>
    <w:rsid w:val="0020006A"/>
  </w:style>
  <w:style w:type="paragraph" w:customStyle="1" w:styleId="DateISO">
    <w:name w:val="DateISO"/>
    <w:basedOn w:val="Court"/>
    <w:rsid w:val="0020006A"/>
  </w:style>
  <w:style w:type="paragraph" w:styleId="ListBullet">
    <w:name w:val="List Bullet"/>
    <w:basedOn w:val="Normal"/>
    <w:uiPriority w:val="99"/>
    <w:unhideWhenUsed/>
    <w:rsid w:val="00740CC0"/>
    <w:pPr>
      <w:tabs>
        <w:tab w:val="num" w:pos="360"/>
      </w:tabs>
      <w:ind w:left="360" w:hanging="36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80D4F-93A1-45AE-92BB-77E90E253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LX-109_CSC_1876-1906_Template</Template>
  <TotalTime>12</TotalTime>
  <Pages>4</Pages>
  <Words>1079</Words>
  <Characters>6151</Characters>
  <Application>Microsoft Office Word</Application>
  <DocSecurity>0</DocSecurity>
  <Lines>51</Lines>
  <Paragraphs>14</Paragraphs>
  <ScaleCrop>false</ScaleCrop>
  <Company/>
  <LinksUpToDate>false</LinksUpToDate>
  <CharactersWithSpaces>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User111</cp:lastModifiedBy>
  <cp:revision>9</cp:revision>
  <dcterms:created xsi:type="dcterms:W3CDTF">2015-03-16T06:17:00Z</dcterms:created>
  <dcterms:modified xsi:type="dcterms:W3CDTF">2015-03-23T11:07:00Z</dcterms:modified>
</cp:coreProperties>
</file>