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274" w:rsidRDefault="00572274" w:rsidP="00572274">
      <w:pPr>
        <w:pStyle w:val="Court"/>
        <w:rPr>
          <w:lang w:val="en-US"/>
        </w:rPr>
      </w:pPr>
      <w:r>
        <w:rPr>
          <w:lang w:val="en-US"/>
        </w:rPr>
        <w:t>Supreme Court of Canada</w:t>
      </w:r>
    </w:p>
    <w:p w:rsidR="00572274" w:rsidRDefault="00572274" w:rsidP="00572274">
      <w:pPr>
        <w:pStyle w:val="CitationLine"/>
        <w:rPr>
          <w:lang w:val="en-US"/>
        </w:rPr>
      </w:pPr>
      <w:r w:rsidRPr="00572274">
        <w:rPr>
          <w:lang w:val="en-US"/>
        </w:rPr>
        <w:t xml:space="preserve">South West Boom Company </w:t>
      </w:r>
      <w:r w:rsidRPr="00572274">
        <w:rPr>
          <w:i/>
          <w:iCs/>
          <w:lang w:val="en-US"/>
        </w:rPr>
        <w:t>v.</w:t>
      </w:r>
      <w:r w:rsidRPr="00572274">
        <w:rPr>
          <w:lang w:val="en-US"/>
        </w:rPr>
        <w:t xml:space="preserve"> McMillan</w:t>
      </w:r>
      <w:r>
        <w:rPr>
          <w:lang w:val="en-US"/>
        </w:rPr>
        <w:t xml:space="preserve"> (1879) 3 SCR 700</w:t>
      </w:r>
    </w:p>
    <w:p w:rsidR="00572274" w:rsidRDefault="00572274" w:rsidP="00572274">
      <w:pPr>
        <w:pStyle w:val="DateISO"/>
        <w:rPr>
          <w:lang w:val="en-US"/>
        </w:rPr>
      </w:pPr>
      <w:r>
        <w:rPr>
          <w:lang w:val="en-US"/>
        </w:rPr>
        <w:t>Date: 1879-06-07</w:t>
      </w:r>
    </w:p>
    <w:p w:rsidR="0040009D" w:rsidRPr="00572274" w:rsidRDefault="00572274" w:rsidP="00572274">
      <w:pPr>
        <w:pStyle w:val="Metadata"/>
        <w:rPr>
          <w:lang w:val="en-US"/>
        </w:rPr>
      </w:pPr>
      <w:r w:rsidRPr="00572274">
        <w:rPr>
          <w:lang w:val="en-US"/>
        </w:rPr>
        <w:t>The South West Boom Co</w:t>
      </w:r>
      <w:r w:rsidR="0040009D" w:rsidRPr="00572274">
        <w:rPr>
          <w:lang w:val="en-US"/>
        </w:rPr>
        <w:t>.,</w:t>
      </w:r>
    </w:p>
    <w:p w:rsidR="0040009D" w:rsidRPr="00572274" w:rsidRDefault="0040009D" w:rsidP="00572274">
      <w:pPr>
        <w:pStyle w:val="Metadata"/>
        <w:rPr>
          <w:lang w:val="en-US"/>
        </w:rPr>
      </w:pPr>
      <w:r w:rsidRPr="00572274">
        <w:rPr>
          <w:lang w:val="en-US"/>
        </w:rPr>
        <w:t>Appellants</w:t>
      </w:r>
    </w:p>
    <w:p w:rsidR="0040009D" w:rsidRPr="00572274" w:rsidRDefault="00572274" w:rsidP="00572274">
      <w:pPr>
        <w:pStyle w:val="Metadata"/>
        <w:rPr>
          <w:lang w:val="en-US"/>
        </w:rPr>
      </w:pPr>
      <w:r w:rsidRPr="00572274">
        <w:rPr>
          <w:lang w:val="en-US"/>
        </w:rPr>
        <w:t>And</w:t>
      </w:r>
    </w:p>
    <w:p w:rsidR="0040009D" w:rsidRPr="00572274" w:rsidRDefault="00572274" w:rsidP="00572274">
      <w:pPr>
        <w:pStyle w:val="Metadata"/>
        <w:rPr>
          <w:lang w:val="en-US"/>
        </w:rPr>
      </w:pPr>
      <w:r w:rsidRPr="00572274">
        <w:rPr>
          <w:lang w:val="en-US"/>
        </w:rPr>
        <w:t xml:space="preserve">Daniel </w:t>
      </w:r>
      <w:r w:rsidR="0040009D" w:rsidRPr="00572274">
        <w:rPr>
          <w:lang w:val="en-US"/>
        </w:rPr>
        <w:t>McM</w:t>
      </w:r>
      <w:r w:rsidRPr="00572274">
        <w:rPr>
          <w:lang w:val="en-US"/>
        </w:rPr>
        <w:t>illan</w:t>
      </w:r>
    </w:p>
    <w:p w:rsidR="0040009D" w:rsidRPr="00572274" w:rsidRDefault="0040009D" w:rsidP="00572274">
      <w:pPr>
        <w:pStyle w:val="Metadata"/>
        <w:rPr>
          <w:lang w:val="en-US"/>
        </w:rPr>
      </w:pPr>
      <w:r w:rsidRPr="00572274">
        <w:rPr>
          <w:lang w:val="en-US"/>
        </w:rPr>
        <w:t>Respondent</w:t>
      </w:r>
    </w:p>
    <w:p w:rsidR="00572274" w:rsidRDefault="00572274" w:rsidP="00572274">
      <w:pPr>
        <w:pStyle w:val="Metadata"/>
        <w:rPr>
          <w:lang w:val="en-US"/>
        </w:rPr>
      </w:pPr>
      <w:r>
        <w:rPr>
          <w:lang w:val="en-US"/>
        </w:rPr>
        <w:t>1879: June 6; 1879: June 7.</w:t>
      </w:r>
    </w:p>
    <w:p w:rsidR="00572274" w:rsidRDefault="00572274" w:rsidP="00572274">
      <w:pPr>
        <w:pStyle w:val="Metadata"/>
        <w:rPr>
          <w:lang w:val="en-US"/>
        </w:rPr>
      </w:pPr>
      <w:r w:rsidRPr="00572274">
        <w:rPr>
          <w:lang w:val="en-US"/>
        </w:rPr>
        <w:t>Present</w:t>
      </w:r>
      <w:r>
        <w:rPr>
          <w:lang w:val="en-US"/>
        </w:rPr>
        <w:t>:—Ritchie, C. J., and Strong, Fournier, Henry, Taschereau, and Gwynne, J. J.</w:t>
      </w:r>
    </w:p>
    <w:p w:rsidR="0040009D" w:rsidRDefault="0040009D" w:rsidP="00572274">
      <w:pPr>
        <w:pStyle w:val="Metadata"/>
        <w:rPr>
          <w:lang w:val="en-US"/>
        </w:rPr>
      </w:pPr>
      <w:r>
        <w:rPr>
          <w:lang w:val="en-US"/>
        </w:rPr>
        <w:t>ON APPEAL FROM THE SUPREME COURT OF NEW BRUNSWICK.</w:t>
      </w:r>
    </w:p>
    <w:p w:rsidR="0040009D" w:rsidRDefault="0040009D" w:rsidP="00572274">
      <w:pPr>
        <w:pStyle w:val="Keywords"/>
        <w:rPr>
          <w:lang w:val="en-US"/>
        </w:rPr>
      </w:pPr>
      <w:r>
        <w:rPr>
          <w:lang w:val="en-US"/>
        </w:rPr>
        <w:t>Additional Plea, Supreme Court no power to allow.</w:t>
      </w:r>
    </w:p>
    <w:p w:rsidR="0040009D" w:rsidRDefault="0040009D" w:rsidP="00572274">
      <w:pPr>
        <w:pStyle w:val="Summary"/>
        <w:rPr>
          <w:lang w:val="en-US"/>
        </w:rPr>
      </w:pPr>
      <w:r>
        <w:rPr>
          <w:i/>
          <w:iCs/>
          <w:lang w:val="en-US"/>
        </w:rPr>
        <w:t>D. McM.</w:t>
      </w:r>
      <w:r>
        <w:rPr>
          <w:lang w:val="en-US"/>
        </w:rPr>
        <w:t xml:space="preserve">, the respondent, sued </w:t>
      </w:r>
      <w:r>
        <w:rPr>
          <w:i/>
          <w:iCs/>
          <w:lang w:val="en-US"/>
        </w:rPr>
        <w:t>S. W. B. Co.</w:t>
      </w:r>
      <w:r>
        <w:rPr>
          <w:lang w:val="en-US"/>
        </w:rPr>
        <w:t xml:space="preserve">, the Appellants, to recover damages alleged to have been sustained by reason of the obstruction of the River </w:t>
      </w:r>
      <w:r>
        <w:rPr>
          <w:i/>
          <w:iCs/>
          <w:lang w:val="en-US"/>
        </w:rPr>
        <w:t>Miramichi</w:t>
      </w:r>
      <w:r>
        <w:rPr>
          <w:lang w:val="en-US"/>
        </w:rPr>
        <w:t>, by appellants'</w:t>
      </w:r>
    </w:p>
    <w:p w:rsidR="0040009D" w:rsidRDefault="00AD5B4A" w:rsidP="00AD5B4A">
      <w:pPr>
        <w:pStyle w:val="Page"/>
        <w:rPr>
          <w:lang w:val="en-US"/>
        </w:rPr>
      </w:pPr>
      <w:r>
        <w:rPr>
          <w:rFonts w:cs="Arial"/>
          <w:szCs w:val="24"/>
          <w:lang w:val="en-US"/>
        </w:rPr>
        <w:t xml:space="preserve">[Page </w:t>
      </w:r>
      <w:r w:rsidR="0040009D">
        <w:rPr>
          <w:rFonts w:cs="Arial"/>
          <w:szCs w:val="24"/>
          <w:lang w:val="en-US"/>
        </w:rPr>
        <w:t>701]</w:t>
      </w:r>
    </w:p>
    <w:p w:rsidR="0040009D" w:rsidRDefault="0040009D" w:rsidP="00572274">
      <w:pPr>
        <w:pStyle w:val="Summary"/>
        <w:ind w:firstLine="0"/>
        <w:rPr>
          <w:szCs w:val="24"/>
          <w:lang w:val="en-US"/>
        </w:rPr>
      </w:pPr>
      <w:r>
        <w:rPr>
          <w:szCs w:val="24"/>
          <w:lang w:val="en-US"/>
        </w:rPr>
        <w:t>booms. The pleas were not guilty, and leave and license. On the trial the counsel proposed to add a plea, that the wrong complained of was occasioned by an extraordinary freshet. The counsel for the respondent objected on the ground that such plea might have been demurred to. The learned judge refused the application, because he intended to admit the evidence under the plea of not guilty.</w:t>
      </w:r>
    </w:p>
    <w:p w:rsidR="0040009D" w:rsidRDefault="0040009D" w:rsidP="00572274">
      <w:pPr>
        <w:pStyle w:val="Summary"/>
        <w:rPr>
          <w:szCs w:val="24"/>
          <w:lang w:val="en-US"/>
        </w:rPr>
      </w:pPr>
      <w:r>
        <w:rPr>
          <w:szCs w:val="24"/>
          <w:lang w:val="en-US"/>
        </w:rPr>
        <w:t xml:space="preserve">On appeal, the counsel for the appellant contended that the obstruction complained of was justified under the Statute 17 </w:t>
      </w:r>
      <w:r>
        <w:rPr>
          <w:i/>
          <w:iCs/>
          <w:szCs w:val="24"/>
          <w:lang w:val="en-US"/>
        </w:rPr>
        <w:t>Vic.</w:t>
      </w:r>
      <w:r>
        <w:rPr>
          <w:szCs w:val="24"/>
          <w:lang w:val="en-US"/>
        </w:rPr>
        <w:t xml:space="preserve">, c. 10, </w:t>
      </w:r>
      <w:r>
        <w:rPr>
          <w:i/>
          <w:iCs/>
          <w:szCs w:val="24"/>
          <w:lang w:val="en-US"/>
        </w:rPr>
        <w:t>N. B.</w:t>
      </w:r>
      <w:r>
        <w:rPr>
          <w:szCs w:val="24"/>
          <w:lang w:val="en-US"/>
        </w:rPr>
        <w:t xml:space="preserve">, incorporating the </w:t>
      </w:r>
      <w:r>
        <w:rPr>
          <w:i/>
          <w:iCs/>
          <w:szCs w:val="24"/>
          <w:lang w:val="en-US"/>
        </w:rPr>
        <w:t>South West Boom Company.</w:t>
      </w:r>
    </w:p>
    <w:p w:rsidR="0040009D" w:rsidRDefault="0040009D" w:rsidP="00572274">
      <w:pPr>
        <w:pStyle w:val="Summary"/>
        <w:rPr>
          <w:szCs w:val="24"/>
          <w:lang w:val="en-US"/>
        </w:rPr>
      </w:pPr>
      <w:r>
        <w:rPr>
          <w:i/>
          <w:iCs/>
          <w:szCs w:val="24"/>
          <w:lang w:val="en-US"/>
        </w:rPr>
        <w:t>Held</w:t>
      </w:r>
      <w:r>
        <w:rPr>
          <w:szCs w:val="24"/>
          <w:lang w:val="en-US"/>
        </w:rPr>
        <w:t xml:space="preserve">:—That the appellants, not having put in a plea of justification under the Statute, or applied to the Supreme Court of </w:t>
      </w:r>
      <w:r>
        <w:rPr>
          <w:i/>
          <w:iCs/>
          <w:szCs w:val="24"/>
          <w:lang w:val="en-US"/>
        </w:rPr>
        <w:t>New Brunswick</w:t>
      </w:r>
      <w:r>
        <w:rPr>
          <w:szCs w:val="24"/>
          <w:lang w:val="en-US"/>
        </w:rPr>
        <w:t xml:space="preserve"> in </w:t>
      </w:r>
      <w:r>
        <w:rPr>
          <w:i/>
          <w:iCs/>
          <w:szCs w:val="24"/>
          <w:lang w:val="en-US"/>
        </w:rPr>
        <w:t>Banco</w:t>
      </w:r>
      <w:r>
        <w:rPr>
          <w:szCs w:val="24"/>
          <w:lang w:val="en-US"/>
        </w:rPr>
        <w:t xml:space="preserve"> for leave to amend their pleas, could not rely on that ground before this court to reverse the decision of the court below.</w:t>
      </w:r>
    </w:p>
    <w:p w:rsidR="0040009D" w:rsidRDefault="00572274" w:rsidP="00572274">
      <w:pPr>
        <w:pStyle w:val="History"/>
        <w:rPr>
          <w:lang w:val="en-US"/>
        </w:rPr>
      </w:pPr>
      <w:r w:rsidRPr="00572274">
        <w:rPr>
          <w:lang w:val="en-US"/>
        </w:rPr>
        <w:t>APPEAL</w:t>
      </w:r>
      <w:r>
        <w:rPr>
          <w:lang w:val="en-US"/>
        </w:rPr>
        <w:t xml:space="preserve"> </w:t>
      </w:r>
      <w:r w:rsidR="0040009D">
        <w:rPr>
          <w:lang w:val="en-US"/>
        </w:rPr>
        <w:t xml:space="preserve">from a judgment of the Supreme Court of </w:t>
      </w:r>
      <w:r w:rsidR="0040009D">
        <w:rPr>
          <w:i/>
          <w:iCs/>
          <w:lang w:val="en-US"/>
        </w:rPr>
        <w:t>New Brunswick</w:t>
      </w:r>
      <w:r w:rsidR="0040009D">
        <w:rPr>
          <w:lang w:val="en-US"/>
        </w:rPr>
        <w:t xml:space="preserve">, discharging a </w:t>
      </w:r>
      <w:r w:rsidR="0040009D">
        <w:rPr>
          <w:i/>
          <w:iCs/>
          <w:lang w:val="en-US"/>
        </w:rPr>
        <w:t>rule nisi</w:t>
      </w:r>
      <w:r w:rsidR="0040009D">
        <w:rPr>
          <w:lang w:val="en-US"/>
        </w:rPr>
        <w:t xml:space="preserve"> for a new trial.</w:t>
      </w:r>
    </w:p>
    <w:p w:rsidR="0040009D" w:rsidRDefault="0040009D" w:rsidP="00572274">
      <w:pPr>
        <w:pStyle w:val="History"/>
        <w:rPr>
          <w:rFonts w:cs="Arial"/>
          <w:szCs w:val="24"/>
          <w:lang w:val="en-US"/>
        </w:rPr>
      </w:pPr>
      <w:r>
        <w:rPr>
          <w:rFonts w:cs="Arial"/>
          <w:szCs w:val="24"/>
          <w:lang w:val="en-US"/>
        </w:rPr>
        <w:t xml:space="preserve">This was an action brought by the Testator </w:t>
      </w:r>
      <w:r>
        <w:rPr>
          <w:rFonts w:cs="Arial"/>
          <w:i/>
          <w:iCs/>
          <w:szCs w:val="24"/>
          <w:lang w:val="en-US"/>
        </w:rPr>
        <w:t>Miles McMillan</w:t>
      </w:r>
      <w:r>
        <w:rPr>
          <w:rFonts w:cs="Arial"/>
          <w:szCs w:val="24"/>
          <w:lang w:val="en-US"/>
        </w:rPr>
        <w:t xml:space="preserve">, against the appellants and one </w:t>
      </w:r>
      <w:r>
        <w:rPr>
          <w:rFonts w:cs="Arial"/>
          <w:i/>
          <w:iCs/>
          <w:szCs w:val="24"/>
          <w:lang w:val="en-US"/>
        </w:rPr>
        <w:t>Daniel McLaughlin</w:t>
      </w:r>
      <w:r>
        <w:rPr>
          <w:rFonts w:cs="Arial"/>
          <w:szCs w:val="24"/>
          <w:lang w:val="en-US"/>
        </w:rPr>
        <w:t xml:space="preserve">, to recover damages alleged to have been sustained by reason of the obstruction of the River </w:t>
      </w:r>
      <w:r>
        <w:rPr>
          <w:rFonts w:cs="Arial"/>
          <w:i/>
          <w:iCs/>
          <w:szCs w:val="24"/>
          <w:lang w:val="en-US"/>
        </w:rPr>
        <w:t>Miramichi</w:t>
      </w:r>
      <w:r>
        <w:rPr>
          <w:rFonts w:cs="Arial"/>
          <w:szCs w:val="24"/>
          <w:lang w:val="en-US"/>
        </w:rPr>
        <w:t xml:space="preserve"> by the appellants' booms, and also for short delivery of </w:t>
      </w:r>
      <w:r>
        <w:rPr>
          <w:rFonts w:cs="Arial"/>
          <w:szCs w:val="24"/>
          <w:lang w:val="en-US"/>
        </w:rPr>
        <w:lastRenderedPageBreak/>
        <w:t xml:space="preserve">quantities of </w:t>
      </w:r>
      <w:r>
        <w:rPr>
          <w:rFonts w:cs="Arial"/>
          <w:i/>
          <w:iCs/>
          <w:szCs w:val="24"/>
          <w:lang w:val="en-US"/>
        </w:rPr>
        <w:t>McMillan's</w:t>
      </w:r>
      <w:r>
        <w:rPr>
          <w:rFonts w:cs="Arial"/>
          <w:szCs w:val="24"/>
          <w:lang w:val="en-US"/>
        </w:rPr>
        <w:t xml:space="preserve"> lumber, which floated down the river into the appellants' boom.</w:t>
      </w:r>
    </w:p>
    <w:p w:rsidR="0040009D" w:rsidRDefault="0040009D" w:rsidP="00572274">
      <w:pPr>
        <w:pStyle w:val="History"/>
        <w:rPr>
          <w:rFonts w:cs="Arial"/>
          <w:szCs w:val="24"/>
          <w:lang w:val="en-US"/>
        </w:rPr>
      </w:pPr>
      <w:r>
        <w:rPr>
          <w:rFonts w:cs="Arial"/>
          <w:szCs w:val="24"/>
          <w:lang w:val="en-US"/>
        </w:rPr>
        <w:t>The three first counts of the declaration were for obstructing the river, whereby the plaintiff was unable to float down a quantity of deals, and sustained damages by the loss in the price, from his inability to fulfil a contract he had made, and by the deterioration of the deals in value in consequence of lying in the water for four months. The fourth, fifth and sixth counts were for the loss of a quantity of logs through the defendants' negligence. The seventh count was in trover.</w:t>
      </w:r>
    </w:p>
    <w:p w:rsidR="0040009D" w:rsidRDefault="0040009D" w:rsidP="00572274">
      <w:pPr>
        <w:pStyle w:val="History"/>
        <w:rPr>
          <w:rFonts w:cs="Arial"/>
          <w:szCs w:val="24"/>
          <w:lang w:val="en-US"/>
        </w:rPr>
      </w:pPr>
      <w:r>
        <w:rPr>
          <w:rFonts w:cs="Arial"/>
          <w:szCs w:val="24"/>
          <w:lang w:val="en-US"/>
        </w:rPr>
        <w:t xml:space="preserve">The </w:t>
      </w:r>
      <w:r>
        <w:rPr>
          <w:rFonts w:cs="Arial"/>
          <w:i/>
          <w:iCs/>
          <w:szCs w:val="24"/>
          <w:lang w:val="en-US"/>
        </w:rPr>
        <w:t>South West Miramichi</w:t>
      </w:r>
      <w:r>
        <w:rPr>
          <w:rFonts w:cs="Arial"/>
          <w:szCs w:val="24"/>
          <w:lang w:val="en-US"/>
        </w:rPr>
        <w:t>,—the river in question,—is a tidal river and navigable for some distance above the boom for boats and small steamers.</w:t>
      </w:r>
    </w:p>
    <w:p w:rsidR="0040009D" w:rsidRDefault="0040009D" w:rsidP="00572274">
      <w:pPr>
        <w:pStyle w:val="History"/>
        <w:rPr>
          <w:rFonts w:cs="Arial"/>
          <w:szCs w:val="24"/>
          <w:lang w:val="en-US"/>
        </w:rPr>
      </w:pPr>
      <w:r>
        <w:rPr>
          <w:rFonts w:cs="Arial"/>
          <w:szCs w:val="24"/>
          <w:lang w:val="en-US"/>
        </w:rPr>
        <w:t xml:space="preserve">The appellants were incorporated by the Act of the </w:t>
      </w:r>
      <w:r>
        <w:rPr>
          <w:rFonts w:cs="Arial"/>
          <w:i/>
          <w:iCs/>
          <w:szCs w:val="24"/>
          <w:lang w:val="en-US"/>
        </w:rPr>
        <w:t>New Brunswick</w:t>
      </w:r>
      <w:r>
        <w:rPr>
          <w:rFonts w:cs="Arial"/>
          <w:szCs w:val="24"/>
          <w:lang w:val="en-US"/>
        </w:rPr>
        <w:t xml:space="preserve"> Legislature, 17 Vic., cap. 10, (</w:t>
      </w:r>
      <w:r>
        <w:rPr>
          <w:rFonts w:cs="Arial"/>
          <w:i/>
          <w:iCs/>
          <w:szCs w:val="24"/>
          <w:lang w:val="en-US"/>
        </w:rPr>
        <w:t>N. Brun.</w:t>
      </w:r>
    </w:p>
    <w:p w:rsidR="0040009D" w:rsidRDefault="00AD5B4A" w:rsidP="00AD5B4A">
      <w:pPr>
        <w:pStyle w:val="Page"/>
        <w:rPr>
          <w:lang w:val="en-US"/>
        </w:rPr>
      </w:pPr>
      <w:r>
        <w:rPr>
          <w:rFonts w:cs="Arial"/>
          <w:szCs w:val="24"/>
          <w:lang w:val="en-US"/>
        </w:rPr>
        <w:t xml:space="preserve">[Page </w:t>
      </w:r>
      <w:r w:rsidR="0040009D">
        <w:rPr>
          <w:rFonts w:cs="Arial"/>
          <w:szCs w:val="24"/>
          <w:lang w:val="en-US"/>
        </w:rPr>
        <w:t>702]</w:t>
      </w:r>
    </w:p>
    <w:p w:rsidR="0040009D" w:rsidRDefault="0040009D" w:rsidP="00572274">
      <w:pPr>
        <w:pStyle w:val="History"/>
        <w:ind w:firstLine="0"/>
        <w:rPr>
          <w:rFonts w:cs="Arial"/>
          <w:szCs w:val="24"/>
          <w:lang w:val="en-US"/>
        </w:rPr>
      </w:pPr>
      <w:r>
        <w:rPr>
          <w:rFonts w:cs="Arial"/>
          <w:szCs w:val="24"/>
          <w:lang w:val="en-US"/>
        </w:rPr>
        <w:t>L. &amp; P. Acts, p. 856.) Their act of incorporation, being about to expire in 1872, was extended by 35 Vic., cap. 44, (Acts of 1872, p. 86,) until the year 1882. By a subsequent Act, 37 Vic., cap. 107, (Acts of 1874, p. 334,) the capital stock of the Company was increased, and they were authorized to extend their works.</w:t>
      </w:r>
    </w:p>
    <w:p w:rsidR="0040009D" w:rsidRDefault="0040009D" w:rsidP="00572274">
      <w:pPr>
        <w:pStyle w:val="History"/>
        <w:rPr>
          <w:rFonts w:cs="Arial"/>
          <w:szCs w:val="24"/>
          <w:lang w:val="en-US"/>
        </w:rPr>
      </w:pPr>
      <w:r>
        <w:rPr>
          <w:rFonts w:cs="Arial"/>
          <w:szCs w:val="24"/>
          <w:lang w:val="en-US"/>
        </w:rPr>
        <w:t>The pleas were not guilty and leave and license.</w:t>
      </w:r>
    </w:p>
    <w:p w:rsidR="0040009D" w:rsidRDefault="0040009D" w:rsidP="00572274">
      <w:pPr>
        <w:pStyle w:val="History"/>
        <w:rPr>
          <w:rFonts w:cs="Arial"/>
          <w:szCs w:val="24"/>
          <w:lang w:val="en-US"/>
        </w:rPr>
      </w:pPr>
      <w:r>
        <w:rPr>
          <w:rFonts w:cs="Arial"/>
          <w:szCs w:val="24"/>
          <w:lang w:val="en-US"/>
        </w:rPr>
        <w:t xml:space="preserve">The following extract, taken from the Judge's </w:t>
      </w:r>
      <w:r>
        <w:rPr>
          <w:rFonts w:cs="Arial"/>
          <w:i/>
          <w:iCs/>
          <w:szCs w:val="24"/>
          <w:lang w:val="en-US"/>
        </w:rPr>
        <w:t>Fisher's</w:t>
      </w:r>
      <w:r>
        <w:rPr>
          <w:rFonts w:cs="Arial"/>
          <w:szCs w:val="24"/>
          <w:lang w:val="en-US"/>
        </w:rPr>
        <w:t xml:space="preserve"> notes at the trial, and agreed upon as part of the case between the parties to be submitted to the Supreme Court of </w:t>
      </w:r>
      <w:r>
        <w:rPr>
          <w:rFonts w:cs="Arial"/>
          <w:i/>
          <w:iCs/>
          <w:szCs w:val="24"/>
          <w:lang w:val="en-US"/>
        </w:rPr>
        <w:t>Canada</w:t>
      </w:r>
      <w:r>
        <w:rPr>
          <w:rFonts w:cs="Arial"/>
          <w:szCs w:val="24"/>
          <w:lang w:val="en-US"/>
        </w:rPr>
        <w:t>, shows what took place in reference to the addition of pleas.</w:t>
      </w:r>
    </w:p>
    <w:p w:rsidR="0040009D" w:rsidRDefault="0040009D" w:rsidP="00572274">
      <w:pPr>
        <w:pStyle w:val="History"/>
        <w:rPr>
          <w:rFonts w:cs="Arial"/>
          <w:szCs w:val="24"/>
          <w:lang w:val="en-US"/>
        </w:rPr>
      </w:pPr>
      <w:r>
        <w:rPr>
          <w:rFonts w:cs="Arial"/>
          <w:szCs w:val="24"/>
          <w:lang w:val="en-US"/>
        </w:rPr>
        <w:t xml:space="preserve">"Mr. </w:t>
      </w:r>
      <w:r>
        <w:rPr>
          <w:rFonts w:cs="Arial"/>
          <w:i/>
          <w:iCs/>
          <w:szCs w:val="24"/>
          <w:lang w:val="en-US"/>
        </w:rPr>
        <w:t>Davidson</w:t>
      </w:r>
      <w:r>
        <w:rPr>
          <w:rFonts w:cs="Arial"/>
          <w:szCs w:val="24"/>
          <w:lang w:val="en-US"/>
        </w:rPr>
        <w:t xml:space="preserve"> moves for trial.</w:t>
      </w:r>
    </w:p>
    <w:p w:rsidR="0040009D" w:rsidRDefault="0040009D" w:rsidP="00572274">
      <w:pPr>
        <w:pStyle w:val="History"/>
        <w:rPr>
          <w:rFonts w:cs="Arial"/>
          <w:szCs w:val="24"/>
          <w:lang w:val="en-US"/>
        </w:rPr>
      </w:pPr>
      <w:r>
        <w:rPr>
          <w:rFonts w:cs="Arial"/>
          <w:szCs w:val="24"/>
          <w:lang w:val="en-US"/>
        </w:rPr>
        <w:t xml:space="preserve">"Mr. </w:t>
      </w:r>
      <w:r>
        <w:rPr>
          <w:rFonts w:cs="Arial"/>
          <w:i/>
          <w:iCs/>
          <w:szCs w:val="24"/>
          <w:lang w:val="en-US"/>
        </w:rPr>
        <w:t>Wilkinson</w:t>
      </w:r>
      <w:r>
        <w:rPr>
          <w:rFonts w:cs="Arial"/>
          <w:szCs w:val="24"/>
          <w:lang w:val="en-US"/>
        </w:rPr>
        <w:t xml:space="preserve">—The pleas are, not guilty, and leave and license. I propose to add a third plea, that the defendant, </w:t>
      </w:r>
      <w:r>
        <w:rPr>
          <w:rFonts w:cs="Arial"/>
          <w:i/>
          <w:iCs/>
          <w:szCs w:val="24"/>
          <w:lang w:val="en-US"/>
        </w:rPr>
        <w:t>McLaughlin, was a lessee of the company.</w:t>
      </w:r>
      <w:r>
        <w:rPr>
          <w:rFonts w:cs="Arial"/>
          <w:szCs w:val="24"/>
          <w:lang w:val="en-US"/>
        </w:rPr>
        <w:t xml:space="preserve"> 4th plea. That the wrong complained of was occasioned by the extraordinary freshet. (See proposed plea). It was through the extraordinary circumstances of the river that caused the difficulty.</w:t>
      </w:r>
    </w:p>
    <w:p w:rsidR="0040009D" w:rsidRDefault="0040009D" w:rsidP="00572274">
      <w:pPr>
        <w:pStyle w:val="History"/>
        <w:rPr>
          <w:rFonts w:cs="Arial"/>
          <w:szCs w:val="24"/>
          <w:lang w:val="en-US"/>
        </w:rPr>
      </w:pPr>
      <w:r>
        <w:rPr>
          <w:rFonts w:cs="Arial"/>
          <w:szCs w:val="24"/>
          <w:lang w:val="en-US"/>
        </w:rPr>
        <w:t>"</w:t>
      </w:r>
      <w:r>
        <w:rPr>
          <w:rFonts w:cs="Arial"/>
          <w:i/>
          <w:iCs/>
          <w:szCs w:val="24"/>
          <w:lang w:val="en-US"/>
        </w:rPr>
        <w:t>Davidson</w:t>
      </w:r>
      <w:r>
        <w:rPr>
          <w:rFonts w:cs="Arial"/>
          <w:szCs w:val="24"/>
          <w:lang w:val="en-US"/>
        </w:rPr>
        <w:t xml:space="preserve"> objects that they have no power to lease the boom.</w:t>
      </w:r>
    </w:p>
    <w:p w:rsidR="0040009D" w:rsidRDefault="0040009D" w:rsidP="00572274">
      <w:pPr>
        <w:pStyle w:val="History"/>
        <w:rPr>
          <w:rFonts w:cs="Arial"/>
          <w:szCs w:val="24"/>
          <w:lang w:val="en-US"/>
        </w:rPr>
      </w:pPr>
      <w:r>
        <w:rPr>
          <w:rFonts w:cs="Arial"/>
          <w:szCs w:val="24"/>
          <w:lang w:val="en-US"/>
        </w:rPr>
        <w:t xml:space="preserve">"1. Dr. </w:t>
      </w:r>
      <w:r>
        <w:rPr>
          <w:rFonts w:cs="Arial"/>
          <w:i/>
          <w:iCs/>
          <w:szCs w:val="24"/>
          <w:lang w:val="en-US"/>
        </w:rPr>
        <w:t>Barker</w:t>
      </w:r>
      <w:r>
        <w:rPr>
          <w:rFonts w:cs="Arial"/>
          <w:szCs w:val="24"/>
          <w:lang w:val="en-US"/>
        </w:rPr>
        <w:t xml:space="preserve"> objects that the pleas are demurrable, bad in form and substance, and under no circumstances can a plea be added which requires separate and distinct replication, because of the practice we are entitled to the time which we could not get.</w:t>
      </w:r>
    </w:p>
    <w:p w:rsidR="0040009D" w:rsidRDefault="0040009D" w:rsidP="00572274">
      <w:pPr>
        <w:pStyle w:val="History"/>
        <w:rPr>
          <w:rFonts w:cs="Arial"/>
          <w:szCs w:val="24"/>
          <w:lang w:val="en-US"/>
        </w:rPr>
      </w:pPr>
      <w:r>
        <w:rPr>
          <w:rFonts w:cs="Arial"/>
          <w:szCs w:val="24"/>
          <w:lang w:val="en-US"/>
        </w:rPr>
        <w:t>"</w:t>
      </w:r>
      <w:r>
        <w:rPr>
          <w:rFonts w:cs="Arial"/>
          <w:i/>
          <w:iCs/>
          <w:szCs w:val="24"/>
          <w:lang w:val="en-US"/>
        </w:rPr>
        <w:t>Wilkinson—As</w:t>
      </w:r>
      <w:r>
        <w:rPr>
          <w:rFonts w:cs="Arial"/>
          <w:szCs w:val="24"/>
          <w:lang w:val="en-US"/>
        </w:rPr>
        <w:t xml:space="preserve"> to separate replication, a general replication puts in issue the whole plea.</w:t>
      </w:r>
    </w:p>
    <w:p w:rsidR="0040009D" w:rsidRDefault="0040009D" w:rsidP="00572274">
      <w:pPr>
        <w:pStyle w:val="History"/>
        <w:rPr>
          <w:rFonts w:cs="Arial"/>
          <w:szCs w:val="24"/>
          <w:lang w:val="en-US"/>
        </w:rPr>
      </w:pPr>
      <w:r>
        <w:rPr>
          <w:rFonts w:cs="Arial"/>
          <w:szCs w:val="24"/>
          <w:lang w:val="en-US"/>
        </w:rPr>
        <w:t>"2. Judge can impose such terms as are just.</w:t>
      </w:r>
    </w:p>
    <w:p w:rsidR="0040009D" w:rsidRDefault="0040009D" w:rsidP="00572274">
      <w:pPr>
        <w:pStyle w:val="History"/>
        <w:rPr>
          <w:rFonts w:cs="Arial"/>
          <w:szCs w:val="24"/>
          <w:lang w:val="en-US"/>
        </w:rPr>
      </w:pPr>
      <w:r>
        <w:rPr>
          <w:rFonts w:cs="Arial"/>
          <w:szCs w:val="24"/>
          <w:lang w:val="en-US"/>
        </w:rPr>
        <w:t>"I refuse the application, as I intend to admit the evidence under the plea of not guilty."</w:t>
      </w:r>
    </w:p>
    <w:p w:rsidR="0040009D" w:rsidRDefault="0040009D" w:rsidP="00572274">
      <w:pPr>
        <w:pStyle w:val="History"/>
        <w:rPr>
          <w:rFonts w:cs="Arial"/>
          <w:szCs w:val="24"/>
          <w:lang w:val="en-US"/>
        </w:rPr>
      </w:pPr>
      <w:r>
        <w:rPr>
          <w:rFonts w:cs="Arial"/>
          <w:szCs w:val="24"/>
          <w:lang w:val="en-US"/>
        </w:rPr>
        <w:lastRenderedPageBreak/>
        <w:t>The Jury found a verdict for the plaintiff on the count for obstructing the navigation of the river and also on the count in trover.</w:t>
      </w:r>
    </w:p>
    <w:p w:rsidR="0040009D" w:rsidRDefault="0040009D" w:rsidP="00572274">
      <w:pPr>
        <w:pStyle w:val="History"/>
        <w:rPr>
          <w:rFonts w:cs="Arial"/>
          <w:szCs w:val="24"/>
          <w:lang w:val="en-US"/>
        </w:rPr>
      </w:pPr>
      <w:r>
        <w:rPr>
          <w:rFonts w:cs="Arial"/>
          <w:szCs w:val="24"/>
          <w:lang w:val="en-US"/>
        </w:rPr>
        <w:t>An application was made to the Supreme Court of</w:t>
      </w:r>
    </w:p>
    <w:p w:rsidR="0040009D" w:rsidRDefault="00AD5B4A" w:rsidP="00AD5B4A">
      <w:pPr>
        <w:pStyle w:val="Page"/>
        <w:rPr>
          <w:lang w:val="en-US"/>
        </w:rPr>
      </w:pPr>
      <w:r>
        <w:rPr>
          <w:rFonts w:cs="Arial"/>
          <w:szCs w:val="24"/>
          <w:lang w:val="en-US"/>
        </w:rPr>
        <w:t xml:space="preserve">[Page </w:t>
      </w:r>
      <w:r w:rsidR="0040009D">
        <w:rPr>
          <w:rFonts w:cs="Arial"/>
          <w:szCs w:val="24"/>
          <w:lang w:val="en-US"/>
        </w:rPr>
        <w:t>703]</w:t>
      </w:r>
    </w:p>
    <w:p w:rsidR="0040009D" w:rsidRDefault="0040009D" w:rsidP="00572274">
      <w:pPr>
        <w:pStyle w:val="History"/>
        <w:ind w:firstLine="0"/>
        <w:rPr>
          <w:rFonts w:cs="Arial"/>
          <w:szCs w:val="24"/>
          <w:lang w:val="en-US"/>
        </w:rPr>
      </w:pPr>
      <w:r>
        <w:rPr>
          <w:rFonts w:cs="Arial"/>
          <w:i/>
          <w:iCs/>
          <w:szCs w:val="24"/>
          <w:lang w:val="en-US"/>
        </w:rPr>
        <w:t>New Brunswick</w:t>
      </w:r>
      <w:r>
        <w:rPr>
          <w:rFonts w:cs="Arial"/>
          <w:szCs w:val="24"/>
          <w:lang w:val="en-US"/>
        </w:rPr>
        <w:t xml:space="preserve">, and a rule </w:t>
      </w:r>
      <w:r>
        <w:rPr>
          <w:rFonts w:cs="Arial"/>
          <w:i/>
          <w:iCs/>
          <w:szCs w:val="24"/>
          <w:lang w:val="en-US"/>
        </w:rPr>
        <w:t>nisi</w:t>
      </w:r>
      <w:r>
        <w:rPr>
          <w:rFonts w:cs="Arial"/>
          <w:szCs w:val="24"/>
          <w:lang w:val="en-US"/>
        </w:rPr>
        <w:t xml:space="preserve"> granted, calling upon the defendants to shew cause why the verdict should not be set aside and a new trial granted, which rule, after argument, and the court taking time to consider, was discharged.</w:t>
      </w:r>
    </w:p>
    <w:p w:rsidR="0040009D" w:rsidRDefault="0040009D" w:rsidP="00572274">
      <w:pPr>
        <w:pStyle w:val="Sollicitors"/>
        <w:rPr>
          <w:lang w:val="en-US"/>
        </w:rPr>
      </w:pPr>
      <w:r>
        <w:rPr>
          <w:lang w:val="en-US"/>
        </w:rPr>
        <w:t xml:space="preserve">Mr. </w:t>
      </w:r>
      <w:r>
        <w:rPr>
          <w:iCs/>
          <w:lang w:val="en-US"/>
        </w:rPr>
        <w:t>Weldon</w:t>
      </w:r>
      <w:r>
        <w:rPr>
          <w:lang w:val="en-US"/>
        </w:rPr>
        <w:t>, Q. C., for appellants:</w:t>
      </w:r>
    </w:p>
    <w:p w:rsidR="0040009D" w:rsidRDefault="0040009D" w:rsidP="00572274">
      <w:pPr>
        <w:pStyle w:val="History"/>
        <w:rPr>
          <w:rFonts w:cs="Arial"/>
          <w:szCs w:val="24"/>
          <w:lang w:val="en-US"/>
        </w:rPr>
      </w:pPr>
      <w:r>
        <w:rPr>
          <w:rFonts w:cs="Arial"/>
          <w:szCs w:val="24"/>
          <w:lang w:val="en-US"/>
        </w:rPr>
        <w:t xml:space="preserve">The first question is whether the </w:t>
      </w:r>
      <w:r>
        <w:rPr>
          <w:rFonts w:cs="Arial"/>
          <w:i/>
          <w:iCs/>
          <w:szCs w:val="24"/>
          <w:lang w:val="en-US"/>
        </w:rPr>
        <w:t>New Brunswick</w:t>
      </w:r>
      <w:r>
        <w:rPr>
          <w:rFonts w:cs="Arial"/>
          <w:szCs w:val="24"/>
          <w:lang w:val="en-US"/>
        </w:rPr>
        <w:t xml:space="preserve"> Act of Incorporation which authorized them to construct these booms so "as to admit the passage of rafts and boats, and to preserve the navigation" is </w:t>
      </w:r>
      <w:r>
        <w:rPr>
          <w:rFonts w:cs="Arial"/>
          <w:i/>
          <w:iCs/>
          <w:szCs w:val="24"/>
          <w:lang w:val="en-US"/>
        </w:rPr>
        <w:t>ultra vires.</w:t>
      </w:r>
    </w:p>
    <w:p w:rsidR="0040009D" w:rsidRDefault="0040009D" w:rsidP="00572274">
      <w:pPr>
        <w:pStyle w:val="History"/>
        <w:rPr>
          <w:rFonts w:cs="Arial"/>
          <w:szCs w:val="24"/>
          <w:lang w:val="en-US"/>
        </w:rPr>
      </w:pPr>
      <w:r>
        <w:rPr>
          <w:rFonts w:cs="Arial"/>
          <w:szCs w:val="24"/>
          <w:lang w:val="en-US"/>
        </w:rPr>
        <w:t>[</w:t>
      </w:r>
      <w:r w:rsidR="00572274">
        <w:rPr>
          <w:rFonts w:cs="Arial"/>
          <w:smallCaps/>
          <w:szCs w:val="24"/>
          <w:lang w:val="en-US"/>
        </w:rPr>
        <w:t>STRONG</w:t>
      </w:r>
      <w:r>
        <w:rPr>
          <w:rFonts w:cs="Arial"/>
          <w:szCs w:val="24"/>
          <w:lang w:val="en-US"/>
        </w:rPr>
        <w:t xml:space="preserve">, J.:—How can that question be raised on the pleas to the first three counts? You plead </w:t>
      </w:r>
      <w:r>
        <w:rPr>
          <w:rFonts w:cs="Arial"/>
          <w:i/>
          <w:iCs/>
          <w:szCs w:val="24"/>
          <w:lang w:val="en-US"/>
        </w:rPr>
        <w:t>not guilty</w:t>
      </w:r>
      <w:r>
        <w:rPr>
          <w:rFonts w:cs="Arial"/>
          <w:szCs w:val="24"/>
          <w:lang w:val="en-US"/>
        </w:rPr>
        <w:t>, which only puts in issue whether the obstruction was put there by defendants.]</w:t>
      </w:r>
    </w:p>
    <w:p w:rsidR="0040009D" w:rsidRDefault="0040009D" w:rsidP="00572274">
      <w:pPr>
        <w:pStyle w:val="History"/>
        <w:rPr>
          <w:rFonts w:cs="Arial"/>
          <w:szCs w:val="24"/>
          <w:lang w:val="en-US"/>
        </w:rPr>
      </w:pPr>
      <w:r>
        <w:rPr>
          <w:rFonts w:cs="Arial"/>
          <w:szCs w:val="24"/>
          <w:lang w:val="en-US"/>
        </w:rPr>
        <w:t xml:space="preserve">We contend that the </w:t>
      </w:r>
      <w:r>
        <w:rPr>
          <w:rFonts w:cs="Arial"/>
          <w:i/>
          <w:iCs/>
          <w:szCs w:val="24"/>
          <w:lang w:val="en-US"/>
        </w:rPr>
        <w:t>main boom</w:t>
      </w:r>
      <w:r>
        <w:rPr>
          <w:rFonts w:cs="Arial"/>
          <w:szCs w:val="24"/>
          <w:lang w:val="en-US"/>
        </w:rPr>
        <w:t xml:space="preserve"> did not do damage, and we are not responsible for swing boom.</w:t>
      </w:r>
    </w:p>
    <w:p w:rsidR="0040009D" w:rsidRDefault="0040009D" w:rsidP="00572274">
      <w:pPr>
        <w:pStyle w:val="History"/>
        <w:rPr>
          <w:rFonts w:cs="Arial"/>
          <w:szCs w:val="24"/>
          <w:lang w:val="en-US"/>
        </w:rPr>
      </w:pPr>
      <w:r>
        <w:rPr>
          <w:rFonts w:cs="Arial"/>
          <w:szCs w:val="24"/>
          <w:lang w:val="en-US"/>
        </w:rPr>
        <w:t>[</w:t>
      </w:r>
      <w:r w:rsidR="00572274" w:rsidRPr="00572274">
        <w:rPr>
          <w:rFonts w:cs="Arial"/>
          <w:szCs w:val="24"/>
          <w:lang w:val="en-US"/>
        </w:rPr>
        <w:t>STRONG</w:t>
      </w:r>
      <w:r>
        <w:rPr>
          <w:rFonts w:cs="Arial"/>
          <w:szCs w:val="24"/>
          <w:lang w:val="en-US"/>
        </w:rPr>
        <w:t>, J.:—You should have pleaded justification under the statute.]</w:t>
      </w:r>
    </w:p>
    <w:p w:rsidR="0040009D" w:rsidRDefault="0040009D" w:rsidP="00572274">
      <w:pPr>
        <w:pStyle w:val="History"/>
        <w:rPr>
          <w:rFonts w:cs="Arial"/>
          <w:szCs w:val="24"/>
          <w:lang w:val="en-US"/>
        </w:rPr>
      </w:pPr>
      <w:r>
        <w:rPr>
          <w:rFonts w:cs="Arial"/>
          <w:szCs w:val="24"/>
          <w:lang w:val="en-US"/>
        </w:rPr>
        <w:t xml:space="preserve">If the Court below had decided on the pleadings, I would have applied to amend, but Mr. Justice </w:t>
      </w:r>
      <w:r>
        <w:rPr>
          <w:rFonts w:cs="Arial"/>
          <w:i/>
          <w:iCs/>
          <w:szCs w:val="24"/>
          <w:lang w:val="en-US"/>
        </w:rPr>
        <w:t>Fisher</w:t>
      </w:r>
      <w:r>
        <w:rPr>
          <w:rFonts w:cs="Arial"/>
          <w:szCs w:val="24"/>
          <w:lang w:val="en-US"/>
        </w:rPr>
        <w:t xml:space="preserve"> tried the case as if the plea of justification was put in and no preliminary objection has been taken here.</w:t>
      </w:r>
    </w:p>
    <w:p w:rsidR="0040009D" w:rsidRDefault="0040009D" w:rsidP="00572274">
      <w:pPr>
        <w:pStyle w:val="History"/>
        <w:rPr>
          <w:rFonts w:cs="Arial"/>
          <w:szCs w:val="24"/>
          <w:lang w:val="en-US"/>
        </w:rPr>
      </w:pPr>
      <w:r>
        <w:rPr>
          <w:rFonts w:cs="Arial"/>
          <w:szCs w:val="24"/>
          <w:lang w:val="en-US"/>
        </w:rPr>
        <w:t>[</w:t>
      </w:r>
      <w:r w:rsidR="00572274">
        <w:rPr>
          <w:rFonts w:cs="Arial"/>
          <w:smallCaps/>
          <w:szCs w:val="24"/>
          <w:lang w:val="en-US"/>
        </w:rPr>
        <w:t>HENRY</w:t>
      </w:r>
      <w:r>
        <w:rPr>
          <w:rFonts w:cs="Arial"/>
          <w:szCs w:val="24"/>
          <w:lang w:val="en-US"/>
        </w:rPr>
        <w:t>, J.:—In this case it seems very hard, but we cannot send back the case because the pleas are insufficient.]</w:t>
      </w:r>
    </w:p>
    <w:p w:rsidR="0040009D" w:rsidRDefault="0040009D" w:rsidP="00572274">
      <w:pPr>
        <w:pStyle w:val="Sollicitors"/>
        <w:rPr>
          <w:lang w:val="en-US"/>
        </w:rPr>
      </w:pPr>
      <w:r>
        <w:rPr>
          <w:lang w:val="en-US"/>
        </w:rPr>
        <w:t xml:space="preserve">Dr. </w:t>
      </w:r>
      <w:r>
        <w:rPr>
          <w:iCs/>
          <w:lang w:val="en-US"/>
        </w:rPr>
        <w:t>Barker</w:t>
      </w:r>
      <w:r>
        <w:rPr>
          <w:lang w:val="en-US"/>
        </w:rPr>
        <w:t>, Q. C., for respondent was not called upon.</w:t>
      </w:r>
    </w:p>
    <w:p w:rsidR="0040009D" w:rsidRDefault="0040009D" w:rsidP="00572274">
      <w:pPr>
        <w:pStyle w:val="Reasons"/>
        <w:rPr>
          <w:lang w:val="en-US"/>
        </w:rPr>
      </w:pPr>
      <w:r>
        <w:rPr>
          <w:lang w:val="en-US"/>
        </w:rPr>
        <w:t xml:space="preserve">The judgment of the Court was delivered by </w:t>
      </w:r>
      <w:r w:rsidR="00572274" w:rsidRPr="00572274">
        <w:rPr>
          <w:lang w:val="en-US"/>
        </w:rPr>
        <w:t>THE CHIEF JUSTICE</w:t>
      </w:r>
      <w:r>
        <w:rPr>
          <w:lang w:val="en-US"/>
        </w:rPr>
        <w:t>:—</w:t>
      </w:r>
    </w:p>
    <w:p w:rsidR="0040009D" w:rsidRDefault="0040009D" w:rsidP="00572274">
      <w:pPr>
        <w:pStyle w:val="Reasons"/>
        <w:rPr>
          <w:rFonts w:cs="Arial"/>
          <w:szCs w:val="24"/>
          <w:lang w:val="en-US"/>
        </w:rPr>
      </w:pPr>
      <w:r>
        <w:rPr>
          <w:rFonts w:cs="Arial"/>
          <w:szCs w:val="24"/>
          <w:lang w:val="en-US"/>
        </w:rPr>
        <w:t>A plea of justification under the statute was not pleaded, and we have no power to add one now. And there are many good reasons for that, one of them is that the defendant might raise, as in this case another issue altogether, which would have to be tried in the Court below; and the plaintiff might choose to demur to this additional plea, and that would have to</w:t>
      </w:r>
    </w:p>
    <w:p w:rsidR="0040009D" w:rsidRDefault="00AD5B4A" w:rsidP="00AD5B4A">
      <w:pPr>
        <w:pStyle w:val="Page"/>
        <w:rPr>
          <w:lang w:val="en-US"/>
        </w:rPr>
      </w:pPr>
      <w:r>
        <w:rPr>
          <w:rFonts w:cs="Arial"/>
          <w:szCs w:val="24"/>
          <w:lang w:val="en-US"/>
        </w:rPr>
        <w:t xml:space="preserve">[Page </w:t>
      </w:r>
      <w:r w:rsidR="0040009D">
        <w:rPr>
          <w:rFonts w:cs="Arial"/>
          <w:szCs w:val="24"/>
          <w:lang w:val="en-US"/>
        </w:rPr>
        <w:t>704]</w:t>
      </w:r>
    </w:p>
    <w:p w:rsidR="0040009D" w:rsidRDefault="0040009D" w:rsidP="00572274">
      <w:pPr>
        <w:pStyle w:val="Reasons"/>
        <w:rPr>
          <w:rFonts w:cs="Arial"/>
          <w:szCs w:val="24"/>
          <w:lang w:val="en-US"/>
        </w:rPr>
      </w:pPr>
      <w:r>
        <w:rPr>
          <w:rFonts w:cs="Arial"/>
          <w:szCs w:val="24"/>
          <w:lang w:val="en-US"/>
        </w:rPr>
        <w:t>be argued in the Court below. Under these circumstances the appeal should be dismissed.</w:t>
      </w:r>
    </w:p>
    <w:p w:rsidR="0040009D" w:rsidRPr="00572274" w:rsidRDefault="0040009D" w:rsidP="00572274">
      <w:pPr>
        <w:pStyle w:val="Reasons"/>
        <w:rPr>
          <w:lang w:val="en-US"/>
        </w:rPr>
      </w:pPr>
      <w:r w:rsidRPr="00572274">
        <w:rPr>
          <w:lang w:val="en-US"/>
        </w:rPr>
        <w:lastRenderedPageBreak/>
        <w:t>Appeal dismissed with, costs.</w:t>
      </w:r>
    </w:p>
    <w:p w:rsidR="0040009D" w:rsidRDefault="0040009D" w:rsidP="00572274">
      <w:pPr>
        <w:pStyle w:val="Sollicitors"/>
        <w:rPr>
          <w:lang w:val="en-US"/>
        </w:rPr>
      </w:pPr>
      <w:r>
        <w:rPr>
          <w:lang w:val="en-US"/>
        </w:rPr>
        <w:t xml:space="preserve">Solicitor for appellant; </w:t>
      </w:r>
      <w:r>
        <w:rPr>
          <w:iCs/>
          <w:lang w:val="en-US"/>
        </w:rPr>
        <w:t>L. J. Tweedie.</w:t>
      </w:r>
    </w:p>
    <w:p w:rsidR="00D66814" w:rsidRDefault="0040009D" w:rsidP="00572274">
      <w:pPr>
        <w:pStyle w:val="Sollicitors"/>
      </w:pPr>
      <w:r>
        <w:rPr>
          <w:lang w:val="en-US"/>
        </w:rPr>
        <w:t xml:space="preserve">Solicitor for respondent: </w:t>
      </w:r>
      <w:r>
        <w:rPr>
          <w:iCs/>
          <w:lang w:val="en-US"/>
        </w:rPr>
        <w:t>A. A. Davidson.</w:t>
      </w:r>
    </w:p>
    <w:sectPr w:rsidR="00D66814" w:rsidSect="00065B2A">
      <w:headerReference w:type="even" r:id="rId7"/>
      <w:headerReference w:type="default" r:id="rId8"/>
      <w:footerReference w:type="even" r:id="rId9"/>
      <w:footerReference w:type="default" r:id="rId10"/>
      <w:headerReference w:type="first" r:id="rId11"/>
      <w:footerReference w:type="first" r:id="rId12"/>
      <w:pgSz w:w="12240" w:h="15840"/>
      <w:pgMar w:top="1138" w:right="1138" w:bottom="1138" w:left="1138" w:header="720" w:footer="720"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7E1A" w:rsidRDefault="000A7E1A" w:rsidP="00065B2A">
      <w:r>
        <w:separator/>
      </w:r>
    </w:p>
  </w:endnote>
  <w:endnote w:type="continuationSeparator" w:id="1">
    <w:p w:rsidR="000A7E1A" w:rsidRDefault="000A7E1A" w:rsidP="00065B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B2A" w:rsidRDefault="00065B2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B2A" w:rsidRPr="00065B2A" w:rsidRDefault="00065B2A">
    <w:pPr>
      <w:pStyle w:val="Footer"/>
      <w:rPr>
        <w:rFonts w:ascii="Arial" w:hAnsi="Arial" w:cs="Arial"/>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B2A" w:rsidRDefault="00065B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7E1A" w:rsidRDefault="000A7E1A" w:rsidP="00065B2A">
      <w:r>
        <w:separator/>
      </w:r>
    </w:p>
  </w:footnote>
  <w:footnote w:type="continuationSeparator" w:id="1">
    <w:p w:rsidR="000A7E1A" w:rsidRDefault="000A7E1A" w:rsidP="00065B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B2A" w:rsidRDefault="00065B2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B2A" w:rsidRPr="00065B2A" w:rsidRDefault="00065B2A">
    <w:pPr>
      <w:pStyle w:val="Header"/>
      <w:rPr>
        <w:rFonts w:ascii="Arial" w:hAnsi="Arial" w:cs="Arial"/>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B2A" w:rsidRDefault="00065B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532424F6">
      <w:start w:val="1"/>
      <w:numFmt w:val="decimal"/>
      <w:pStyle w:val="ParagNum"/>
      <w:lvlText w:val="[%1]"/>
      <w:lvlJc w:val="left"/>
      <w:pPr>
        <w:tabs>
          <w:tab w:val="num" w:pos="369"/>
        </w:tabs>
        <w:ind w:left="369" w:hanging="369"/>
      </w:pPr>
    </w:lvl>
    <w:lvl w:ilvl="1" w:tplc="5DA61B92" w:tentative="1">
      <w:start w:val="1"/>
      <w:numFmt w:val="lowerLetter"/>
      <w:lvlText w:val="%2."/>
      <w:lvlJc w:val="left"/>
      <w:pPr>
        <w:tabs>
          <w:tab w:val="num" w:pos="1440"/>
        </w:tabs>
        <w:ind w:left="1440" w:hanging="360"/>
      </w:pPr>
    </w:lvl>
    <w:lvl w:ilvl="2" w:tplc="0B1C8EE0" w:tentative="1">
      <w:start w:val="1"/>
      <w:numFmt w:val="lowerRoman"/>
      <w:lvlText w:val="%3."/>
      <w:lvlJc w:val="right"/>
      <w:pPr>
        <w:tabs>
          <w:tab w:val="num" w:pos="2160"/>
        </w:tabs>
        <w:ind w:left="2160" w:hanging="180"/>
      </w:pPr>
    </w:lvl>
    <w:lvl w:ilvl="3" w:tplc="AEF44FF4" w:tentative="1">
      <w:start w:val="1"/>
      <w:numFmt w:val="decimal"/>
      <w:lvlText w:val="%4."/>
      <w:lvlJc w:val="left"/>
      <w:pPr>
        <w:tabs>
          <w:tab w:val="num" w:pos="2880"/>
        </w:tabs>
        <w:ind w:left="2880" w:hanging="360"/>
      </w:pPr>
    </w:lvl>
    <w:lvl w:ilvl="4" w:tplc="B9DA9A34" w:tentative="1">
      <w:start w:val="1"/>
      <w:numFmt w:val="lowerLetter"/>
      <w:lvlText w:val="%5."/>
      <w:lvlJc w:val="left"/>
      <w:pPr>
        <w:tabs>
          <w:tab w:val="num" w:pos="3600"/>
        </w:tabs>
        <w:ind w:left="3600" w:hanging="360"/>
      </w:pPr>
    </w:lvl>
    <w:lvl w:ilvl="5" w:tplc="5CB4BA8C" w:tentative="1">
      <w:start w:val="1"/>
      <w:numFmt w:val="lowerRoman"/>
      <w:lvlText w:val="%6."/>
      <w:lvlJc w:val="right"/>
      <w:pPr>
        <w:tabs>
          <w:tab w:val="num" w:pos="4320"/>
        </w:tabs>
        <w:ind w:left="4320" w:hanging="180"/>
      </w:pPr>
    </w:lvl>
    <w:lvl w:ilvl="6" w:tplc="33DAAACC" w:tentative="1">
      <w:start w:val="1"/>
      <w:numFmt w:val="decimal"/>
      <w:lvlText w:val="%7."/>
      <w:lvlJc w:val="left"/>
      <w:pPr>
        <w:tabs>
          <w:tab w:val="num" w:pos="5040"/>
        </w:tabs>
        <w:ind w:left="5040" w:hanging="360"/>
      </w:pPr>
    </w:lvl>
    <w:lvl w:ilvl="7" w:tplc="E8EAEA08" w:tentative="1">
      <w:start w:val="1"/>
      <w:numFmt w:val="lowerLetter"/>
      <w:lvlText w:val="%8."/>
      <w:lvlJc w:val="left"/>
      <w:pPr>
        <w:tabs>
          <w:tab w:val="num" w:pos="5760"/>
        </w:tabs>
        <w:ind w:left="5760" w:hanging="360"/>
      </w:pPr>
    </w:lvl>
    <w:lvl w:ilvl="8" w:tplc="E216E324"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0009D"/>
    <w:rsid w:val="00065B2A"/>
    <w:rsid w:val="000A7E1A"/>
    <w:rsid w:val="00195253"/>
    <w:rsid w:val="002139AC"/>
    <w:rsid w:val="002B5C9A"/>
    <w:rsid w:val="00320FBC"/>
    <w:rsid w:val="00326CFE"/>
    <w:rsid w:val="0040009D"/>
    <w:rsid w:val="00407F8B"/>
    <w:rsid w:val="00572274"/>
    <w:rsid w:val="00641015"/>
    <w:rsid w:val="00694345"/>
    <w:rsid w:val="006A47C6"/>
    <w:rsid w:val="008A6BE7"/>
    <w:rsid w:val="00A00444"/>
    <w:rsid w:val="00AD5B4A"/>
    <w:rsid w:val="00C717D5"/>
    <w:rsid w:val="00D66814"/>
    <w:rsid w:val="00F56DC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D5B4A"/>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AD5B4A"/>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AD5B4A"/>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AD5B4A"/>
  </w:style>
  <w:style w:type="paragraph" w:styleId="Header">
    <w:name w:val="header"/>
    <w:basedOn w:val="Normal"/>
    <w:link w:val="HeaderChar"/>
    <w:uiPriority w:val="99"/>
    <w:unhideWhenUsed/>
    <w:rsid w:val="00AD5B4A"/>
    <w:pPr>
      <w:tabs>
        <w:tab w:val="center" w:pos="4680"/>
        <w:tab w:val="right" w:pos="9360"/>
      </w:tabs>
    </w:pPr>
    <w:rPr>
      <w:rFonts w:ascii="Times New Roman" w:hAnsi="Times New Roman"/>
    </w:rPr>
  </w:style>
  <w:style w:type="character" w:customStyle="1" w:styleId="HeaderChar">
    <w:name w:val="Header Char"/>
    <w:link w:val="Header"/>
    <w:uiPriority w:val="99"/>
    <w:rsid w:val="00AD5B4A"/>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AD5B4A"/>
    <w:pPr>
      <w:tabs>
        <w:tab w:val="center" w:pos="4680"/>
        <w:tab w:val="right" w:pos="9360"/>
      </w:tabs>
    </w:pPr>
    <w:rPr>
      <w:rFonts w:ascii="Times New Roman" w:hAnsi="Times New Roman"/>
    </w:rPr>
  </w:style>
  <w:style w:type="character" w:customStyle="1" w:styleId="FooterChar">
    <w:name w:val="Footer Char"/>
    <w:link w:val="Footer"/>
    <w:uiPriority w:val="99"/>
    <w:rsid w:val="00AD5B4A"/>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320FBC"/>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AD5B4A"/>
    <w:pPr>
      <w:spacing w:before="100" w:beforeAutospacing="1"/>
      <w:ind w:left="567"/>
      <w:jc w:val="both"/>
    </w:pPr>
  </w:style>
  <w:style w:type="paragraph" w:customStyle="1" w:styleId="Metadata">
    <w:name w:val="Metadata"/>
    <w:basedOn w:val="Normal"/>
    <w:rsid w:val="00AD5B4A"/>
    <w:pPr>
      <w:spacing w:before="100" w:beforeAutospacing="1" w:after="100" w:afterAutospacing="1"/>
    </w:pPr>
    <w:rPr>
      <w:rFonts w:cs="Arial"/>
      <w:szCs w:val="24"/>
    </w:rPr>
  </w:style>
  <w:style w:type="paragraph" w:customStyle="1" w:styleId="Page">
    <w:name w:val="Page"/>
    <w:basedOn w:val="Normal"/>
    <w:link w:val="PageChar"/>
    <w:rsid w:val="00AD5B4A"/>
    <w:pPr>
      <w:spacing w:before="100" w:beforeAutospacing="1" w:after="100" w:afterAutospacing="1"/>
    </w:pPr>
    <w:rPr>
      <w:i/>
    </w:rPr>
  </w:style>
  <w:style w:type="paragraph" w:styleId="FootnoteText">
    <w:name w:val="footnote text"/>
    <w:basedOn w:val="Normal"/>
    <w:link w:val="FootnoteTextChar"/>
    <w:autoRedefine/>
    <w:semiHidden/>
    <w:rsid w:val="00AD5B4A"/>
    <w:rPr>
      <w:sz w:val="16"/>
      <w:szCs w:val="20"/>
    </w:rPr>
  </w:style>
  <w:style w:type="character" w:customStyle="1" w:styleId="FootnoteTextChar">
    <w:name w:val="Footnote Text Char"/>
    <w:link w:val="FootnoteText"/>
    <w:semiHidden/>
    <w:rsid w:val="00AD5B4A"/>
    <w:rPr>
      <w:rFonts w:ascii="Arial" w:eastAsia="MS Mincho" w:hAnsi="Arial" w:cs="Times New Roman"/>
      <w:sz w:val="16"/>
      <w:szCs w:val="20"/>
      <w:lang w:val="en-CA" w:eastAsia="ja-JP"/>
    </w:rPr>
  </w:style>
  <w:style w:type="character" w:styleId="FootnoteReference">
    <w:name w:val="footnote reference"/>
    <w:semiHidden/>
    <w:rsid w:val="00AD5B4A"/>
    <w:rPr>
      <w:vertAlign w:val="superscript"/>
    </w:rPr>
  </w:style>
  <w:style w:type="paragraph" w:customStyle="1" w:styleId="ParagNum">
    <w:name w:val="ParagNum"/>
    <w:basedOn w:val="Normal"/>
    <w:rsid w:val="00AD5B4A"/>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AD5B4A"/>
    <w:pPr>
      <w:spacing w:before="100" w:beforeAutospacing="1" w:after="100" w:afterAutospacing="1" w:line="360" w:lineRule="auto"/>
    </w:pPr>
  </w:style>
  <w:style w:type="paragraph" w:customStyle="1" w:styleId="Indent2">
    <w:name w:val="Indent 2"/>
    <w:basedOn w:val="Indent1"/>
    <w:rsid w:val="00AD5B4A"/>
    <w:pPr>
      <w:ind w:left="1134"/>
    </w:pPr>
  </w:style>
  <w:style w:type="paragraph" w:customStyle="1" w:styleId="Indent3">
    <w:name w:val="Indent 3"/>
    <w:basedOn w:val="Indent1"/>
    <w:rsid w:val="00AD5B4A"/>
    <w:pPr>
      <w:ind w:left="1701"/>
    </w:pPr>
  </w:style>
  <w:style w:type="paragraph" w:customStyle="1" w:styleId="Indent4">
    <w:name w:val="Indent 4"/>
    <w:basedOn w:val="Indent1"/>
    <w:rsid w:val="00AD5B4A"/>
    <w:pPr>
      <w:ind w:left="2268"/>
    </w:pPr>
  </w:style>
  <w:style w:type="paragraph" w:customStyle="1" w:styleId="Indent10">
    <w:name w:val="Indent1"/>
    <w:basedOn w:val="Reasons"/>
    <w:rsid w:val="00AD5B4A"/>
    <w:pPr>
      <w:ind w:left="567"/>
    </w:pPr>
  </w:style>
  <w:style w:type="paragraph" w:customStyle="1" w:styleId="Indent20">
    <w:name w:val="Indent2"/>
    <w:basedOn w:val="Indent10"/>
    <w:rsid w:val="00AD5B4A"/>
    <w:pPr>
      <w:ind w:left="1134"/>
    </w:pPr>
  </w:style>
  <w:style w:type="paragraph" w:customStyle="1" w:styleId="Indent30">
    <w:name w:val="Indent3"/>
    <w:basedOn w:val="Indent10"/>
    <w:rsid w:val="00AD5B4A"/>
    <w:pPr>
      <w:ind w:left="1701"/>
    </w:pPr>
  </w:style>
  <w:style w:type="paragraph" w:customStyle="1" w:styleId="Indent40">
    <w:name w:val="Indent4"/>
    <w:basedOn w:val="Indent10"/>
    <w:rsid w:val="00AD5B4A"/>
    <w:pPr>
      <w:ind w:left="2268"/>
    </w:pPr>
  </w:style>
  <w:style w:type="paragraph" w:customStyle="1" w:styleId="Keywords">
    <w:name w:val="Keywords"/>
    <w:basedOn w:val="Normal"/>
    <w:rsid w:val="00AD5B4A"/>
    <w:pPr>
      <w:spacing w:before="100" w:beforeAutospacing="1" w:after="100" w:afterAutospacing="1"/>
    </w:pPr>
    <w:rPr>
      <w:rFonts w:cs="Arial"/>
      <w:i/>
      <w:szCs w:val="24"/>
    </w:rPr>
  </w:style>
  <w:style w:type="paragraph" w:customStyle="1" w:styleId="Summary">
    <w:name w:val="Summary"/>
    <w:basedOn w:val="Normal"/>
    <w:autoRedefine/>
    <w:rsid w:val="00AD5B4A"/>
    <w:pPr>
      <w:spacing w:before="100" w:beforeAutospacing="1" w:after="100" w:afterAutospacing="1"/>
      <w:ind w:left="562" w:hanging="562"/>
    </w:pPr>
    <w:rPr>
      <w:rFonts w:cs="Arial"/>
    </w:rPr>
  </w:style>
  <w:style w:type="paragraph" w:customStyle="1" w:styleId="History">
    <w:name w:val="History"/>
    <w:basedOn w:val="Normal"/>
    <w:rsid w:val="00AD5B4A"/>
    <w:pPr>
      <w:spacing w:before="100" w:beforeAutospacing="1" w:after="100" w:afterAutospacing="1"/>
      <w:ind w:firstLine="567"/>
    </w:pPr>
  </w:style>
  <w:style w:type="paragraph" w:customStyle="1" w:styleId="T1">
    <w:name w:val="T1"/>
    <w:basedOn w:val="Normal"/>
    <w:rsid w:val="00AD5B4A"/>
    <w:pPr>
      <w:spacing w:before="240" w:after="100" w:afterAutospacing="1"/>
    </w:pPr>
    <w:rPr>
      <w:b/>
    </w:rPr>
  </w:style>
  <w:style w:type="paragraph" w:customStyle="1" w:styleId="T2">
    <w:name w:val="T2"/>
    <w:basedOn w:val="Normal"/>
    <w:rsid w:val="00AD5B4A"/>
    <w:pPr>
      <w:spacing w:before="240" w:after="100" w:afterAutospacing="1"/>
    </w:pPr>
  </w:style>
  <w:style w:type="paragraph" w:customStyle="1" w:styleId="Sollicitors">
    <w:name w:val="Sollicitors"/>
    <w:basedOn w:val="Normal"/>
    <w:rsid w:val="00AD5B4A"/>
    <w:pPr>
      <w:spacing w:before="100" w:beforeAutospacing="1" w:after="100" w:afterAutospacing="1"/>
    </w:pPr>
    <w:rPr>
      <w:i/>
    </w:rPr>
  </w:style>
  <w:style w:type="paragraph" w:customStyle="1" w:styleId="Court">
    <w:name w:val="Court"/>
    <w:basedOn w:val="Normal"/>
    <w:rsid w:val="00AD5B4A"/>
    <w:rPr>
      <w:rFonts w:cs="Arial"/>
      <w:b/>
      <w:szCs w:val="24"/>
    </w:rPr>
  </w:style>
  <w:style w:type="character" w:customStyle="1" w:styleId="PageChar">
    <w:name w:val="Page Char"/>
    <w:link w:val="Page"/>
    <w:rsid w:val="00AD5B4A"/>
    <w:rPr>
      <w:rFonts w:ascii="Arial" w:eastAsia="MS Mincho" w:hAnsi="Arial" w:cs="Times New Roman"/>
      <w:i/>
      <w:sz w:val="24"/>
      <w:szCs w:val="28"/>
      <w:lang w:val="en-CA" w:eastAsia="ja-JP"/>
    </w:rPr>
  </w:style>
  <w:style w:type="character" w:customStyle="1" w:styleId="ReasonsCar">
    <w:name w:val="Reasons Car"/>
    <w:link w:val="Reasons"/>
    <w:rsid w:val="00AD5B4A"/>
    <w:rPr>
      <w:rFonts w:ascii="Arial" w:eastAsia="MS Mincho" w:hAnsi="Arial" w:cs="Times New Roman"/>
      <w:sz w:val="24"/>
      <w:szCs w:val="28"/>
      <w:lang w:val="en-CA" w:eastAsia="ja-JP"/>
    </w:rPr>
  </w:style>
  <w:style w:type="paragraph" w:customStyle="1" w:styleId="CitationLine">
    <w:name w:val="CitationLine"/>
    <w:basedOn w:val="Court"/>
    <w:rsid w:val="00AD5B4A"/>
  </w:style>
  <w:style w:type="paragraph" w:customStyle="1" w:styleId="DateISO">
    <w:name w:val="DateISO"/>
    <w:basedOn w:val="Court"/>
    <w:rsid w:val="00AD5B4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3</TotalTime>
  <Pages>4</Pages>
  <Words>923</Words>
  <Characters>5264</Characters>
  <Application>Microsoft Office Word</Application>
  <DocSecurity>0</DocSecurity>
  <Lines>43</Lines>
  <Paragraphs>12</Paragraphs>
  <ScaleCrop>false</ScaleCrop>
  <Company/>
  <LinksUpToDate>false</LinksUpToDate>
  <CharactersWithSpaces>6175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User111</dc:creator>
  <cp:lastModifiedBy>User111</cp:lastModifiedBy>
  <cp:revision>6</cp:revision>
  <dcterms:created xsi:type="dcterms:W3CDTF">2015-03-16T06:12:00Z</dcterms:created>
  <dcterms:modified xsi:type="dcterms:W3CDTF">2015-03-23T10:00:00Z</dcterms:modified>
</cp:coreProperties>
</file>