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60" w:rsidRDefault="00A47360" w:rsidP="00A47360">
      <w:pPr>
        <w:pStyle w:val="Court"/>
        <w:rPr>
          <w:lang w:val="en-US"/>
        </w:rPr>
      </w:pPr>
      <w:r>
        <w:rPr>
          <w:lang w:val="en-US"/>
        </w:rPr>
        <w:t>Supreme Court of Canada</w:t>
      </w:r>
    </w:p>
    <w:p w:rsidR="00A47360" w:rsidRDefault="00A47360" w:rsidP="00A47360">
      <w:pPr>
        <w:pStyle w:val="CitationLine"/>
        <w:rPr>
          <w:lang w:val="en-US"/>
        </w:rPr>
      </w:pPr>
      <w:r w:rsidRPr="00A47360">
        <w:rPr>
          <w:lang w:val="en-US"/>
        </w:rPr>
        <w:t xml:space="preserve">Beamish </w:t>
      </w:r>
      <w:r w:rsidRPr="00A47360">
        <w:rPr>
          <w:i/>
          <w:iCs/>
          <w:lang w:val="en-US"/>
        </w:rPr>
        <w:t>v.</w:t>
      </w:r>
      <w:r w:rsidRPr="00A47360">
        <w:rPr>
          <w:lang w:val="en-US"/>
        </w:rPr>
        <w:t xml:space="preserve"> Kaulbach</w:t>
      </w:r>
      <w:r>
        <w:rPr>
          <w:lang w:val="en-US"/>
        </w:rPr>
        <w:t xml:space="preserve"> (1879) 3 SCR 704</w:t>
      </w:r>
    </w:p>
    <w:p w:rsidR="00A47360" w:rsidRDefault="00A47360" w:rsidP="00A47360">
      <w:pPr>
        <w:pStyle w:val="DateISO"/>
        <w:rPr>
          <w:lang w:val="en-US"/>
        </w:rPr>
      </w:pPr>
      <w:r>
        <w:rPr>
          <w:lang w:val="en-US"/>
        </w:rPr>
        <w:t>Date: 1879-06-04</w:t>
      </w:r>
    </w:p>
    <w:p w:rsidR="00EB5561" w:rsidRPr="00A47360" w:rsidRDefault="00A47360" w:rsidP="00A47360">
      <w:pPr>
        <w:pStyle w:val="Metadata"/>
        <w:rPr>
          <w:lang w:val="en-US"/>
        </w:rPr>
      </w:pPr>
      <w:r w:rsidRPr="00A47360">
        <w:rPr>
          <w:lang w:val="en-US"/>
        </w:rPr>
        <w:t>Charles Beamish</w:t>
      </w:r>
      <w:r w:rsidR="00EB5561" w:rsidRPr="00A47360">
        <w:rPr>
          <w:lang w:val="en-US"/>
        </w:rPr>
        <w:t xml:space="preserve"> </w:t>
      </w:r>
      <w:r w:rsidR="00EB5561" w:rsidRPr="00A47360">
        <w:rPr>
          <w:i/>
          <w:iCs/>
          <w:lang w:val="en-US"/>
        </w:rPr>
        <w:t>et at</w:t>
      </w:r>
    </w:p>
    <w:p w:rsidR="00EB5561" w:rsidRPr="00A47360" w:rsidRDefault="00EB5561" w:rsidP="00A47360">
      <w:pPr>
        <w:pStyle w:val="Metadata"/>
        <w:rPr>
          <w:lang w:val="en-US"/>
        </w:rPr>
      </w:pPr>
      <w:r w:rsidRPr="00A47360">
        <w:rPr>
          <w:lang w:val="en-US"/>
        </w:rPr>
        <w:t>Appellants;</w:t>
      </w:r>
    </w:p>
    <w:p w:rsidR="00EB5561" w:rsidRPr="00A47360" w:rsidRDefault="00A47360" w:rsidP="00A47360">
      <w:pPr>
        <w:pStyle w:val="Metadata"/>
        <w:rPr>
          <w:lang w:val="en-US"/>
        </w:rPr>
      </w:pPr>
      <w:r w:rsidRPr="00A47360">
        <w:rPr>
          <w:lang w:val="en-US"/>
        </w:rPr>
        <w:t>And</w:t>
      </w:r>
    </w:p>
    <w:p w:rsidR="00EB5561" w:rsidRPr="00A47360" w:rsidRDefault="00EB5561" w:rsidP="00A47360">
      <w:pPr>
        <w:pStyle w:val="Metadata"/>
        <w:rPr>
          <w:lang w:val="en-US"/>
        </w:rPr>
      </w:pPr>
      <w:r w:rsidRPr="00A47360">
        <w:rPr>
          <w:lang w:val="en-US"/>
        </w:rPr>
        <w:t xml:space="preserve">H. A. N. </w:t>
      </w:r>
      <w:r w:rsidR="00A47360" w:rsidRPr="00A47360">
        <w:rPr>
          <w:lang w:val="en-US"/>
        </w:rPr>
        <w:t>Kaulbach</w:t>
      </w:r>
    </w:p>
    <w:p w:rsidR="00EB5561" w:rsidRPr="00A47360" w:rsidRDefault="00EB5561" w:rsidP="00A47360">
      <w:pPr>
        <w:pStyle w:val="Metadata"/>
        <w:rPr>
          <w:lang w:val="en-US"/>
        </w:rPr>
      </w:pPr>
      <w:r w:rsidRPr="00A47360">
        <w:rPr>
          <w:lang w:val="en-US"/>
        </w:rPr>
        <w:t>Respondent</w:t>
      </w:r>
    </w:p>
    <w:p w:rsidR="00A47360" w:rsidRDefault="00A47360" w:rsidP="00A47360">
      <w:pPr>
        <w:pStyle w:val="Metadata"/>
        <w:rPr>
          <w:lang w:val="en-US"/>
        </w:rPr>
      </w:pPr>
      <w:r>
        <w:rPr>
          <w:lang w:val="en-US"/>
        </w:rPr>
        <w:t>1879: June 4.</w:t>
      </w:r>
    </w:p>
    <w:p w:rsidR="00A47360" w:rsidRDefault="00A47360" w:rsidP="00A47360">
      <w:pPr>
        <w:pStyle w:val="Metadata"/>
        <w:rPr>
          <w:lang w:val="en-US"/>
        </w:rPr>
      </w:pPr>
      <w:r w:rsidRPr="00A47360">
        <w:rPr>
          <w:lang w:val="en-US"/>
        </w:rPr>
        <w:t>Present</w:t>
      </w:r>
      <w:r>
        <w:rPr>
          <w:lang w:val="en-US"/>
        </w:rPr>
        <w:t>—Ritchie, C.J., and Strong, Fournier, Henry, Taschereau and Gwynne, J. J.</w:t>
      </w:r>
    </w:p>
    <w:p w:rsidR="00EB5561" w:rsidRDefault="00EB5561" w:rsidP="00A47360">
      <w:pPr>
        <w:pStyle w:val="Metadata"/>
        <w:rPr>
          <w:lang w:val="en-US"/>
        </w:rPr>
      </w:pPr>
      <w:r>
        <w:rPr>
          <w:lang w:val="en-US"/>
        </w:rPr>
        <w:t>ON APPEAL FROM THE SUPREME COURT OF NOVA SCOTIA.</w:t>
      </w:r>
    </w:p>
    <w:p w:rsidR="00EB5561" w:rsidRDefault="00EB5561" w:rsidP="00A47360">
      <w:pPr>
        <w:pStyle w:val="Keywords"/>
        <w:rPr>
          <w:lang w:val="en-US"/>
        </w:rPr>
      </w:pPr>
      <w:r>
        <w:rPr>
          <w:lang w:val="en-US"/>
        </w:rPr>
        <w:t>Appeal—Original Court not a Superior Court—Judgment not appealable—B. N. A. Act sec. 99—Supreme and Exchequer Court Act sec. 17.</w:t>
      </w:r>
    </w:p>
    <w:p w:rsidR="00EB5561" w:rsidRDefault="00EB5561" w:rsidP="00A47360">
      <w:pPr>
        <w:pStyle w:val="Summary"/>
        <w:rPr>
          <w:lang w:val="en-US"/>
        </w:rPr>
      </w:pPr>
      <w:r>
        <w:rPr>
          <w:i/>
          <w:iCs/>
          <w:lang w:val="en-US"/>
        </w:rPr>
        <w:t>Held</w:t>
      </w:r>
      <w:r>
        <w:rPr>
          <w:lang w:val="en-US"/>
        </w:rPr>
        <w:t xml:space="preserve">,—On a motion to quash, that an appeal will not lie to the Supreme Court of </w:t>
      </w:r>
      <w:r>
        <w:rPr>
          <w:i/>
          <w:iCs/>
          <w:lang w:val="en-US"/>
        </w:rPr>
        <w:t>Canada</w:t>
      </w:r>
      <w:r>
        <w:rPr>
          <w:lang w:val="en-US"/>
        </w:rPr>
        <w:t xml:space="preserve"> in cases in which the Court of original jurisdiction is not a Superior Court, and that the Court of Wills and Probate for the County of </w:t>
      </w:r>
      <w:r>
        <w:rPr>
          <w:i/>
          <w:iCs/>
          <w:lang w:val="en-US"/>
        </w:rPr>
        <w:t>Lunenburg, Nova Scotia</w:t>
      </w:r>
      <w:r>
        <w:rPr>
          <w:lang w:val="en-US"/>
        </w:rPr>
        <w:t xml:space="preserve">, is not a </w:t>
      </w:r>
      <w:r>
        <w:rPr>
          <w:i/>
          <w:iCs/>
          <w:lang w:val="en-US"/>
        </w:rPr>
        <w:t>Superior Court</w:t>
      </w:r>
      <w:r>
        <w:rPr>
          <w:lang w:val="en-US"/>
        </w:rPr>
        <w:t xml:space="preserve"> within the meaning of the 17 section of </w:t>
      </w:r>
      <w:r>
        <w:rPr>
          <w:i/>
          <w:iCs/>
          <w:lang w:val="en-US"/>
        </w:rPr>
        <w:t>The Supreme and Exchequer Court Act.</w:t>
      </w:r>
    </w:p>
    <w:p w:rsidR="00EB5561" w:rsidRDefault="00A47360" w:rsidP="00A47360">
      <w:pPr>
        <w:pStyle w:val="History"/>
        <w:rPr>
          <w:lang w:val="en-US"/>
        </w:rPr>
      </w:pPr>
      <w:r w:rsidRPr="00A47360">
        <w:rPr>
          <w:lang w:val="en-US"/>
        </w:rPr>
        <w:t>APPEAL</w:t>
      </w:r>
      <w:r>
        <w:rPr>
          <w:lang w:val="en-US"/>
        </w:rPr>
        <w:t xml:space="preserve"> </w:t>
      </w:r>
      <w:r w:rsidR="00EB5561">
        <w:rPr>
          <w:lang w:val="en-US"/>
        </w:rPr>
        <w:t xml:space="preserve">from a judgment of the Supreme Court of </w:t>
      </w:r>
      <w:r w:rsidR="00EB5561">
        <w:rPr>
          <w:i/>
          <w:iCs/>
          <w:lang w:val="en-US"/>
        </w:rPr>
        <w:t>Nova Scotia</w:t>
      </w:r>
      <w:r w:rsidR="00EB5561">
        <w:rPr>
          <w:lang w:val="en-US"/>
        </w:rPr>
        <w:t xml:space="preserve">, maintaining the decree or judgment of the Court of Wills and Probate for the county of </w:t>
      </w:r>
      <w:r w:rsidR="00EB5561">
        <w:rPr>
          <w:i/>
          <w:iCs/>
          <w:lang w:val="en-US"/>
        </w:rPr>
        <w:t>Lunenburg, N. S.</w:t>
      </w:r>
      <w:r w:rsidR="00EB5561">
        <w:rPr>
          <w:lang w:val="en-US"/>
        </w:rPr>
        <w:t xml:space="preserve">, upholding the validity of the last will and testament of </w:t>
      </w:r>
      <w:r w:rsidR="00EB5561">
        <w:rPr>
          <w:i/>
          <w:iCs/>
          <w:lang w:val="en-US"/>
        </w:rPr>
        <w:t>Beamish Murdoch</w:t>
      </w:r>
      <w:r w:rsidR="00EB5561">
        <w:rPr>
          <w:lang w:val="en-US"/>
        </w:rPr>
        <w:t>, deceased.</w:t>
      </w:r>
    </w:p>
    <w:p w:rsidR="00EB5561" w:rsidRDefault="00EB5561" w:rsidP="00A47360">
      <w:pPr>
        <w:pStyle w:val="History"/>
        <w:rPr>
          <w:rFonts w:cs="Arial"/>
          <w:szCs w:val="24"/>
          <w:lang w:val="en-US"/>
        </w:rPr>
      </w:pPr>
      <w:r>
        <w:rPr>
          <w:rFonts w:cs="Arial"/>
          <w:szCs w:val="24"/>
          <w:lang w:val="en-US"/>
        </w:rPr>
        <w:t xml:space="preserve">Mr. </w:t>
      </w:r>
      <w:r>
        <w:rPr>
          <w:rFonts w:cs="Arial"/>
          <w:i/>
          <w:iCs/>
          <w:szCs w:val="24"/>
          <w:lang w:val="en-US"/>
        </w:rPr>
        <w:t>W. F. MacCoy</w:t>
      </w:r>
      <w:r>
        <w:rPr>
          <w:rFonts w:cs="Arial"/>
          <w:szCs w:val="24"/>
          <w:lang w:val="en-US"/>
        </w:rPr>
        <w:t xml:space="preserve">, for respondent, moved to quash the appeal, on the ground that the Supreme Court of </w:t>
      </w:r>
      <w:r>
        <w:rPr>
          <w:rFonts w:cs="Arial"/>
          <w:i/>
          <w:iCs/>
          <w:szCs w:val="24"/>
          <w:lang w:val="en-US"/>
        </w:rPr>
        <w:t>Canada</w:t>
      </w:r>
      <w:r>
        <w:rPr>
          <w:rFonts w:cs="Arial"/>
          <w:szCs w:val="24"/>
          <w:lang w:val="en-US"/>
        </w:rPr>
        <w:t xml:space="preserve"> had no jurisdiction to hear the cause, because</w:t>
      </w:r>
    </w:p>
    <w:p w:rsidR="00EB5561" w:rsidRDefault="00F76C8F" w:rsidP="00F76C8F">
      <w:pPr>
        <w:pStyle w:val="Page"/>
        <w:rPr>
          <w:lang w:val="en-US"/>
        </w:rPr>
      </w:pPr>
      <w:r>
        <w:rPr>
          <w:rFonts w:cs="Arial"/>
          <w:szCs w:val="24"/>
          <w:lang w:val="en-US"/>
        </w:rPr>
        <w:t xml:space="preserve">[Page </w:t>
      </w:r>
      <w:r w:rsidR="00EB5561">
        <w:rPr>
          <w:rFonts w:cs="Arial"/>
          <w:szCs w:val="24"/>
          <w:lang w:val="en-US"/>
        </w:rPr>
        <w:t>705]</w:t>
      </w:r>
    </w:p>
    <w:p w:rsidR="00EB5561" w:rsidRDefault="00EB5561" w:rsidP="00A47360">
      <w:pPr>
        <w:pStyle w:val="History"/>
        <w:ind w:firstLine="0"/>
        <w:rPr>
          <w:rFonts w:cs="Arial"/>
          <w:szCs w:val="24"/>
          <w:lang w:val="en-US"/>
        </w:rPr>
      </w:pPr>
      <w:r>
        <w:rPr>
          <w:rFonts w:cs="Arial"/>
          <w:szCs w:val="24"/>
          <w:lang w:val="en-US"/>
        </w:rPr>
        <w:t xml:space="preserve">the Court of Probate, where the cause originated in </w:t>
      </w:r>
      <w:r>
        <w:rPr>
          <w:rFonts w:cs="Arial"/>
          <w:i/>
          <w:iCs/>
          <w:szCs w:val="24"/>
          <w:lang w:val="en-US"/>
        </w:rPr>
        <w:t>Nova Scotia</w:t>
      </w:r>
      <w:r>
        <w:rPr>
          <w:rFonts w:cs="Arial"/>
          <w:szCs w:val="24"/>
          <w:lang w:val="en-US"/>
        </w:rPr>
        <w:t>, is an Inferior Court, (</w:t>
      </w:r>
      <w:r>
        <w:rPr>
          <w:rFonts w:cs="Arial"/>
          <w:i/>
          <w:iCs/>
          <w:szCs w:val="24"/>
          <w:lang w:val="en-US"/>
        </w:rPr>
        <w:t>R. S. N. S.</w:t>
      </w:r>
      <w:r>
        <w:rPr>
          <w:rFonts w:cs="Arial"/>
          <w:szCs w:val="24"/>
          <w:lang w:val="en-US"/>
        </w:rPr>
        <w:t xml:space="preserve">, c. 90); and contended that under the 17 section of the Supreme and Exchequer Court Act, an appeal does not lie in cases in which the Court of original jurisdiction is not a Superior Court, and cited </w:t>
      </w:r>
      <w:r>
        <w:rPr>
          <w:rFonts w:cs="Arial"/>
          <w:i/>
          <w:iCs/>
          <w:szCs w:val="24"/>
          <w:lang w:val="en-US"/>
        </w:rPr>
        <w:t>Hilliard</w:t>
      </w:r>
      <w:r>
        <w:rPr>
          <w:rFonts w:cs="Arial"/>
          <w:szCs w:val="24"/>
          <w:lang w:val="en-US"/>
        </w:rPr>
        <w:t xml:space="preserve"> on new trials</w:t>
      </w:r>
      <w:r w:rsidR="00252671">
        <w:rPr>
          <w:rStyle w:val="FootnoteReference"/>
          <w:rFonts w:cs="Arial"/>
          <w:szCs w:val="24"/>
          <w:lang w:val="en-US"/>
        </w:rPr>
        <w:footnoteReference w:id="2"/>
      </w:r>
      <w:r>
        <w:rPr>
          <w:rFonts w:cs="Arial"/>
          <w:szCs w:val="24"/>
          <w:lang w:val="en-US"/>
        </w:rPr>
        <w:t xml:space="preserve">; </w:t>
      </w:r>
      <w:r>
        <w:rPr>
          <w:rFonts w:cs="Arial"/>
          <w:i/>
          <w:iCs/>
          <w:szCs w:val="24"/>
          <w:lang w:val="en-US"/>
        </w:rPr>
        <w:t>King</w:t>
      </w:r>
      <w:r>
        <w:rPr>
          <w:rFonts w:cs="Arial"/>
          <w:szCs w:val="24"/>
          <w:lang w:val="en-US"/>
        </w:rPr>
        <w:t xml:space="preserve"> v. </w:t>
      </w:r>
      <w:r>
        <w:rPr>
          <w:rFonts w:cs="Arial"/>
          <w:i/>
          <w:iCs/>
          <w:szCs w:val="24"/>
          <w:lang w:val="en-US"/>
        </w:rPr>
        <w:t>Hanson</w:t>
      </w:r>
      <w:r w:rsidR="00252671">
        <w:rPr>
          <w:rStyle w:val="FootnoteReference"/>
          <w:rFonts w:cs="Arial"/>
          <w:i/>
          <w:iCs/>
          <w:szCs w:val="24"/>
          <w:lang w:val="en-US"/>
        </w:rPr>
        <w:footnoteReference w:id="3"/>
      </w:r>
      <w:r>
        <w:rPr>
          <w:rFonts w:cs="Arial"/>
          <w:szCs w:val="24"/>
          <w:lang w:val="en-US"/>
        </w:rPr>
        <w:t xml:space="preserve">; </w:t>
      </w:r>
      <w:r>
        <w:rPr>
          <w:rFonts w:cs="Arial"/>
          <w:i/>
          <w:iCs/>
          <w:szCs w:val="24"/>
          <w:lang w:val="en-US"/>
        </w:rPr>
        <w:t>Queen</w:t>
      </w:r>
      <w:r>
        <w:rPr>
          <w:rFonts w:cs="Arial"/>
          <w:szCs w:val="24"/>
          <w:lang w:val="en-US"/>
        </w:rPr>
        <w:t xml:space="preserve"> v. </w:t>
      </w:r>
      <w:r>
        <w:rPr>
          <w:rFonts w:cs="Arial"/>
          <w:i/>
          <w:iCs/>
          <w:szCs w:val="24"/>
          <w:lang w:val="en-US"/>
        </w:rPr>
        <w:t>Stock</w:t>
      </w:r>
      <w:r w:rsidR="00252671">
        <w:rPr>
          <w:rStyle w:val="FootnoteReference"/>
          <w:rFonts w:cs="Arial"/>
          <w:i/>
          <w:iCs/>
          <w:szCs w:val="24"/>
          <w:lang w:val="en-US"/>
        </w:rPr>
        <w:footnoteReference w:id="4"/>
      </w:r>
      <w:r>
        <w:rPr>
          <w:rFonts w:cs="Arial"/>
          <w:szCs w:val="24"/>
          <w:lang w:val="en-US"/>
        </w:rPr>
        <w:t>.</w:t>
      </w:r>
    </w:p>
    <w:p w:rsidR="00EB5561" w:rsidRDefault="00EB5561" w:rsidP="00A47360">
      <w:pPr>
        <w:pStyle w:val="Sollicitors"/>
        <w:rPr>
          <w:lang w:val="en-US"/>
        </w:rPr>
      </w:pPr>
      <w:r>
        <w:rPr>
          <w:lang w:val="en-US"/>
        </w:rPr>
        <w:t>Mr. Cockburn, Q. C., contra.</w:t>
      </w:r>
    </w:p>
    <w:p w:rsidR="00EB5561" w:rsidRDefault="00A47360" w:rsidP="00A47360">
      <w:pPr>
        <w:pStyle w:val="Reasons"/>
        <w:rPr>
          <w:lang w:val="en-US"/>
        </w:rPr>
      </w:pPr>
      <w:r>
        <w:rPr>
          <w:lang w:val="en-US"/>
        </w:rPr>
        <w:t>THE CHIEF JUSTICE:—</w:t>
      </w:r>
    </w:p>
    <w:p w:rsidR="00EB5561" w:rsidRDefault="00EB5561" w:rsidP="00A47360">
      <w:pPr>
        <w:pStyle w:val="Reasons"/>
        <w:rPr>
          <w:rFonts w:cs="Arial"/>
          <w:szCs w:val="24"/>
          <w:lang w:val="en-US"/>
        </w:rPr>
      </w:pPr>
      <w:r>
        <w:rPr>
          <w:rFonts w:cs="Arial"/>
          <w:szCs w:val="24"/>
          <w:lang w:val="en-US"/>
        </w:rPr>
        <w:lastRenderedPageBreak/>
        <w:t xml:space="preserve">I do not think there can be any doubt in this case. The statute puts it beyond all doubt that the cause must originate in a Superior Court in the Province, then go to the highest Court of final resort, and then here. In no other case will an appeal lie; except, of course, when brought under sec. 27 of </w:t>
      </w:r>
      <w:r>
        <w:rPr>
          <w:rFonts w:cs="Arial"/>
          <w:i/>
          <w:iCs/>
          <w:szCs w:val="24"/>
          <w:lang w:val="en-US"/>
        </w:rPr>
        <w:t>The Supreme and Exchequer Court Act</w:t>
      </w:r>
      <w:r>
        <w:rPr>
          <w:rFonts w:cs="Arial"/>
          <w:szCs w:val="24"/>
          <w:lang w:val="en-US"/>
        </w:rPr>
        <w:t xml:space="preserve">, allowing an appeal by consent of parties direct from a Superior Court of original jurisdiction, or when brought in a criminal case under sec. 49 of the Act. The Court of Probate from whose decision the appellant now appeals is in every sense of the word an Inferior Court. The proceedings before that Court are entirely different from those of a common law court, and are subject to a writ of prohibition from the Supreme Court of </w:t>
      </w:r>
      <w:r>
        <w:rPr>
          <w:rFonts w:cs="Arial"/>
          <w:i/>
          <w:iCs/>
          <w:szCs w:val="24"/>
          <w:lang w:val="en-US"/>
        </w:rPr>
        <w:t>Nova Scotia.</w:t>
      </w:r>
    </w:p>
    <w:p w:rsidR="00EB5561" w:rsidRDefault="00EB5561" w:rsidP="00A47360">
      <w:pPr>
        <w:pStyle w:val="Reasons"/>
        <w:rPr>
          <w:rFonts w:cs="Arial"/>
          <w:szCs w:val="24"/>
          <w:lang w:val="en-US"/>
        </w:rPr>
      </w:pPr>
      <w:r>
        <w:rPr>
          <w:rFonts w:cs="Arial"/>
          <w:szCs w:val="24"/>
          <w:lang w:val="en-US"/>
        </w:rPr>
        <w:t>The appeal should be quashed.</w:t>
      </w:r>
    </w:p>
    <w:p w:rsidR="00EB5561" w:rsidRPr="00A47360" w:rsidRDefault="00A47360" w:rsidP="00A47360">
      <w:pPr>
        <w:pStyle w:val="Reasons"/>
        <w:rPr>
          <w:rFonts w:cs="Arial"/>
          <w:szCs w:val="24"/>
          <w:lang w:val="en-US"/>
        </w:rPr>
      </w:pPr>
      <w:r w:rsidRPr="00A47360">
        <w:rPr>
          <w:rFonts w:cs="Arial"/>
          <w:szCs w:val="24"/>
          <w:lang w:val="en-US"/>
        </w:rPr>
        <w:t>STRONG, FOURNIER, HENRY</w:t>
      </w:r>
      <w:r w:rsidR="00EB5561" w:rsidRPr="00A47360">
        <w:rPr>
          <w:rFonts w:cs="Arial"/>
          <w:szCs w:val="24"/>
          <w:lang w:val="en-US"/>
        </w:rPr>
        <w:t xml:space="preserve"> and </w:t>
      </w:r>
      <w:r w:rsidRPr="00A47360">
        <w:rPr>
          <w:rFonts w:cs="Arial"/>
          <w:szCs w:val="24"/>
          <w:lang w:val="en-US"/>
        </w:rPr>
        <w:t>GWYNNE</w:t>
      </w:r>
      <w:r w:rsidR="00EB5561" w:rsidRPr="00A47360">
        <w:rPr>
          <w:rFonts w:cs="Arial"/>
          <w:szCs w:val="24"/>
          <w:lang w:val="en-US"/>
        </w:rPr>
        <w:t>, J. J., concurred.</w:t>
      </w:r>
    </w:p>
    <w:p w:rsidR="00EB5561" w:rsidRDefault="00A47360" w:rsidP="00A47360">
      <w:pPr>
        <w:pStyle w:val="Reasons"/>
        <w:rPr>
          <w:rFonts w:cs="Arial"/>
          <w:szCs w:val="24"/>
          <w:lang w:val="en-US"/>
        </w:rPr>
      </w:pPr>
      <w:r w:rsidRPr="00A47360">
        <w:rPr>
          <w:rFonts w:cs="Arial"/>
          <w:szCs w:val="24"/>
          <w:lang w:val="en-US"/>
        </w:rPr>
        <w:t>TASCHEREAU</w:t>
      </w:r>
      <w:r w:rsidR="00EB5561">
        <w:rPr>
          <w:rFonts w:cs="Arial"/>
          <w:szCs w:val="24"/>
          <w:lang w:val="en-US"/>
        </w:rPr>
        <w:t>, J.:—</w:t>
      </w:r>
    </w:p>
    <w:p w:rsidR="00EB5561" w:rsidRDefault="00EB5561" w:rsidP="00A47360">
      <w:pPr>
        <w:pStyle w:val="Reasons"/>
        <w:rPr>
          <w:rFonts w:cs="Arial"/>
          <w:szCs w:val="24"/>
          <w:lang w:val="en-US"/>
        </w:rPr>
      </w:pPr>
      <w:r>
        <w:rPr>
          <w:rFonts w:cs="Arial"/>
          <w:szCs w:val="24"/>
          <w:lang w:val="en-US"/>
        </w:rPr>
        <w:t>I agree with the judgment of the Court that the appeal should be quashed, but I do not wish it to be understood that I concur with the remarks of the Chief Justice, that an appeal will lie from a Superior Court</w:t>
      </w:r>
    </w:p>
    <w:p w:rsidR="00EB5561" w:rsidRDefault="00F76C8F" w:rsidP="00F76C8F">
      <w:pPr>
        <w:pStyle w:val="Page"/>
        <w:rPr>
          <w:lang w:val="en-US"/>
        </w:rPr>
      </w:pPr>
      <w:r>
        <w:rPr>
          <w:rFonts w:cs="Arial"/>
          <w:szCs w:val="24"/>
          <w:lang w:val="en-US"/>
        </w:rPr>
        <w:t xml:space="preserve">[Page </w:t>
      </w:r>
      <w:r w:rsidR="00EB5561">
        <w:rPr>
          <w:rFonts w:cs="Arial"/>
          <w:szCs w:val="24"/>
          <w:lang w:val="en-US"/>
        </w:rPr>
        <w:t>706]</w:t>
      </w:r>
    </w:p>
    <w:p w:rsidR="00EB5561" w:rsidRDefault="00EB5561" w:rsidP="00A47360">
      <w:pPr>
        <w:pStyle w:val="Reasons"/>
        <w:rPr>
          <w:rFonts w:cs="Arial"/>
          <w:szCs w:val="24"/>
          <w:lang w:val="en-US"/>
        </w:rPr>
      </w:pPr>
      <w:r>
        <w:rPr>
          <w:rFonts w:cs="Arial"/>
          <w:szCs w:val="24"/>
          <w:lang w:val="en-US"/>
        </w:rPr>
        <w:t>of original jurisdiction direct to this Court by consent of parties. I reserve my opinion as to the right of the Federal Parliament to allow an appeal otherwise than from the highest Court of Appeal in the Province.</w:t>
      </w:r>
    </w:p>
    <w:p w:rsidR="00EB5561" w:rsidRPr="00A47360" w:rsidRDefault="00EB5561" w:rsidP="00A47360">
      <w:pPr>
        <w:pStyle w:val="Reasons"/>
        <w:rPr>
          <w:lang w:val="en-US"/>
        </w:rPr>
      </w:pPr>
      <w:r w:rsidRPr="00A47360">
        <w:rPr>
          <w:lang w:val="en-US"/>
        </w:rPr>
        <w:t>Appeal quashed with costs.</w:t>
      </w:r>
    </w:p>
    <w:p w:rsidR="00EB5561" w:rsidRDefault="00EB5561" w:rsidP="00A47360">
      <w:pPr>
        <w:pStyle w:val="Sollicitors"/>
        <w:rPr>
          <w:lang w:val="en-US"/>
        </w:rPr>
      </w:pPr>
      <w:r>
        <w:rPr>
          <w:lang w:val="en-US"/>
        </w:rPr>
        <w:t xml:space="preserve">Solicitor for appellant: </w:t>
      </w:r>
      <w:r>
        <w:rPr>
          <w:iCs/>
          <w:lang w:val="en-US"/>
        </w:rPr>
        <w:t>Samuel G. Rigby.</w:t>
      </w:r>
    </w:p>
    <w:p w:rsidR="00D66814" w:rsidRDefault="00EB5561" w:rsidP="00A47360">
      <w:pPr>
        <w:pStyle w:val="Sollicitors"/>
        <w:rPr>
          <w:iCs/>
          <w:lang w:val="en-US"/>
        </w:rPr>
      </w:pPr>
      <w:r>
        <w:rPr>
          <w:lang w:val="en-US"/>
        </w:rPr>
        <w:t xml:space="preserve">Solicitor for respondent: </w:t>
      </w:r>
      <w:r>
        <w:rPr>
          <w:iCs/>
          <w:lang w:val="en-US"/>
        </w:rPr>
        <w:t>W. F. McCoy.</w:t>
      </w:r>
    </w:p>
    <w:sectPr w:rsidR="00D66814" w:rsidSect="003F32E4">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61" w:rsidRDefault="00A40F61" w:rsidP="003F32E4">
      <w:r>
        <w:separator/>
      </w:r>
    </w:p>
  </w:endnote>
  <w:endnote w:type="continuationSeparator" w:id="1">
    <w:p w:rsidR="00A40F61" w:rsidRDefault="00A40F61" w:rsidP="003F3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Default="003F3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Pr="003F32E4" w:rsidRDefault="003F32E4">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Default="003F3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61" w:rsidRDefault="00A40F61" w:rsidP="003F32E4">
      <w:r>
        <w:separator/>
      </w:r>
    </w:p>
  </w:footnote>
  <w:footnote w:type="continuationSeparator" w:id="1">
    <w:p w:rsidR="00A40F61" w:rsidRDefault="00A40F61" w:rsidP="003F32E4">
      <w:r>
        <w:continuationSeparator/>
      </w:r>
    </w:p>
  </w:footnote>
  <w:footnote w:id="2">
    <w:p w:rsidR="00252671" w:rsidRPr="00252671" w:rsidRDefault="00252671">
      <w:pPr>
        <w:pStyle w:val="FootnoteText"/>
        <w:rPr>
          <w:lang w:val="en-US"/>
        </w:rPr>
      </w:pPr>
      <w:r>
        <w:rPr>
          <w:rStyle w:val="FootnoteReference"/>
        </w:rPr>
        <w:footnoteRef/>
      </w:r>
      <w:r>
        <w:t xml:space="preserve"> </w:t>
      </w:r>
      <w:r>
        <w:rPr>
          <w:rFonts w:cs="Arial"/>
          <w:szCs w:val="24"/>
          <w:lang w:val="en-US"/>
        </w:rPr>
        <w:t>Pp. 559, 585.</w:t>
      </w:r>
    </w:p>
  </w:footnote>
  <w:footnote w:id="3">
    <w:p w:rsidR="00252671" w:rsidRPr="00252671" w:rsidRDefault="00252671">
      <w:pPr>
        <w:pStyle w:val="FootnoteText"/>
        <w:rPr>
          <w:lang w:val="en-US"/>
        </w:rPr>
      </w:pPr>
      <w:r>
        <w:rPr>
          <w:rStyle w:val="FootnoteReference"/>
        </w:rPr>
        <w:footnoteRef/>
      </w:r>
      <w:r>
        <w:t xml:space="preserve"> </w:t>
      </w:r>
      <w:r>
        <w:rPr>
          <w:rFonts w:cs="Arial"/>
          <w:szCs w:val="24"/>
          <w:lang w:val="en-US"/>
        </w:rPr>
        <w:t>4 B. &amp; Ald. 521.</w:t>
      </w:r>
    </w:p>
  </w:footnote>
  <w:footnote w:id="4">
    <w:p w:rsidR="00252671" w:rsidRPr="00252671" w:rsidRDefault="00252671">
      <w:pPr>
        <w:pStyle w:val="FootnoteText"/>
        <w:rPr>
          <w:lang w:val="en-US"/>
        </w:rPr>
      </w:pPr>
      <w:r>
        <w:rPr>
          <w:rStyle w:val="FootnoteReference"/>
        </w:rPr>
        <w:footnoteRef/>
      </w:r>
      <w:r>
        <w:t xml:space="preserve"> </w:t>
      </w:r>
      <w:r>
        <w:rPr>
          <w:rFonts w:cs="Arial"/>
          <w:szCs w:val="24"/>
          <w:lang w:val="en-US"/>
        </w:rPr>
        <w:t>8 A. &amp; E. 405.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Default="003F3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Pr="003F32E4" w:rsidRDefault="003F32E4">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E4" w:rsidRDefault="003F3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5561"/>
    <w:rsid w:val="000834F9"/>
    <w:rsid w:val="000C2C8C"/>
    <w:rsid w:val="00195253"/>
    <w:rsid w:val="00210903"/>
    <w:rsid w:val="00252671"/>
    <w:rsid w:val="003F32E4"/>
    <w:rsid w:val="00773F7F"/>
    <w:rsid w:val="008974BF"/>
    <w:rsid w:val="009A5FF1"/>
    <w:rsid w:val="009C20C0"/>
    <w:rsid w:val="00A40F61"/>
    <w:rsid w:val="00A47360"/>
    <w:rsid w:val="00A53D80"/>
    <w:rsid w:val="00AD4361"/>
    <w:rsid w:val="00AE0359"/>
    <w:rsid w:val="00BE38C1"/>
    <w:rsid w:val="00C717D5"/>
    <w:rsid w:val="00D66814"/>
    <w:rsid w:val="00D92181"/>
    <w:rsid w:val="00DB0067"/>
    <w:rsid w:val="00EB5561"/>
    <w:rsid w:val="00F76C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6C8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76C8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76C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76C8F"/>
  </w:style>
  <w:style w:type="paragraph" w:styleId="Header">
    <w:name w:val="header"/>
    <w:basedOn w:val="Normal"/>
    <w:link w:val="HeaderChar"/>
    <w:uiPriority w:val="99"/>
    <w:unhideWhenUsed/>
    <w:rsid w:val="00F76C8F"/>
    <w:pPr>
      <w:tabs>
        <w:tab w:val="center" w:pos="4680"/>
        <w:tab w:val="right" w:pos="9360"/>
      </w:tabs>
    </w:pPr>
    <w:rPr>
      <w:rFonts w:ascii="Times New Roman" w:hAnsi="Times New Roman"/>
    </w:rPr>
  </w:style>
  <w:style w:type="character" w:customStyle="1" w:styleId="HeaderChar">
    <w:name w:val="Header Char"/>
    <w:link w:val="Header"/>
    <w:uiPriority w:val="99"/>
    <w:rsid w:val="00F76C8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76C8F"/>
    <w:pPr>
      <w:tabs>
        <w:tab w:val="center" w:pos="4680"/>
        <w:tab w:val="right" w:pos="9360"/>
      </w:tabs>
    </w:pPr>
    <w:rPr>
      <w:rFonts w:ascii="Times New Roman" w:hAnsi="Times New Roman"/>
    </w:rPr>
  </w:style>
  <w:style w:type="character" w:customStyle="1" w:styleId="FooterChar">
    <w:name w:val="Footer Char"/>
    <w:link w:val="Footer"/>
    <w:uiPriority w:val="99"/>
    <w:rsid w:val="00F76C8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E38C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76C8F"/>
    <w:pPr>
      <w:spacing w:before="100" w:beforeAutospacing="1"/>
      <w:ind w:left="567"/>
      <w:jc w:val="both"/>
    </w:pPr>
  </w:style>
  <w:style w:type="paragraph" w:customStyle="1" w:styleId="Metadata">
    <w:name w:val="Metadata"/>
    <w:basedOn w:val="Normal"/>
    <w:rsid w:val="00F76C8F"/>
    <w:pPr>
      <w:spacing w:before="100" w:beforeAutospacing="1" w:after="100" w:afterAutospacing="1"/>
    </w:pPr>
    <w:rPr>
      <w:rFonts w:cs="Arial"/>
      <w:szCs w:val="24"/>
    </w:rPr>
  </w:style>
  <w:style w:type="paragraph" w:customStyle="1" w:styleId="Page">
    <w:name w:val="Page"/>
    <w:basedOn w:val="Normal"/>
    <w:link w:val="PageChar"/>
    <w:rsid w:val="00F76C8F"/>
    <w:pPr>
      <w:spacing w:before="100" w:beforeAutospacing="1" w:after="100" w:afterAutospacing="1"/>
    </w:pPr>
    <w:rPr>
      <w:i/>
    </w:rPr>
  </w:style>
  <w:style w:type="paragraph" w:styleId="FootnoteText">
    <w:name w:val="footnote text"/>
    <w:basedOn w:val="Normal"/>
    <w:link w:val="FootnoteTextChar"/>
    <w:autoRedefine/>
    <w:semiHidden/>
    <w:rsid w:val="00F76C8F"/>
    <w:rPr>
      <w:sz w:val="16"/>
      <w:szCs w:val="20"/>
    </w:rPr>
  </w:style>
  <w:style w:type="character" w:customStyle="1" w:styleId="FootnoteTextChar">
    <w:name w:val="Footnote Text Char"/>
    <w:link w:val="FootnoteText"/>
    <w:semiHidden/>
    <w:rsid w:val="00F76C8F"/>
    <w:rPr>
      <w:rFonts w:ascii="Arial" w:eastAsia="MS Mincho" w:hAnsi="Arial" w:cs="Times New Roman"/>
      <w:sz w:val="16"/>
      <w:szCs w:val="20"/>
      <w:lang w:val="en-CA" w:eastAsia="ja-JP"/>
    </w:rPr>
  </w:style>
  <w:style w:type="character" w:styleId="FootnoteReference">
    <w:name w:val="footnote reference"/>
    <w:semiHidden/>
    <w:rsid w:val="00F76C8F"/>
    <w:rPr>
      <w:vertAlign w:val="superscript"/>
    </w:rPr>
  </w:style>
  <w:style w:type="paragraph" w:customStyle="1" w:styleId="ParagNum">
    <w:name w:val="ParagNum"/>
    <w:basedOn w:val="Normal"/>
    <w:rsid w:val="00F76C8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76C8F"/>
    <w:pPr>
      <w:spacing w:before="100" w:beforeAutospacing="1" w:after="100" w:afterAutospacing="1" w:line="360" w:lineRule="auto"/>
    </w:pPr>
  </w:style>
  <w:style w:type="paragraph" w:customStyle="1" w:styleId="Indent2">
    <w:name w:val="Indent 2"/>
    <w:basedOn w:val="Indent1"/>
    <w:rsid w:val="00F76C8F"/>
    <w:pPr>
      <w:ind w:left="1134"/>
    </w:pPr>
  </w:style>
  <w:style w:type="paragraph" w:customStyle="1" w:styleId="Indent3">
    <w:name w:val="Indent 3"/>
    <w:basedOn w:val="Indent1"/>
    <w:rsid w:val="00F76C8F"/>
    <w:pPr>
      <w:ind w:left="1701"/>
    </w:pPr>
  </w:style>
  <w:style w:type="paragraph" w:customStyle="1" w:styleId="Indent4">
    <w:name w:val="Indent 4"/>
    <w:basedOn w:val="Indent1"/>
    <w:rsid w:val="00F76C8F"/>
    <w:pPr>
      <w:ind w:left="2268"/>
    </w:pPr>
  </w:style>
  <w:style w:type="paragraph" w:customStyle="1" w:styleId="Indent10">
    <w:name w:val="Indent1"/>
    <w:basedOn w:val="Reasons"/>
    <w:rsid w:val="00F76C8F"/>
    <w:pPr>
      <w:ind w:left="567"/>
    </w:pPr>
  </w:style>
  <w:style w:type="paragraph" w:customStyle="1" w:styleId="Indent20">
    <w:name w:val="Indent2"/>
    <w:basedOn w:val="Indent10"/>
    <w:rsid w:val="00F76C8F"/>
    <w:pPr>
      <w:ind w:left="1134"/>
    </w:pPr>
  </w:style>
  <w:style w:type="paragraph" w:customStyle="1" w:styleId="Indent30">
    <w:name w:val="Indent3"/>
    <w:basedOn w:val="Indent10"/>
    <w:rsid w:val="00F76C8F"/>
    <w:pPr>
      <w:ind w:left="1701"/>
    </w:pPr>
  </w:style>
  <w:style w:type="paragraph" w:customStyle="1" w:styleId="Indent40">
    <w:name w:val="Indent4"/>
    <w:basedOn w:val="Indent10"/>
    <w:rsid w:val="00F76C8F"/>
    <w:pPr>
      <w:ind w:left="2268"/>
    </w:pPr>
  </w:style>
  <w:style w:type="paragraph" w:customStyle="1" w:styleId="Keywords">
    <w:name w:val="Keywords"/>
    <w:basedOn w:val="Normal"/>
    <w:rsid w:val="00F76C8F"/>
    <w:pPr>
      <w:spacing w:before="100" w:beforeAutospacing="1" w:after="100" w:afterAutospacing="1"/>
    </w:pPr>
    <w:rPr>
      <w:rFonts w:cs="Arial"/>
      <w:i/>
      <w:szCs w:val="24"/>
    </w:rPr>
  </w:style>
  <w:style w:type="paragraph" w:customStyle="1" w:styleId="Summary">
    <w:name w:val="Summary"/>
    <w:basedOn w:val="Normal"/>
    <w:autoRedefine/>
    <w:rsid w:val="00F76C8F"/>
    <w:pPr>
      <w:spacing w:before="100" w:beforeAutospacing="1" w:after="100" w:afterAutospacing="1"/>
      <w:ind w:left="562" w:hanging="562"/>
    </w:pPr>
    <w:rPr>
      <w:rFonts w:cs="Arial"/>
    </w:rPr>
  </w:style>
  <w:style w:type="paragraph" w:customStyle="1" w:styleId="History">
    <w:name w:val="History"/>
    <w:basedOn w:val="Normal"/>
    <w:rsid w:val="00F76C8F"/>
    <w:pPr>
      <w:spacing w:before="100" w:beforeAutospacing="1" w:after="100" w:afterAutospacing="1"/>
      <w:ind w:firstLine="567"/>
    </w:pPr>
  </w:style>
  <w:style w:type="paragraph" w:customStyle="1" w:styleId="T1">
    <w:name w:val="T1"/>
    <w:basedOn w:val="Normal"/>
    <w:rsid w:val="00F76C8F"/>
    <w:pPr>
      <w:spacing w:before="240" w:after="100" w:afterAutospacing="1"/>
    </w:pPr>
    <w:rPr>
      <w:b/>
    </w:rPr>
  </w:style>
  <w:style w:type="paragraph" w:customStyle="1" w:styleId="T2">
    <w:name w:val="T2"/>
    <w:basedOn w:val="Normal"/>
    <w:rsid w:val="00F76C8F"/>
    <w:pPr>
      <w:spacing w:before="240" w:after="100" w:afterAutospacing="1"/>
    </w:pPr>
  </w:style>
  <w:style w:type="paragraph" w:customStyle="1" w:styleId="Sollicitors">
    <w:name w:val="Sollicitors"/>
    <w:basedOn w:val="Normal"/>
    <w:rsid w:val="00F76C8F"/>
    <w:pPr>
      <w:spacing w:before="100" w:beforeAutospacing="1" w:after="100" w:afterAutospacing="1"/>
    </w:pPr>
    <w:rPr>
      <w:i/>
    </w:rPr>
  </w:style>
  <w:style w:type="paragraph" w:customStyle="1" w:styleId="Court">
    <w:name w:val="Court"/>
    <w:basedOn w:val="Normal"/>
    <w:rsid w:val="00F76C8F"/>
    <w:rPr>
      <w:rFonts w:cs="Arial"/>
      <w:b/>
      <w:szCs w:val="24"/>
    </w:rPr>
  </w:style>
  <w:style w:type="character" w:customStyle="1" w:styleId="PageChar">
    <w:name w:val="Page Char"/>
    <w:link w:val="Page"/>
    <w:rsid w:val="00F76C8F"/>
    <w:rPr>
      <w:rFonts w:ascii="Arial" w:eastAsia="MS Mincho" w:hAnsi="Arial" w:cs="Times New Roman"/>
      <w:i/>
      <w:sz w:val="24"/>
      <w:szCs w:val="28"/>
      <w:lang w:val="en-CA" w:eastAsia="ja-JP"/>
    </w:rPr>
  </w:style>
  <w:style w:type="character" w:customStyle="1" w:styleId="ReasonsCar">
    <w:name w:val="Reasons Car"/>
    <w:link w:val="Reasons"/>
    <w:rsid w:val="00F76C8F"/>
    <w:rPr>
      <w:rFonts w:ascii="Arial" w:eastAsia="MS Mincho" w:hAnsi="Arial" w:cs="Times New Roman"/>
      <w:sz w:val="24"/>
      <w:szCs w:val="28"/>
      <w:lang w:val="en-CA" w:eastAsia="ja-JP"/>
    </w:rPr>
  </w:style>
  <w:style w:type="paragraph" w:customStyle="1" w:styleId="CitationLine">
    <w:name w:val="CitationLine"/>
    <w:basedOn w:val="Court"/>
    <w:rsid w:val="00F76C8F"/>
  </w:style>
  <w:style w:type="paragraph" w:customStyle="1" w:styleId="DateISO">
    <w:name w:val="DateISO"/>
    <w:basedOn w:val="Court"/>
    <w:rsid w:val="00F76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2015-03-16T06:12:00Z</dcterms:created>
  <dcterms:modified xsi:type="dcterms:W3CDTF">2015-03-23T10:00:00Z</dcterms:modified>
</cp:coreProperties>
</file>