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9C" w:rsidRPr="007C07E6" w:rsidRDefault="00ED0F9C" w:rsidP="00ED0F9C">
      <w:pPr>
        <w:pStyle w:val="Court"/>
      </w:pPr>
      <w:r w:rsidRPr="007C07E6">
        <w:t>Supreme Court of Canada</w:t>
      </w:r>
    </w:p>
    <w:p w:rsidR="00ED0F9C" w:rsidRPr="007C07E6" w:rsidRDefault="00ED0F9C" w:rsidP="00ED0F9C">
      <w:pPr>
        <w:pStyle w:val="CitationLine"/>
      </w:pPr>
      <w:r w:rsidRPr="007C07E6">
        <w:rPr>
          <w:lang w:val="de-DE"/>
        </w:rPr>
        <w:t>Hart</w:t>
      </w:r>
      <w:r w:rsidRPr="007C07E6">
        <w:t xml:space="preserve"> </w:t>
      </w:r>
      <w:r w:rsidRPr="007C07E6">
        <w:rPr>
          <w:i/>
          <w:iCs/>
        </w:rPr>
        <w:t>v</w:t>
      </w:r>
      <w:r w:rsidRPr="007C07E6">
        <w:t xml:space="preserve">. </w:t>
      </w:r>
      <w:r w:rsidRPr="007C07E6">
        <w:rPr>
          <w:lang w:val="de-DE"/>
        </w:rPr>
        <w:t>McMullen</w:t>
      </w:r>
      <w:r w:rsidRPr="007C07E6">
        <w:t xml:space="preserve"> (1900) 30 SCR 245</w:t>
      </w:r>
    </w:p>
    <w:p w:rsidR="00ED0F9C" w:rsidRPr="007C07E6" w:rsidRDefault="00ED0F9C" w:rsidP="00ED0F9C">
      <w:pPr>
        <w:pStyle w:val="DateISO"/>
      </w:pPr>
      <w:r w:rsidRPr="007C07E6">
        <w:t>Date: 1900-04-02</w:t>
      </w:r>
    </w:p>
    <w:p w:rsidR="00DA21E6" w:rsidRPr="007C07E6" w:rsidRDefault="00ED0F9C" w:rsidP="00ED0F9C">
      <w:pPr>
        <w:pStyle w:val="Metadata"/>
      </w:pPr>
      <w:r w:rsidRPr="007C07E6">
        <w:t>Havelock Med Hart</w:t>
      </w:r>
      <w:r w:rsidR="00DA21E6" w:rsidRPr="007C07E6">
        <w:t xml:space="preserve"> (Plaintiff)</w:t>
      </w:r>
    </w:p>
    <w:p w:rsidR="00DA21E6" w:rsidRPr="007C07E6" w:rsidRDefault="00DA21E6" w:rsidP="00ED0F9C">
      <w:pPr>
        <w:pStyle w:val="Metadata"/>
      </w:pPr>
      <w:r w:rsidRPr="007C07E6">
        <w:t>Appellant</w:t>
      </w:r>
    </w:p>
    <w:p w:rsidR="00DA21E6" w:rsidRPr="007C07E6" w:rsidRDefault="00ED0F9C" w:rsidP="00ED0F9C">
      <w:pPr>
        <w:pStyle w:val="Metadata"/>
      </w:pPr>
      <w:r w:rsidRPr="007C07E6">
        <w:t>A</w:t>
      </w:r>
      <w:r w:rsidR="00DA21E6" w:rsidRPr="007C07E6">
        <w:t>nd</w:t>
      </w:r>
    </w:p>
    <w:p w:rsidR="00DA21E6" w:rsidRPr="007C07E6" w:rsidRDefault="00ED0F9C" w:rsidP="00ED0F9C">
      <w:pPr>
        <w:pStyle w:val="Metadata"/>
      </w:pPr>
      <w:r w:rsidRPr="007C07E6">
        <w:t xml:space="preserve">Thomas </w:t>
      </w:r>
      <w:r w:rsidR="00DA21E6" w:rsidRPr="007C07E6">
        <w:t>G. McM</w:t>
      </w:r>
      <w:r w:rsidRPr="007C07E6">
        <w:t xml:space="preserve">ullen </w:t>
      </w:r>
      <w:r w:rsidR="00DA21E6" w:rsidRPr="007C07E6">
        <w:t>(Defendant)</w:t>
      </w:r>
    </w:p>
    <w:p w:rsidR="00DA21E6" w:rsidRPr="007C07E6" w:rsidRDefault="00DA21E6" w:rsidP="00ED0F9C">
      <w:pPr>
        <w:pStyle w:val="Metadata"/>
      </w:pPr>
      <w:r w:rsidRPr="007C07E6">
        <w:t>Respondent</w:t>
      </w:r>
    </w:p>
    <w:p w:rsidR="00ED0F9C" w:rsidRPr="007C07E6" w:rsidRDefault="00ED0F9C" w:rsidP="00ED0F9C">
      <w:pPr>
        <w:pStyle w:val="Metadata"/>
      </w:pPr>
      <w:r w:rsidRPr="007C07E6">
        <w:t>1900: Feb. 20, 21; 1900: April 2.</w:t>
      </w:r>
    </w:p>
    <w:p w:rsidR="00ED0F9C" w:rsidRPr="007C07E6" w:rsidRDefault="00ED0F9C" w:rsidP="00ED0F9C">
      <w:pPr>
        <w:pStyle w:val="Metadata"/>
      </w:pPr>
      <w:r w:rsidRPr="007C07E6">
        <w:t>Present</w:t>
      </w:r>
      <w:r w:rsidRPr="007C07E6">
        <w:rPr>
          <w:smallCaps/>
        </w:rPr>
        <w:t>:</w:t>
      </w:r>
      <w:r w:rsidRPr="007C07E6">
        <w:t xml:space="preserve">—Sir Henry Strong C. </w:t>
      </w:r>
      <w:r w:rsidRPr="007C07E6">
        <w:rPr>
          <w:smallCaps/>
        </w:rPr>
        <w:t xml:space="preserve">J. </w:t>
      </w:r>
      <w:r w:rsidRPr="007C07E6">
        <w:t>and Gwynne, Sedgewick, King and Girouard JJ.</w:t>
      </w:r>
    </w:p>
    <w:p w:rsidR="00DA21E6" w:rsidRPr="007C07E6" w:rsidRDefault="00DA21E6" w:rsidP="00ED0F9C">
      <w:pPr>
        <w:pStyle w:val="Metadata"/>
      </w:pPr>
      <w:r w:rsidRPr="007C07E6">
        <w:t>ON APPEAL FROM THE SUPREME COURT OF NOVA SCOTIA.</w:t>
      </w:r>
    </w:p>
    <w:p w:rsidR="00DA21E6" w:rsidRPr="007C07E6" w:rsidRDefault="00DA21E6" w:rsidP="00ED0F9C">
      <w:pPr>
        <w:pStyle w:val="Keywords"/>
      </w:pPr>
      <w:r w:rsidRPr="007C07E6">
        <w:t>Easement—Sale of land—Unity of possession—Severance—Continuous user.</w:t>
      </w:r>
    </w:p>
    <w:p w:rsidR="00DA21E6" w:rsidRPr="007C07E6" w:rsidRDefault="00DA21E6" w:rsidP="00ED0F9C">
      <w:pPr>
        <w:pStyle w:val="Summary"/>
      </w:pPr>
      <w:r w:rsidRPr="007C07E6">
        <w:t>When two properties belonging to the same owner are sold at the same time, and each purchaser has notice of the sale to the other, the right to any continuous easement passes with the sale as an absolute legal right. But the easement must have been enjoyed by the former owner at the time of the sale. Therefore, one purchaser could not claim the right to use a dam on his land in such a way as to cause the water to flow back on the other property, where such right, if it had ever been enjoyed by the former owner, had been abandoned years before the sale.</w:t>
      </w:r>
    </w:p>
    <w:p w:rsidR="00DA21E6" w:rsidRPr="007C07E6" w:rsidRDefault="00ED0F9C" w:rsidP="00ED0F9C">
      <w:pPr>
        <w:pStyle w:val="History"/>
      </w:pPr>
      <w:r w:rsidRPr="007C07E6">
        <w:t xml:space="preserve">Appeal </w:t>
      </w:r>
      <w:r w:rsidR="00DA21E6" w:rsidRPr="007C07E6">
        <w:t xml:space="preserve">from the judgment of the Supreme Court of Nova Scotia, </w:t>
      </w:r>
      <w:r w:rsidR="00DA21E6" w:rsidRPr="007C07E6">
        <w:rPr>
          <w:i/>
          <w:iCs/>
        </w:rPr>
        <w:t>en banc</w:t>
      </w:r>
      <w:r w:rsidR="007C07E6" w:rsidRPr="007C07E6">
        <w:rPr>
          <w:rStyle w:val="FootnoteReference"/>
          <w:i/>
          <w:iCs/>
        </w:rPr>
        <w:footnoteReference w:id="2"/>
      </w:r>
      <w:r w:rsidR="00DA21E6" w:rsidRPr="007C07E6">
        <w:t>, reversing the judgment of Townshend J. at the trial in favour of the plaintiff and dismissing the counter-claim filed by the judgment.</w:t>
      </w:r>
    </w:p>
    <w:p w:rsidR="00DA21E6" w:rsidRPr="007C07E6" w:rsidRDefault="00DA21E6" w:rsidP="00ED0F9C">
      <w:pPr>
        <w:pStyle w:val="History"/>
        <w:rPr>
          <w:rFonts w:cs="Arial"/>
          <w:szCs w:val="24"/>
        </w:rPr>
      </w:pPr>
      <w:r w:rsidRPr="007C07E6">
        <w:rPr>
          <w:rFonts w:cs="Arial"/>
          <w:szCs w:val="24"/>
        </w:rPr>
        <w:t>A statement of the facts and of the questions at issue in the case appears in the judgment of His Lordship Mr. Justice Sedgewick, now reported.</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zCs w:val="24"/>
        </w:rPr>
        <w:t>246]</w:t>
      </w:r>
    </w:p>
    <w:p w:rsidR="00DA21E6" w:rsidRPr="007C07E6" w:rsidRDefault="00DA21E6" w:rsidP="00ED0F9C">
      <w:pPr>
        <w:pStyle w:val="History"/>
        <w:rPr>
          <w:rFonts w:cs="Arial"/>
          <w:szCs w:val="24"/>
        </w:rPr>
      </w:pPr>
      <w:r w:rsidRPr="007C07E6">
        <w:rPr>
          <w:rFonts w:cs="Arial"/>
          <w:i/>
          <w:iCs/>
          <w:szCs w:val="24"/>
          <w:lang w:val="de-DE"/>
        </w:rPr>
        <w:t xml:space="preserve">Borden Q.C. </w:t>
      </w:r>
      <w:r w:rsidRPr="007C07E6">
        <w:rPr>
          <w:rFonts w:cs="Arial"/>
          <w:szCs w:val="24"/>
          <w:lang w:val="de-DE"/>
        </w:rPr>
        <w:t xml:space="preserve">and </w:t>
      </w:r>
      <w:r w:rsidRPr="007C07E6">
        <w:rPr>
          <w:rFonts w:cs="Arial"/>
          <w:i/>
          <w:iCs/>
          <w:szCs w:val="24"/>
          <w:lang w:val="de-DE"/>
        </w:rPr>
        <w:t xml:space="preserve">Harris </w:t>
      </w:r>
      <w:r w:rsidRPr="007C07E6">
        <w:rPr>
          <w:rFonts w:cs="Arial"/>
          <w:szCs w:val="24"/>
          <w:lang w:val="de-DE"/>
        </w:rPr>
        <w:t xml:space="preserve">Q.C. </w:t>
      </w:r>
      <w:r w:rsidRPr="007C07E6">
        <w:rPr>
          <w:rFonts w:cs="Arial"/>
          <w:szCs w:val="24"/>
        </w:rPr>
        <w:t>for the appellant. The appellant relies on the reasons stated in the judgment of Mr. Justice Townshend</w:t>
      </w:r>
      <w:r w:rsidR="007C07E6" w:rsidRPr="007C07E6">
        <w:rPr>
          <w:rStyle w:val="FootnoteReference"/>
          <w:rFonts w:cs="Arial"/>
          <w:szCs w:val="24"/>
        </w:rPr>
        <w:footnoteReference w:id="3"/>
      </w:r>
      <w:r w:rsidRPr="007C07E6">
        <w:rPr>
          <w:rFonts w:cs="Arial"/>
          <w:szCs w:val="24"/>
        </w:rPr>
        <w:t>.</w:t>
      </w:r>
    </w:p>
    <w:p w:rsidR="00DA21E6" w:rsidRPr="007C07E6" w:rsidRDefault="00DA21E6" w:rsidP="00ED0F9C">
      <w:pPr>
        <w:pStyle w:val="History"/>
        <w:rPr>
          <w:rFonts w:cs="Arial"/>
          <w:szCs w:val="24"/>
        </w:rPr>
      </w:pPr>
      <w:r w:rsidRPr="007C07E6">
        <w:rPr>
          <w:rFonts w:cs="Arial"/>
          <w:szCs w:val="24"/>
        </w:rPr>
        <w:t xml:space="preserve">The easement was apparent and continuous. The alteration in the premises during </w:t>
      </w:r>
      <w:r w:rsidRPr="007C07E6">
        <w:rPr>
          <w:rFonts w:cs="Arial"/>
          <w:szCs w:val="24"/>
        </w:rPr>
        <w:lastRenderedPageBreak/>
        <w:t xml:space="preserve">unity of ownership was permanent in its character, consisting of the dam strongly constructed of permanent material and having annexed thereto and connected therewith permanent abutments and a waste-way, cut through the solid rock at great expense, which would be utterly useless unless the dam was to be used with the slanting top as now in use by the plaintiff. We refer to </w:t>
      </w:r>
      <w:r w:rsidRPr="007C07E6">
        <w:rPr>
          <w:rFonts w:cs="Arial"/>
          <w:i/>
          <w:iCs/>
          <w:szCs w:val="24"/>
        </w:rPr>
        <w:t xml:space="preserve">Watts </w:t>
      </w:r>
      <w:r w:rsidRPr="007C07E6">
        <w:rPr>
          <w:rFonts w:cs="Arial"/>
          <w:szCs w:val="24"/>
        </w:rPr>
        <w:t xml:space="preserve">v. </w:t>
      </w:r>
      <w:r w:rsidRPr="007C07E6">
        <w:rPr>
          <w:rFonts w:cs="Arial"/>
          <w:i/>
          <w:iCs/>
          <w:szCs w:val="24"/>
        </w:rPr>
        <w:t>Kelson</w:t>
      </w:r>
      <w:r w:rsidR="007C07E6" w:rsidRPr="007C07E6">
        <w:rPr>
          <w:rStyle w:val="FootnoteReference"/>
          <w:rFonts w:cs="Arial"/>
          <w:i/>
          <w:iCs/>
          <w:szCs w:val="24"/>
        </w:rPr>
        <w:footnoteReference w:id="4"/>
      </w:r>
      <w:r w:rsidRPr="007C07E6">
        <w:rPr>
          <w:rFonts w:cs="Arial"/>
          <w:szCs w:val="24"/>
        </w:rPr>
        <w:t xml:space="preserve">; </w:t>
      </w:r>
      <w:r w:rsidRPr="007C07E6">
        <w:rPr>
          <w:rFonts w:cs="Arial"/>
          <w:i/>
          <w:iCs/>
          <w:szCs w:val="24"/>
        </w:rPr>
        <w:t xml:space="preserve">Atrill </w:t>
      </w:r>
      <w:r w:rsidRPr="007C07E6">
        <w:rPr>
          <w:rFonts w:cs="Arial"/>
          <w:szCs w:val="24"/>
        </w:rPr>
        <w:t xml:space="preserve">v, </w:t>
      </w:r>
      <w:r w:rsidRPr="007C07E6">
        <w:rPr>
          <w:rFonts w:cs="Arial"/>
          <w:i/>
          <w:iCs/>
          <w:szCs w:val="24"/>
        </w:rPr>
        <w:t>Platt</w:t>
      </w:r>
      <w:r w:rsidR="007C07E6" w:rsidRPr="007C07E6">
        <w:rPr>
          <w:rStyle w:val="FootnoteReference"/>
          <w:rFonts w:cs="Arial"/>
          <w:i/>
          <w:iCs/>
          <w:szCs w:val="24"/>
        </w:rPr>
        <w:footnoteReference w:id="5"/>
      </w:r>
      <w:r w:rsidRPr="007C07E6">
        <w:rPr>
          <w:rFonts w:cs="Arial"/>
          <w:szCs w:val="24"/>
        </w:rPr>
        <w:t xml:space="preserve">; </w:t>
      </w:r>
      <w:r w:rsidRPr="007C07E6">
        <w:rPr>
          <w:rFonts w:cs="Arial"/>
          <w:i/>
          <w:iCs/>
          <w:szCs w:val="24"/>
        </w:rPr>
        <w:t xml:space="preserve">Polden </w:t>
      </w:r>
      <w:r w:rsidRPr="007C07E6">
        <w:rPr>
          <w:rFonts w:cs="Arial"/>
          <w:szCs w:val="24"/>
        </w:rPr>
        <w:t xml:space="preserve">v. </w:t>
      </w:r>
      <w:r w:rsidRPr="007C07E6">
        <w:rPr>
          <w:rFonts w:cs="Arial"/>
          <w:i/>
          <w:iCs/>
          <w:szCs w:val="24"/>
        </w:rPr>
        <w:t>Bastard</w:t>
      </w:r>
      <w:r w:rsidR="007C07E6" w:rsidRPr="007C07E6">
        <w:rPr>
          <w:rStyle w:val="FootnoteReference"/>
          <w:rFonts w:cs="Arial"/>
          <w:i/>
          <w:iCs/>
          <w:szCs w:val="24"/>
        </w:rPr>
        <w:footnoteReference w:id="6"/>
      </w:r>
      <w:r w:rsidRPr="007C07E6">
        <w:rPr>
          <w:rFonts w:cs="Arial"/>
          <w:szCs w:val="24"/>
        </w:rPr>
        <w:t xml:space="preserve">; </w:t>
      </w:r>
      <w:r w:rsidRPr="007C07E6">
        <w:rPr>
          <w:rFonts w:cs="Arial"/>
          <w:i/>
          <w:iCs/>
          <w:szCs w:val="24"/>
        </w:rPr>
        <w:t xml:space="preserve">Hall </w:t>
      </w:r>
      <w:r w:rsidRPr="007C07E6">
        <w:rPr>
          <w:rFonts w:cs="Arial"/>
          <w:szCs w:val="24"/>
        </w:rPr>
        <w:t xml:space="preserve">v. </w:t>
      </w:r>
      <w:r w:rsidRPr="007C07E6">
        <w:rPr>
          <w:rFonts w:cs="Arial"/>
          <w:i/>
          <w:iCs/>
          <w:szCs w:val="24"/>
        </w:rPr>
        <w:t>Lund</w:t>
      </w:r>
      <w:r w:rsidR="007C07E6" w:rsidRPr="007C07E6">
        <w:rPr>
          <w:rStyle w:val="FootnoteReference"/>
          <w:rFonts w:cs="Arial"/>
          <w:i/>
          <w:iCs/>
          <w:szCs w:val="24"/>
        </w:rPr>
        <w:footnoteReference w:id="7"/>
      </w:r>
      <w:r w:rsidRPr="007C07E6">
        <w:rPr>
          <w:rFonts w:cs="Arial"/>
          <w:szCs w:val="24"/>
        </w:rPr>
        <w:t xml:space="preserve">; </w:t>
      </w:r>
      <w:r w:rsidRPr="007C07E6">
        <w:rPr>
          <w:rFonts w:cs="Arial"/>
          <w:i/>
          <w:iCs/>
          <w:szCs w:val="24"/>
        </w:rPr>
        <w:t xml:space="preserve">Worthington </w:t>
      </w:r>
      <w:r w:rsidRPr="007C07E6">
        <w:rPr>
          <w:rFonts w:cs="Arial"/>
          <w:szCs w:val="24"/>
        </w:rPr>
        <w:t xml:space="preserve">v. </w:t>
      </w:r>
      <w:r w:rsidRPr="007C07E6">
        <w:rPr>
          <w:rFonts w:cs="Arial"/>
          <w:i/>
          <w:iCs/>
          <w:szCs w:val="24"/>
        </w:rPr>
        <w:t>Gimson</w:t>
      </w:r>
      <w:r w:rsidR="007C07E6" w:rsidRPr="007C07E6">
        <w:rPr>
          <w:rStyle w:val="FootnoteReference"/>
          <w:rFonts w:cs="Arial"/>
          <w:i/>
          <w:iCs/>
          <w:szCs w:val="24"/>
        </w:rPr>
        <w:footnoteReference w:id="8"/>
      </w:r>
      <w:r w:rsidRPr="007C07E6">
        <w:rPr>
          <w:rFonts w:cs="Arial"/>
          <w:szCs w:val="24"/>
        </w:rPr>
        <w:t xml:space="preserve">; </w:t>
      </w:r>
      <w:r w:rsidRPr="007C07E6">
        <w:rPr>
          <w:rFonts w:cs="Arial"/>
          <w:i/>
          <w:iCs/>
          <w:szCs w:val="24"/>
        </w:rPr>
        <w:t xml:space="preserve">Nicholas </w:t>
      </w:r>
      <w:r w:rsidRPr="007C07E6">
        <w:rPr>
          <w:rFonts w:cs="Arial"/>
          <w:szCs w:val="24"/>
        </w:rPr>
        <w:t xml:space="preserve">v. </w:t>
      </w:r>
      <w:r w:rsidRPr="007C07E6">
        <w:rPr>
          <w:rFonts w:cs="Arial"/>
          <w:i/>
          <w:iCs/>
          <w:szCs w:val="24"/>
        </w:rPr>
        <w:t>Chamberlain</w:t>
      </w:r>
      <w:r w:rsidR="007C07E6" w:rsidRPr="007C07E6">
        <w:rPr>
          <w:rStyle w:val="FootnoteReference"/>
          <w:rFonts w:cs="Arial"/>
          <w:i/>
          <w:iCs/>
          <w:szCs w:val="24"/>
        </w:rPr>
        <w:footnoteReference w:id="9"/>
      </w:r>
      <w:r w:rsidRPr="007C07E6">
        <w:rPr>
          <w:rFonts w:cs="Arial"/>
          <w:szCs w:val="24"/>
        </w:rPr>
        <w:t xml:space="preserve">; </w:t>
      </w:r>
      <w:r w:rsidRPr="007C07E6">
        <w:rPr>
          <w:rFonts w:cs="Arial"/>
          <w:i/>
          <w:iCs/>
          <w:szCs w:val="24"/>
        </w:rPr>
        <w:t xml:space="preserve">Brown </w:t>
      </w:r>
      <w:r w:rsidRPr="007C07E6">
        <w:rPr>
          <w:rFonts w:cs="Arial"/>
          <w:szCs w:val="24"/>
        </w:rPr>
        <w:t xml:space="preserve">v. </w:t>
      </w:r>
      <w:r w:rsidRPr="007C07E6">
        <w:rPr>
          <w:rFonts w:cs="Arial"/>
          <w:i/>
          <w:iCs/>
          <w:szCs w:val="24"/>
        </w:rPr>
        <w:t>Alabaster</w:t>
      </w:r>
      <w:r w:rsidR="007C07E6" w:rsidRPr="007C07E6">
        <w:rPr>
          <w:rStyle w:val="FootnoteReference"/>
          <w:rFonts w:cs="Arial"/>
          <w:i/>
          <w:iCs/>
          <w:szCs w:val="24"/>
        </w:rPr>
        <w:footnoteReference w:id="10"/>
      </w:r>
      <w:r w:rsidRPr="007C07E6">
        <w:rPr>
          <w:rFonts w:cs="Arial"/>
          <w:smallCaps/>
          <w:szCs w:val="24"/>
        </w:rPr>
        <w:t xml:space="preserve">; </w:t>
      </w:r>
      <w:r w:rsidRPr="007C07E6">
        <w:rPr>
          <w:rFonts w:cs="Arial"/>
          <w:i/>
          <w:iCs/>
          <w:szCs w:val="24"/>
        </w:rPr>
        <w:t xml:space="preserve">Thomas </w:t>
      </w:r>
      <w:r w:rsidRPr="007C07E6">
        <w:rPr>
          <w:rFonts w:cs="Arial"/>
          <w:szCs w:val="24"/>
        </w:rPr>
        <w:t xml:space="preserve">v </w:t>
      </w:r>
      <w:r w:rsidRPr="007C07E6">
        <w:rPr>
          <w:rFonts w:cs="Arial"/>
          <w:i/>
          <w:iCs/>
          <w:szCs w:val="24"/>
        </w:rPr>
        <w:t>Owen</w:t>
      </w:r>
      <w:r w:rsidR="007C07E6" w:rsidRPr="007C07E6">
        <w:rPr>
          <w:rStyle w:val="FootnoteReference"/>
          <w:rFonts w:cs="Arial"/>
          <w:i/>
          <w:iCs/>
          <w:szCs w:val="24"/>
        </w:rPr>
        <w:footnoteReference w:id="11"/>
      </w:r>
      <w:r w:rsidRPr="007C07E6">
        <w:rPr>
          <w:rFonts w:cs="Arial"/>
          <w:szCs w:val="24"/>
        </w:rPr>
        <w:t xml:space="preserve">; </w:t>
      </w:r>
      <w:r w:rsidRPr="007C07E6">
        <w:rPr>
          <w:rFonts w:cs="Arial"/>
          <w:i/>
          <w:iCs/>
          <w:szCs w:val="24"/>
        </w:rPr>
        <w:t xml:space="preserve">Culverwell </w:t>
      </w:r>
      <w:r w:rsidRPr="007C07E6">
        <w:rPr>
          <w:rFonts w:cs="Arial"/>
          <w:szCs w:val="24"/>
        </w:rPr>
        <w:t xml:space="preserve">v. </w:t>
      </w:r>
      <w:r w:rsidRPr="007C07E6">
        <w:rPr>
          <w:rFonts w:cs="Arial"/>
          <w:i/>
          <w:iCs/>
          <w:szCs w:val="24"/>
        </w:rPr>
        <w:t>Lockington</w:t>
      </w:r>
      <w:r w:rsidR="007C07E6" w:rsidRPr="007C07E6">
        <w:rPr>
          <w:rStyle w:val="FootnoteReference"/>
          <w:rFonts w:cs="Arial"/>
          <w:i/>
          <w:iCs/>
          <w:szCs w:val="24"/>
        </w:rPr>
        <w:footnoteReference w:id="12"/>
      </w:r>
      <w:r w:rsidRPr="007C07E6">
        <w:rPr>
          <w:rFonts w:cs="Arial"/>
          <w:szCs w:val="24"/>
        </w:rPr>
        <w:t xml:space="preserve">; </w:t>
      </w:r>
      <w:r w:rsidRPr="007C07E6">
        <w:rPr>
          <w:rFonts w:cs="Arial"/>
          <w:i/>
          <w:iCs/>
          <w:szCs w:val="24"/>
        </w:rPr>
        <w:t xml:space="preserve">Pearson </w:t>
      </w:r>
      <w:r w:rsidRPr="007C07E6">
        <w:rPr>
          <w:rFonts w:cs="Arial"/>
          <w:szCs w:val="24"/>
        </w:rPr>
        <w:t xml:space="preserve">v. </w:t>
      </w:r>
      <w:r w:rsidRPr="007C07E6">
        <w:rPr>
          <w:rFonts w:cs="Arial"/>
          <w:i/>
          <w:iCs/>
          <w:szCs w:val="24"/>
        </w:rPr>
        <w:t>Spencer</w:t>
      </w:r>
      <w:r w:rsidR="007C07E6" w:rsidRPr="007C07E6">
        <w:rPr>
          <w:rStyle w:val="FootnoteReference"/>
          <w:rFonts w:cs="Arial"/>
          <w:i/>
          <w:iCs/>
          <w:szCs w:val="24"/>
        </w:rPr>
        <w:footnoteReference w:id="13"/>
      </w:r>
      <w:r w:rsidRPr="007C07E6">
        <w:rPr>
          <w:rFonts w:cs="Arial"/>
          <w:szCs w:val="24"/>
        </w:rPr>
        <w:t xml:space="preserve">; </w:t>
      </w:r>
      <w:r w:rsidRPr="007C07E6">
        <w:rPr>
          <w:rFonts w:cs="Arial"/>
          <w:i/>
          <w:iCs/>
          <w:szCs w:val="24"/>
        </w:rPr>
        <w:t>Wheeldon v. Burrows</w:t>
      </w:r>
      <w:r w:rsidR="007C07E6" w:rsidRPr="007C07E6">
        <w:rPr>
          <w:rStyle w:val="FootnoteReference"/>
          <w:rFonts w:cs="Arial"/>
          <w:i/>
          <w:iCs/>
          <w:szCs w:val="24"/>
        </w:rPr>
        <w:footnoteReference w:id="14"/>
      </w:r>
      <w:r w:rsidRPr="007C07E6">
        <w:rPr>
          <w:rFonts w:cs="Arial"/>
          <w:szCs w:val="24"/>
        </w:rPr>
        <w:t xml:space="preserve">; Gale on Easements (7 </w:t>
      </w:r>
      <w:r w:rsidRPr="007C07E6">
        <w:rPr>
          <w:rFonts w:cs="Arial"/>
          <w:szCs w:val="24"/>
          <w:lang w:val="de-DE"/>
        </w:rPr>
        <w:t xml:space="preserve">ed.), </w:t>
      </w:r>
      <w:r w:rsidRPr="007C07E6">
        <w:rPr>
          <w:rFonts w:cs="Arial"/>
          <w:szCs w:val="24"/>
        </w:rPr>
        <w:t xml:space="preserve">pp. 21 and 96-121; Goddard on Easements (5 </w:t>
      </w:r>
      <w:r w:rsidRPr="007C07E6">
        <w:rPr>
          <w:rFonts w:cs="Arial"/>
          <w:szCs w:val="24"/>
          <w:lang w:val="de-DE"/>
        </w:rPr>
        <w:t xml:space="preserve">ed.), </w:t>
      </w:r>
      <w:r w:rsidRPr="007C07E6">
        <w:rPr>
          <w:rFonts w:cs="Arial"/>
          <w:szCs w:val="24"/>
        </w:rPr>
        <w:t xml:space="preserve">pp. 174-186; Leake on the Use and Profits of Land, p. 269; Jones on Easements, secs 139, 143, 145-150; Kerr on Injunctions (3 ed.) star page 197, and </w:t>
      </w:r>
      <w:r w:rsidRPr="007C07E6">
        <w:rPr>
          <w:rFonts w:cs="Arial"/>
          <w:i/>
          <w:iCs/>
          <w:szCs w:val="24"/>
        </w:rPr>
        <w:t xml:space="preserve">Ewart </w:t>
      </w:r>
      <w:r w:rsidRPr="007C07E6">
        <w:rPr>
          <w:rFonts w:cs="Arial"/>
          <w:szCs w:val="24"/>
        </w:rPr>
        <w:t xml:space="preserve">v. </w:t>
      </w:r>
      <w:r w:rsidRPr="007C07E6">
        <w:rPr>
          <w:rFonts w:cs="Arial"/>
          <w:i/>
          <w:iCs/>
          <w:szCs w:val="24"/>
        </w:rPr>
        <w:t>Cochrane</w:t>
      </w:r>
      <w:r w:rsidR="007C07E6" w:rsidRPr="007C07E6">
        <w:rPr>
          <w:rStyle w:val="FootnoteReference"/>
          <w:rFonts w:cs="Arial"/>
          <w:i/>
          <w:iCs/>
          <w:szCs w:val="24"/>
        </w:rPr>
        <w:footnoteReference w:id="15"/>
      </w:r>
      <w:r w:rsidRPr="007C07E6">
        <w:rPr>
          <w:rFonts w:cs="Arial"/>
          <w:szCs w:val="24"/>
        </w:rPr>
        <w:t>, the leading case upon this branch of the law.</w:t>
      </w:r>
    </w:p>
    <w:p w:rsidR="00DA21E6" w:rsidRPr="007C07E6" w:rsidRDefault="00DA21E6" w:rsidP="00ED0F9C">
      <w:pPr>
        <w:pStyle w:val="History"/>
        <w:rPr>
          <w:rFonts w:cs="Arial"/>
          <w:i/>
          <w:iCs/>
          <w:szCs w:val="24"/>
        </w:rPr>
      </w:pPr>
      <w:r w:rsidRPr="007C07E6">
        <w:rPr>
          <w:rFonts w:cs="Arial"/>
          <w:szCs w:val="24"/>
        </w:rPr>
        <w:t xml:space="preserve">As to the result when the common owner conveys to different owners by simultaneous conveyances see Elphinstone on Deeds, rule 58, p. 202; Goddard on Easements (5 </w:t>
      </w:r>
      <w:r w:rsidRPr="007C07E6">
        <w:rPr>
          <w:rFonts w:cs="Arial"/>
          <w:szCs w:val="24"/>
          <w:lang w:val="de-DE"/>
        </w:rPr>
        <w:t xml:space="preserve">ed.), </w:t>
      </w:r>
      <w:r w:rsidRPr="007C07E6">
        <w:rPr>
          <w:rFonts w:cs="Arial"/>
          <w:szCs w:val="24"/>
        </w:rPr>
        <w:t xml:space="preserve">pp. 270 to 273, and Gale on Easements, pp. 100 to 104. Sec also </w:t>
      </w:r>
      <w:r w:rsidRPr="007C07E6">
        <w:rPr>
          <w:rFonts w:cs="Arial"/>
          <w:i/>
          <w:iCs/>
          <w:szCs w:val="24"/>
        </w:rPr>
        <w:t xml:space="preserve">Compton </w:t>
      </w:r>
      <w:r w:rsidRPr="007C07E6">
        <w:rPr>
          <w:rFonts w:cs="Arial"/>
          <w:szCs w:val="24"/>
        </w:rPr>
        <w:t xml:space="preserve">v. </w:t>
      </w:r>
      <w:r w:rsidRPr="007C07E6">
        <w:rPr>
          <w:rFonts w:cs="Arial"/>
          <w:i/>
          <w:iCs/>
          <w:szCs w:val="24"/>
        </w:rPr>
        <w:t>Richards</w:t>
      </w:r>
      <w:r w:rsidR="007C07E6" w:rsidRPr="007C07E6">
        <w:rPr>
          <w:rStyle w:val="FootnoteReference"/>
          <w:rFonts w:cs="Arial"/>
          <w:i/>
          <w:iCs/>
          <w:szCs w:val="24"/>
        </w:rPr>
        <w:footnoteReference w:id="16"/>
      </w:r>
      <w:r w:rsidR="000127F5" w:rsidRPr="007C07E6">
        <w:rPr>
          <w:rFonts w:cs="Arial"/>
          <w:szCs w:val="24"/>
        </w:rPr>
        <w:t>;</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zCs w:val="24"/>
        </w:rPr>
        <w:t>247]</w:t>
      </w:r>
    </w:p>
    <w:p w:rsidR="00DA21E6" w:rsidRPr="007C07E6" w:rsidRDefault="00DA21E6" w:rsidP="000127F5">
      <w:pPr>
        <w:pStyle w:val="History"/>
        <w:ind w:firstLine="0"/>
        <w:rPr>
          <w:rFonts w:cs="Arial"/>
          <w:szCs w:val="24"/>
        </w:rPr>
      </w:pPr>
      <w:r w:rsidRPr="007C07E6">
        <w:rPr>
          <w:rFonts w:cs="Arial"/>
          <w:i/>
          <w:iCs/>
          <w:szCs w:val="24"/>
        </w:rPr>
        <w:t xml:space="preserve">Swansborough </w:t>
      </w:r>
      <w:r w:rsidRPr="007C07E6">
        <w:rPr>
          <w:rFonts w:cs="Arial"/>
          <w:szCs w:val="24"/>
        </w:rPr>
        <w:t xml:space="preserve">v. </w:t>
      </w:r>
      <w:r w:rsidRPr="007C07E6">
        <w:rPr>
          <w:rFonts w:cs="Arial"/>
          <w:i/>
          <w:iCs/>
          <w:szCs w:val="24"/>
        </w:rPr>
        <w:t>Coventry</w:t>
      </w:r>
      <w:r w:rsidR="007C07E6" w:rsidRPr="007C07E6">
        <w:rPr>
          <w:rStyle w:val="FootnoteReference"/>
          <w:rFonts w:cs="Arial"/>
          <w:i/>
          <w:iCs/>
          <w:szCs w:val="24"/>
        </w:rPr>
        <w:footnoteReference w:id="17"/>
      </w:r>
      <w:r w:rsidRPr="007C07E6">
        <w:rPr>
          <w:rFonts w:cs="Arial"/>
          <w:szCs w:val="24"/>
        </w:rPr>
        <w:t xml:space="preserve">; </w:t>
      </w:r>
      <w:r w:rsidRPr="007C07E6">
        <w:rPr>
          <w:rFonts w:cs="Arial"/>
          <w:i/>
          <w:iCs/>
          <w:szCs w:val="24"/>
        </w:rPr>
        <w:t xml:space="preserve">Allen </w:t>
      </w:r>
      <w:r w:rsidRPr="007C07E6">
        <w:rPr>
          <w:rFonts w:cs="Arial"/>
          <w:szCs w:val="24"/>
        </w:rPr>
        <w:t xml:space="preserve">v. </w:t>
      </w:r>
      <w:r w:rsidRPr="007C07E6">
        <w:rPr>
          <w:rFonts w:cs="Arial"/>
          <w:i/>
          <w:iCs/>
          <w:szCs w:val="24"/>
        </w:rPr>
        <w:t>Taylor</w:t>
      </w:r>
      <w:r w:rsidR="007C07E6" w:rsidRPr="007C07E6">
        <w:rPr>
          <w:rStyle w:val="FootnoteReference"/>
          <w:rFonts w:cs="Arial"/>
          <w:i/>
          <w:iCs/>
          <w:szCs w:val="24"/>
        </w:rPr>
        <w:footnoteReference w:id="18"/>
      </w:r>
      <w:r w:rsidRPr="007C07E6">
        <w:rPr>
          <w:rFonts w:cs="Arial"/>
          <w:szCs w:val="24"/>
        </w:rPr>
        <w:t xml:space="preserve">; </w:t>
      </w:r>
      <w:r w:rsidRPr="007C07E6">
        <w:rPr>
          <w:rFonts w:cs="Arial"/>
          <w:i/>
          <w:iCs/>
          <w:szCs w:val="24"/>
        </w:rPr>
        <w:t xml:space="preserve">Barnes </w:t>
      </w:r>
      <w:r w:rsidRPr="007C07E6">
        <w:rPr>
          <w:rFonts w:cs="Arial"/>
          <w:szCs w:val="24"/>
        </w:rPr>
        <w:t xml:space="preserve">v. </w:t>
      </w:r>
      <w:r w:rsidRPr="007C07E6">
        <w:rPr>
          <w:rFonts w:cs="Arial"/>
          <w:i/>
          <w:iCs/>
          <w:szCs w:val="24"/>
        </w:rPr>
        <w:t>Loach</w:t>
      </w:r>
      <w:r w:rsidR="007C07E6" w:rsidRPr="007C07E6">
        <w:rPr>
          <w:rStyle w:val="FootnoteReference"/>
          <w:rFonts w:cs="Arial"/>
          <w:i/>
          <w:iCs/>
          <w:szCs w:val="24"/>
        </w:rPr>
        <w:footnoteReference w:id="19"/>
      </w:r>
      <w:r w:rsidRPr="007C07E6">
        <w:rPr>
          <w:rFonts w:cs="Arial"/>
          <w:szCs w:val="24"/>
        </w:rPr>
        <w:t xml:space="preserve">; </w:t>
      </w:r>
      <w:r w:rsidRPr="007C07E6">
        <w:rPr>
          <w:rFonts w:cs="Arial"/>
          <w:i/>
          <w:iCs/>
          <w:szCs w:val="24"/>
        </w:rPr>
        <w:t xml:space="preserve">Rigby </w:t>
      </w:r>
      <w:r w:rsidRPr="007C07E6">
        <w:rPr>
          <w:rFonts w:cs="Arial"/>
          <w:szCs w:val="24"/>
        </w:rPr>
        <w:t xml:space="preserve">v. </w:t>
      </w:r>
      <w:r w:rsidRPr="007C07E6">
        <w:rPr>
          <w:rFonts w:cs="Arial"/>
          <w:i/>
          <w:iCs/>
          <w:szCs w:val="24"/>
        </w:rPr>
        <w:t>Bennet</w:t>
      </w:r>
      <w:r w:rsidR="007C07E6" w:rsidRPr="007C07E6">
        <w:rPr>
          <w:rStyle w:val="FootnoteReference"/>
          <w:rFonts w:cs="Arial"/>
          <w:i/>
          <w:iCs/>
          <w:szCs w:val="24"/>
        </w:rPr>
        <w:footnoteReference w:id="20"/>
      </w:r>
      <w:r w:rsidRPr="007C07E6">
        <w:rPr>
          <w:rFonts w:cs="Arial"/>
          <w:szCs w:val="24"/>
        </w:rPr>
        <w:t xml:space="preserve">, at page 567;. </w:t>
      </w:r>
      <w:r w:rsidRPr="007C07E6">
        <w:rPr>
          <w:rFonts w:cs="Arial"/>
          <w:i/>
          <w:iCs/>
          <w:szCs w:val="24"/>
        </w:rPr>
        <w:t xml:space="preserve">Russell </w:t>
      </w:r>
      <w:r w:rsidRPr="007C07E6">
        <w:rPr>
          <w:rFonts w:cs="Arial"/>
          <w:szCs w:val="24"/>
        </w:rPr>
        <w:t xml:space="preserve">v </w:t>
      </w:r>
      <w:r w:rsidRPr="007C07E6">
        <w:rPr>
          <w:rFonts w:cs="Arial"/>
          <w:i/>
          <w:iCs/>
          <w:szCs w:val="24"/>
        </w:rPr>
        <w:t>Walts</w:t>
      </w:r>
      <w:r w:rsidR="007C07E6" w:rsidRPr="007C07E6">
        <w:rPr>
          <w:rStyle w:val="FootnoteReference"/>
          <w:rFonts w:cs="Arial"/>
          <w:i/>
          <w:iCs/>
          <w:szCs w:val="24"/>
        </w:rPr>
        <w:footnoteReference w:id="21"/>
      </w:r>
      <w:r w:rsidRPr="007C07E6">
        <w:rPr>
          <w:rFonts w:cs="Arial"/>
          <w:szCs w:val="24"/>
        </w:rPr>
        <w:t xml:space="preserve">; and </w:t>
      </w:r>
      <w:r w:rsidRPr="007C07E6">
        <w:rPr>
          <w:rFonts w:cs="Arial"/>
          <w:i/>
          <w:iCs/>
          <w:szCs w:val="24"/>
        </w:rPr>
        <w:t xml:space="preserve">Phillips </w:t>
      </w:r>
      <w:r w:rsidRPr="007C07E6">
        <w:rPr>
          <w:rFonts w:cs="Arial"/>
          <w:szCs w:val="24"/>
        </w:rPr>
        <w:t xml:space="preserve">v. </w:t>
      </w:r>
      <w:r w:rsidRPr="007C07E6">
        <w:rPr>
          <w:rFonts w:cs="Arial"/>
          <w:i/>
          <w:iCs/>
          <w:szCs w:val="24"/>
        </w:rPr>
        <w:t>Lowe</w:t>
      </w:r>
      <w:r w:rsidR="007C07E6" w:rsidRPr="007C07E6">
        <w:rPr>
          <w:rStyle w:val="FootnoteReference"/>
          <w:rFonts w:cs="Arial"/>
          <w:i/>
          <w:iCs/>
          <w:szCs w:val="24"/>
        </w:rPr>
        <w:footnoteReference w:id="22"/>
      </w:r>
      <w:r w:rsidRPr="007C07E6">
        <w:rPr>
          <w:rFonts w:cs="Arial"/>
          <w:szCs w:val="24"/>
        </w:rPr>
        <w:t>.</w:t>
      </w:r>
    </w:p>
    <w:p w:rsidR="00DA21E6" w:rsidRPr="007C07E6" w:rsidRDefault="00DA21E6" w:rsidP="000127F5">
      <w:pPr>
        <w:pStyle w:val="History"/>
        <w:rPr>
          <w:rFonts w:cs="Arial"/>
          <w:szCs w:val="24"/>
        </w:rPr>
      </w:pPr>
      <w:r w:rsidRPr="007C07E6">
        <w:rPr>
          <w:rFonts w:cs="Arial"/>
          <w:szCs w:val="24"/>
        </w:rPr>
        <w:t>The facts indicating intention to create a quasi-easement upon the property are (</w:t>
      </w:r>
      <w:r w:rsidRPr="007C07E6">
        <w:rPr>
          <w:rFonts w:cs="Arial"/>
          <w:i/>
          <w:iCs/>
          <w:szCs w:val="24"/>
        </w:rPr>
        <w:t>a</w:t>
      </w:r>
      <w:r w:rsidRPr="007C07E6">
        <w:rPr>
          <w:rFonts w:cs="Arial"/>
          <w:szCs w:val="24"/>
        </w:rPr>
        <w:t>)</w:t>
      </w:r>
      <w:r w:rsidRPr="007C07E6">
        <w:rPr>
          <w:rFonts w:cs="Arial"/>
          <w:i/>
          <w:iCs/>
          <w:szCs w:val="24"/>
        </w:rPr>
        <w:t xml:space="preserve"> </w:t>
      </w:r>
      <w:r w:rsidRPr="007C07E6">
        <w:rPr>
          <w:rFonts w:cs="Arial"/>
          <w:szCs w:val="24"/>
        </w:rPr>
        <w:t>the construction of mills; (</w:t>
      </w:r>
      <w:r w:rsidRPr="007C07E6">
        <w:rPr>
          <w:rFonts w:cs="Arial"/>
          <w:i/>
          <w:iCs/>
          <w:szCs w:val="24"/>
        </w:rPr>
        <w:t>b</w:t>
      </w:r>
      <w:r w:rsidRPr="007C07E6">
        <w:rPr>
          <w:rFonts w:cs="Arial"/>
          <w:szCs w:val="24"/>
        </w:rPr>
        <w:t>)</w:t>
      </w:r>
      <w:r w:rsidRPr="007C07E6">
        <w:rPr>
          <w:rFonts w:cs="Arial"/>
          <w:i/>
          <w:iCs/>
          <w:szCs w:val="24"/>
        </w:rPr>
        <w:t xml:space="preserve"> </w:t>
      </w:r>
      <w:r w:rsidRPr="007C07E6">
        <w:rPr>
          <w:rFonts w:cs="Arial"/>
          <w:szCs w:val="24"/>
        </w:rPr>
        <w:t>that the only power for operating those mills was created by this dam; (</w:t>
      </w:r>
      <w:r w:rsidRPr="007C07E6">
        <w:rPr>
          <w:rFonts w:cs="Arial"/>
          <w:i/>
          <w:iCs/>
          <w:szCs w:val="24"/>
        </w:rPr>
        <w:t>c</w:t>
      </w:r>
      <w:r w:rsidRPr="007C07E6">
        <w:rPr>
          <w:rFonts w:cs="Arial"/>
          <w:szCs w:val="24"/>
        </w:rPr>
        <w:t>)</w:t>
      </w:r>
      <w:r w:rsidRPr="007C07E6">
        <w:rPr>
          <w:rFonts w:cs="Arial"/>
          <w:i/>
          <w:iCs/>
          <w:szCs w:val="24"/>
        </w:rPr>
        <w:t xml:space="preserve"> </w:t>
      </w:r>
      <w:r w:rsidRPr="007C07E6">
        <w:rPr>
          <w:rFonts w:cs="Arial"/>
          <w:szCs w:val="24"/>
        </w:rPr>
        <w:t>the construction of this dam of solid and permanent material; (</w:t>
      </w:r>
      <w:r w:rsidRPr="007C07E6">
        <w:rPr>
          <w:rFonts w:cs="Arial"/>
          <w:i/>
          <w:iCs/>
          <w:szCs w:val="24"/>
        </w:rPr>
        <w:t>d</w:t>
      </w:r>
      <w:r w:rsidRPr="007C07E6">
        <w:rPr>
          <w:rFonts w:cs="Arial"/>
          <w:szCs w:val="24"/>
        </w:rPr>
        <w:t>)</w:t>
      </w:r>
      <w:r w:rsidRPr="007C07E6">
        <w:rPr>
          <w:rFonts w:cs="Arial"/>
          <w:i/>
          <w:iCs/>
          <w:szCs w:val="24"/>
        </w:rPr>
        <w:t xml:space="preserve"> </w:t>
      </w:r>
      <w:r w:rsidRPr="007C07E6">
        <w:rPr>
          <w:rFonts w:cs="Arial"/>
          <w:szCs w:val="24"/>
        </w:rPr>
        <w:t>the waste-way and (</w:t>
      </w:r>
      <w:r w:rsidRPr="007C07E6">
        <w:rPr>
          <w:rFonts w:cs="Arial"/>
          <w:i/>
          <w:iCs/>
          <w:szCs w:val="24"/>
        </w:rPr>
        <w:t>e</w:t>
      </w:r>
      <w:r w:rsidRPr="007C07E6">
        <w:rPr>
          <w:rFonts w:cs="Arial"/>
          <w:szCs w:val="24"/>
        </w:rPr>
        <w:t>)</w:t>
      </w:r>
      <w:r w:rsidRPr="007C07E6">
        <w:rPr>
          <w:rFonts w:cs="Arial"/>
          <w:i/>
          <w:iCs/>
          <w:szCs w:val="24"/>
        </w:rPr>
        <w:t xml:space="preserve"> </w:t>
      </w:r>
      <w:r w:rsidRPr="007C07E6">
        <w:rPr>
          <w:rFonts w:cs="Arial"/>
          <w:szCs w:val="24"/>
        </w:rPr>
        <w:t>flumes, of no use except with the dam at its present height; (</w:t>
      </w:r>
      <w:r w:rsidRPr="007C07E6">
        <w:rPr>
          <w:rFonts w:cs="Arial"/>
          <w:i/>
          <w:iCs/>
          <w:szCs w:val="24"/>
        </w:rPr>
        <w:t>f</w:t>
      </w:r>
      <w:r w:rsidRPr="007C07E6">
        <w:rPr>
          <w:rFonts w:cs="Arial"/>
          <w:szCs w:val="24"/>
        </w:rPr>
        <w:t>)</w:t>
      </w:r>
      <w:r w:rsidRPr="007C07E6">
        <w:rPr>
          <w:rFonts w:cs="Arial"/>
          <w:i/>
          <w:iCs/>
          <w:szCs w:val="24"/>
        </w:rPr>
        <w:t xml:space="preserve"> </w:t>
      </w:r>
      <w:r w:rsidRPr="007C07E6">
        <w:rPr>
          <w:rFonts w:cs="Arial"/>
          <w:szCs w:val="24"/>
        </w:rPr>
        <w:t>the construction and facing of abutments to a height only useful or necessary with the slanting-top.</w:t>
      </w:r>
    </w:p>
    <w:p w:rsidR="00DA21E6" w:rsidRPr="007C07E6" w:rsidRDefault="00DA21E6" w:rsidP="000127F5">
      <w:pPr>
        <w:pStyle w:val="History"/>
        <w:rPr>
          <w:rFonts w:cs="Arial"/>
          <w:szCs w:val="24"/>
        </w:rPr>
      </w:pPr>
      <w:r w:rsidRPr="007C07E6">
        <w:rPr>
          <w:rFonts w:cs="Arial"/>
          <w:szCs w:val="24"/>
        </w:rPr>
        <w:t>Although a portion of the slanting-top was carried away and not replaced from 1876 until 1895 the dam itself remained permanent and apparent, and the jury found thai the use and purpose of the slanting-top were also apparent in 1892. The non-</w:t>
      </w:r>
      <w:r w:rsidRPr="007C07E6">
        <w:rPr>
          <w:rFonts w:cs="Arial"/>
          <w:szCs w:val="24"/>
        </w:rPr>
        <w:lastRenderedPageBreak/>
        <w:t xml:space="preserve">existence of a portion of the slanting-top during this period is of no more importance than a hole in the dam or a break in the slanting-top. The apparent easement was the right to maintain the dam at the height indicated by its appearance and construction in 1892, when the old frames of the slanting-top still remained in position, and the flat logs and the mortices therein for the frames of the slanting-top were still visible. The right to light would not be lost because window panes were destroyed by accident. The existence of the window opening and of the dam indicates the extent of the easement. </w:t>
      </w:r>
      <w:r w:rsidRPr="007C07E6">
        <w:rPr>
          <w:rFonts w:cs="Arial"/>
          <w:i/>
          <w:iCs/>
          <w:szCs w:val="24"/>
        </w:rPr>
        <w:t xml:space="preserve">Calhoun </w:t>
      </w:r>
      <w:r w:rsidRPr="007C07E6">
        <w:rPr>
          <w:rFonts w:cs="Arial"/>
          <w:szCs w:val="24"/>
        </w:rPr>
        <w:t xml:space="preserve">v. </w:t>
      </w:r>
      <w:r w:rsidRPr="007C07E6">
        <w:rPr>
          <w:rFonts w:cs="Arial"/>
          <w:i/>
          <w:iCs/>
          <w:szCs w:val="24"/>
        </w:rPr>
        <w:t>Rourke</w:t>
      </w:r>
      <w:r w:rsidR="007C07E6" w:rsidRPr="007C07E6">
        <w:rPr>
          <w:rStyle w:val="FootnoteReference"/>
          <w:rFonts w:cs="Arial"/>
          <w:i/>
          <w:iCs/>
          <w:szCs w:val="24"/>
        </w:rPr>
        <w:footnoteReference w:id="23"/>
      </w:r>
      <w:r w:rsidRPr="007C07E6">
        <w:rPr>
          <w:rFonts w:cs="Arial"/>
          <w:szCs w:val="24"/>
        </w:rPr>
        <w:t xml:space="preserve">; </w:t>
      </w:r>
      <w:r w:rsidRPr="007C07E6">
        <w:rPr>
          <w:rFonts w:cs="Arial"/>
          <w:i/>
          <w:iCs/>
          <w:szCs w:val="24"/>
        </w:rPr>
        <w:t xml:space="preserve">Courtauld </w:t>
      </w:r>
      <w:r w:rsidRPr="007C07E6">
        <w:rPr>
          <w:rFonts w:cs="Arial"/>
          <w:szCs w:val="24"/>
        </w:rPr>
        <w:t xml:space="preserve">v. </w:t>
      </w:r>
      <w:r w:rsidRPr="007C07E6">
        <w:rPr>
          <w:rFonts w:cs="Arial"/>
          <w:i/>
          <w:iCs/>
          <w:szCs w:val="24"/>
        </w:rPr>
        <w:t>Legh</w:t>
      </w:r>
      <w:r w:rsidR="007C07E6" w:rsidRPr="007C07E6">
        <w:rPr>
          <w:rStyle w:val="FootnoteReference"/>
          <w:rFonts w:cs="Arial"/>
          <w:i/>
          <w:iCs/>
          <w:szCs w:val="24"/>
        </w:rPr>
        <w:footnoteReference w:id="24"/>
      </w:r>
      <w:r w:rsidRPr="007C07E6">
        <w:rPr>
          <w:rFonts w:cs="Arial"/>
          <w:szCs w:val="24"/>
        </w:rPr>
        <w:t xml:space="preserve">; </w:t>
      </w:r>
      <w:r w:rsidRPr="007C07E6">
        <w:rPr>
          <w:rFonts w:cs="Arial"/>
          <w:i/>
          <w:iCs/>
          <w:szCs w:val="24"/>
        </w:rPr>
        <w:t xml:space="preserve">Collis </w:t>
      </w:r>
      <w:r w:rsidRPr="007C07E6">
        <w:rPr>
          <w:rFonts w:cs="Arial"/>
          <w:szCs w:val="24"/>
        </w:rPr>
        <w:t xml:space="preserve">v. </w:t>
      </w:r>
      <w:r w:rsidRPr="007C07E6">
        <w:rPr>
          <w:rFonts w:cs="Arial"/>
          <w:i/>
          <w:iCs/>
          <w:szCs w:val="24"/>
        </w:rPr>
        <w:t>Laugher</w:t>
      </w:r>
      <w:r w:rsidR="007C07E6" w:rsidRPr="007C07E6">
        <w:rPr>
          <w:rStyle w:val="FootnoteReference"/>
          <w:rFonts w:cs="Arial"/>
          <w:i/>
          <w:iCs/>
          <w:szCs w:val="24"/>
        </w:rPr>
        <w:footnoteReference w:id="25"/>
      </w:r>
      <w:r w:rsidRPr="007C07E6">
        <w:rPr>
          <w:rFonts w:cs="Arial"/>
          <w:szCs w:val="24"/>
        </w:rPr>
        <w:t>.</w:t>
      </w:r>
    </w:p>
    <w:p w:rsidR="00DA21E6" w:rsidRPr="007C07E6" w:rsidRDefault="00DA21E6" w:rsidP="000127F5">
      <w:pPr>
        <w:pStyle w:val="History"/>
        <w:rPr>
          <w:rFonts w:cs="Arial"/>
          <w:szCs w:val="24"/>
        </w:rPr>
      </w:pPr>
      <w:r w:rsidRPr="007C07E6">
        <w:rPr>
          <w:rFonts w:cs="Arial"/>
          <w:szCs w:val="24"/>
        </w:rPr>
        <w:t>There was no abandonment of nor intention to abandon the use of the dam and the position of the</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zCs w:val="24"/>
        </w:rPr>
        <w:t>248]</w:t>
      </w:r>
    </w:p>
    <w:p w:rsidR="00DA21E6" w:rsidRPr="007C07E6" w:rsidRDefault="00DA21E6" w:rsidP="000127F5">
      <w:pPr>
        <w:pStyle w:val="History"/>
        <w:ind w:firstLine="0"/>
        <w:rPr>
          <w:rFonts w:cs="Arial"/>
          <w:szCs w:val="24"/>
        </w:rPr>
      </w:pPr>
      <w:r w:rsidRPr="007C07E6">
        <w:rPr>
          <w:rFonts w:cs="Arial"/>
          <w:szCs w:val="24"/>
        </w:rPr>
        <w:t xml:space="preserve">flumes and waste-way, which never altered, made it necessary to use the slanting-top. The structure of the dam on both sides was of a height which indicated that the slanting-top must be used. The rebuilding of the mills in 1876 indicated an intention not to abandon, but to use the dam and operate the mills. But even if the owner had ceased operation because his capital could be more profitably employed, that would not be sufficient evidence of abandonment. By reason merely of non-user, an intention cannot be presumed to take from the quasi dominant tenement the qualities previously attached thereto by the common owner. Such intention should not be presumed from evidence less than would be necessary to establish abandonment of an easement on properties in possession of different owners. See </w:t>
      </w:r>
      <w:r w:rsidRPr="007C07E6">
        <w:rPr>
          <w:rFonts w:cs="Arial"/>
          <w:i/>
          <w:iCs/>
          <w:szCs w:val="24"/>
        </w:rPr>
        <w:t xml:space="preserve">Hale </w:t>
      </w:r>
      <w:r w:rsidRPr="007C07E6">
        <w:rPr>
          <w:rFonts w:cs="Arial"/>
          <w:szCs w:val="24"/>
        </w:rPr>
        <w:t xml:space="preserve">v. </w:t>
      </w:r>
      <w:r w:rsidRPr="007C07E6">
        <w:rPr>
          <w:rFonts w:cs="Arial"/>
          <w:i/>
          <w:iCs/>
          <w:szCs w:val="24"/>
        </w:rPr>
        <w:t>Oldroyd</w:t>
      </w:r>
      <w:r w:rsidR="007C07E6" w:rsidRPr="007C07E6">
        <w:rPr>
          <w:rStyle w:val="FootnoteReference"/>
          <w:rFonts w:cs="Arial"/>
          <w:i/>
          <w:iCs/>
          <w:szCs w:val="24"/>
        </w:rPr>
        <w:footnoteReference w:id="26"/>
      </w:r>
      <w:r w:rsidRPr="007C07E6">
        <w:rPr>
          <w:rFonts w:cs="Arial"/>
          <w:szCs w:val="24"/>
        </w:rPr>
        <w:t xml:space="preserve">; </w:t>
      </w:r>
      <w:r w:rsidRPr="007C07E6">
        <w:rPr>
          <w:rFonts w:cs="Arial"/>
          <w:i/>
          <w:iCs/>
          <w:szCs w:val="24"/>
        </w:rPr>
        <w:t>Stokoe v. Singers</w:t>
      </w:r>
      <w:r w:rsidR="007C07E6" w:rsidRPr="007C07E6">
        <w:rPr>
          <w:rStyle w:val="FootnoteReference"/>
          <w:rFonts w:cs="Arial"/>
          <w:i/>
          <w:iCs/>
          <w:szCs w:val="24"/>
        </w:rPr>
        <w:footnoteReference w:id="27"/>
      </w:r>
      <w:r w:rsidRPr="007C07E6">
        <w:rPr>
          <w:rFonts w:cs="Arial"/>
          <w:szCs w:val="24"/>
        </w:rPr>
        <w:t xml:space="preserve">; </w:t>
      </w:r>
      <w:r w:rsidRPr="007C07E6">
        <w:rPr>
          <w:rFonts w:cs="Arial"/>
          <w:i/>
          <w:iCs/>
          <w:szCs w:val="24"/>
        </w:rPr>
        <w:t xml:space="preserve">Ecclesiastical Commissioners </w:t>
      </w:r>
      <w:r w:rsidRPr="007C07E6">
        <w:rPr>
          <w:rFonts w:cs="Arial"/>
          <w:szCs w:val="24"/>
        </w:rPr>
        <w:t xml:space="preserve">v. </w:t>
      </w:r>
      <w:r w:rsidRPr="007C07E6">
        <w:rPr>
          <w:rFonts w:cs="Arial"/>
          <w:i/>
          <w:iCs/>
          <w:szCs w:val="24"/>
        </w:rPr>
        <w:t>Kino</w:t>
      </w:r>
      <w:r w:rsidR="007C07E6" w:rsidRPr="007C07E6">
        <w:rPr>
          <w:rStyle w:val="FootnoteReference"/>
          <w:rFonts w:cs="Arial"/>
          <w:i/>
          <w:iCs/>
          <w:szCs w:val="24"/>
        </w:rPr>
        <w:footnoteReference w:id="28"/>
      </w:r>
      <w:r w:rsidRPr="007C07E6">
        <w:rPr>
          <w:rFonts w:cs="Arial"/>
          <w:szCs w:val="24"/>
        </w:rPr>
        <w:t xml:space="preserve">; </w:t>
      </w:r>
      <w:r w:rsidRPr="007C07E6">
        <w:rPr>
          <w:rFonts w:cs="Arial"/>
          <w:i/>
          <w:iCs/>
          <w:szCs w:val="24"/>
        </w:rPr>
        <w:t xml:space="preserve">Seaman </w:t>
      </w:r>
      <w:r w:rsidRPr="007C07E6">
        <w:rPr>
          <w:rFonts w:cs="Arial"/>
          <w:szCs w:val="24"/>
        </w:rPr>
        <w:t xml:space="preserve">v. </w:t>
      </w:r>
      <w:r w:rsidRPr="007C07E6">
        <w:rPr>
          <w:rFonts w:cs="Arial"/>
          <w:i/>
          <w:iCs/>
          <w:szCs w:val="24"/>
        </w:rPr>
        <w:t>Vawdrey</w:t>
      </w:r>
      <w:r w:rsidR="007C07E6" w:rsidRPr="007C07E6">
        <w:rPr>
          <w:rStyle w:val="FootnoteReference"/>
          <w:rFonts w:cs="Arial"/>
          <w:i/>
          <w:iCs/>
          <w:szCs w:val="24"/>
        </w:rPr>
        <w:footnoteReference w:id="29"/>
      </w:r>
      <w:r w:rsidRPr="007C07E6">
        <w:rPr>
          <w:rFonts w:cs="Arial"/>
          <w:szCs w:val="24"/>
        </w:rPr>
        <w:t xml:space="preserve">; </w:t>
      </w:r>
      <w:r w:rsidRPr="007C07E6">
        <w:rPr>
          <w:rFonts w:cs="Arial"/>
          <w:i/>
          <w:iCs/>
          <w:szCs w:val="24"/>
        </w:rPr>
        <w:t xml:space="preserve">Bower </w:t>
      </w:r>
      <w:r w:rsidRPr="007C07E6">
        <w:rPr>
          <w:rFonts w:cs="Arial"/>
          <w:szCs w:val="24"/>
        </w:rPr>
        <w:t xml:space="preserve">v. </w:t>
      </w:r>
      <w:r w:rsidRPr="007C07E6">
        <w:rPr>
          <w:rFonts w:cs="Arial"/>
          <w:i/>
          <w:iCs/>
          <w:szCs w:val="24"/>
        </w:rPr>
        <w:t>Hill</w:t>
      </w:r>
      <w:r w:rsidR="007C07E6" w:rsidRPr="007C07E6">
        <w:rPr>
          <w:rStyle w:val="FootnoteReference"/>
          <w:rFonts w:cs="Arial"/>
          <w:i/>
          <w:iCs/>
          <w:szCs w:val="24"/>
        </w:rPr>
        <w:footnoteReference w:id="30"/>
      </w:r>
      <w:r w:rsidRPr="007C07E6">
        <w:rPr>
          <w:rFonts w:cs="Arial"/>
          <w:szCs w:val="24"/>
        </w:rPr>
        <w:t xml:space="preserve">; </w:t>
      </w:r>
      <w:r w:rsidRPr="007C07E6">
        <w:rPr>
          <w:rFonts w:cs="Arial"/>
          <w:i/>
          <w:iCs/>
          <w:szCs w:val="24"/>
        </w:rPr>
        <w:t xml:space="preserve">James </w:t>
      </w:r>
      <w:r w:rsidRPr="007C07E6">
        <w:rPr>
          <w:rFonts w:cs="Arial"/>
          <w:szCs w:val="24"/>
        </w:rPr>
        <w:t xml:space="preserve">v. </w:t>
      </w:r>
      <w:r w:rsidRPr="007C07E6">
        <w:rPr>
          <w:rFonts w:cs="Arial"/>
          <w:i/>
          <w:iCs/>
          <w:szCs w:val="24"/>
        </w:rPr>
        <w:t>Stevenson</w:t>
      </w:r>
      <w:r w:rsidR="007C07E6" w:rsidRPr="007C07E6">
        <w:rPr>
          <w:rStyle w:val="FootnoteReference"/>
          <w:rFonts w:cs="Arial"/>
          <w:i/>
          <w:iCs/>
          <w:szCs w:val="24"/>
        </w:rPr>
        <w:footnoteReference w:id="31"/>
      </w:r>
      <w:r w:rsidRPr="007C07E6">
        <w:rPr>
          <w:rFonts w:cs="Arial"/>
          <w:szCs w:val="24"/>
        </w:rPr>
        <w:t xml:space="preserve">; </w:t>
      </w:r>
      <w:r w:rsidRPr="007C07E6">
        <w:rPr>
          <w:rFonts w:cs="Arial"/>
          <w:i/>
          <w:iCs/>
          <w:szCs w:val="24"/>
        </w:rPr>
        <w:t xml:space="preserve">Ward </w:t>
      </w:r>
      <w:r w:rsidRPr="007C07E6">
        <w:rPr>
          <w:rFonts w:cs="Arial"/>
          <w:szCs w:val="24"/>
        </w:rPr>
        <w:t xml:space="preserve">v. </w:t>
      </w:r>
      <w:r w:rsidRPr="007C07E6">
        <w:rPr>
          <w:rFonts w:cs="Arial"/>
          <w:i/>
          <w:iCs/>
          <w:szCs w:val="24"/>
        </w:rPr>
        <w:t>Ward</w:t>
      </w:r>
      <w:r w:rsidR="007C07E6" w:rsidRPr="007C07E6">
        <w:rPr>
          <w:rStyle w:val="FootnoteReference"/>
          <w:rFonts w:cs="Arial"/>
          <w:i/>
          <w:iCs/>
          <w:szCs w:val="24"/>
        </w:rPr>
        <w:footnoteReference w:id="32"/>
      </w:r>
      <w:r w:rsidRPr="007C07E6">
        <w:rPr>
          <w:rFonts w:cs="Arial"/>
          <w:i/>
          <w:iCs/>
          <w:szCs w:val="24"/>
        </w:rPr>
        <w:t>;</w:t>
      </w:r>
      <w:r w:rsidRPr="007C07E6">
        <w:rPr>
          <w:rFonts w:cs="Arial"/>
          <w:szCs w:val="24"/>
        </w:rPr>
        <w:t xml:space="preserve"> </w:t>
      </w:r>
      <w:r w:rsidRPr="007C07E6">
        <w:rPr>
          <w:rFonts w:cs="Arial"/>
          <w:i/>
          <w:iCs/>
          <w:szCs w:val="24"/>
        </w:rPr>
        <w:t xml:space="preserve">Crossley &amp; Sons </w:t>
      </w:r>
      <w:r w:rsidRPr="007C07E6">
        <w:rPr>
          <w:rFonts w:cs="Arial"/>
          <w:szCs w:val="24"/>
        </w:rPr>
        <w:t xml:space="preserve">v. </w:t>
      </w:r>
      <w:r w:rsidRPr="007C07E6">
        <w:rPr>
          <w:rFonts w:cs="Arial"/>
          <w:i/>
          <w:iCs/>
          <w:szCs w:val="24"/>
        </w:rPr>
        <w:t>Lightowler</w:t>
      </w:r>
      <w:r w:rsidR="007C07E6" w:rsidRPr="007C07E6">
        <w:rPr>
          <w:rStyle w:val="FootnoteReference"/>
          <w:rFonts w:cs="Arial"/>
          <w:i/>
          <w:iCs/>
          <w:szCs w:val="24"/>
        </w:rPr>
        <w:footnoteReference w:id="33"/>
      </w:r>
      <w:r w:rsidRPr="007C07E6">
        <w:rPr>
          <w:rFonts w:cs="Arial"/>
          <w:szCs w:val="24"/>
        </w:rPr>
        <w:t xml:space="preserve">; </w:t>
      </w:r>
      <w:r w:rsidRPr="007C07E6">
        <w:rPr>
          <w:rFonts w:cs="Arial"/>
          <w:i/>
          <w:iCs/>
          <w:szCs w:val="24"/>
        </w:rPr>
        <w:t xml:space="preserve">Reg </w:t>
      </w:r>
      <w:r w:rsidRPr="007C07E6">
        <w:rPr>
          <w:rFonts w:cs="Arial"/>
          <w:szCs w:val="24"/>
        </w:rPr>
        <w:t xml:space="preserve">v. </w:t>
      </w:r>
      <w:r w:rsidRPr="007C07E6">
        <w:rPr>
          <w:rFonts w:cs="Arial"/>
          <w:i/>
          <w:iCs/>
          <w:szCs w:val="24"/>
        </w:rPr>
        <w:t>Chorley</w:t>
      </w:r>
      <w:r w:rsidR="007C07E6" w:rsidRPr="007C07E6">
        <w:rPr>
          <w:rStyle w:val="FootnoteReference"/>
          <w:rFonts w:cs="Arial"/>
          <w:i/>
          <w:iCs/>
          <w:szCs w:val="24"/>
        </w:rPr>
        <w:footnoteReference w:id="34"/>
      </w:r>
      <w:r w:rsidRPr="007C07E6">
        <w:rPr>
          <w:rFonts w:cs="Arial"/>
          <w:szCs w:val="24"/>
        </w:rPr>
        <w:t>.</w:t>
      </w:r>
    </w:p>
    <w:p w:rsidR="00DA21E6" w:rsidRPr="007C07E6" w:rsidRDefault="00DA21E6" w:rsidP="000127F5">
      <w:pPr>
        <w:pStyle w:val="History"/>
        <w:rPr>
          <w:rFonts w:cs="Arial"/>
          <w:szCs w:val="24"/>
        </w:rPr>
      </w:pPr>
      <w:r w:rsidRPr="007C07E6">
        <w:rPr>
          <w:rFonts w:cs="Arial"/>
          <w:szCs w:val="24"/>
        </w:rPr>
        <w:t xml:space="preserve">It was an easement of necessity incident to the act of the owner of the dominant and servient tenements and without which the intention of the parties to the severance could not be carried into effect. </w:t>
      </w:r>
      <w:r w:rsidRPr="007C07E6">
        <w:rPr>
          <w:rFonts w:cs="Arial"/>
          <w:i/>
          <w:iCs/>
          <w:szCs w:val="24"/>
        </w:rPr>
        <w:t xml:space="preserve">Morris </w:t>
      </w:r>
      <w:r w:rsidRPr="007C07E6">
        <w:rPr>
          <w:rFonts w:cs="Arial"/>
          <w:szCs w:val="24"/>
        </w:rPr>
        <w:t xml:space="preserve">v. </w:t>
      </w:r>
      <w:r w:rsidRPr="007C07E6">
        <w:rPr>
          <w:rFonts w:cs="Arial"/>
          <w:i/>
          <w:iCs/>
          <w:szCs w:val="24"/>
        </w:rPr>
        <w:t>Edgington</w:t>
      </w:r>
      <w:r w:rsidR="007C07E6" w:rsidRPr="007C07E6">
        <w:rPr>
          <w:rStyle w:val="FootnoteReference"/>
          <w:rFonts w:cs="Arial"/>
          <w:i/>
          <w:iCs/>
          <w:szCs w:val="24"/>
        </w:rPr>
        <w:footnoteReference w:id="35"/>
      </w:r>
      <w:r w:rsidRPr="007C07E6">
        <w:rPr>
          <w:rFonts w:cs="Arial"/>
          <w:szCs w:val="24"/>
        </w:rPr>
        <w:t xml:space="preserve">; </w:t>
      </w:r>
      <w:r w:rsidRPr="007C07E6">
        <w:rPr>
          <w:rFonts w:cs="Arial"/>
          <w:i/>
          <w:iCs/>
          <w:szCs w:val="24"/>
        </w:rPr>
        <w:t xml:space="preserve">Dand </w:t>
      </w:r>
      <w:r w:rsidRPr="007C07E6">
        <w:rPr>
          <w:rFonts w:cs="Arial"/>
          <w:szCs w:val="24"/>
        </w:rPr>
        <w:t xml:space="preserve">v. </w:t>
      </w:r>
      <w:r w:rsidRPr="007C07E6">
        <w:rPr>
          <w:rFonts w:cs="Arial"/>
          <w:i/>
          <w:iCs/>
          <w:szCs w:val="24"/>
        </w:rPr>
        <w:t>Kingscote</w:t>
      </w:r>
      <w:r w:rsidR="007C07E6" w:rsidRPr="007C07E6">
        <w:rPr>
          <w:rStyle w:val="FootnoteReference"/>
          <w:rFonts w:cs="Arial"/>
          <w:i/>
          <w:iCs/>
          <w:szCs w:val="24"/>
        </w:rPr>
        <w:footnoteReference w:id="36"/>
      </w:r>
      <w:r w:rsidRPr="007C07E6">
        <w:rPr>
          <w:rFonts w:cs="Arial"/>
          <w:szCs w:val="24"/>
        </w:rPr>
        <w:t xml:space="preserve">; </w:t>
      </w:r>
      <w:r w:rsidRPr="007C07E6">
        <w:rPr>
          <w:rFonts w:cs="Arial"/>
          <w:i/>
          <w:iCs/>
          <w:szCs w:val="24"/>
        </w:rPr>
        <w:t xml:space="preserve">Ewart </w:t>
      </w:r>
      <w:r w:rsidRPr="007C07E6">
        <w:rPr>
          <w:rFonts w:cs="Arial"/>
          <w:szCs w:val="24"/>
        </w:rPr>
        <w:t xml:space="preserve">v. </w:t>
      </w:r>
      <w:r w:rsidRPr="007C07E6">
        <w:rPr>
          <w:rFonts w:cs="Arial"/>
          <w:i/>
          <w:iCs/>
          <w:szCs w:val="24"/>
        </w:rPr>
        <w:t>Cochrane</w:t>
      </w:r>
      <w:r w:rsidR="007C07E6" w:rsidRPr="007C07E6">
        <w:rPr>
          <w:rStyle w:val="FootnoteReference"/>
          <w:rFonts w:cs="Arial"/>
          <w:i/>
          <w:iCs/>
          <w:szCs w:val="24"/>
        </w:rPr>
        <w:footnoteReference w:id="37"/>
      </w:r>
      <w:r w:rsidRPr="007C07E6">
        <w:rPr>
          <w:rFonts w:cs="Arial"/>
          <w:szCs w:val="24"/>
        </w:rPr>
        <w:t xml:space="preserve">; </w:t>
      </w:r>
      <w:r w:rsidRPr="007C07E6">
        <w:rPr>
          <w:rFonts w:cs="Arial"/>
          <w:i/>
          <w:iCs/>
          <w:szCs w:val="24"/>
        </w:rPr>
        <w:t xml:space="preserve">Brown </w:t>
      </w:r>
      <w:r w:rsidRPr="007C07E6">
        <w:rPr>
          <w:rFonts w:cs="Arial"/>
          <w:szCs w:val="24"/>
        </w:rPr>
        <w:t xml:space="preserve">v. </w:t>
      </w:r>
      <w:r w:rsidRPr="007C07E6">
        <w:rPr>
          <w:rFonts w:cs="Arial"/>
          <w:i/>
          <w:iCs/>
          <w:szCs w:val="24"/>
        </w:rPr>
        <w:t>Alabaster</w:t>
      </w:r>
      <w:r w:rsidR="007C07E6" w:rsidRPr="007C07E6">
        <w:rPr>
          <w:rStyle w:val="FootnoteReference"/>
          <w:rFonts w:cs="Arial"/>
          <w:i/>
          <w:iCs/>
          <w:szCs w:val="24"/>
        </w:rPr>
        <w:footnoteReference w:id="38"/>
      </w:r>
      <w:r w:rsidRPr="007C07E6">
        <w:rPr>
          <w:rFonts w:cs="Arial"/>
          <w:szCs w:val="24"/>
        </w:rPr>
        <w:t>.</w:t>
      </w:r>
    </w:p>
    <w:p w:rsidR="00DA21E6" w:rsidRPr="007C07E6" w:rsidRDefault="00DA21E6" w:rsidP="000127F5">
      <w:pPr>
        <w:pStyle w:val="History"/>
        <w:rPr>
          <w:rFonts w:cs="Arial"/>
          <w:szCs w:val="24"/>
        </w:rPr>
      </w:pPr>
      <w:r w:rsidRPr="007C07E6">
        <w:rPr>
          <w:rFonts w:cs="Arial"/>
          <w:szCs w:val="24"/>
        </w:rPr>
        <w:t xml:space="preserve">The conveyance expressly grants the quasi-easement in question. The words are:—"All dams, buildings, ways, waters, watercourses, easements, privileges, and </w:t>
      </w:r>
      <w:r w:rsidRPr="007C07E6">
        <w:rPr>
          <w:rFonts w:cs="Arial"/>
          <w:szCs w:val="24"/>
        </w:rPr>
        <w:lastRenderedPageBreak/>
        <w:t>appurtenances to the said lots of land belonging or in</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mallCaps/>
          <w:szCs w:val="24"/>
        </w:rPr>
        <w:t>249]</w:t>
      </w:r>
    </w:p>
    <w:p w:rsidR="00DA21E6" w:rsidRPr="007C07E6" w:rsidRDefault="00DA21E6" w:rsidP="000127F5">
      <w:pPr>
        <w:pStyle w:val="History"/>
        <w:ind w:firstLine="0"/>
        <w:rPr>
          <w:rFonts w:cs="Arial"/>
          <w:szCs w:val="24"/>
        </w:rPr>
      </w:pPr>
      <w:r w:rsidRPr="007C07E6">
        <w:rPr>
          <w:rFonts w:cs="Arial"/>
          <w:szCs w:val="24"/>
        </w:rPr>
        <w:t xml:space="preserve">any wise appertaining, etc. To have and to hold the said lands and premises, appurtenances and hereditaments, together with all and singular the easements hereby conveyed." The words "easements" and "dams" are sufficient to pass this quasi-easement or privilege or quality annexed to the property. See notes on </w:t>
      </w:r>
      <w:r w:rsidRPr="007C07E6">
        <w:rPr>
          <w:rFonts w:cs="Arial"/>
          <w:i/>
          <w:iCs/>
          <w:szCs w:val="24"/>
        </w:rPr>
        <w:t xml:space="preserve">Pinnington </w:t>
      </w:r>
      <w:r w:rsidRPr="007C07E6">
        <w:rPr>
          <w:rFonts w:cs="Arial"/>
          <w:szCs w:val="24"/>
        </w:rPr>
        <w:t xml:space="preserve">v. </w:t>
      </w:r>
      <w:r w:rsidRPr="007C07E6">
        <w:rPr>
          <w:rFonts w:cs="Arial"/>
          <w:i/>
          <w:iCs/>
          <w:szCs w:val="24"/>
        </w:rPr>
        <w:t xml:space="preserve">Galland </w:t>
      </w:r>
      <w:r w:rsidRPr="007C07E6">
        <w:rPr>
          <w:rFonts w:cs="Arial"/>
          <w:szCs w:val="24"/>
        </w:rPr>
        <w:t xml:space="preserve">and </w:t>
      </w:r>
      <w:r w:rsidRPr="007C07E6">
        <w:rPr>
          <w:rFonts w:cs="Arial"/>
          <w:i/>
          <w:iCs/>
          <w:szCs w:val="24"/>
        </w:rPr>
        <w:t xml:space="preserve">Hall </w:t>
      </w:r>
      <w:r w:rsidRPr="007C07E6">
        <w:rPr>
          <w:rFonts w:cs="Arial"/>
          <w:szCs w:val="24"/>
        </w:rPr>
        <w:t xml:space="preserve">v. </w:t>
      </w:r>
      <w:r w:rsidRPr="007C07E6">
        <w:rPr>
          <w:rFonts w:cs="Arial"/>
          <w:i/>
          <w:iCs/>
          <w:szCs w:val="24"/>
        </w:rPr>
        <w:t>Lund</w:t>
      </w:r>
      <w:r w:rsidR="007C07E6" w:rsidRPr="007C07E6">
        <w:rPr>
          <w:rStyle w:val="FootnoteReference"/>
          <w:rFonts w:cs="Arial"/>
          <w:i/>
          <w:iCs/>
          <w:szCs w:val="24"/>
        </w:rPr>
        <w:footnoteReference w:id="39"/>
      </w:r>
      <w:r w:rsidRPr="007C07E6">
        <w:rPr>
          <w:rFonts w:cs="Arial"/>
          <w:szCs w:val="24"/>
        </w:rPr>
        <w:t xml:space="preserve">; Washburn on Easements, p. 58; </w:t>
      </w:r>
      <w:r w:rsidRPr="007C07E6">
        <w:rPr>
          <w:rFonts w:cs="Arial"/>
          <w:i/>
          <w:iCs/>
          <w:szCs w:val="24"/>
        </w:rPr>
        <w:t xml:space="preserve">Rackley </w:t>
      </w:r>
      <w:r w:rsidRPr="007C07E6">
        <w:rPr>
          <w:rFonts w:cs="Arial"/>
          <w:szCs w:val="24"/>
        </w:rPr>
        <w:t xml:space="preserve">v. </w:t>
      </w:r>
      <w:r w:rsidRPr="007C07E6">
        <w:rPr>
          <w:rFonts w:cs="Arial"/>
          <w:i/>
          <w:iCs/>
          <w:szCs w:val="24"/>
        </w:rPr>
        <w:t>Sprague</w:t>
      </w:r>
      <w:r w:rsidR="007C07E6" w:rsidRPr="007C07E6">
        <w:rPr>
          <w:rStyle w:val="FootnoteReference"/>
          <w:rFonts w:cs="Arial"/>
          <w:i/>
          <w:iCs/>
          <w:szCs w:val="24"/>
        </w:rPr>
        <w:footnoteReference w:id="40"/>
      </w:r>
      <w:r w:rsidRPr="007C07E6">
        <w:rPr>
          <w:rFonts w:cs="Arial"/>
          <w:szCs w:val="24"/>
        </w:rPr>
        <w:t xml:space="preserve">, and cases there cited; </w:t>
      </w:r>
      <w:r w:rsidRPr="007C07E6">
        <w:rPr>
          <w:rFonts w:cs="Arial"/>
          <w:i/>
          <w:iCs/>
          <w:szCs w:val="24"/>
        </w:rPr>
        <w:t xml:space="preserve">Hathorn </w:t>
      </w:r>
      <w:r w:rsidRPr="007C07E6">
        <w:rPr>
          <w:rFonts w:cs="Arial"/>
          <w:szCs w:val="24"/>
        </w:rPr>
        <w:t xml:space="preserve">v. </w:t>
      </w:r>
      <w:r w:rsidRPr="007C07E6">
        <w:rPr>
          <w:rFonts w:cs="Arial"/>
          <w:i/>
          <w:iCs/>
          <w:szCs w:val="24"/>
        </w:rPr>
        <w:t>Stinson</w:t>
      </w:r>
      <w:r w:rsidR="007C07E6" w:rsidRPr="007C07E6">
        <w:rPr>
          <w:rStyle w:val="FootnoteReference"/>
          <w:rFonts w:cs="Arial"/>
          <w:i/>
          <w:iCs/>
          <w:szCs w:val="24"/>
        </w:rPr>
        <w:footnoteReference w:id="41"/>
      </w:r>
      <w:r w:rsidRPr="007C07E6">
        <w:rPr>
          <w:rFonts w:cs="Arial"/>
          <w:szCs w:val="24"/>
        </w:rPr>
        <w:t xml:space="preserve">; </w:t>
      </w:r>
      <w:r w:rsidRPr="007C07E6">
        <w:rPr>
          <w:rFonts w:cs="Arial"/>
          <w:i/>
          <w:iCs/>
          <w:szCs w:val="24"/>
        </w:rPr>
        <w:t xml:space="preserve">Baker </w:t>
      </w:r>
      <w:r w:rsidRPr="007C07E6">
        <w:rPr>
          <w:rFonts w:cs="Arial"/>
          <w:szCs w:val="24"/>
        </w:rPr>
        <w:t xml:space="preserve">v. </w:t>
      </w:r>
      <w:r w:rsidRPr="007C07E6">
        <w:rPr>
          <w:rFonts w:cs="Arial"/>
          <w:i/>
          <w:iCs/>
          <w:szCs w:val="24"/>
        </w:rPr>
        <w:t>Bessey</w:t>
      </w:r>
      <w:r w:rsidR="007C07E6" w:rsidRPr="007C07E6">
        <w:rPr>
          <w:rStyle w:val="FootnoteReference"/>
          <w:rFonts w:cs="Arial"/>
          <w:i/>
          <w:iCs/>
          <w:szCs w:val="24"/>
        </w:rPr>
        <w:footnoteReference w:id="42"/>
      </w:r>
      <w:r w:rsidRPr="007C07E6">
        <w:rPr>
          <w:rFonts w:cs="Arial"/>
          <w:szCs w:val="24"/>
        </w:rPr>
        <w:t xml:space="preserve">; </w:t>
      </w:r>
      <w:r w:rsidRPr="007C07E6">
        <w:rPr>
          <w:rFonts w:cs="Arial"/>
          <w:i/>
          <w:iCs/>
          <w:szCs w:val="24"/>
        </w:rPr>
        <w:t xml:space="preserve">Richardson </w:t>
      </w:r>
      <w:r w:rsidRPr="007C07E6">
        <w:rPr>
          <w:rFonts w:cs="Arial"/>
          <w:szCs w:val="24"/>
        </w:rPr>
        <w:t xml:space="preserve">v. </w:t>
      </w:r>
      <w:r w:rsidRPr="007C07E6">
        <w:rPr>
          <w:rFonts w:cs="Arial"/>
          <w:i/>
          <w:iCs/>
          <w:szCs w:val="24"/>
        </w:rPr>
        <w:t>Bigtlow</w:t>
      </w:r>
      <w:r w:rsidR="007C07E6" w:rsidRPr="007C07E6">
        <w:rPr>
          <w:rStyle w:val="FootnoteReference"/>
          <w:rFonts w:cs="Arial"/>
          <w:i/>
          <w:iCs/>
          <w:szCs w:val="24"/>
        </w:rPr>
        <w:footnoteReference w:id="43"/>
      </w:r>
      <w:r w:rsidRPr="007C07E6">
        <w:rPr>
          <w:rFonts w:cs="Arial"/>
          <w:szCs w:val="24"/>
        </w:rPr>
        <w:t xml:space="preserve">; </w:t>
      </w:r>
      <w:r w:rsidRPr="007C07E6">
        <w:rPr>
          <w:rFonts w:cs="Arial"/>
          <w:i/>
          <w:iCs/>
          <w:szCs w:val="24"/>
        </w:rPr>
        <w:t xml:space="preserve">Lammott </w:t>
      </w:r>
      <w:r w:rsidRPr="007C07E6">
        <w:rPr>
          <w:rFonts w:cs="Arial"/>
          <w:szCs w:val="24"/>
        </w:rPr>
        <w:t xml:space="preserve">v. </w:t>
      </w:r>
      <w:r w:rsidRPr="007C07E6">
        <w:rPr>
          <w:rFonts w:cs="Arial"/>
          <w:i/>
          <w:iCs/>
          <w:szCs w:val="24"/>
        </w:rPr>
        <w:t>Ewers</w:t>
      </w:r>
      <w:r w:rsidR="007C07E6" w:rsidRPr="007C07E6">
        <w:rPr>
          <w:rStyle w:val="FootnoteReference"/>
          <w:rFonts w:cs="Arial"/>
          <w:i/>
          <w:iCs/>
          <w:szCs w:val="24"/>
        </w:rPr>
        <w:footnoteReference w:id="44"/>
      </w:r>
      <w:r w:rsidRPr="007C07E6">
        <w:rPr>
          <w:rFonts w:cs="Arial"/>
          <w:szCs w:val="24"/>
        </w:rPr>
        <w:t xml:space="preserve">; </w:t>
      </w:r>
      <w:r w:rsidRPr="007C07E6">
        <w:rPr>
          <w:rFonts w:cs="Arial"/>
          <w:i/>
          <w:iCs/>
          <w:szCs w:val="24"/>
        </w:rPr>
        <w:t xml:space="preserve">Oakley </w:t>
      </w:r>
      <w:r w:rsidRPr="007C07E6">
        <w:rPr>
          <w:rFonts w:cs="Arial"/>
          <w:szCs w:val="24"/>
        </w:rPr>
        <w:t xml:space="preserve">v. </w:t>
      </w:r>
      <w:r w:rsidRPr="007C07E6">
        <w:rPr>
          <w:rFonts w:cs="Arial"/>
          <w:i/>
          <w:iCs/>
          <w:szCs w:val="24"/>
        </w:rPr>
        <w:t>Stanley</w:t>
      </w:r>
      <w:r w:rsidR="007C07E6" w:rsidRPr="007C07E6">
        <w:rPr>
          <w:rStyle w:val="FootnoteReference"/>
          <w:rFonts w:cs="Arial"/>
          <w:i/>
          <w:iCs/>
          <w:szCs w:val="24"/>
        </w:rPr>
        <w:footnoteReference w:id="45"/>
      </w:r>
      <w:r w:rsidRPr="007C07E6">
        <w:rPr>
          <w:rFonts w:cs="Arial"/>
          <w:szCs w:val="24"/>
        </w:rPr>
        <w:t xml:space="preserve">; </w:t>
      </w:r>
      <w:r w:rsidRPr="007C07E6">
        <w:rPr>
          <w:rFonts w:cs="Arial"/>
          <w:i/>
          <w:iCs/>
          <w:szCs w:val="24"/>
        </w:rPr>
        <w:t xml:space="preserve">Bayley </w:t>
      </w:r>
      <w:r w:rsidRPr="007C07E6">
        <w:rPr>
          <w:rFonts w:cs="Arial"/>
          <w:szCs w:val="24"/>
        </w:rPr>
        <w:t xml:space="preserve">v. </w:t>
      </w:r>
      <w:r w:rsidRPr="007C07E6">
        <w:rPr>
          <w:rFonts w:cs="Arial"/>
          <w:i/>
          <w:iCs/>
          <w:szCs w:val="24"/>
        </w:rPr>
        <w:t>Great Western Railway Co.</w:t>
      </w:r>
      <w:r w:rsidR="007C07E6" w:rsidRPr="007C07E6">
        <w:rPr>
          <w:rStyle w:val="FootnoteReference"/>
          <w:rFonts w:cs="Arial"/>
          <w:i/>
          <w:iCs/>
          <w:szCs w:val="24"/>
        </w:rPr>
        <w:footnoteReference w:id="46"/>
      </w:r>
      <w:r w:rsidRPr="007C07E6">
        <w:rPr>
          <w:rFonts w:cs="Arial"/>
          <w:szCs w:val="24"/>
        </w:rPr>
        <w:t xml:space="preserve">; </w:t>
      </w:r>
      <w:r w:rsidRPr="007C07E6">
        <w:rPr>
          <w:rFonts w:cs="Arial"/>
          <w:i/>
          <w:iCs/>
          <w:szCs w:val="24"/>
        </w:rPr>
        <w:t xml:space="preserve">Broomfield </w:t>
      </w:r>
      <w:r w:rsidRPr="007C07E6">
        <w:rPr>
          <w:rFonts w:cs="Arial"/>
          <w:szCs w:val="24"/>
        </w:rPr>
        <w:t xml:space="preserve">v. </w:t>
      </w:r>
      <w:r w:rsidRPr="007C07E6">
        <w:rPr>
          <w:rFonts w:cs="Arial"/>
          <w:i/>
          <w:iCs/>
          <w:szCs w:val="24"/>
        </w:rPr>
        <w:t>Williams</w:t>
      </w:r>
      <w:r w:rsidR="007C07E6" w:rsidRPr="007C07E6">
        <w:rPr>
          <w:rStyle w:val="FootnoteReference"/>
          <w:rFonts w:cs="Arial"/>
          <w:i/>
          <w:iCs/>
          <w:szCs w:val="24"/>
        </w:rPr>
        <w:footnoteReference w:id="47"/>
      </w:r>
      <w:r w:rsidRPr="007C07E6">
        <w:rPr>
          <w:rFonts w:cs="Arial"/>
          <w:szCs w:val="24"/>
        </w:rPr>
        <w:t>. The conveyance of the dam would be useless unless it included the right to use it effectively, and there could be no such user unless it were raised to its full apparent height as it existed in November, 1892.</w:t>
      </w:r>
    </w:p>
    <w:p w:rsidR="00DA21E6" w:rsidRPr="007C07E6" w:rsidRDefault="00DA21E6" w:rsidP="000127F5">
      <w:pPr>
        <w:pStyle w:val="History"/>
        <w:rPr>
          <w:rFonts w:cs="Arial"/>
          <w:szCs w:val="24"/>
        </w:rPr>
      </w:pPr>
      <w:r w:rsidRPr="007C07E6">
        <w:rPr>
          <w:rFonts w:cs="Arial"/>
          <w:szCs w:val="24"/>
        </w:rPr>
        <w:t xml:space="preserve">The stringer on top of the dam had the effect of raising the water one foot above the block-dam both at the time of the plaintiff's purchase and up to the present time, and penned back the water from 1876 to the present time. The court below should not have granted an injunction in terms restraining the defendant from penning back water by the block-dam and stringer as the only question tried was with respect to the right to pen back water by the slanting top. No question was raised at the trial as to the right to use the block-dam with its stringer to the fullest extent, and, as to this, there is not any pretence of abandonment. We refer also to </w:t>
      </w:r>
      <w:r w:rsidRPr="007C07E6">
        <w:rPr>
          <w:rFonts w:cs="Arial"/>
          <w:i/>
          <w:iCs/>
          <w:szCs w:val="24"/>
        </w:rPr>
        <w:t xml:space="preserve">Birmingham, Dudley &amp; District Banking Co. </w:t>
      </w:r>
      <w:r w:rsidRPr="007C07E6">
        <w:rPr>
          <w:rFonts w:cs="Arial"/>
          <w:szCs w:val="24"/>
        </w:rPr>
        <w:t xml:space="preserve">v. </w:t>
      </w:r>
      <w:r w:rsidRPr="007C07E6">
        <w:rPr>
          <w:rFonts w:cs="Arial"/>
          <w:i/>
          <w:iCs/>
          <w:szCs w:val="24"/>
        </w:rPr>
        <w:t>Ross</w:t>
      </w:r>
      <w:r w:rsidR="007C07E6" w:rsidRPr="007C07E6">
        <w:rPr>
          <w:rStyle w:val="FootnoteReference"/>
          <w:rFonts w:cs="Arial"/>
          <w:i/>
          <w:iCs/>
          <w:szCs w:val="24"/>
        </w:rPr>
        <w:footnoteReference w:id="48"/>
      </w:r>
      <w:r w:rsidRPr="007C07E6">
        <w:rPr>
          <w:rFonts w:cs="Arial"/>
          <w:szCs w:val="24"/>
        </w:rPr>
        <w:t>, at pages 312, 314</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zCs w:val="24"/>
        </w:rPr>
        <w:t>250]</w:t>
      </w:r>
    </w:p>
    <w:p w:rsidR="00DA21E6" w:rsidRPr="007C07E6" w:rsidRDefault="00DA21E6" w:rsidP="000127F5">
      <w:pPr>
        <w:pStyle w:val="History"/>
        <w:ind w:firstLine="0"/>
        <w:rPr>
          <w:rFonts w:cs="Arial"/>
          <w:szCs w:val="24"/>
        </w:rPr>
      </w:pPr>
      <w:r w:rsidRPr="007C07E6">
        <w:rPr>
          <w:rFonts w:cs="Arial"/>
          <w:szCs w:val="24"/>
        </w:rPr>
        <w:t xml:space="preserve">and 315, and the cases collected in </w:t>
      </w:r>
      <w:r w:rsidRPr="007C07E6">
        <w:rPr>
          <w:rFonts w:cs="Arial"/>
          <w:i/>
          <w:iCs/>
          <w:szCs w:val="24"/>
        </w:rPr>
        <w:t xml:space="preserve">Dunklee </w:t>
      </w:r>
      <w:r w:rsidRPr="007C07E6">
        <w:rPr>
          <w:rFonts w:cs="Arial"/>
          <w:szCs w:val="24"/>
        </w:rPr>
        <w:t xml:space="preserve">v. </w:t>
      </w:r>
      <w:r w:rsidRPr="007C07E6">
        <w:rPr>
          <w:rFonts w:cs="Arial"/>
          <w:i/>
          <w:iCs/>
          <w:szCs w:val="24"/>
        </w:rPr>
        <w:t>Wilton Railroad Co.</w:t>
      </w:r>
      <w:r w:rsidR="007C07E6" w:rsidRPr="007C07E6">
        <w:rPr>
          <w:rStyle w:val="FootnoteReference"/>
          <w:rFonts w:cs="Arial"/>
          <w:i/>
          <w:iCs/>
          <w:szCs w:val="24"/>
        </w:rPr>
        <w:footnoteReference w:id="49"/>
      </w:r>
      <w:r w:rsidR="007C07E6" w:rsidRPr="007C07E6">
        <w:rPr>
          <w:rFonts w:cs="Arial"/>
          <w:i/>
          <w:iCs/>
          <w:szCs w:val="24"/>
        </w:rPr>
        <w:t xml:space="preserve"> </w:t>
      </w:r>
      <w:r w:rsidRPr="007C07E6">
        <w:rPr>
          <w:rFonts w:cs="Arial"/>
          <w:szCs w:val="24"/>
        </w:rPr>
        <w:t xml:space="preserve">at pages 500-501, and to </w:t>
      </w:r>
      <w:r w:rsidRPr="007C07E6">
        <w:rPr>
          <w:rFonts w:cs="Arial"/>
          <w:i/>
          <w:iCs/>
          <w:szCs w:val="24"/>
        </w:rPr>
        <w:t xml:space="preserve">Pickering </w:t>
      </w:r>
      <w:r w:rsidRPr="007C07E6">
        <w:rPr>
          <w:rFonts w:cs="Arial"/>
          <w:szCs w:val="24"/>
        </w:rPr>
        <w:t xml:space="preserve">v. </w:t>
      </w:r>
      <w:r w:rsidRPr="007C07E6">
        <w:rPr>
          <w:rFonts w:cs="Arial"/>
          <w:i/>
          <w:iCs/>
          <w:szCs w:val="24"/>
        </w:rPr>
        <w:t>Stapler</w:t>
      </w:r>
      <w:r w:rsidR="007C07E6" w:rsidRPr="007C07E6">
        <w:rPr>
          <w:rStyle w:val="FootnoteReference"/>
          <w:rFonts w:cs="Arial"/>
          <w:i/>
          <w:iCs/>
          <w:szCs w:val="24"/>
        </w:rPr>
        <w:footnoteReference w:id="50"/>
      </w:r>
      <w:r w:rsidRPr="007C07E6">
        <w:rPr>
          <w:rFonts w:cs="Arial"/>
          <w:szCs w:val="24"/>
        </w:rPr>
        <w:t xml:space="preserve">; </w:t>
      </w:r>
      <w:r w:rsidRPr="007C07E6">
        <w:rPr>
          <w:rFonts w:cs="Arial"/>
          <w:i/>
          <w:iCs/>
          <w:szCs w:val="24"/>
        </w:rPr>
        <w:t xml:space="preserve">Voorhees </w:t>
      </w:r>
      <w:r w:rsidRPr="007C07E6">
        <w:rPr>
          <w:rFonts w:cs="Arial"/>
          <w:szCs w:val="24"/>
        </w:rPr>
        <w:t xml:space="preserve">v. </w:t>
      </w:r>
      <w:r w:rsidRPr="007C07E6">
        <w:rPr>
          <w:rFonts w:cs="Arial"/>
          <w:i/>
          <w:iCs/>
          <w:szCs w:val="24"/>
        </w:rPr>
        <w:t>Burchard</w:t>
      </w:r>
      <w:r w:rsidR="007C07E6" w:rsidRPr="007C07E6">
        <w:rPr>
          <w:rStyle w:val="FootnoteReference"/>
          <w:rFonts w:cs="Arial"/>
          <w:i/>
          <w:iCs/>
          <w:szCs w:val="24"/>
        </w:rPr>
        <w:footnoteReference w:id="51"/>
      </w:r>
      <w:r w:rsidRPr="007C07E6">
        <w:rPr>
          <w:rFonts w:cs="Arial"/>
          <w:szCs w:val="24"/>
        </w:rPr>
        <w:t xml:space="preserve">; and </w:t>
      </w:r>
      <w:r w:rsidRPr="007C07E6">
        <w:rPr>
          <w:rFonts w:cs="Arial"/>
          <w:i/>
          <w:iCs/>
          <w:szCs w:val="24"/>
        </w:rPr>
        <w:t xml:space="preserve">New-Ispwich Factory </w:t>
      </w:r>
      <w:r w:rsidRPr="007C07E6">
        <w:rPr>
          <w:rFonts w:cs="Arial"/>
          <w:szCs w:val="24"/>
        </w:rPr>
        <w:t xml:space="preserve">v. </w:t>
      </w:r>
      <w:r w:rsidRPr="007C07E6">
        <w:rPr>
          <w:rFonts w:cs="Arial"/>
          <w:i/>
          <w:iCs/>
          <w:szCs w:val="24"/>
        </w:rPr>
        <w:t>Batchelder</w:t>
      </w:r>
      <w:r w:rsidR="007C07E6" w:rsidRPr="007C07E6">
        <w:rPr>
          <w:rStyle w:val="FootnoteReference"/>
          <w:rFonts w:cs="Arial"/>
          <w:i/>
          <w:iCs/>
          <w:szCs w:val="24"/>
        </w:rPr>
        <w:footnoteReference w:id="52"/>
      </w:r>
      <w:r w:rsidRPr="007C07E6">
        <w:rPr>
          <w:rFonts w:cs="Arial"/>
          <w:szCs w:val="24"/>
        </w:rPr>
        <w:t>.</w:t>
      </w:r>
    </w:p>
    <w:p w:rsidR="00DA21E6" w:rsidRPr="007C07E6" w:rsidRDefault="00DA21E6" w:rsidP="000127F5">
      <w:pPr>
        <w:pStyle w:val="History"/>
        <w:rPr>
          <w:rFonts w:cs="Arial"/>
          <w:szCs w:val="24"/>
        </w:rPr>
      </w:pPr>
      <w:r w:rsidRPr="007C07E6">
        <w:rPr>
          <w:rFonts w:cs="Arial"/>
          <w:i/>
          <w:iCs/>
          <w:szCs w:val="24"/>
        </w:rPr>
        <w:t xml:space="preserve">Drysdale Q.C. </w:t>
      </w:r>
      <w:r w:rsidRPr="007C07E6">
        <w:rPr>
          <w:rFonts w:cs="Arial"/>
          <w:szCs w:val="24"/>
        </w:rPr>
        <w:t xml:space="preserve">and </w:t>
      </w:r>
      <w:r w:rsidRPr="007C07E6">
        <w:rPr>
          <w:rFonts w:cs="Arial"/>
          <w:i/>
          <w:iCs/>
          <w:szCs w:val="24"/>
        </w:rPr>
        <w:t xml:space="preserve">Layton </w:t>
      </w:r>
      <w:r w:rsidRPr="007C07E6">
        <w:rPr>
          <w:rFonts w:cs="Arial"/>
          <w:szCs w:val="24"/>
        </w:rPr>
        <w:t xml:space="preserve">for the respondent. </w:t>
      </w:r>
      <w:r w:rsidRPr="007C07E6">
        <w:rPr>
          <w:rFonts w:cs="Arial"/>
          <w:i/>
          <w:iCs/>
          <w:szCs w:val="24"/>
        </w:rPr>
        <w:t xml:space="preserve">We </w:t>
      </w:r>
      <w:r w:rsidRPr="007C07E6">
        <w:rPr>
          <w:rFonts w:cs="Arial"/>
          <w:szCs w:val="24"/>
        </w:rPr>
        <w:t>refer to the reasons for judgment by the learned Chief Justice and Mr. Justice Ritchie in the court below</w:t>
      </w:r>
      <w:r w:rsidR="007C07E6" w:rsidRPr="007C07E6">
        <w:rPr>
          <w:rStyle w:val="FootnoteReference"/>
          <w:rFonts w:cs="Arial"/>
          <w:szCs w:val="24"/>
        </w:rPr>
        <w:footnoteReference w:id="53"/>
      </w:r>
      <w:r w:rsidRPr="007C07E6">
        <w:rPr>
          <w:rFonts w:cs="Arial"/>
          <w:szCs w:val="24"/>
        </w:rPr>
        <w:t xml:space="preserve"> shewing that there has been a failure to establish a quasi-easement of the requisite </w:t>
      </w:r>
      <w:r w:rsidRPr="007C07E6">
        <w:rPr>
          <w:rFonts w:cs="Arial"/>
          <w:szCs w:val="24"/>
        </w:rPr>
        <w:lastRenderedPageBreak/>
        <w:t xml:space="preserve">open, apparent and continuous nature, and there can be no implied grant of an easement. Neither at the time of the severances nor for upwards of seventeen years prior thereto had there been any structure upon appellant's lands capable of backing water upon respondent's lands. The doctrine of implied grant as applied to quasi-easements refers to easements in use </w:t>
      </w:r>
      <w:r w:rsidRPr="007C07E6">
        <w:rPr>
          <w:rFonts w:cs="Arial"/>
          <w:i/>
          <w:iCs/>
          <w:szCs w:val="24"/>
        </w:rPr>
        <w:t xml:space="preserve">at the time of the severance. </w:t>
      </w:r>
      <w:r w:rsidRPr="007C07E6">
        <w:rPr>
          <w:rFonts w:cs="Arial"/>
          <w:szCs w:val="24"/>
        </w:rPr>
        <w:t xml:space="preserve">The owner, before the severance, had not made or used any improvement in one part for the benefit of another nor used appellant's lands so as to back water upon those now held by respondent. There is no evidence that such a right is reasonably necessary to the beneficial enjoyment of the property, nor of severance of common property, but only a distinct sale of independent lands. </w:t>
      </w:r>
      <w:r w:rsidRPr="007C07E6">
        <w:rPr>
          <w:rFonts w:cs="Arial"/>
          <w:i/>
          <w:iCs/>
          <w:szCs w:val="24"/>
        </w:rPr>
        <w:t xml:space="preserve">Hall </w:t>
      </w:r>
      <w:r w:rsidRPr="007C07E6">
        <w:rPr>
          <w:rFonts w:cs="Arial"/>
          <w:szCs w:val="24"/>
        </w:rPr>
        <w:t xml:space="preserve">v, </w:t>
      </w:r>
      <w:r w:rsidRPr="007C07E6">
        <w:rPr>
          <w:rFonts w:cs="Arial"/>
          <w:i/>
          <w:iCs/>
          <w:szCs w:val="24"/>
        </w:rPr>
        <w:t>Lund</w:t>
      </w:r>
      <w:r w:rsidR="007C07E6" w:rsidRPr="007C07E6">
        <w:rPr>
          <w:rStyle w:val="FootnoteReference"/>
          <w:rFonts w:cs="Arial"/>
          <w:i/>
          <w:iCs/>
          <w:szCs w:val="24"/>
        </w:rPr>
        <w:footnoteReference w:id="54"/>
      </w:r>
      <w:r w:rsidRPr="007C07E6">
        <w:rPr>
          <w:rFonts w:cs="Arial"/>
          <w:szCs w:val="24"/>
        </w:rPr>
        <w:t xml:space="preserve"> per Wilde B. at page 686; </w:t>
      </w:r>
      <w:r w:rsidRPr="007C07E6">
        <w:rPr>
          <w:rFonts w:cs="Arial"/>
          <w:i/>
          <w:iCs/>
          <w:szCs w:val="24"/>
        </w:rPr>
        <w:t xml:space="preserve">Birmingham Dudley &amp; Dist. Banking Co, </w:t>
      </w:r>
      <w:r w:rsidRPr="007C07E6">
        <w:rPr>
          <w:rFonts w:cs="Arial"/>
          <w:szCs w:val="24"/>
        </w:rPr>
        <w:t xml:space="preserve">v. </w:t>
      </w:r>
      <w:r w:rsidRPr="007C07E6">
        <w:rPr>
          <w:rFonts w:cs="Arial"/>
          <w:i/>
          <w:iCs/>
          <w:szCs w:val="24"/>
        </w:rPr>
        <w:t>Ross</w:t>
      </w:r>
      <w:r w:rsidR="007C07E6" w:rsidRPr="007C07E6">
        <w:rPr>
          <w:rStyle w:val="FootnoteReference"/>
          <w:rFonts w:cs="Arial"/>
          <w:i/>
          <w:iCs/>
          <w:szCs w:val="24"/>
        </w:rPr>
        <w:footnoteReference w:id="55"/>
      </w:r>
      <w:r w:rsidRPr="007C07E6">
        <w:rPr>
          <w:rFonts w:cs="Arial"/>
          <w:i/>
          <w:iCs/>
          <w:szCs w:val="24"/>
        </w:rPr>
        <w:t xml:space="preserve"> </w:t>
      </w:r>
      <w:r w:rsidRPr="007C07E6">
        <w:rPr>
          <w:rFonts w:cs="Arial"/>
          <w:szCs w:val="24"/>
        </w:rPr>
        <w:t xml:space="preserve">at page 309; </w:t>
      </w:r>
      <w:r w:rsidRPr="007C07E6">
        <w:rPr>
          <w:rFonts w:cs="Arial"/>
          <w:i/>
          <w:iCs/>
          <w:szCs w:val="24"/>
        </w:rPr>
        <w:t xml:space="preserve">Wheeldon </w:t>
      </w:r>
      <w:r w:rsidRPr="007C07E6">
        <w:rPr>
          <w:rFonts w:cs="Arial"/>
          <w:szCs w:val="24"/>
        </w:rPr>
        <w:t xml:space="preserve">v. </w:t>
      </w:r>
      <w:r w:rsidRPr="007C07E6">
        <w:rPr>
          <w:rFonts w:cs="Arial"/>
          <w:i/>
          <w:iCs/>
          <w:szCs w:val="24"/>
        </w:rPr>
        <w:t>Burrows</w:t>
      </w:r>
      <w:r w:rsidR="007C07E6" w:rsidRPr="007C07E6">
        <w:rPr>
          <w:rStyle w:val="FootnoteReference"/>
          <w:rFonts w:cs="Arial"/>
          <w:i/>
          <w:iCs/>
          <w:szCs w:val="24"/>
        </w:rPr>
        <w:footnoteReference w:id="56"/>
      </w:r>
      <w:r w:rsidRPr="007C07E6">
        <w:rPr>
          <w:rFonts w:cs="Arial"/>
          <w:szCs w:val="24"/>
        </w:rPr>
        <w:t xml:space="preserve"> per Thesiger L. J. at page 49; </w:t>
      </w:r>
      <w:r w:rsidRPr="007C07E6">
        <w:rPr>
          <w:rFonts w:cs="Arial"/>
          <w:i/>
          <w:iCs/>
          <w:szCs w:val="24"/>
        </w:rPr>
        <w:t xml:space="preserve">Ewart </w:t>
      </w:r>
      <w:r w:rsidRPr="007C07E6">
        <w:rPr>
          <w:rFonts w:cs="Arial"/>
          <w:szCs w:val="24"/>
        </w:rPr>
        <w:t>v</w:t>
      </w:r>
      <w:r w:rsidRPr="007C07E6">
        <w:rPr>
          <w:rFonts w:cs="Arial"/>
          <w:i/>
          <w:iCs/>
          <w:szCs w:val="24"/>
        </w:rPr>
        <w:t>. Cochrane</w:t>
      </w:r>
      <w:r w:rsidR="007C07E6" w:rsidRPr="007C07E6">
        <w:rPr>
          <w:rStyle w:val="FootnoteReference"/>
          <w:rFonts w:cs="Arial"/>
          <w:i/>
          <w:iCs/>
          <w:szCs w:val="24"/>
        </w:rPr>
        <w:footnoteReference w:id="57"/>
      </w:r>
      <w:r w:rsidRPr="007C07E6">
        <w:rPr>
          <w:rFonts w:cs="Arial"/>
          <w:szCs w:val="24"/>
        </w:rPr>
        <w:t xml:space="preserve">; </w:t>
      </w:r>
      <w:r w:rsidRPr="007C07E6">
        <w:rPr>
          <w:rFonts w:cs="Arial"/>
          <w:i/>
          <w:iCs/>
          <w:szCs w:val="24"/>
        </w:rPr>
        <w:t xml:space="preserve">Brown </w:t>
      </w:r>
      <w:r w:rsidRPr="007C07E6">
        <w:rPr>
          <w:rFonts w:cs="Arial"/>
          <w:szCs w:val="24"/>
        </w:rPr>
        <w:t xml:space="preserve">v. </w:t>
      </w:r>
      <w:r w:rsidRPr="007C07E6">
        <w:rPr>
          <w:rFonts w:cs="Arial"/>
          <w:i/>
          <w:iCs/>
          <w:szCs w:val="24"/>
        </w:rPr>
        <w:t>Alabaster</w:t>
      </w:r>
      <w:r w:rsidR="007C07E6" w:rsidRPr="007C07E6">
        <w:rPr>
          <w:rStyle w:val="FootnoteReference"/>
          <w:rFonts w:cs="Arial"/>
          <w:i/>
          <w:iCs/>
          <w:szCs w:val="24"/>
        </w:rPr>
        <w:footnoteReference w:id="58"/>
      </w:r>
      <w:r w:rsidRPr="007C07E6">
        <w:rPr>
          <w:rFonts w:cs="Arial"/>
          <w:szCs w:val="24"/>
        </w:rPr>
        <w:t xml:space="preserve">; </w:t>
      </w:r>
      <w:r w:rsidRPr="007C07E6">
        <w:rPr>
          <w:rFonts w:cs="Arial"/>
          <w:i/>
          <w:iCs/>
          <w:szCs w:val="24"/>
        </w:rPr>
        <w:t>Russell v. Watts</w:t>
      </w:r>
      <w:r w:rsidR="007C07E6" w:rsidRPr="007C07E6">
        <w:rPr>
          <w:rStyle w:val="FootnoteReference"/>
          <w:rFonts w:cs="Arial"/>
          <w:i/>
          <w:iCs/>
          <w:szCs w:val="24"/>
        </w:rPr>
        <w:footnoteReference w:id="59"/>
      </w:r>
      <w:r w:rsidRPr="007C07E6">
        <w:rPr>
          <w:rFonts w:cs="Arial"/>
          <w:szCs w:val="24"/>
        </w:rPr>
        <w:t xml:space="preserve">; </w:t>
      </w:r>
      <w:r w:rsidRPr="007C07E6">
        <w:rPr>
          <w:rFonts w:cs="Arial"/>
          <w:i/>
          <w:iCs/>
          <w:szCs w:val="24"/>
        </w:rPr>
        <w:t xml:space="preserve">Attril </w:t>
      </w:r>
      <w:r w:rsidRPr="007C07E6">
        <w:rPr>
          <w:rFonts w:cs="Arial"/>
          <w:szCs w:val="24"/>
        </w:rPr>
        <w:t xml:space="preserve">v. </w:t>
      </w:r>
      <w:r w:rsidRPr="007C07E6">
        <w:rPr>
          <w:rFonts w:cs="Arial"/>
          <w:i/>
          <w:iCs/>
          <w:szCs w:val="24"/>
        </w:rPr>
        <w:t>Piatt</w:t>
      </w:r>
      <w:r w:rsidR="007C07E6" w:rsidRPr="007C07E6">
        <w:rPr>
          <w:rStyle w:val="FootnoteReference"/>
          <w:rFonts w:cs="Arial"/>
          <w:i/>
          <w:iCs/>
          <w:szCs w:val="24"/>
        </w:rPr>
        <w:footnoteReference w:id="60"/>
      </w:r>
      <w:r w:rsidRPr="007C07E6">
        <w:rPr>
          <w:rFonts w:cs="Arial"/>
          <w:szCs w:val="24"/>
        </w:rPr>
        <w:t>; Jones on Easements, sec. 129; Godard on Easements, p. 174 to 186; Elphinstone on Deeds, r. 52, p. 189.</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zCs w:val="24"/>
        </w:rPr>
        <w:t>251]</w:t>
      </w:r>
    </w:p>
    <w:p w:rsidR="00DA21E6" w:rsidRPr="007C07E6" w:rsidRDefault="00DA21E6" w:rsidP="000127F5">
      <w:pPr>
        <w:pStyle w:val="History"/>
        <w:rPr>
          <w:rFonts w:cs="Arial"/>
          <w:i/>
          <w:iCs/>
          <w:szCs w:val="24"/>
        </w:rPr>
      </w:pPr>
      <w:r w:rsidRPr="007C07E6">
        <w:rPr>
          <w:rFonts w:cs="Arial"/>
          <w:szCs w:val="24"/>
        </w:rPr>
        <w:t xml:space="preserve">The words quoted in appellant's deed convey only legal easements. </w:t>
      </w:r>
      <w:r w:rsidRPr="007C07E6">
        <w:rPr>
          <w:rFonts w:cs="Arial"/>
          <w:i/>
          <w:iCs/>
          <w:szCs w:val="24"/>
        </w:rPr>
        <w:t xml:space="preserve">Beddington </w:t>
      </w:r>
      <w:r w:rsidRPr="007C07E6">
        <w:rPr>
          <w:rFonts w:cs="Arial"/>
          <w:szCs w:val="24"/>
        </w:rPr>
        <w:t xml:space="preserve">v. </w:t>
      </w:r>
      <w:r w:rsidRPr="007C07E6">
        <w:rPr>
          <w:rFonts w:cs="Arial"/>
          <w:i/>
          <w:iCs/>
          <w:szCs w:val="24"/>
        </w:rPr>
        <w:t>Atlee</w:t>
      </w:r>
      <w:r w:rsidR="007C07E6" w:rsidRPr="007C07E6">
        <w:rPr>
          <w:rStyle w:val="FootnoteReference"/>
          <w:rFonts w:cs="Arial"/>
          <w:i/>
          <w:iCs/>
          <w:szCs w:val="24"/>
        </w:rPr>
        <w:footnoteReference w:id="61"/>
      </w:r>
      <w:r w:rsidRPr="007C07E6">
        <w:rPr>
          <w:rFonts w:cs="Arial"/>
          <w:szCs w:val="24"/>
        </w:rPr>
        <w:t xml:space="preserve">; </w:t>
      </w:r>
      <w:r w:rsidRPr="007C07E6">
        <w:rPr>
          <w:rFonts w:cs="Arial"/>
          <w:i/>
          <w:iCs/>
          <w:szCs w:val="24"/>
        </w:rPr>
        <w:t xml:space="preserve">Polden </w:t>
      </w:r>
      <w:r w:rsidRPr="007C07E6">
        <w:rPr>
          <w:rFonts w:cs="Arial"/>
          <w:szCs w:val="24"/>
        </w:rPr>
        <w:t xml:space="preserve">v. </w:t>
      </w:r>
      <w:r w:rsidRPr="007C07E6">
        <w:rPr>
          <w:rFonts w:cs="Arial"/>
          <w:i/>
          <w:iCs/>
          <w:szCs w:val="24"/>
        </w:rPr>
        <w:t>Bastard</w:t>
      </w:r>
      <w:r w:rsidR="007C07E6" w:rsidRPr="007C07E6">
        <w:rPr>
          <w:rStyle w:val="FootnoteReference"/>
          <w:rFonts w:cs="Arial"/>
          <w:i/>
          <w:iCs/>
          <w:szCs w:val="24"/>
        </w:rPr>
        <w:footnoteReference w:id="62"/>
      </w:r>
      <w:r w:rsidRPr="007C07E6">
        <w:rPr>
          <w:rFonts w:cs="Arial"/>
          <w:szCs w:val="24"/>
        </w:rPr>
        <w:t xml:space="preserve">; </w:t>
      </w:r>
      <w:r w:rsidRPr="007C07E6">
        <w:rPr>
          <w:rFonts w:cs="Arial"/>
          <w:i/>
          <w:iCs/>
          <w:szCs w:val="24"/>
        </w:rPr>
        <w:t xml:space="preserve">Birmingham Dudley &amp; Dist. Banking Co. </w:t>
      </w:r>
      <w:r w:rsidRPr="007C07E6">
        <w:rPr>
          <w:rFonts w:cs="Arial"/>
          <w:szCs w:val="24"/>
        </w:rPr>
        <w:t xml:space="preserve">v. </w:t>
      </w:r>
      <w:r w:rsidRPr="007C07E6">
        <w:rPr>
          <w:rFonts w:cs="Arial"/>
          <w:i/>
          <w:iCs/>
          <w:szCs w:val="24"/>
        </w:rPr>
        <w:t>Ross</w:t>
      </w:r>
      <w:r w:rsidR="007C07E6" w:rsidRPr="007C07E6">
        <w:rPr>
          <w:rStyle w:val="FootnoteReference"/>
          <w:rFonts w:cs="Arial"/>
          <w:i/>
          <w:iCs/>
          <w:szCs w:val="24"/>
        </w:rPr>
        <w:footnoteReference w:id="63"/>
      </w:r>
      <w:r w:rsidRPr="007C07E6">
        <w:rPr>
          <w:rFonts w:cs="Arial"/>
          <w:szCs w:val="24"/>
        </w:rPr>
        <w:t xml:space="preserve">; Elphinstone on Deeds, rr. 54, 55, 59. Specific quasi-easements and privileges are mentioned so no construction can be had leaving anything implied; </w:t>
      </w:r>
      <w:r w:rsidRPr="007C07E6">
        <w:rPr>
          <w:rFonts w:cs="Arial"/>
          <w:i/>
          <w:iCs/>
          <w:szCs w:val="24"/>
        </w:rPr>
        <w:t>expressio unius exclusio alterius.</w:t>
      </w:r>
    </w:p>
    <w:p w:rsidR="00DA21E6" w:rsidRPr="007C07E6" w:rsidRDefault="00DA21E6" w:rsidP="000127F5">
      <w:pPr>
        <w:pStyle w:val="Reasons"/>
      </w:pPr>
      <w:r w:rsidRPr="007C07E6">
        <w:t>The judgment of the court was delivered by:</w:t>
      </w:r>
    </w:p>
    <w:p w:rsidR="00DA21E6" w:rsidRPr="007C07E6" w:rsidRDefault="000127F5" w:rsidP="000127F5">
      <w:pPr>
        <w:pStyle w:val="Reasons"/>
        <w:rPr>
          <w:rFonts w:cs="Arial"/>
          <w:szCs w:val="24"/>
        </w:rPr>
      </w:pPr>
      <w:r w:rsidRPr="007C07E6">
        <w:t>SEDGEWICK</w:t>
      </w:r>
      <w:r w:rsidRPr="007C07E6">
        <w:rPr>
          <w:rFonts w:cs="Arial"/>
          <w:smallCaps/>
          <w:szCs w:val="24"/>
        </w:rPr>
        <w:t xml:space="preserve"> </w:t>
      </w:r>
      <w:r w:rsidR="00DA21E6" w:rsidRPr="007C07E6">
        <w:rPr>
          <w:rFonts w:cs="Arial"/>
          <w:smallCaps/>
          <w:szCs w:val="24"/>
        </w:rPr>
        <w:t>J.</w:t>
      </w:r>
      <w:r w:rsidR="00DA21E6" w:rsidRPr="007C07E6">
        <w:rPr>
          <w:rFonts w:cs="Arial"/>
          <w:szCs w:val="24"/>
        </w:rPr>
        <w:t xml:space="preserve">—The plaintiff is the owner of a mill on the St. Croix River, in Hants County, Nova Scotia. The defendant owns a mill further up the stream, which is mainly supplied with water power from a storage-dam still further up stream. This dam broke, and the waters rushing down stream broke away the plaintiff’s dam, and it was for the damage thus occasioned that this action was brought. In the action, however, the defendant counterclaimed, alleging that he was damaged by reason of the plaintiff's dam penning back water upon his land and obstructing the operations of his mill. The main action has been settled, and the only question before this court is as to whether </w:t>
      </w:r>
      <w:r w:rsidR="00DA21E6" w:rsidRPr="007C07E6">
        <w:rPr>
          <w:rFonts w:cs="Arial"/>
          <w:szCs w:val="24"/>
        </w:rPr>
        <w:lastRenderedPageBreak/>
        <w:t>the defendant is entitled to succeed upon the counterclaim.</w:t>
      </w:r>
    </w:p>
    <w:p w:rsidR="00DA21E6" w:rsidRPr="007C07E6" w:rsidRDefault="00DA21E6" w:rsidP="000127F5">
      <w:pPr>
        <w:pStyle w:val="Reasons"/>
        <w:rPr>
          <w:rFonts w:cs="Arial"/>
          <w:szCs w:val="24"/>
        </w:rPr>
      </w:pPr>
      <w:r w:rsidRPr="007C07E6">
        <w:rPr>
          <w:rFonts w:cs="Arial"/>
          <w:szCs w:val="24"/>
        </w:rPr>
        <w:t>The properties, both of the plaintiff and the defendant, were, in the year 1873, owned by one Francis Ellershausen, who conveyed to the Nova Scotia Land &amp; Manufacturing Co., Limited. While Mr. Ellershausen owned the property, he operated a paper mill, and for the purpose of creating water-power, he built a portion of the dam which is in question, a structure, as originally built, of about one hundred and eighty feet in length on the top, and thirty-eight feet in height from the bed of the river. The main</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zCs w:val="24"/>
        </w:rPr>
        <w:t>252]</w:t>
      </w:r>
    </w:p>
    <w:p w:rsidR="00DA21E6" w:rsidRPr="007C07E6" w:rsidRDefault="00DA21E6" w:rsidP="000127F5">
      <w:pPr>
        <w:pStyle w:val="Reasons"/>
        <w:rPr>
          <w:rFonts w:cs="Arial"/>
          <w:szCs w:val="24"/>
        </w:rPr>
      </w:pPr>
      <w:r w:rsidRPr="007C07E6">
        <w:rPr>
          <w:rFonts w:cs="Arial"/>
          <w:szCs w:val="24"/>
        </w:rPr>
        <w:t>portion of the darn, called the block-dam, was a strong structure built of logs from the bed of the river, and that part of the dam remains to the present day. Upon the block-dam, however, Ellershausen constructed a small structure about eight feet in height, called a false-top, or slanting-top. The mill for the purposes of which this dam was constructed, was operated from the summer of 1873, to December, 1875, and from then was never operated until some time after the plaintiff purchased in 1892.</w:t>
      </w:r>
    </w:p>
    <w:p w:rsidR="00DA21E6" w:rsidRPr="007C07E6" w:rsidRDefault="00DA21E6" w:rsidP="000127F5">
      <w:pPr>
        <w:pStyle w:val="Reasons"/>
        <w:rPr>
          <w:rFonts w:cs="Arial"/>
          <w:szCs w:val="24"/>
        </w:rPr>
      </w:pPr>
      <w:r w:rsidRPr="007C07E6">
        <w:rPr>
          <w:rFonts w:cs="Arial"/>
          <w:szCs w:val="24"/>
        </w:rPr>
        <w:t>That portion of the dam called the false-top was swept away, and during the whole of the seventeen years following the original dam remained practically as if there had never been any structure on top of it, and not until 1895 was it rebuilt. During the time that Mr. Ellershausen operated this mill he also operated the mill up stream now owned by the defendant. In 1895 the plaintiff erected a new false-top upon the old structure, this false-top being no greater in height and no different in any way from the original structure. The result of this, however, was to flood back the water so that the wheel of the plaintiff’s mill above was prevented from doing its proper work.</w:t>
      </w:r>
    </w:p>
    <w:p w:rsidR="00DA21E6" w:rsidRPr="007C07E6" w:rsidRDefault="00DA21E6" w:rsidP="000127F5">
      <w:pPr>
        <w:pStyle w:val="Reasons"/>
        <w:rPr>
          <w:rFonts w:cs="Arial"/>
          <w:szCs w:val="24"/>
        </w:rPr>
      </w:pPr>
      <w:r w:rsidRPr="007C07E6">
        <w:rPr>
          <w:rFonts w:cs="Arial"/>
          <w:szCs w:val="24"/>
        </w:rPr>
        <w:t>In 1892, all of these properties, then being still owned by the same parties, were put up for sale at public auction, the plaintiff buying his mill and the defendant buying his, thus severing the pre-existing unity of ownership. At this time, the block-dam existed and there were indications showing that some time before there had been a false-top built upon it.</w:t>
      </w:r>
    </w:p>
    <w:p w:rsidR="00DA21E6" w:rsidRPr="007C07E6" w:rsidRDefault="00DA21E6" w:rsidP="000127F5">
      <w:pPr>
        <w:pStyle w:val="Reasons"/>
        <w:rPr>
          <w:rFonts w:cs="Arial"/>
          <w:szCs w:val="24"/>
        </w:rPr>
      </w:pPr>
      <w:r w:rsidRPr="007C07E6">
        <w:rPr>
          <w:rFonts w:cs="Arial"/>
          <w:szCs w:val="24"/>
        </w:rPr>
        <w:lastRenderedPageBreak/>
        <w:t>The plaintiff's claim is that inasmuch as the owner of this property many years before had erected this dam with the false-top, and had used it for a few years, and he having purchased it, knowing the uses to which the previous owner had put it, had a right, notwithstanding that the false-top had been swept</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mallCaps/>
          <w:szCs w:val="24"/>
        </w:rPr>
        <w:t>253]</w:t>
      </w:r>
    </w:p>
    <w:p w:rsidR="00DA21E6" w:rsidRPr="007C07E6" w:rsidRDefault="00DA21E6" w:rsidP="000127F5">
      <w:pPr>
        <w:pStyle w:val="Reasons"/>
        <w:rPr>
          <w:rFonts w:cs="Arial"/>
          <w:szCs w:val="24"/>
        </w:rPr>
      </w:pPr>
      <w:r w:rsidRPr="007C07E6">
        <w:rPr>
          <w:rFonts w:cs="Arial"/>
          <w:szCs w:val="24"/>
        </w:rPr>
        <w:t>away and had not been operated or used for seventeen years, to replace it by a structure of the same character, creating no greater burden upon the upper property than the original dam had done, and the whole question turns upon that contention.</w:t>
      </w:r>
    </w:p>
    <w:p w:rsidR="00DA21E6" w:rsidRPr="007C07E6" w:rsidRDefault="00DA21E6" w:rsidP="000127F5">
      <w:pPr>
        <w:pStyle w:val="Reasons"/>
        <w:rPr>
          <w:rFonts w:cs="Arial"/>
          <w:szCs w:val="24"/>
        </w:rPr>
      </w:pPr>
      <w:r w:rsidRPr="007C07E6">
        <w:rPr>
          <w:rFonts w:cs="Arial"/>
          <w:szCs w:val="24"/>
        </w:rPr>
        <w:t>We are all of opinion that, under the circumstances of this case, the plaintiff's claim cannot be entertained. It is not disputed that if at the time of the plaintiff's purchase, a dam of the character originally there, or of the character now there had been in existence, the plaintiff upon acquiring title, would acquire a title also to an easement upon the upper land, inasmuch as it is clearly settled that where two properties belonging to the same owner are sold at the same time, and each purchaser has notice of the sale to the other, the right to any continuous and apparent quasi-easement passes with the sale. What was only a quasi-easement or user before, becomes after severance, an absolute legal right.</w:t>
      </w:r>
    </w:p>
    <w:p w:rsidR="00DA21E6" w:rsidRPr="007C07E6" w:rsidRDefault="00DA21E6" w:rsidP="000127F5">
      <w:pPr>
        <w:pStyle w:val="Reasons"/>
        <w:rPr>
          <w:rFonts w:cs="Arial"/>
          <w:szCs w:val="24"/>
        </w:rPr>
      </w:pPr>
      <w:r w:rsidRPr="007C07E6">
        <w:rPr>
          <w:rFonts w:cs="Arial"/>
          <w:szCs w:val="24"/>
        </w:rPr>
        <w:t>But the question here is: Must not the user of the original owner, which it is claimed becomes converted into a right by the purchaser, substantially exist at the time of the severance of the title? Can the purchaser after he has purchased, subject his neighbour, or can he, years after a particular user has ceased, after such a dam as is in question here has been destroyed, claim the right to re-erect the dam and impose upon a neighbour a servitude of which, when he purchased he had no notice except what might be afforded by a few planks and other decaying remains of what had once been there?</w:t>
      </w:r>
    </w:p>
    <w:p w:rsidR="00DA21E6" w:rsidRPr="007C07E6" w:rsidRDefault="00DA21E6" w:rsidP="000127F5">
      <w:pPr>
        <w:pStyle w:val="Reasons"/>
        <w:rPr>
          <w:rFonts w:cs="Arial"/>
          <w:szCs w:val="24"/>
        </w:rPr>
      </w:pPr>
      <w:r w:rsidRPr="007C07E6">
        <w:rPr>
          <w:rFonts w:cs="Arial"/>
          <w:szCs w:val="24"/>
        </w:rPr>
        <w:t xml:space="preserve">I think the authorities shew that the quasi-easement must exist and be enjoyed at the time of the severance and that it is not sufficient if that use had ceased many years </w:t>
      </w:r>
      <w:r w:rsidRPr="007C07E6">
        <w:rPr>
          <w:rFonts w:cs="Arial"/>
          <w:szCs w:val="24"/>
        </w:rPr>
        <w:lastRenderedPageBreak/>
        <w:t>before.</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mallCaps/>
          <w:szCs w:val="24"/>
        </w:rPr>
        <w:t>254]</w:t>
      </w:r>
    </w:p>
    <w:p w:rsidR="00DA21E6" w:rsidRPr="007C07E6" w:rsidRDefault="00DA21E6" w:rsidP="000127F5">
      <w:pPr>
        <w:pStyle w:val="Reasons"/>
        <w:rPr>
          <w:rFonts w:cs="Arial"/>
          <w:szCs w:val="24"/>
        </w:rPr>
      </w:pPr>
      <w:r w:rsidRPr="007C07E6">
        <w:rPr>
          <w:rFonts w:cs="Arial"/>
          <w:szCs w:val="24"/>
        </w:rPr>
        <w:t xml:space="preserve">In the case of </w:t>
      </w:r>
      <w:r w:rsidRPr="007C07E6">
        <w:rPr>
          <w:rFonts w:cs="Arial"/>
          <w:i/>
          <w:iCs/>
          <w:szCs w:val="24"/>
        </w:rPr>
        <w:t xml:space="preserve">Suffield </w:t>
      </w:r>
      <w:r w:rsidRPr="007C07E6">
        <w:rPr>
          <w:rFonts w:cs="Arial"/>
          <w:szCs w:val="24"/>
        </w:rPr>
        <w:t xml:space="preserve">v. </w:t>
      </w:r>
      <w:r w:rsidRPr="007C07E6">
        <w:rPr>
          <w:rFonts w:cs="Arial"/>
          <w:i/>
          <w:iCs/>
          <w:szCs w:val="24"/>
        </w:rPr>
        <w:t>Brown</w:t>
      </w:r>
      <w:r w:rsidR="007C07E6" w:rsidRPr="007C07E6">
        <w:rPr>
          <w:rStyle w:val="FootnoteReference"/>
          <w:rFonts w:cs="Arial"/>
          <w:i/>
          <w:iCs/>
          <w:szCs w:val="24"/>
        </w:rPr>
        <w:footnoteReference w:id="64"/>
      </w:r>
      <w:r w:rsidRPr="007C07E6">
        <w:rPr>
          <w:rFonts w:cs="Arial"/>
          <w:szCs w:val="24"/>
        </w:rPr>
        <w:t xml:space="preserve">, Lord Westbury's observations are to the effect that on a grant by an owner of an entire heritage, of part of that heritage as it is then used and enjoyed, there will pass to the grantee all those continuous and apparent easements which have been </w:t>
      </w:r>
      <w:r w:rsidRPr="007C07E6">
        <w:rPr>
          <w:rFonts w:cs="Arial"/>
          <w:i/>
          <w:iCs/>
          <w:szCs w:val="24"/>
        </w:rPr>
        <w:t xml:space="preserve">and are at the time of the grant used by the owner of the entirely for the benefit of the parcel granted. </w:t>
      </w:r>
      <w:r w:rsidRPr="007C07E6">
        <w:rPr>
          <w:rFonts w:cs="Arial"/>
          <w:szCs w:val="24"/>
        </w:rPr>
        <w:t xml:space="preserve">In the well known case of </w:t>
      </w:r>
      <w:r w:rsidRPr="007C07E6">
        <w:rPr>
          <w:rFonts w:cs="Arial"/>
          <w:i/>
          <w:iCs/>
          <w:szCs w:val="24"/>
        </w:rPr>
        <w:t xml:space="preserve">Wheeldon </w:t>
      </w:r>
      <w:r w:rsidRPr="007C07E6">
        <w:rPr>
          <w:rFonts w:cs="Arial"/>
          <w:szCs w:val="24"/>
        </w:rPr>
        <w:t xml:space="preserve">v. </w:t>
      </w:r>
      <w:r w:rsidRPr="007C07E6">
        <w:rPr>
          <w:rFonts w:cs="Arial"/>
          <w:i/>
          <w:iCs/>
          <w:szCs w:val="24"/>
        </w:rPr>
        <w:t>Burrows</w:t>
      </w:r>
      <w:r w:rsidR="007C07E6" w:rsidRPr="007C07E6">
        <w:rPr>
          <w:rStyle w:val="FootnoteReference"/>
          <w:rFonts w:cs="Arial"/>
          <w:i/>
          <w:iCs/>
          <w:szCs w:val="24"/>
        </w:rPr>
        <w:footnoteReference w:id="65"/>
      </w:r>
      <w:r w:rsidRPr="007C07E6">
        <w:rPr>
          <w:rFonts w:cs="Arial"/>
          <w:szCs w:val="24"/>
        </w:rPr>
        <w:t xml:space="preserve">, Thesiger L. J. says that on the grant by the owner of a tenement, of part of that tenement as it is then used and enjoyed there wall pass to the grantee all those apparent and continuous easements, or, in other words, all those easements which are necessary to the reasonable enjoyment of the property granted, and which have been and are </w:t>
      </w:r>
      <w:r w:rsidRPr="007C07E6">
        <w:rPr>
          <w:rFonts w:cs="Arial"/>
          <w:i/>
          <w:iCs/>
          <w:szCs w:val="24"/>
        </w:rPr>
        <w:t xml:space="preserve">at the time of the grant </w:t>
      </w:r>
      <w:r w:rsidRPr="007C07E6">
        <w:rPr>
          <w:rFonts w:cs="Arial"/>
          <w:szCs w:val="24"/>
        </w:rPr>
        <w:t>used by the owner of the entirety for the benefit of the part granted.</w:t>
      </w:r>
    </w:p>
    <w:p w:rsidR="00DA21E6" w:rsidRPr="007C07E6" w:rsidRDefault="00DA21E6" w:rsidP="000127F5">
      <w:pPr>
        <w:pStyle w:val="Reasons"/>
        <w:rPr>
          <w:rFonts w:cs="Arial"/>
          <w:szCs w:val="24"/>
        </w:rPr>
      </w:pPr>
      <w:r w:rsidRPr="007C07E6">
        <w:rPr>
          <w:rFonts w:cs="Arial"/>
          <w:szCs w:val="24"/>
        </w:rPr>
        <w:t>In this case, at the time of the grant, or at the time of the severance, there was in fact no existing user, or no means of using the property to the detriment of the alleged servient tenement. There was only some indication that many years previously there had been such a user.</w:t>
      </w:r>
    </w:p>
    <w:p w:rsidR="00DA21E6" w:rsidRPr="007C07E6" w:rsidRDefault="00DA21E6" w:rsidP="000127F5">
      <w:pPr>
        <w:pStyle w:val="Reasons"/>
        <w:rPr>
          <w:rFonts w:cs="Arial"/>
          <w:szCs w:val="24"/>
        </w:rPr>
      </w:pPr>
      <w:r w:rsidRPr="007C07E6">
        <w:rPr>
          <w:rFonts w:cs="Arial"/>
          <w:szCs w:val="24"/>
        </w:rPr>
        <w:t>I am of opinion, under the circumstances, that no easement such as is now claimed passed, and that the subsequent construction of the dam complained of, in so far as it in any way affected the operation of the defendant's mill up-stream, has no legal sanction.</w:t>
      </w:r>
    </w:p>
    <w:p w:rsidR="00DA21E6" w:rsidRPr="007C07E6" w:rsidRDefault="00DA21E6" w:rsidP="000127F5">
      <w:pPr>
        <w:pStyle w:val="Reasons"/>
        <w:rPr>
          <w:rFonts w:cs="Arial"/>
          <w:szCs w:val="24"/>
        </w:rPr>
      </w:pPr>
      <w:r w:rsidRPr="007C07E6">
        <w:rPr>
          <w:rFonts w:cs="Arial"/>
          <w:szCs w:val="24"/>
        </w:rPr>
        <w:t>This is not a case where there has been an accidental or temporary stoppage of an easement, as where a drain is blocked, or a way impeded, or a light obstructed. Accidental and temporary circumstances of this kind may not destroy the right to the easement, but where a way is absolutely destroyed, or a window boarded up</w:t>
      </w:r>
    </w:p>
    <w:p w:rsidR="00DA21E6" w:rsidRPr="007C07E6" w:rsidRDefault="004F3F92" w:rsidP="004F3F92">
      <w:pPr>
        <w:pStyle w:val="Page"/>
      </w:pPr>
      <w:r>
        <w:rPr>
          <w:rFonts w:cs="Arial"/>
          <w:smallCaps/>
          <w:szCs w:val="24"/>
        </w:rPr>
        <w:t>[</w:t>
      </w:r>
      <w:r w:rsidRPr="00563592">
        <w:rPr>
          <w:rFonts w:cs="Arial"/>
          <w:szCs w:val="24"/>
        </w:rPr>
        <w:t>Page</w:t>
      </w:r>
      <w:r>
        <w:rPr>
          <w:rFonts w:cs="Arial"/>
          <w:smallCaps/>
          <w:szCs w:val="24"/>
        </w:rPr>
        <w:t xml:space="preserve"> </w:t>
      </w:r>
      <w:r w:rsidR="00DA21E6" w:rsidRPr="007C07E6">
        <w:rPr>
          <w:rFonts w:cs="Arial"/>
          <w:szCs w:val="24"/>
        </w:rPr>
        <w:t>255]</w:t>
      </w:r>
    </w:p>
    <w:p w:rsidR="00DA21E6" w:rsidRPr="007C07E6" w:rsidRDefault="00DA21E6" w:rsidP="000127F5">
      <w:pPr>
        <w:pStyle w:val="Reasons"/>
        <w:rPr>
          <w:rFonts w:cs="Arial"/>
          <w:szCs w:val="24"/>
        </w:rPr>
      </w:pPr>
      <w:r w:rsidRPr="007C07E6">
        <w:rPr>
          <w:rFonts w:cs="Arial"/>
          <w:szCs w:val="24"/>
        </w:rPr>
        <w:lastRenderedPageBreak/>
        <w:t>for many years, we think, in that case, the fright is gone.</w:t>
      </w:r>
    </w:p>
    <w:p w:rsidR="00DA21E6" w:rsidRPr="007C07E6" w:rsidRDefault="00DA21E6" w:rsidP="000127F5">
      <w:pPr>
        <w:pStyle w:val="Reasons"/>
        <w:rPr>
          <w:rFonts w:cs="Arial"/>
          <w:szCs w:val="24"/>
        </w:rPr>
      </w:pPr>
      <w:r w:rsidRPr="007C07E6">
        <w:rPr>
          <w:rFonts w:cs="Arial"/>
          <w:szCs w:val="24"/>
        </w:rPr>
        <w:t>The appeal should be dismissed with costs, but there should be a variation of the decree restraining the plaintiff only from penning back the water otherwise than by the dam as existing at the time he purchased his mill.</w:t>
      </w:r>
    </w:p>
    <w:p w:rsidR="00DA21E6" w:rsidRPr="007C07E6" w:rsidRDefault="00DA21E6" w:rsidP="000127F5">
      <w:pPr>
        <w:pStyle w:val="Reasons"/>
      </w:pPr>
      <w:r w:rsidRPr="007C07E6">
        <w:t>Appeal dismissed with costs.</w:t>
      </w:r>
    </w:p>
    <w:p w:rsidR="00DA21E6" w:rsidRPr="007C07E6" w:rsidRDefault="00DA21E6" w:rsidP="000127F5">
      <w:pPr>
        <w:pStyle w:val="Sollicitors"/>
        <w:rPr>
          <w:iCs/>
        </w:rPr>
      </w:pPr>
      <w:r w:rsidRPr="007C07E6">
        <w:t xml:space="preserve">Solicitor for the appellant: </w:t>
      </w:r>
      <w:r w:rsidRPr="007C07E6">
        <w:rPr>
          <w:iCs/>
        </w:rPr>
        <w:t>William A. Henry.</w:t>
      </w:r>
    </w:p>
    <w:p w:rsidR="00DA21E6" w:rsidRDefault="00DA21E6" w:rsidP="000127F5">
      <w:pPr>
        <w:pStyle w:val="Sollicitors"/>
        <w:rPr>
          <w:iCs/>
        </w:rPr>
      </w:pPr>
      <w:r w:rsidRPr="007C07E6">
        <w:t xml:space="preserve">Solicitor for the respondent: </w:t>
      </w:r>
      <w:r w:rsidRPr="007C07E6">
        <w:rPr>
          <w:iCs/>
        </w:rPr>
        <w:t>Norman J. Layton.</w:t>
      </w:r>
    </w:p>
    <w:sectPr w:rsidR="00DA21E6" w:rsidSect="005943F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612" w:rsidRDefault="00096612" w:rsidP="005943FF">
      <w:r>
        <w:separator/>
      </w:r>
    </w:p>
  </w:endnote>
  <w:endnote w:type="continuationSeparator" w:id="1">
    <w:p w:rsidR="00096612" w:rsidRDefault="00096612" w:rsidP="00594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FF" w:rsidRDefault="005943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FF" w:rsidRDefault="005943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FF" w:rsidRDefault="00594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612" w:rsidRDefault="00096612" w:rsidP="005943FF">
      <w:r>
        <w:separator/>
      </w:r>
    </w:p>
  </w:footnote>
  <w:footnote w:type="continuationSeparator" w:id="1">
    <w:p w:rsidR="00096612" w:rsidRDefault="00096612" w:rsidP="005943FF">
      <w:r>
        <w:continuationSeparator/>
      </w:r>
    </w:p>
  </w:footnote>
  <w:footnote w:id="2">
    <w:p w:rsidR="007C07E6" w:rsidRPr="007C07E6" w:rsidRDefault="007C07E6">
      <w:pPr>
        <w:pStyle w:val="FootnoteText"/>
        <w:rPr>
          <w:lang w:val="en-US"/>
        </w:rPr>
      </w:pPr>
      <w:r>
        <w:rPr>
          <w:rStyle w:val="FootnoteReference"/>
        </w:rPr>
        <w:footnoteRef/>
      </w:r>
      <w:r>
        <w:t xml:space="preserve"> </w:t>
      </w:r>
      <w:r>
        <w:rPr>
          <w:rFonts w:cs="Arial"/>
          <w:szCs w:val="24"/>
        </w:rPr>
        <w:t>32 N. S. Rep. 340.</w:t>
      </w:r>
    </w:p>
  </w:footnote>
  <w:footnote w:id="3">
    <w:p w:rsidR="007C07E6" w:rsidRPr="007C07E6" w:rsidRDefault="007C07E6">
      <w:pPr>
        <w:pStyle w:val="FootnoteText"/>
        <w:rPr>
          <w:lang w:val="en-US"/>
        </w:rPr>
      </w:pPr>
      <w:r>
        <w:rPr>
          <w:rStyle w:val="FootnoteReference"/>
        </w:rPr>
        <w:footnoteRef/>
      </w:r>
      <w:r>
        <w:t xml:space="preserve"> </w:t>
      </w:r>
      <w:r>
        <w:rPr>
          <w:rFonts w:cs="Arial"/>
          <w:szCs w:val="24"/>
        </w:rPr>
        <w:t>32 N. S. Rep. 340.</w:t>
      </w:r>
    </w:p>
  </w:footnote>
  <w:footnote w:id="4">
    <w:p w:rsidR="007C07E6" w:rsidRPr="007C07E6" w:rsidRDefault="007C07E6">
      <w:pPr>
        <w:pStyle w:val="FootnoteText"/>
        <w:rPr>
          <w:lang w:val="en-US"/>
        </w:rPr>
      </w:pPr>
      <w:r>
        <w:rPr>
          <w:rStyle w:val="FootnoteReference"/>
        </w:rPr>
        <w:footnoteRef/>
      </w:r>
      <w:r>
        <w:t xml:space="preserve"> </w:t>
      </w:r>
      <w:r>
        <w:rPr>
          <w:rFonts w:cs="Arial"/>
          <w:szCs w:val="24"/>
        </w:rPr>
        <w:t>6 Ch. App. 166.</w:t>
      </w:r>
    </w:p>
  </w:footnote>
  <w:footnote w:id="5">
    <w:p w:rsidR="007C07E6" w:rsidRPr="007C07E6" w:rsidRDefault="007C07E6">
      <w:pPr>
        <w:pStyle w:val="FootnoteText"/>
        <w:rPr>
          <w:lang w:val="en-US"/>
        </w:rPr>
      </w:pPr>
      <w:r>
        <w:rPr>
          <w:rStyle w:val="FootnoteReference"/>
        </w:rPr>
        <w:footnoteRef/>
      </w:r>
      <w:r>
        <w:t xml:space="preserve"> </w:t>
      </w:r>
      <w:r>
        <w:rPr>
          <w:rFonts w:cs="Arial"/>
          <w:szCs w:val="24"/>
        </w:rPr>
        <w:t>10 Can. S. C. R. 425.</w:t>
      </w:r>
    </w:p>
  </w:footnote>
  <w:footnote w:id="6">
    <w:p w:rsidR="007C07E6" w:rsidRPr="007C07E6" w:rsidRDefault="007C07E6">
      <w:pPr>
        <w:pStyle w:val="FootnoteText"/>
        <w:rPr>
          <w:lang w:val="en-US"/>
        </w:rPr>
      </w:pPr>
      <w:r>
        <w:rPr>
          <w:rStyle w:val="FootnoteReference"/>
        </w:rPr>
        <w:footnoteRef/>
      </w:r>
      <w:r>
        <w:t xml:space="preserve"> </w:t>
      </w:r>
      <w:r>
        <w:rPr>
          <w:rFonts w:cs="Arial"/>
          <w:szCs w:val="24"/>
        </w:rPr>
        <w:t>L. R. 1 Q. B. 156.</w:t>
      </w:r>
    </w:p>
  </w:footnote>
  <w:footnote w:id="7">
    <w:p w:rsidR="007C07E6" w:rsidRPr="007C07E6" w:rsidRDefault="007C07E6">
      <w:pPr>
        <w:pStyle w:val="FootnoteText"/>
        <w:rPr>
          <w:lang w:val="en-US"/>
        </w:rPr>
      </w:pPr>
      <w:r>
        <w:rPr>
          <w:rStyle w:val="FootnoteReference"/>
        </w:rPr>
        <w:footnoteRef/>
      </w:r>
      <w:r>
        <w:t xml:space="preserve"> </w:t>
      </w:r>
      <w:r>
        <w:rPr>
          <w:rFonts w:cs="Arial"/>
          <w:szCs w:val="24"/>
        </w:rPr>
        <w:t>1 H. &amp; C 676.</w:t>
      </w:r>
    </w:p>
  </w:footnote>
  <w:footnote w:id="8">
    <w:p w:rsidR="007C07E6" w:rsidRPr="007C07E6" w:rsidRDefault="007C07E6">
      <w:pPr>
        <w:pStyle w:val="FootnoteText"/>
        <w:rPr>
          <w:lang w:val="en-US"/>
        </w:rPr>
      </w:pPr>
      <w:r>
        <w:rPr>
          <w:rStyle w:val="FootnoteReference"/>
        </w:rPr>
        <w:footnoteRef/>
      </w:r>
      <w:r>
        <w:t xml:space="preserve"> </w:t>
      </w:r>
      <w:r>
        <w:rPr>
          <w:rFonts w:cs="Arial"/>
          <w:szCs w:val="24"/>
        </w:rPr>
        <w:t>2 E. &amp; E. 618.</w:t>
      </w:r>
    </w:p>
  </w:footnote>
  <w:footnote w:id="9">
    <w:p w:rsidR="007C07E6" w:rsidRPr="007C07E6" w:rsidRDefault="007C07E6">
      <w:pPr>
        <w:pStyle w:val="FootnoteText"/>
        <w:rPr>
          <w:lang w:val="en-US"/>
        </w:rPr>
      </w:pPr>
      <w:r>
        <w:rPr>
          <w:rStyle w:val="FootnoteReference"/>
        </w:rPr>
        <w:footnoteRef/>
      </w:r>
      <w:r>
        <w:t xml:space="preserve"> </w:t>
      </w:r>
      <w:r>
        <w:rPr>
          <w:rFonts w:cs="Arial"/>
          <w:szCs w:val="24"/>
        </w:rPr>
        <w:t>Croke Jac. 121.</w:t>
      </w:r>
    </w:p>
  </w:footnote>
  <w:footnote w:id="10">
    <w:p w:rsidR="007C07E6" w:rsidRPr="007C07E6" w:rsidRDefault="007C07E6">
      <w:pPr>
        <w:pStyle w:val="FootnoteText"/>
        <w:rPr>
          <w:lang w:val="en-US"/>
        </w:rPr>
      </w:pPr>
      <w:r>
        <w:rPr>
          <w:rStyle w:val="FootnoteReference"/>
        </w:rPr>
        <w:footnoteRef/>
      </w:r>
      <w:r>
        <w:t xml:space="preserve"> </w:t>
      </w:r>
      <w:r>
        <w:rPr>
          <w:rFonts w:cs="Arial"/>
          <w:szCs w:val="24"/>
        </w:rPr>
        <w:t>37 Ch. D. 490.</w:t>
      </w:r>
    </w:p>
  </w:footnote>
  <w:footnote w:id="11">
    <w:p w:rsidR="007C07E6" w:rsidRPr="007C07E6" w:rsidRDefault="007C07E6">
      <w:pPr>
        <w:pStyle w:val="FootnoteText"/>
        <w:rPr>
          <w:lang w:val="en-US"/>
        </w:rPr>
      </w:pPr>
      <w:r>
        <w:rPr>
          <w:rStyle w:val="FootnoteReference"/>
        </w:rPr>
        <w:footnoteRef/>
      </w:r>
      <w:r>
        <w:t xml:space="preserve"> </w:t>
      </w:r>
      <w:r>
        <w:rPr>
          <w:rFonts w:cs="Arial"/>
          <w:szCs w:val="24"/>
        </w:rPr>
        <w:t>20 Q. B. D. 225.</w:t>
      </w:r>
    </w:p>
  </w:footnote>
  <w:footnote w:id="12">
    <w:p w:rsidR="007C07E6" w:rsidRPr="007C07E6" w:rsidRDefault="007C07E6">
      <w:pPr>
        <w:pStyle w:val="FootnoteText"/>
        <w:rPr>
          <w:lang w:val="en-US"/>
        </w:rPr>
      </w:pPr>
      <w:r>
        <w:rPr>
          <w:rStyle w:val="FootnoteReference"/>
        </w:rPr>
        <w:footnoteRef/>
      </w:r>
      <w:r>
        <w:t xml:space="preserve"> </w:t>
      </w:r>
      <w:r>
        <w:rPr>
          <w:rFonts w:cs="Arial"/>
          <w:szCs w:val="24"/>
        </w:rPr>
        <w:t>24 U. C. C. P. 611.</w:t>
      </w:r>
    </w:p>
  </w:footnote>
  <w:footnote w:id="13">
    <w:p w:rsidR="007C07E6" w:rsidRPr="007C07E6" w:rsidRDefault="007C07E6">
      <w:pPr>
        <w:pStyle w:val="FootnoteText"/>
        <w:rPr>
          <w:lang w:val="en-US"/>
        </w:rPr>
      </w:pPr>
      <w:r>
        <w:rPr>
          <w:rStyle w:val="FootnoteReference"/>
        </w:rPr>
        <w:footnoteRef/>
      </w:r>
      <w:r>
        <w:t xml:space="preserve"> </w:t>
      </w:r>
      <w:r>
        <w:rPr>
          <w:rFonts w:cs="Arial"/>
          <w:szCs w:val="24"/>
        </w:rPr>
        <w:t>1 B. &amp; S. 571; 3 B. &amp; S. 761.</w:t>
      </w:r>
    </w:p>
  </w:footnote>
  <w:footnote w:id="14">
    <w:p w:rsidR="007C07E6" w:rsidRPr="007C07E6" w:rsidRDefault="007C07E6">
      <w:pPr>
        <w:pStyle w:val="FootnoteText"/>
        <w:rPr>
          <w:lang w:val="en-US"/>
        </w:rPr>
      </w:pPr>
      <w:r>
        <w:rPr>
          <w:rStyle w:val="FootnoteReference"/>
        </w:rPr>
        <w:footnoteRef/>
      </w:r>
      <w:r>
        <w:t xml:space="preserve"> </w:t>
      </w:r>
      <w:r>
        <w:rPr>
          <w:rFonts w:cs="Arial"/>
          <w:szCs w:val="24"/>
        </w:rPr>
        <w:t>12 Ch. D. 31.</w:t>
      </w:r>
    </w:p>
  </w:footnote>
  <w:footnote w:id="15">
    <w:p w:rsidR="007C07E6" w:rsidRPr="007C07E6" w:rsidRDefault="007C07E6">
      <w:pPr>
        <w:pStyle w:val="FootnoteText"/>
        <w:rPr>
          <w:lang w:val="en-US"/>
        </w:rPr>
      </w:pPr>
      <w:r>
        <w:rPr>
          <w:rStyle w:val="FootnoteReference"/>
        </w:rPr>
        <w:footnoteRef/>
      </w:r>
      <w:r>
        <w:t xml:space="preserve"> </w:t>
      </w:r>
      <w:r>
        <w:rPr>
          <w:rFonts w:cs="Arial"/>
          <w:szCs w:val="24"/>
        </w:rPr>
        <w:t>7 Jar. N. S. 925; 4 Macq. H. L. 117.</w:t>
      </w:r>
    </w:p>
  </w:footnote>
  <w:footnote w:id="16">
    <w:p w:rsidR="007C07E6" w:rsidRPr="007C07E6" w:rsidRDefault="007C07E6">
      <w:pPr>
        <w:pStyle w:val="FootnoteText"/>
        <w:rPr>
          <w:lang w:val="en-US"/>
        </w:rPr>
      </w:pPr>
      <w:r>
        <w:rPr>
          <w:rStyle w:val="FootnoteReference"/>
        </w:rPr>
        <w:footnoteRef/>
      </w:r>
      <w:r>
        <w:t xml:space="preserve"> </w:t>
      </w:r>
      <w:r>
        <w:rPr>
          <w:rFonts w:cs="Arial"/>
          <w:szCs w:val="24"/>
        </w:rPr>
        <w:t>1 Pr. 27.</w:t>
      </w:r>
    </w:p>
  </w:footnote>
  <w:footnote w:id="17">
    <w:p w:rsidR="007C07E6" w:rsidRPr="007C07E6" w:rsidRDefault="007C07E6">
      <w:pPr>
        <w:pStyle w:val="FootnoteText"/>
        <w:rPr>
          <w:lang w:val="en-US"/>
        </w:rPr>
      </w:pPr>
      <w:r>
        <w:rPr>
          <w:rStyle w:val="FootnoteReference"/>
        </w:rPr>
        <w:footnoteRef/>
      </w:r>
      <w:r>
        <w:t xml:space="preserve"> </w:t>
      </w:r>
      <w:r>
        <w:rPr>
          <w:rFonts w:cs="Arial"/>
          <w:szCs w:val="24"/>
        </w:rPr>
        <w:t>9 Bing. 305.</w:t>
      </w:r>
    </w:p>
  </w:footnote>
  <w:footnote w:id="18">
    <w:p w:rsidR="007C07E6" w:rsidRPr="007C07E6" w:rsidRDefault="007C07E6">
      <w:pPr>
        <w:pStyle w:val="FootnoteText"/>
        <w:rPr>
          <w:lang w:val="en-US"/>
        </w:rPr>
      </w:pPr>
      <w:r>
        <w:rPr>
          <w:rStyle w:val="FootnoteReference"/>
        </w:rPr>
        <w:footnoteRef/>
      </w:r>
      <w:r>
        <w:t xml:space="preserve"> </w:t>
      </w:r>
      <w:r>
        <w:rPr>
          <w:rFonts w:cs="Arial"/>
          <w:szCs w:val="24"/>
        </w:rPr>
        <w:t>16 Ch. D. 355.</w:t>
      </w:r>
    </w:p>
  </w:footnote>
  <w:footnote w:id="19">
    <w:p w:rsidR="007C07E6" w:rsidRPr="007C07E6" w:rsidRDefault="007C07E6">
      <w:pPr>
        <w:pStyle w:val="FootnoteText"/>
        <w:rPr>
          <w:lang w:val="en-US"/>
        </w:rPr>
      </w:pPr>
      <w:r>
        <w:rPr>
          <w:rStyle w:val="FootnoteReference"/>
        </w:rPr>
        <w:footnoteRef/>
      </w:r>
      <w:r>
        <w:t xml:space="preserve"> </w:t>
      </w:r>
      <w:r>
        <w:rPr>
          <w:rFonts w:cs="Arial"/>
          <w:szCs w:val="24"/>
        </w:rPr>
        <w:t>4 Q. B. D. 494.</w:t>
      </w:r>
    </w:p>
  </w:footnote>
  <w:footnote w:id="20">
    <w:p w:rsidR="007C07E6" w:rsidRPr="007C07E6" w:rsidRDefault="007C07E6">
      <w:pPr>
        <w:pStyle w:val="FootnoteText"/>
        <w:rPr>
          <w:lang w:val="en-US"/>
        </w:rPr>
      </w:pPr>
      <w:r>
        <w:rPr>
          <w:rStyle w:val="FootnoteReference"/>
        </w:rPr>
        <w:footnoteRef/>
      </w:r>
      <w:r>
        <w:t xml:space="preserve"> </w:t>
      </w:r>
      <w:r>
        <w:rPr>
          <w:rFonts w:cs="Arial"/>
          <w:szCs w:val="24"/>
        </w:rPr>
        <w:t>21 Ch. D. 559.</w:t>
      </w:r>
    </w:p>
  </w:footnote>
  <w:footnote w:id="21">
    <w:p w:rsidR="007C07E6" w:rsidRPr="007C07E6" w:rsidRDefault="007C07E6">
      <w:pPr>
        <w:pStyle w:val="FootnoteText"/>
        <w:rPr>
          <w:lang w:val="en-US"/>
        </w:rPr>
      </w:pPr>
      <w:r>
        <w:rPr>
          <w:rStyle w:val="FootnoteReference"/>
        </w:rPr>
        <w:footnoteRef/>
      </w:r>
      <w:r>
        <w:t xml:space="preserve"> </w:t>
      </w:r>
      <w:r>
        <w:rPr>
          <w:rFonts w:cs="Arial"/>
          <w:szCs w:val="24"/>
        </w:rPr>
        <w:t>25 Ch. D. 559.</w:t>
      </w:r>
    </w:p>
  </w:footnote>
  <w:footnote w:id="22">
    <w:p w:rsidR="007C07E6" w:rsidRPr="007C07E6" w:rsidRDefault="007C07E6">
      <w:pPr>
        <w:pStyle w:val="FootnoteText"/>
        <w:rPr>
          <w:lang w:val="en-US"/>
        </w:rPr>
      </w:pPr>
      <w:r>
        <w:rPr>
          <w:rStyle w:val="FootnoteReference"/>
        </w:rPr>
        <w:footnoteRef/>
      </w:r>
      <w:r>
        <w:rPr>
          <w:rFonts w:cs="Arial"/>
          <w:szCs w:val="24"/>
        </w:rPr>
        <w:t xml:space="preserve"> [1892] 1 Ch. 47.</w:t>
      </w:r>
    </w:p>
  </w:footnote>
  <w:footnote w:id="23">
    <w:p w:rsidR="007C07E6" w:rsidRPr="007C07E6" w:rsidRDefault="007C07E6">
      <w:pPr>
        <w:pStyle w:val="FootnoteText"/>
        <w:rPr>
          <w:lang w:val="en-US"/>
        </w:rPr>
      </w:pPr>
      <w:r>
        <w:rPr>
          <w:rStyle w:val="FootnoteReference"/>
        </w:rPr>
        <w:footnoteRef/>
      </w:r>
      <w:r>
        <w:t xml:space="preserve"> </w:t>
      </w:r>
      <w:r>
        <w:rPr>
          <w:rFonts w:cs="Arial"/>
          <w:szCs w:val="24"/>
        </w:rPr>
        <w:t>19 N. B. Rep. 591.</w:t>
      </w:r>
    </w:p>
  </w:footnote>
  <w:footnote w:id="24">
    <w:p w:rsidR="007C07E6" w:rsidRPr="007C07E6" w:rsidRDefault="007C07E6">
      <w:pPr>
        <w:pStyle w:val="FootnoteText"/>
        <w:rPr>
          <w:lang w:val="en-US"/>
        </w:rPr>
      </w:pPr>
      <w:r>
        <w:rPr>
          <w:rStyle w:val="FootnoteReference"/>
        </w:rPr>
        <w:footnoteRef/>
      </w:r>
      <w:r>
        <w:t xml:space="preserve"> </w:t>
      </w:r>
      <w:r>
        <w:rPr>
          <w:rFonts w:cs="Arial"/>
          <w:szCs w:val="24"/>
        </w:rPr>
        <w:t>L. R. 4 Ex. 126.</w:t>
      </w:r>
    </w:p>
  </w:footnote>
  <w:footnote w:id="25">
    <w:p w:rsidR="007C07E6" w:rsidRPr="007C07E6" w:rsidRDefault="007C07E6">
      <w:pPr>
        <w:pStyle w:val="FootnoteText"/>
        <w:rPr>
          <w:lang w:val="en-US"/>
        </w:rPr>
      </w:pPr>
      <w:r>
        <w:rPr>
          <w:rStyle w:val="FootnoteReference"/>
        </w:rPr>
        <w:footnoteRef/>
      </w:r>
      <w:r>
        <w:t xml:space="preserve"> </w:t>
      </w:r>
      <w:r>
        <w:rPr>
          <w:rFonts w:cs="Arial"/>
          <w:szCs w:val="24"/>
        </w:rPr>
        <w:t>[1894] 3 Ch. 659.</w:t>
      </w:r>
    </w:p>
  </w:footnote>
  <w:footnote w:id="26">
    <w:p w:rsidR="007C07E6" w:rsidRPr="007C07E6" w:rsidRDefault="007C07E6">
      <w:pPr>
        <w:pStyle w:val="FootnoteText"/>
        <w:rPr>
          <w:lang w:val="en-US"/>
        </w:rPr>
      </w:pPr>
      <w:r>
        <w:rPr>
          <w:rStyle w:val="FootnoteReference"/>
        </w:rPr>
        <w:footnoteRef/>
      </w:r>
      <w:r>
        <w:t xml:space="preserve"> </w:t>
      </w:r>
      <w:r>
        <w:rPr>
          <w:rFonts w:cs="Arial"/>
          <w:szCs w:val="24"/>
        </w:rPr>
        <w:t>14 M. &amp; W. 789.</w:t>
      </w:r>
    </w:p>
  </w:footnote>
  <w:footnote w:id="27">
    <w:p w:rsidR="007C07E6" w:rsidRPr="007C07E6" w:rsidRDefault="007C07E6">
      <w:pPr>
        <w:pStyle w:val="FootnoteText"/>
        <w:rPr>
          <w:lang w:val="en-US"/>
        </w:rPr>
      </w:pPr>
      <w:r>
        <w:rPr>
          <w:rStyle w:val="FootnoteReference"/>
        </w:rPr>
        <w:footnoteRef/>
      </w:r>
      <w:r>
        <w:t xml:space="preserve"> </w:t>
      </w:r>
      <w:r>
        <w:rPr>
          <w:rFonts w:cs="Arial"/>
          <w:szCs w:val="24"/>
        </w:rPr>
        <w:t>8 E. &amp; B. 31.</w:t>
      </w:r>
    </w:p>
  </w:footnote>
  <w:footnote w:id="28">
    <w:p w:rsidR="007C07E6" w:rsidRPr="007C07E6" w:rsidRDefault="007C07E6">
      <w:pPr>
        <w:pStyle w:val="FootnoteText"/>
        <w:rPr>
          <w:lang w:val="en-US"/>
        </w:rPr>
      </w:pPr>
      <w:r>
        <w:rPr>
          <w:rStyle w:val="FootnoteReference"/>
        </w:rPr>
        <w:footnoteRef/>
      </w:r>
      <w:r>
        <w:t xml:space="preserve"> </w:t>
      </w:r>
      <w:r>
        <w:rPr>
          <w:rFonts w:cs="Arial"/>
          <w:szCs w:val="24"/>
        </w:rPr>
        <w:t>14 Ch. D. 213.</w:t>
      </w:r>
    </w:p>
  </w:footnote>
  <w:footnote w:id="29">
    <w:p w:rsidR="007C07E6" w:rsidRPr="007C07E6" w:rsidRDefault="007C07E6">
      <w:pPr>
        <w:pStyle w:val="FootnoteText"/>
        <w:rPr>
          <w:lang w:val="en-US"/>
        </w:rPr>
      </w:pPr>
      <w:r>
        <w:rPr>
          <w:rStyle w:val="FootnoteReference"/>
        </w:rPr>
        <w:footnoteRef/>
      </w:r>
      <w:r>
        <w:t xml:space="preserve"> </w:t>
      </w:r>
      <w:r>
        <w:rPr>
          <w:rFonts w:cs="Arial"/>
          <w:szCs w:val="24"/>
        </w:rPr>
        <w:t>16 Ves. 390.</w:t>
      </w:r>
    </w:p>
  </w:footnote>
  <w:footnote w:id="30">
    <w:p w:rsidR="007C07E6" w:rsidRPr="007C07E6" w:rsidRDefault="007C07E6">
      <w:pPr>
        <w:pStyle w:val="FootnoteText"/>
        <w:rPr>
          <w:lang w:val="en-US"/>
        </w:rPr>
      </w:pPr>
      <w:r>
        <w:rPr>
          <w:rStyle w:val="FootnoteReference"/>
        </w:rPr>
        <w:footnoteRef/>
      </w:r>
      <w:r>
        <w:t xml:space="preserve"> </w:t>
      </w:r>
      <w:r>
        <w:rPr>
          <w:rFonts w:cs="Arial"/>
          <w:szCs w:val="24"/>
        </w:rPr>
        <w:t>1 Bing. N. C. 549.</w:t>
      </w:r>
    </w:p>
  </w:footnote>
  <w:footnote w:id="31">
    <w:p w:rsidR="007C07E6" w:rsidRPr="007C07E6" w:rsidRDefault="007C07E6">
      <w:pPr>
        <w:pStyle w:val="FootnoteText"/>
        <w:rPr>
          <w:lang w:val="en-US"/>
        </w:rPr>
      </w:pPr>
      <w:r>
        <w:rPr>
          <w:rStyle w:val="FootnoteReference"/>
        </w:rPr>
        <w:footnoteRef/>
      </w:r>
      <w:r>
        <w:t xml:space="preserve"> </w:t>
      </w:r>
      <w:r>
        <w:rPr>
          <w:rFonts w:cs="Arial"/>
          <w:szCs w:val="24"/>
        </w:rPr>
        <w:t>[1893] A. C. 162.</w:t>
      </w:r>
    </w:p>
  </w:footnote>
  <w:footnote w:id="32">
    <w:p w:rsidR="007C07E6" w:rsidRPr="007C07E6" w:rsidRDefault="007C07E6">
      <w:pPr>
        <w:pStyle w:val="FootnoteText"/>
        <w:rPr>
          <w:lang w:val="en-US"/>
        </w:rPr>
      </w:pPr>
      <w:r>
        <w:rPr>
          <w:rStyle w:val="FootnoteReference"/>
        </w:rPr>
        <w:footnoteRef/>
      </w:r>
      <w:r>
        <w:t xml:space="preserve"> </w:t>
      </w:r>
      <w:r>
        <w:rPr>
          <w:rFonts w:cs="Arial"/>
          <w:szCs w:val="24"/>
        </w:rPr>
        <w:t>7 Ex. 838.</w:t>
      </w:r>
    </w:p>
  </w:footnote>
  <w:footnote w:id="33">
    <w:p w:rsidR="007C07E6" w:rsidRPr="007C07E6" w:rsidRDefault="007C07E6">
      <w:pPr>
        <w:pStyle w:val="FootnoteText"/>
        <w:rPr>
          <w:lang w:val="en-US"/>
        </w:rPr>
      </w:pPr>
      <w:r>
        <w:rPr>
          <w:rStyle w:val="FootnoteReference"/>
        </w:rPr>
        <w:footnoteRef/>
      </w:r>
      <w:r>
        <w:t xml:space="preserve"> </w:t>
      </w:r>
      <w:r>
        <w:rPr>
          <w:rFonts w:cs="Arial"/>
          <w:szCs w:val="24"/>
        </w:rPr>
        <w:t>L. R. 3 Eq. 279; 2 Ch. App. 478.</w:t>
      </w:r>
    </w:p>
  </w:footnote>
  <w:footnote w:id="34">
    <w:p w:rsidR="007C07E6" w:rsidRPr="007C07E6" w:rsidRDefault="007C07E6">
      <w:pPr>
        <w:pStyle w:val="FootnoteText"/>
        <w:rPr>
          <w:lang w:val="en-US"/>
        </w:rPr>
      </w:pPr>
      <w:r>
        <w:rPr>
          <w:rStyle w:val="FootnoteReference"/>
        </w:rPr>
        <w:footnoteRef/>
      </w:r>
      <w:r>
        <w:t xml:space="preserve"> </w:t>
      </w:r>
      <w:r>
        <w:rPr>
          <w:rFonts w:cs="Arial"/>
          <w:szCs w:val="24"/>
        </w:rPr>
        <w:t>12 Q. R. 515.</w:t>
      </w:r>
    </w:p>
  </w:footnote>
  <w:footnote w:id="35">
    <w:p w:rsidR="007C07E6" w:rsidRPr="007C07E6" w:rsidRDefault="007C07E6">
      <w:pPr>
        <w:pStyle w:val="FootnoteText"/>
        <w:rPr>
          <w:lang w:val="en-US"/>
        </w:rPr>
      </w:pPr>
      <w:r>
        <w:rPr>
          <w:rStyle w:val="FootnoteReference"/>
        </w:rPr>
        <w:footnoteRef/>
      </w:r>
      <w:r>
        <w:t xml:space="preserve"> </w:t>
      </w:r>
      <w:r>
        <w:rPr>
          <w:rFonts w:cs="Arial"/>
          <w:szCs w:val="24"/>
        </w:rPr>
        <w:t>3 Taunt. 24.</w:t>
      </w:r>
    </w:p>
  </w:footnote>
  <w:footnote w:id="36">
    <w:p w:rsidR="007C07E6" w:rsidRPr="007C07E6" w:rsidRDefault="007C07E6">
      <w:pPr>
        <w:pStyle w:val="FootnoteText"/>
        <w:rPr>
          <w:lang w:val="en-US"/>
        </w:rPr>
      </w:pPr>
      <w:r>
        <w:rPr>
          <w:rStyle w:val="FootnoteReference"/>
        </w:rPr>
        <w:footnoteRef/>
      </w:r>
      <w:r>
        <w:t xml:space="preserve"> </w:t>
      </w:r>
      <w:r>
        <w:rPr>
          <w:rFonts w:cs="Arial"/>
          <w:szCs w:val="24"/>
        </w:rPr>
        <w:t>6 M. &amp; W. 174.</w:t>
      </w:r>
    </w:p>
  </w:footnote>
  <w:footnote w:id="37">
    <w:p w:rsidR="007C07E6" w:rsidRPr="007C07E6" w:rsidRDefault="007C07E6">
      <w:pPr>
        <w:pStyle w:val="FootnoteText"/>
        <w:rPr>
          <w:lang w:val="en-US"/>
        </w:rPr>
      </w:pPr>
      <w:r>
        <w:rPr>
          <w:rStyle w:val="FootnoteReference"/>
        </w:rPr>
        <w:footnoteRef/>
      </w:r>
      <w:r>
        <w:t xml:space="preserve"> </w:t>
      </w:r>
      <w:r>
        <w:rPr>
          <w:rFonts w:cs="Arial"/>
          <w:szCs w:val="24"/>
        </w:rPr>
        <w:t>4 Macq. H. L. 117.</w:t>
      </w:r>
    </w:p>
  </w:footnote>
  <w:footnote w:id="38">
    <w:p w:rsidR="007C07E6" w:rsidRPr="007C07E6" w:rsidRDefault="007C07E6">
      <w:pPr>
        <w:pStyle w:val="FootnoteText"/>
        <w:rPr>
          <w:lang w:val="en-US"/>
        </w:rPr>
      </w:pPr>
      <w:r>
        <w:rPr>
          <w:rStyle w:val="FootnoteReference"/>
        </w:rPr>
        <w:footnoteRef/>
      </w:r>
      <w:r>
        <w:t xml:space="preserve"> </w:t>
      </w:r>
      <w:r>
        <w:rPr>
          <w:rFonts w:cs="Arial"/>
          <w:szCs w:val="24"/>
        </w:rPr>
        <w:t>37 Ch. D. 490.</w:t>
      </w:r>
    </w:p>
  </w:footnote>
  <w:footnote w:id="39">
    <w:p w:rsidR="007C07E6" w:rsidRPr="007C07E6" w:rsidRDefault="007C07E6">
      <w:pPr>
        <w:pStyle w:val="FootnoteText"/>
        <w:rPr>
          <w:lang w:val="en-US"/>
        </w:rPr>
      </w:pPr>
      <w:r>
        <w:rPr>
          <w:rStyle w:val="FootnoteReference"/>
        </w:rPr>
        <w:footnoteRef/>
      </w:r>
      <w:r>
        <w:t xml:space="preserve"> </w:t>
      </w:r>
      <w:r>
        <w:rPr>
          <w:rFonts w:cs="Arial"/>
          <w:szCs w:val="24"/>
        </w:rPr>
        <w:t>10 Ruling Cases, 35, 46, notes pp. 54-60.</w:t>
      </w:r>
    </w:p>
  </w:footnote>
  <w:footnote w:id="40">
    <w:p w:rsidR="007C07E6" w:rsidRPr="007C07E6" w:rsidRDefault="007C07E6">
      <w:pPr>
        <w:pStyle w:val="FootnoteText"/>
        <w:rPr>
          <w:lang w:val="en-US"/>
        </w:rPr>
      </w:pPr>
      <w:r>
        <w:rPr>
          <w:rStyle w:val="FootnoteReference"/>
        </w:rPr>
        <w:footnoteRef/>
      </w:r>
      <w:r>
        <w:t xml:space="preserve"> </w:t>
      </w:r>
      <w:r>
        <w:rPr>
          <w:rFonts w:cs="Arial"/>
          <w:szCs w:val="24"/>
        </w:rPr>
        <w:t>17 Me. 281.</w:t>
      </w:r>
    </w:p>
  </w:footnote>
  <w:footnote w:id="41">
    <w:p w:rsidR="007C07E6" w:rsidRPr="007C07E6" w:rsidRDefault="007C07E6">
      <w:pPr>
        <w:pStyle w:val="FootnoteText"/>
        <w:rPr>
          <w:lang w:val="en-US"/>
        </w:rPr>
      </w:pPr>
      <w:r>
        <w:rPr>
          <w:rStyle w:val="FootnoteReference"/>
        </w:rPr>
        <w:footnoteRef/>
      </w:r>
      <w:r>
        <w:t xml:space="preserve"> </w:t>
      </w:r>
      <w:r>
        <w:rPr>
          <w:rFonts w:cs="Arial"/>
          <w:szCs w:val="24"/>
        </w:rPr>
        <w:t>25 Am. Dec. 228.</w:t>
      </w:r>
    </w:p>
  </w:footnote>
  <w:footnote w:id="42">
    <w:p w:rsidR="007C07E6" w:rsidRPr="007C07E6" w:rsidRDefault="007C07E6">
      <w:pPr>
        <w:pStyle w:val="FootnoteText"/>
        <w:rPr>
          <w:lang w:val="en-US"/>
        </w:rPr>
      </w:pPr>
      <w:r>
        <w:rPr>
          <w:rStyle w:val="FootnoteReference"/>
        </w:rPr>
        <w:footnoteRef/>
      </w:r>
      <w:r>
        <w:t xml:space="preserve"> </w:t>
      </w:r>
      <w:r>
        <w:rPr>
          <w:rFonts w:cs="Arial"/>
          <w:szCs w:val="24"/>
        </w:rPr>
        <w:t>73 Me. 472.</w:t>
      </w:r>
    </w:p>
  </w:footnote>
  <w:footnote w:id="43">
    <w:p w:rsidR="007C07E6" w:rsidRPr="007C07E6" w:rsidRDefault="007C07E6">
      <w:pPr>
        <w:pStyle w:val="FootnoteText"/>
        <w:rPr>
          <w:lang w:val="en-US"/>
        </w:rPr>
      </w:pPr>
      <w:r>
        <w:rPr>
          <w:rStyle w:val="FootnoteReference"/>
        </w:rPr>
        <w:footnoteRef/>
      </w:r>
      <w:r>
        <w:t xml:space="preserve"> </w:t>
      </w:r>
      <w:r>
        <w:rPr>
          <w:rFonts w:cs="Arial"/>
          <w:szCs w:val="24"/>
        </w:rPr>
        <w:t>15 Gray (Mass.) 154.</w:t>
      </w:r>
    </w:p>
  </w:footnote>
  <w:footnote w:id="44">
    <w:p w:rsidR="007C07E6" w:rsidRPr="007C07E6" w:rsidRDefault="007C07E6">
      <w:pPr>
        <w:pStyle w:val="FootnoteText"/>
        <w:rPr>
          <w:lang w:val="en-US"/>
        </w:rPr>
      </w:pPr>
      <w:r>
        <w:rPr>
          <w:rStyle w:val="FootnoteReference"/>
        </w:rPr>
        <w:footnoteRef/>
      </w:r>
      <w:r>
        <w:t xml:space="preserve"> </w:t>
      </w:r>
      <w:r>
        <w:rPr>
          <w:rFonts w:cs="Arial"/>
          <w:szCs w:val="24"/>
        </w:rPr>
        <w:t>55 Am. Rep. 746.</w:t>
      </w:r>
    </w:p>
  </w:footnote>
  <w:footnote w:id="45">
    <w:p w:rsidR="007C07E6" w:rsidRPr="007C07E6" w:rsidRDefault="007C07E6">
      <w:pPr>
        <w:pStyle w:val="FootnoteText"/>
        <w:rPr>
          <w:lang w:val="en-US"/>
        </w:rPr>
      </w:pPr>
      <w:r>
        <w:rPr>
          <w:rStyle w:val="FootnoteReference"/>
        </w:rPr>
        <w:footnoteRef/>
      </w:r>
      <w:r>
        <w:t xml:space="preserve"> </w:t>
      </w:r>
      <w:r>
        <w:rPr>
          <w:rFonts w:cs="Arial"/>
          <w:szCs w:val="24"/>
        </w:rPr>
        <w:t>5 Wend. 523.</w:t>
      </w:r>
    </w:p>
  </w:footnote>
  <w:footnote w:id="46">
    <w:p w:rsidR="007C07E6" w:rsidRPr="007C07E6" w:rsidRDefault="007C07E6">
      <w:pPr>
        <w:pStyle w:val="FootnoteText"/>
        <w:rPr>
          <w:lang w:val="en-US"/>
        </w:rPr>
      </w:pPr>
      <w:r>
        <w:rPr>
          <w:rStyle w:val="FootnoteReference"/>
        </w:rPr>
        <w:footnoteRef/>
      </w:r>
      <w:r>
        <w:t xml:space="preserve"> </w:t>
      </w:r>
      <w:r>
        <w:rPr>
          <w:rFonts w:cs="Arial"/>
          <w:szCs w:val="24"/>
        </w:rPr>
        <w:t>26 Ch. D. 434.</w:t>
      </w:r>
    </w:p>
  </w:footnote>
  <w:footnote w:id="47">
    <w:p w:rsidR="007C07E6" w:rsidRPr="007C07E6" w:rsidRDefault="007C07E6">
      <w:pPr>
        <w:pStyle w:val="FootnoteText"/>
        <w:rPr>
          <w:lang w:val="en-US"/>
        </w:rPr>
      </w:pPr>
      <w:r>
        <w:rPr>
          <w:rStyle w:val="FootnoteReference"/>
        </w:rPr>
        <w:footnoteRef/>
      </w:r>
      <w:r>
        <w:t xml:space="preserve"> </w:t>
      </w:r>
      <w:r>
        <w:rPr>
          <w:rFonts w:cs="Arial"/>
          <w:szCs w:val="24"/>
        </w:rPr>
        <w:t>[1897] 1 Ch. 602.</w:t>
      </w:r>
    </w:p>
  </w:footnote>
  <w:footnote w:id="48">
    <w:p w:rsidR="007C07E6" w:rsidRPr="007C07E6" w:rsidRDefault="007C07E6">
      <w:pPr>
        <w:pStyle w:val="FootnoteText"/>
        <w:rPr>
          <w:lang w:val="en-US"/>
        </w:rPr>
      </w:pPr>
      <w:r>
        <w:rPr>
          <w:rStyle w:val="FootnoteReference"/>
        </w:rPr>
        <w:footnoteRef/>
      </w:r>
      <w:r>
        <w:t xml:space="preserve"> </w:t>
      </w:r>
      <w:r>
        <w:rPr>
          <w:rFonts w:cs="Arial"/>
          <w:szCs w:val="24"/>
        </w:rPr>
        <w:t>38 Ch. D. 295.</w:t>
      </w:r>
    </w:p>
  </w:footnote>
  <w:footnote w:id="49">
    <w:p w:rsidR="007C07E6" w:rsidRPr="007C07E6" w:rsidRDefault="007C07E6">
      <w:pPr>
        <w:pStyle w:val="FootnoteText"/>
        <w:rPr>
          <w:lang w:val="en-US"/>
        </w:rPr>
      </w:pPr>
      <w:r>
        <w:rPr>
          <w:rStyle w:val="FootnoteReference"/>
        </w:rPr>
        <w:footnoteRef/>
      </w:r>
      <w:r>
        <w:t xml:space="preserve"> </w:t>
      </w:r>
      <w:r>
        <w:rPr>
          <w:rFonts w:cs="Arial"/>
          <w:szCs w:val="24"/>
        </w:rPr>
        <w:t>24 N. H. 489.</w:t>
      </w:r>
    </w:p>
  </w:footnote>
  <w:footnote w:id="50">
    <w:p w:rsidR="007C07E6" w:rsidRPr="007C07E6" w:rsidRDefault="007C07E6">
      <w:pPr>
        <w:pStyle w:val="FootnoteText"/>
        <w:rPr>
          <w:lang w:val="en-US"/>
        </w:rPr>
      </w:pPr>
      <w:r>
        <w:rPr>
          <w:rStyle w:val="FootnoteReference"/>
        </w:rPr>
        <w:footnoteRef/>
      </w:r>
      <w:r>
        <w:t xml:space="preserve"> </w:t>
      </w:r>
      <w:r>
        <w:rPr>
          <w:rFonts w:cs="Arial"/>
          <w:szCs w:val="24"/>
        </w:rPr>
        <w:t>5 Serg &amp; R. (Pa.) 107.</w:t>
      </w:r>
    </w:p>
  </w:footnote>
  <w:footnote w:id="51">
    <w:p w:rsidR="007C07E6" w:rsidRPr="007C07E6" w:rsidRDefault="007C07E6">
      <w:pPr>
        <w:pStyle w:val="FootnoteText"/>
        <w:rPr>
          <w:lang w:val="en-US"/>
        </w:rPr>
      </w:pPr>
      <w:r>
        <w:rPr>
          <w:rStyle w:val="FootnoteReference"/>
        </w:rPr>
        <w:footnoteRef/>
      </w:r>
      <w:r>
        <w:t xml:space="preserve"> </w:t>
      </w:r>
      <w:r>
        <w:rPr>
          <w:rFonts w:cs="Arial"/>
          <w:szCs w:val="24"/>
        </w:rPr>
        <w:t>55 N. Y. 98.</w:t>
      </w:r>
    </w:p>
  </w:footnote>
  <w:footnote w:id="52">
    <w:p w:rsidR="007C07E6" w:rsidRPr="007C07E6" w:rsidRDefault="007C07E6">
      <w:pPr>
        <w:pStyle w:val="FootnoteText"/>
        <w:rPr>
          <w:lang w:val="en-US"/>
        </w:rPr>
      </w:pPr>
      <w:r>
        <w:rPr>
          <w:rStyle w:val="FootnoteReference"/>
        </w:rPr>
        <w:footnoteRef/>
      </w:r>
      <w:r>
        <w:t xml:space="preserve"> </w:t>
      </w:r>
      <w:r>
        <w:rPr>
          <w:rFonts w:cs="Arial"/>
          <w:szCs w:val="24"/>
        </w:rPr>
        <w:t>3 N. H. 190.</w:t>
      </w:r>
    </w:p>
  </w:footnote>
  <w:footnote w:id="53">
    <w:p w:rsidR="007C07E6" w:rsidRPr="007C07E6" w:rsidRDefault="007C07E6">
      <w:pPr>
        <w:pStyle w:val="FootnoteText"/>
        <w:rPr>
          <w:lang w:val="en-US"/>
        </w:rPr>
      </w:pPr>
      <w:r>
        <w:rPr>
          <w:rStyle w:val="FootnoteReference"/>
        </w:rPr>
        <w:footnoteRef/>
      </w:r>
      <w:r>
        <w:t xml:space="preserve"> </w:t>
      </w:r>
      <w:r>
        <w:rPr>
          <w:rFonts w:cs="Arial"/>
          <w:szCs w:val="24"/>
        </w:rPr>
        <w:t>32 N. S. Rep. 340.</w:t>
      </w:r>
    </w:p>
  </w:footnote>
  <w:footnote w:id="54">
    <w:p w:rsidR="007C07E6" w:rsidRPr="007C07E6" w:rsidRDefault="007C07E6">
      <w:pPr>
        <w:pStyle w:val="FootnoteText"/>
        <w:rPr>
          <w:lang w:val="en-US"/>
        </w:rPr>
      </w:pPr>
      <w:r>
        <w:rPr>
          <w:rStyle w:val="FootnoteReference"/>
        </w:rPr>
        <w:footnoteRef/>
      </w:r>
      <w:r>
        <w:t xml:space="preserve"> </w:t>
      </w:r>
      <w:r>
        <w:rPr>
          <w:rFonts w:cs="Arial"/>
          <w:szCs w:val="24"/>
        </w:rPr>
        <w:t>1 H. &amp; C. 676.</w:t>
      </w:r>
    </w:p>
  </w:footnote>
  <w:footnote w:id="55">
    <w:p w:rsidR="007C07E6" w:rsidRPr="007C07E6" w:rsidRDefault="007C07E6">
      <w:pPr>
        <w:pStyle w:val="FootnoteText"/>
        <w:rPr>
          <w:lang w:val="en-US"/>
        </w:rPr>
      </w:pPr>
      <w:r>
        <w:rPr>
          <w:rStyle w:val="FootnoteReference"/>
        </w:rPr>
        <w:footnoteRef/>
      </w:r>
      <w:r>
        <w:t xml:space="preserve"> </w:t>
      </w:r>
      <w:r>
        <w:rPr>
          <w:rFonts w:cs="Arial"/>
          <w:szCs w:val="24"/>
        </w:rPr>
        <w:t>38 Ch. D. 295.</w:t>
      </w:r>
    </w:p>
  </w:footnote>
  <w:footnote w:id="56">
    <w:p w:rsidR="007C07E6" w:rsidRPr="007C07E6" w:rsidRDefault="007C07E6">
      <w:pPr>
        <w:pStyle w:val="FootnoteText"/>
        <w:rPr>
          <w:lang w:val="en-US"/>
        </w:rPr>
      </w:pPr>
      <w:r>
        <w:rPr>
          <w:rStyle w:val="FootnoteReference"/>
        </w:rPr>
        <w:footnoteRef/>
      </w:r>
      <w:r>
        <w:t xml:space="preserve"> </w:t>
      </w:r>
      <w:r>
        <w:rPr>
          <w:rFonts w:cs="Arial"/>
          <w:szCs w:val="24"/>
        </w:rPr>
        <w:t>12 Ch. D. 31.</w:t>
      </w:r>
    </w:p>
  </w:footnote>
  <w:footnote w:id="57">
    <w:p w:rsidR="007C07E6" w:rsidRPr="007C07E6" w:rsidRDefault="007C07E6">
      <w:pPr>
        <w:pStyle w:val="FootnoteText"/>
        <w:rPr>
          <w:lang w:val="en-US"/>
        </w:rPr>
      </w:pPr>
      <w:r>
        <w:rPr>
          <w:rStyle w:val="FootnoteReference"/>
        </w:rPr>
        <w:footnoteRef/>
      </w:r>
      <w:r>
        <w:t xml:space="preserve"> </w:t>
      </w:r>
      <w:r>
        <w:rPr>
          <w:rFonts w:cs="Arial"/>
          <w:szCs w:val="24"/>
        </w:rPr>
        <w:t>4 Macq. H. L. 117.</w:t>
      </w:r>
    </w:p>
  </w:footnote>
  <w:footnote w:id="58">
    <w:p w:rsidR="007C07E6" w:rsidRPr="007C07E6" w:rsidRDefault="007C07E6">
      <w:pPr>
        <w:pStyle w:val="FootnoteText"/>
        <w:rPr>
          <w:lang w:val="en-US"/>
        </w:rPr>
      </w:pPr>
      <w:r>
        <w:rPr>
          <w:rStyle w:val="FootnoteReference"/>
        </w:rPr>
        <w:footnoteRef/>
      </w:r>
      <w:r>
        <w:t xml:space="preserve"> </w:t>
      </w:r>
      <w:r>
        <w:rPr>
          <w:rFonts w:cs="Arial"/>
          <w:szCs w:val="24"/>
        </w:rPr>
        <w:t>37 Ch. D. 490.</w:t>
      </w:r>
    </w:p>
  </w:footnote>
  <w:footnote w:id="59">
    <w:p w:rsidR="007C07E6" w:rsidRPr="007C07E6" w:rsidRDefault="007C07E6">
      <w:pPr>
        <w:pStyle w:val="FootnoteText"/>
        <w:rPr>
          <w:lang w:val="en-US"/>
        </w:rPr>
      </w:pPr>
      <w:r>
        <w:rPr>
          <w:rStyle w:val="FootnoteReference"/>
        </w:rPr>
        <w:footnoteRef/>
      </w:r>
      <w:r>
        <w:t xml:space="preserve"> </w:t>
      </w:r>
      <w:r>
        <w:rPr>
          <w:rFonts w:cs="Arial"/>
          <w:szCs w:val="24"/>
        </w:rPr>
        <w:t>25 Ch. D. 559.</w:t>
      </w:r>
    </w:p>
  </w:footnote>
  <w:footnote w:id="60">
    <w:p w:rsidR="007C07E6" w:rsidRPr="007C07E6" w:rsidRDefault="007C07E6">
      <w:pPr>
        <w:pStyle w:val="FootnoteText"/>
        <w:rPr>
          <w:lang w:val="en-US"/>
        </w:rPr>
      </w:pPr>
      <w:r>
        <w:rPr>
          <w:rStyle w:val="FootnoteReference"/>
        </w:rPr>
        <w:footnoteRef/>
      </w:r>
      <w:r>
        <w:t xml:space="preserve"> </w:t>
      </w:r>
      <w:r>
        <w:rPr>
          <w:rFonts w:cs="Arial"/>
          <w:szCs w:val="24"/>
        </w:rPr>
        <w:t>10 Can. S. C. R. 425.</w:t>
      </w:r>
    </w:p>
  </w:footnote>
  <w:footnote w:id="61">
    <w:p w:rsidR="007C07E6" w:rsidRPr="007C07E6" w:rsidRDefault="007C07E6">
      <w:pPr>
        <w:pStyle w:val="FootnoteText"/>
        <w:rPr>
          <w:lang w:val="en-US"/>
        </w:rPr>
      </w:pPr>
      <w:r>
        <w:rPr>
          <w:rStyle w:val="FootnoteReference"/>
        </w:rPr>
        <w:footnoteRef/>
      </w:r>
      <w:r>
        <w:t xml:space="preserve"> </w:t>
      </w:r>
      <w:r>
        <w:rPr>
          <w:rFonts w:cs="Arial"/>
          <w:szCs w:val="24"/>
        </w:rPr>
        <w:t>35 Ch. D. 317.</w:t>
      </w:r>
    </w:p>
  </w:footnote>
  <w:footnote w:id="62">
    <w:p w:rsidR="007C07E6" w:rsidRPr="007C07E6" w:rsidRDefault="007C07E6">
      <w:pPr>
        <w:pStyle w:val="FootnoteText"/>
        <w:rPr>
          <w:lang w:val="en-US"/>
        </w:rPr>
      </w:pPr>
      <w:r>
        <w:rPr>
          <w:rStyle w:val="FootnoteReference"/>
        </w:rPr>
        <w:footnoteRef/>
      </w:r>
      <w:r>
        <w:t xml:space="preserve"> </w:t>
      </w:r>
      <w:r>
        <w:rPr>
          <w:rFonts w:cs="Arial"/>
          <w:szCs w:val="24"/>
        </w:rPr>
        <w:t>L. R. 1 Q. B. 156.</w:t>
      </w:r>
    </w:p>
  </w:footnote>
  <w:footnote w:id="63">
    <w:p w:rsidR="007C07E6" w:rsidRPr="007C07E6" w:rsidRDefault="007C07E6">
      <w:pPr>
        <w:pStyle w:val="FootnoteText"/>
        <w:rPr>
          <w:lang w:val="en-US"/>
        </w:rPr>
      </w:pPr>
      <w:r>
        <w:rPr>
          <w:rStyle w:val="FootnoteReference"/>
        </w:rPr>
        <w:footnoteRef/>
      </w:r>
      <w:r>
        <w:t xml:space="preserve"> </w:t>
      </w:r>
      <w:r>
        <w:rPr>
          <w:rFonts w:cs="Arial"/>
          <w:szCs w:val="24"/>
        </w:rPr>
        <w:t>38 Ch. D. 295.</w:t>
      </w:r>
    </w:p>
  </w:footnote>
  <w:footnote w:id="64">
    <w:p w:rsidR="007C07E6" w:rsidRPr="007C07E6" w:rsidRDefault="007C07E6">
      <w:pPr>
        <w:pStyle w:val="FootnoteText"/>
        <w:rPr>
          <w:lang w:val="en-US"/>
        </w:rPr>
      </w:pPr>
      <w:r>
        <w:rPr>
          <w:rStyle w:val="FootnoteReference"/>
        </w:rPr>
        <w:footnoteRef/>
      </w:r>
      <w:r>
        <w:t xml:space="preserve"> </w:t>
      </w:r>
      <w:r>
        <w:rPr>
          <w:rFonts w:cs="Arial"/>
          <w:szCs w:val="24"/>
        </w:rPr>
        <w:t>33 L. J. Ch. 249.</w:t>
      </w:r>
    </w:p>
  </w:footnote>
  <w:footnote w:id="65">
    <w:p w:rsidR="007C07E6" w:rsidRPr="007C07E6" w:rsidRDefault="007C07E6">
      <w:pPr>
        <w:pStyle w:val="FootnoteText"/>
        <w:rPr>
          <w:lang w:val="en-US"/>
        </w:rPr>
      </w:pPr>
      <w:r>
        <w:rPr>
          <w:rStyle w:val="FootnoteReference"/>
        </w:rPr>
        <w:footnoteRef/>
      </w:r>
      <w:r>
        <w:t xml:space="preserve"> </w:t>
      </w:r>
      <w:r>
        <w:rPr>
          <w:rFonts w:cs="Arial"/>
          <w:szCs w:val="24"/>
        </w:rPr>
        <w:t>12 Ch. D.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FF" w:rsidRDefault="005943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FF" w:rsidRDefault="005943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FF" w:rsidRDefault="005943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21E6"/>
    <w:rsid w:val="000127F5"/>
    <w:rsid w:val="00013FDA"/>
    <w:rsid w:val="000173FB"/>
    <w:rsid w:val="000655EC"/>
    <w:rsid w:val="00077D2F"/>
    <w:rsid w:val="0008547A"/>
    <w:rsid w:val="00085B6E"/>
    <w:rsid w:val="00096612"/>
    <w:rsid w:val="000B6688"/>
    <w:rsid w:val="000C3415"/>
    <w:rsid w:val="00121409"/>
    <w:rsid w:val="00125F0C"/>
    <w:rsid w:val="00126A8E"/>
    <w:rsid w:val="001837F3"/>
    <w:rsid w:val="001D0D42"/>
    <w:rsid w:val="001D5C4A"/>
    <w:rsid w:val="001F6A76"/>
    <w:rsid w:val="002209AC"/>
    <w:rsid w:val="002428EB"/>
    <w:rsid w:val="0026386A"/>
    <w:rsid w:val="002A74DD"/>
    <w:rsid w:val="002B30C5"/>
    <w:rsid w:val="002C186C"/>
    <w:rsid w:val="002D5E01"/>
    <w:rsid w:val="002F30BC"/>
    <w:rsid w:val="002F4F64"/>
    <w:rsid w:val="002F7D00"/>
    <w:rsid w:val="00361108"/>
    <w:rsid w:val="003824D9"/>
    <w:rsid w:val="003E5AF5"/>
    <w:rsid w:val="003F4842"/>
    <w:rsid w:val="003F602F"/>
    <w:rsid w:val="004277EE"/>
    <w:rsid w:val="0043543D"/>
    <w:rsid w:val="00442713"/>
    <w:rsid w:val="00457BC5"/>
    <w:rsid w:val="00463F5F"/>
    <w:rsid w:val="00482CDC"/>
    <w:rsid w:val="004C7ED4"/>
    <w:rsid w:val="004F3F92"/>
    <w:rsid w:val="00511D93"/>
    <w:rsid w:val="00514003"/>
    <w:rsid w:val="00522C1F"/>
    <w:rsid w:val="00537980"/>
    <w:rsid w:val="00563592"/>
    <w:rsid w:val="00563767"/>
    <w:rsid w:val="005667DA"/>
    <w:rsid w:val="00586781"/>
    <w:rsid w:val="00593C8B"/>
    <w:rsid w:val="005943FF"/>
    <w:rsid w:val="00604D41"/>
    <w:rsid w:val="006330E7"/>
    <w:rsid w:val="006413D4"/>
    <w:rsid w:val="00644967"/>
    <w:rsid w:val="006D2BED"/>
    <w:rsid w:val="006D6F42"/>
    <w:rsid w:val="006E5FEA"/>
    <w:rsid w:val="006F0BE6"/>
    <w:rsid w:val="00716588"/>
    <w:rsid w:val="00747F2C"/>
    <w:rsid w:val="00751F7D"/>
    <w:rsid w:val="007969C4"/>
    <w:rsid w:val="007B3A90"/>
    <w:rsid w:val="007C07E6"/>
    <w:rsid w:val="007D6DD5"/>
    <w:rsid w:val="008027F3"/>
    <w:rsid w:val="008433A9"/>
    <w:rsid w:val="008550EF"/>
    <w:rsid w:val="00872F75"/>
    <w:rsid w:val="00880FBB"/>
    <w:rsid w:val="008B0B7A"/>
    <w:rsid w:val="00926406"/>
    <w:rsid w:val="009A7B1B"/>
    <w:rsid w:val="009D37B6"/>
    <w:rsid w:val="009E64DC"/>
    <w:rsid w:val="009F22F1"/>
    <w:rsid w:val="00A42830"/>
    <w:rsid w:val="00A4371F"/>
    <w:rsid w:val="00A54E5B"/>
    <w:rsid w:val="00A61128"/>
    <w:rsid w:val="00A94C52"/>
    <w:rsid w:val="00AB09B8"/>
    <w:rsid w:val="00B007EC"/>
    <w:rsid w:val="00B177F7"/>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A21E6"/>
    <w:rsid w:val="00DC4119"/>
    <w:rsid w:val="00DE30DC"/>
    <w:rsid w:val="00E1124B"/>
    <w:rsid w:val="00E114A9"/>
    <w:rsid w:val="00E117BD"/>
    <w:rsid w:val="00E30F5A"/>
    <w:rsid w:val="00E40016"/>
    <w:rsid w:val="00E407E4"/>
    <w:rsid w:val="00E43349"/>
    <w:rsid w:val="00E51D18"/>
    <w:rsid w:val="00E81D10"/>
    <w:rsid w:val="00E86DF4"/>
    <w:rsid w:val="00E90044"/>
    <w:rsid w:val="00EB3437"/>
    <w:rsid w:val="00ED0F9C"/>
    <w:rsid w:val="00EF2358"/>
    <w:rsid w:val="00F13669"/>
    <w:rsid w:val="00F177D8"/>
    <w:rsid w:val="00F35E8A"/>
    <w:rsid w:val="00F60320"/>
    <w:rsid w:val="00F64D86"/>
    <w:rsid w:val="00FA66A7"/>
    <w:rsid w:val="00FD11DD"/>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59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6359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6359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63592"/>
  </w:style>
  <w:style w:type="paragraph" w:styleId="Header">
    <w:name w:val="header"/>
    <w:basedOn w:val="Normal"/>
    <w:link w:val="HeaderChar"/>
    <w:uiPriority w:val="99"/>
    <w:unhideWhenUsed/>
    <w:rsid w:val="00563592"/>
    <w:pPr>
      <w:tabs>
        <w:tab w:val="center" w:pos="4680"/>
        <w:tab w:val="right" w:pos="9360"/>
      </w:tabs>
    </w:pPr>
    <w:rPr>
      <w:rFonts w:ascii="Times New Roman" w:hAnsi="Times New Roman"/>
    </w:rPr>
  </w:style>
  <w:style w:type="character" w:customStyle="1" w:styleId="HeaderChar">
    <w:name w:val="Header Char"/>
    <w:link w:val="Header"/>
    <w:uiPriority w:val="99"/>
    <w:rsid w:val="0056359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63592"/>
    <w:pPr>
      <w:tabs>
        <w:tab w:val="center" w:pos="4680"/>
        <w:tab w:val="right" w:pos="9360"/>
      </w:tabs>
    </w:pPr>
    <w:rPr>
      <w:rFonts w:ascii="Times New Roman" w:hAnsi="Times New Roman"/>
    </w:rPr>
  </w:style>
  <w:style w:type="character" w:customStyle="1" w:styleId="FooterChar">
    <w:name w:val="Footer Char"/>
    <w:link w:val="Footer"/>
    <w:uiPriority w:val="99"/>
    <w:rsid w:val="0056359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6386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63592"/>
    <w:pPr>
      <w:spacing w:before="100" w:beforeAutospacing="1"/>
      <w:ind w:left="567"/>
      <w:jc w:val="both"/>
    </w:pPr>
  </w:style>
  <w:style w:type="paragraph" w:customStyle="1" w:styleId="Metadata">
    <w:name w:val="Metadata"/>
    <w:basedOn w:val="Normal"/>
    <w:rsid w:val="00563592"/>
    <w:pPr>
      <w:spacing w:before="100" w:beforeAutospacing="1" w:after="100" w:afterAutospacing="1"/>
    </w:pPr>
    <w:rPr>
      <w:rFonts w:cs="Arial"/>
      <w:szCs w:val="24"/>
    </w:rPr>
  </w:style>
  <w:style w:type="paragraph" w:customStyle="1" w:styleId="Page">
    <w:name w:val="Page"/>
    <w:basedOn w:val="Normal"/>
    <w:link w:val="PageChar"/>
    <w:rsid w:val="00563592"/>
    <w:pPr>
      <w:spacing w:before="100" w:beforeAutospacing="1" w:after="100" w:afterAutospacing="1"/>
    </w:pPr>
    <w:rPr>
      <w:i/>
    </w:rPr>
  </w:style>
  <w:style w:type="paragraph" w:styleId="FootnoteText">
    <w:name w:val="footnote text"/>
    <w:basedOn w:val="Normal"/>
    <w:link w:val="FootnoteTextChar"/>
    <w:autoRedefine/>
    <w:semiHidden/>
    <w:rsid w:val="00563592"/>
    <w:rPr>
      <w:sz w:val="16"/>
      <w:szCs w:val="20"/>
    </w:rPr>
  </w:style>
  <w:style w:type="character" w:customStyle="1" w:styleId="FootnoteTextChar">
    <w:name w:val="Footnote Text Char"/>
    <w:link w:val="FootnoteText"/>
    <w:semiHidden/>
    <w:rsid w:val="00563592"/>
    <w:rPr>
      <w:rFonts w:ascii="Arial" w:eastAsia="MS Mincho" w:hAnsi="Arial" w:cs="Times New Roman"/>
      <w:sz w:val="16"/>
      <w:szCs w:val="20"/>
      <w:lang w:val="en-CA" w:eastAsia="ja-JP"/>
    </w:rPr>
  </w:style>
  <w:style w:type="character" w:styleId="FootnoteReference">
    <w:name w:val="footnote reference"/>
    <w:semiHidden/>
    <w:rsid w:val="00563592"/>
    <w:rPr>
      <w:vertAlign w:val="superscript"/>
    </w:rPr>
  </w:style>
  <w:style w:type="paragraph" w:customStyle="1" w:styleId="ParagNum">
    <w:name w:val="ParagNum"/>
    <w:basedOn w:val="Normal"/>
    <w:rsid w:val="0056359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63592"/>
    <w:pPr>
      <w:spacing w:before="100" w:beforeAutospacing="1" w:after="100" w:afterAutospacing="1" w:line="360" w:lineRule="auto"/>
    </w:pPr>
  </w:style>
  <w:style w:type="paragraph" w:customStyle="1" w:styleId="Indent2">
    <w:name w:val="Indent 2"/>
    <w:basedOn w:val="Indent1"/>
    <w:rsid w:val="00563592"/>
    <w:pPr>
      <w:ind w:left="1134"/>
    </w:pPr>
  </w:style>
  <w:style w:type="paragraph" w:customStyle="1" w:styleId="Indent3">
    <w:name w:val="Indent 3"/>
    <w:basedOn w:val="Indent1"/>
    <w:rsid w:val="00563592"/>
    <w:pPr>
      <w:ind w:left="1701"/>
    </w:pPr>
  </w:style>
  <w:style w:type="paragraph" w:customStyle="1" w:styleId="Indent4">
    <w:name w:val="Indent 4"/>
    <w:basedOn w:val="Indent1"/>
    <w:rsid w:val="00563592"/>
    <w:pPr>
      <w:ind w:left="2268"/>
    </w:pPr>
  </w:style>
  <w:style w:type="paragraph" w:customStyle="1" w:styleId="Indent10">
    <w:name w:val="Indent1"/>
    <w:basedOn w:val="Reasons"/>
    <w:rsid w:val="00563592"/>
    <w:pPr>
      <w:ind w:left="567"/>
    </w:pPr>
  </w:style>
  <w:style w:type="paragraph" w:customStyle="1" w:styleId="Indent20">
    <w:name w:val="Indent2"/>
    <w:basedOn w:val="Indent10"/>
    <w:rsid w:val="00563592"/>
    <w:pPr>
      <w:ind w:left="1134"/>
    </w:pPr>
  </w:style>
  <w:style w:type="paragraph" w:customStyle="1" w:styleId="Indent30">
    <w:name w:val="Indent3"/>
    <w:basedOn w:val="Indent10"/>
    <w:rsid w:val="00563592"/>
    <w:pPr>
      <w:ind w:left="1701"/>
    </w:pPr>
  </w:style>
  <w:style w:type="paragraph" w:customStyle="1" w:styleId="Indent40">
    <w:name w:val="Indent4"/>
    <w:basedOn w:val="Indent10"/>
    <w:rsid w:val="00563592"/>
    <w:pPr>
      <w:ind w:left="2268"/>
    </w:pPr>
  </w:style>
  <w:style w:type="paragraph" w:customStyle="1" w:styleId="Keywords">
    <w:name w:val="Keywords"/>
    <w:basedOn w:val="Normal"/>
    <w:rsid w:val="00563592"/>
    <w:pPr>
      <w:spacing w:before="100" w:beforeAutospacing="1" w:after="100" w:afterAutospacing="1"/>
    </w:pPr>
    <w:rPr>
      <w:rFonts w:cs="Arial"/>
      <w:i/>
      <w:szCs w:val="24"/>
    </w:rPr>
  </w:style>
  <w:style w:type="paragraph" w:customStyle="1" w:styleId="Summary">
    <w:name w:val="Summary"/>
    <w:basedOn w:val="Normal"/>
    <w:autoRedefine/>
    <w:rsid w:val="00563592"/>
    <w:pPr>
      <w:spacing w:before="100" w:beforeAutospacing="1" w:after="100" w:afterAutospacing="1"/>
      <w:ind w:left="562" w:hanging="562"/>
    </w:pPr>
    <w:rPr>
      <w:rFonts w:cs="Arial"/>
    </w:rPr>
  </w:style>
  <w:style w:type="paragraph" w:customStyle="1" w:styleId="History">
    <w:name w:val="History"/>
    <w:basedOn w:val="Normal"/>
    <w:rsid w:val="00563592"/>
    <w:pPr>
      <w:spacing w:before="100" w:beforeAutospacing="1" w:after="100" w:afterAutospacing="1"/>
      <w:ind w:firstLine="567"/>
    </w:pPr>
  </w:style>
  <w:style w:type="paragraph" w:customStyle="1" w:styleId="T1">
    <w:name w:val="T1"/>
    <w:basedOn w:val="Normal"/>
    <w:rsid w:val="00563592"/>
    <w:pPr>
      <w:spacing w:before="240" w:after="100" w:afterAutospacing="1"/>
    </w:pPr>
    <w:rPr>
      <w:b/>
    </w:rPr>
  </w:style>
  <w:style w:type="paragraph" w:customStyle="1" w:styleId="T2">
    <w:name w:val="T2"/>
    <w:basedOn w:val="Normal"/>
    <w:rsid w:val="00563592"/>
    <w:pPr>
      <w:spacing w:before="240" w:after="100" w:afterAutospacing="1"/>
    </w:pPr>
  </w:style>
  <w:style w:type="paragraph" w:customStyle="1" w:styleId="Sollicitors">
    <w:name w:val="Sollicitors"/>
    <w:basedOn w:val="Normal"/>
    <w:rsid w:val="00563592"/>
    <w:pPr>
      <w:spacing w:before="100" w:beforeAutospacing="1" w:after="100" w:afterAutospacing="1"/>
    </w:pPr>
    <w:rPr>
      <w:i/>
    </w:rPr>
  </w:style>
  <w:style w:type="paragraph" w:customStyle="1" w:styleId="Court">
    <w:name w:val="Court"/>
    <w:basedOn w:val="Normal"/>
    <w:rsid w:val="00563592"/>
    <w:rPr>
      <w:rFonts w:cs="Arial"/>
      <w:b/>
      <w:szCs w:val="24"/>
    </w:rPr>
  </w:style>
  <w:style w:type="character" w:customStyle="1" w:styleId="PageChar">
    <w:name w:val="Page Char"/>
    <w:link w:val="Page"/>
    <w:rsid w:val="00563592"/>
    <w:rPr>
      <w:rFonts w:ascii="Arial" w:eastAsia="MS Mincho" w:hAnsi="Arial" w:cs="Times New Roman"/>
      <w:i/>
      <w:sz w:val="24"/>
      <w:szCs w:val="28"/>
      <w:lang w:val="en-CA" w:eastAsia="ja-JP"/>
    </w:rPr>
  </w:style>
  <w:style w:type="character" w:customStyle="1" w:styleId="ReasonsCar">
    <w:name w:val="Reasons Car"/>
    <w:link w:val="Reasons"/>
    <w:rsid w:val="00563592"/>
    <w:rPr>
      <w:rFonts w:ascii="Arial" w:eastAsia="MS Mincho" w:hAnsi="Arial" w:cs="Times New Roman"/>
      <w:sz w:val="24"/>
      <w:szCs w:val="28"/>
      <w:lang w:val="en-CA" w:eastAsia="ja-JP"/>
    </w:rPr>
  </w:style>
  <w:style w:type="paragraph" w:customStyle="1" w:styleId="CitationLine">
    <w:name w:val="CitationLine"/>
    <w:basedOn w:val="Court"/>
    <w:rsid w:val="00563592"/>
  </w:style>
  <w:style w:type="paragraph" w:customStyle="1" w:styleId="DateISO">
    <w:name w:val="DateISO"/>
    <w:basedOn w:val="Court"/>
    <w:rsid w:val="00563592"/>
  </w:style>
  <w:style w:type="paragraph" w:styleId="ListBullet">
    <w:name w:val="List Bullet"/>
    <w:basedOn w:val="Normal"/>
    <w:uiPriority w:val="99"/>
    <w:unhideWhenUsed/>
    <w:rsid w:val="00ED0F9C"/>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9</Pages>
  <Words>2429</Words>
  <Characters>13849</Characters>
  <Application>Microsoft Office Word</Application>
  <DocSecurity>0</DocSecurity>
  <Lines>115</Lines>
  <Paragraphs>32</Paragraphs>
  <ScaleCrop>false</ScaleCrop>
  <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2015-03-19T13:04:00Z</dcterms:created>
  <dcterms:modified xsi:type="dcterms:W3CDTF">2015-03-23T04:02:00Z</dcterms:modified>
</cp:coreProperties>
</file>