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17" w:rsidRDefault="00070617" w:rsidP="00070617">
      <w:pPr>
        <w:pStyle w:val="Court"/>
      </w:pPr>
      <w:r>
        <w:t>Supreme Court of Canada</w:t>
      </w:r>
    </w:p>
    <w:p w:rsidR="00070617" w:rsidRDefault="00070617" w:rsidP="00070617">
      <w:pPr>
        <w:pStyle w:val="CitationLine"/>
      </w:pPr>
      <w:r w:rsidRPr="00070617">
        <w:rPr>
          <w:lang w:val="it-IT"/>
        </w:rPr>
        <w:t>The</w:t>
      </w:r>
      <w:r w:rsidRPr="00070617">
        <w:t xml:space="preserve"> </w:t>
      </w:r>
      <w:r w:rsidRPr="00070617">
        <w:rPr>
          <w:lang w:val="it-IT"/>
        </w:rPr>
        <w:t>Province</w:t>
      </w:r>
      <w:r w:rsidRPr="00070617">
        <w:t xml:space="preserve"> </w:t>
      </w:r>
      <w:r w:rsidRPr="00070617">
        <w:rPr>
          <w:lang w:val="it-IT"/>
        </w:rPr>
        <w:t>of Ontario</w:t>
      </w:r>
      <w:r w:rsidRPr="00070617">
        <w:t xml:space="preserve"> </w:t>
      </w:r>
      <w:r w:rsidRPr="00070617">
        <w:rPr>
          <w:i/>
          <w:iCs/>
          <w:lang w:val="it-IT"/>
        </w:rPr>
        <w:t>v.</w:t>
      </w:r>
      <w:r w:rsidRPr="00070617">
        <w:rPr>
          <w:i/>
          <w:iCs/>
        </w:rPr>
        <w:t xml:space="preserve"> </w:t>
      </w:r>
      <w:r w:rsidRPr="00070617">
        <w:rPr>
          <w:lang w:val="it-IT"/>
        </w:rPr>
        <w:t>The</w:t>
      </w:r>
      <w:r w:rsidRPr="00070617">
        <w:t xml:space="preserve"> </w:t>
      </w:r>
      <w:r w:rsidRPr="00070617">
        <w:rPr>
          <w:lang w:val="it-IT"/>
        </w:rPr>
        <w:t>Province</w:t>
      </w:r>
      <w:r w:rsidRPr="00070617">
        <w:t xml:space="preserve"> </w:t>
      </w:r>
      <w:r w:rsidRPr="00070617">
        <w:rPr>
          <w:lang w:val="it-IT"/>
        </w:rPr>
        <w:t>of Quebec</w:t>
      </w:r>
      <w:r w:rsidRPr="00070617">
        <w:t xml:space="preserve"> </w:t>
      </w:r>
      <w:r w:rsidRPr="00070617">
        <w:rPr>
          <w:lang w:val="it-IT"/>
        </w:rPr>
        <w:t>and the</w:t>
      </w:r>
      <w:r w:rsidRPr="00070617">
        <w:t xml:space="preserve"> </w:t>
      </w:r>
      <w:r w:rsidRPr="00070617">
        <w:rPr>
          <w:lang w:val="it-IT"/>
        </w:rPr>
        <w:t>Dominion</w:t>
      </w:r>
      <w:r w:rsidRPr="00070617">
        <w:t xml:space="preserve"> </w:t>
      </w:r>
      <w:r w:rsidRPr="00070617">
        <w:rPr>
          <w:lang w:val="it-IT"/>
        </w:rPr>
        <w:t>of Canada</w:t>
      </w:r>
      <w:r>
        <w:t xml:space="preserve"> (1900) 30 SCR 306</w:t>
      </w:r>
    </w:p>
    <w:p w:rsidR="00070617" w:rsidRDefault="00070617" w:rsidP="00070617">
      <w:pPr>
        <w:pStyle w:val="DateISO"/>
      </w:pPr>
      <w:r>
        <w:t>Date: 1900-05-01</w:t>
      </w:r>
    </w:p>
    <w:p w:rsidR="0063125E" w:rsidRPr="00070617" w:rsidRDefault="00070617" w:rsidP="00070617">
      <w:pPr>
        <w:pStyle w:val="Metadata"/>
      </w:pPr>
      <w:r w:rsidRPr="00070617">
        <w:t xml:space="preserve">The Province </w:t>
      </w:r>
      <w:r>
        <w:t>o</w:t>
      </w:r>
      <w:r w:rsidRPr="00070617">
        <w:t>f Ontario</w:t>
      </w:r>
    </w:p>
    <w:p w:rsidR="0063125E" w:rsidRPr="00070617" w:rsidRDefault="00070617" w:rsidP="00070617">
      <w:pPr>
        <w:pStyle w:val="Metadata"/>
      </w:pPr>
      <w:r w:rsidRPr="00070617">
        <w:t>Appellant</w:t>
      </w:r>
    </w:p>
    <w:p w:rsidR="0063125E" w:rsidRPr="00070617" w:rsidRDefault="00070617" w:rsidP="00070617">
      <w:pPr>
        <w:pStyle w:val="Metadata"/>
      </w:pPr>
      <w:r w:rsidRPr="00070617">
        <w:t>And</w:t>
      </w:r>
    </w:p>
    <w:p w:rsidR="0063125E" w:rsidRPr="00070617" w:rsidRDefault="00070617" w:rsidP="00070617">
      <w:pPr>
        <w:pStyle w:val="Metadata"/>
      </w:pPr>
      <w:r w:rsidRPr="00070617">
        <w:t xml:space="preserve">The Province </w:t>
      </w:r>
      <w:r>
        <w:t>o</w:t>
      </w:r>
      <w:r w:rsidRPr="00070617">
        <w:t xml:space="preserve">f Quebec </w:t>
      </w:r>
      <w:r>
        <w:t>a</w:t>
      </w:r>
      <w:r w:rsidRPr="00070617">
        <w:t xml:space="preserve">nd The Dominion </w:t>
      </w:r>
      <w:r>
        <w:t>o</w:t>
      </w:r>
      <w:r w:rsidRPr="00070617">
        <w:t>f Canada</w:t>
      </w:r>
    </w:p>
    <w:p w:rsidR="0063125E" w:rsidRPr="00070617" w:rsidRDefault="00070617" w:rsidP="00070617">
      <w:pPr>
        <w:pStyle w:val="Metadata"/>
      </w:pPr>
      <w:r w:rsidRPr="00070617">
        <w:t>Respondents</w:t>
      </w:r>
    </w:p>
    <w:p w:rsidR="0063125E" w:rsidRPr="00070617" w:rsidRDefault="00070617" w:rsidP="00070617">
      <w:pPr>
        <w:pStyle w:val="Metadata"/>
      </w:pPr>
      <w:r w:rsidRPr="00070617">
        <w:rPr>
          <w:i/>
          <w:iCs/>
        </w:rPr>
        <w:t xml:space="preserve">In Re </w:t>
      </w:r>
      <w:r w:rsidRPr="00070617">
        <w:t xml:space="preserve">Common School Fund </w:t>
      </w:r>
      <w:r>
        <w:t>a</w:t>
      </w:r>
      <w:r w:rsidRPr="00070617">
        <w:t>nd Lands.</w:t>
      </w:r>
    </w:p>
    <w:p w:rsidR="00070617" w:rsidRDefault="00070617" w:rsidP="00070617">
      <w:pPr>
        <w:pStyle w:val="Metadata"/>
      </w:pPr>
      <w:r>
        <w:t>1900: May 1.</w:t>
      </w:r>
    </w:p>
    <w:p w:rsidR="00070617" w:rsidRDefault="00070617" w:rsidP="00070617">
      <w:pPr>
        <w:pStyle w:val="Metadata"/>
      </w:pPr>
      <w:r w:rsidRPr="00070617">
        <w:t>Present</w:t>
      </w:r>
      <w:r>
        <w:rPr>
          <w:smallCaps/>
        </w:rPr>
        <w:t>:</w:t>
      </w:r>
      <w:r>
        <w:t>—Sir Henry Strong C.J. and Taschereau, Gwynne, Sedgewick and King JJ.</w:t>
      </w:r>
    </w:p>
    <w:p w:rsidR="0063125E" w:rsidRDefault="0063125E" w:rsidP="00070617">
      <w:pPr>
        <w:pStyle w:val="Metadata"/>
      </w:pPr>
      <w:r>
        <w:t>ON APPEAL No. 2 FROM AWARDS IN AN ARBITRATION RESPECTING PROVINCIAL ACCOUNTS.</w:t>
      </w:r>
    </w:p>
    <w:p w:rsidR="0063125E" w:rsidRDefault="0063125E" w:rsidP="00070617">
      <w:pPr>
        <w:pStyle w:val="Keywords"/>
      </w:pPr>
      <w:r>
        <w:t>Appeal—Jurisdiction—Award of arbitrators, 54 &amp; 55 V. c. 6 (D.)—54 V. c. 2, (On*.)-54 V. c. 4 (Que.)</w:t>
      </w:r>
    </w:p>
    <w:p w:rsidR="0063125E" w:rsidRDefault="0063125E" w:rsidP="00070617">
      <w:pPr>
        <w:pStyle w:val="Summary"/>
      </w:pPr>
      <w:r>
        <w:t>In an award made under the provisions of the Acts, 54 &amp; 55 Vict. ch. 6, sec. 6 (D.), 54 Vict. ch. 2, sec. 6 (Ont.) and 54 Vict. ch. 4, sec. 6 (Que.) there can be no appeal to the Supreme Court of Canada, unless the arbitrators in making the award set forth therein a statement that in rendering the award they have proceeded on their view of a disputed question of law.</w:t>
      </w:r>
    </w:p>
    <w:p w:rsidR="0063125E" w:rsidRDefault="00070617" w:rsidP="00070617">
      <w:pPr>
        <w:pStyle w:val="History"/>
      </w:pPr>
      <w:r>
        <w:t xml:space="preserve">Appeal </w:t>
      </w:r>
      <w:r w:rsidR="0063125E">
        <w:t>from the awards made on the sixth of March, 1896, and on the twenty-first of October, 1899, by the arbitrators appointed to adjust the accounts between the Dominion of Canada and the Provinces of Ontario and Quebec respectively, and between the said provinces, under the authority of statutes passed by the Dominion of Canada and the said provinces respectively, viz., 54 &amp; 55 Vict. ch. 6 (D.), 54 Vict. ch. 2 (Ont.), and 54 Vict. ch. 4 (Que.)</w:t>
      </w:r>
    </w:p>
    <w:p w:rsidR="0063125E" w:rsidRDefault="0063125E" w:rsidP="00070617">
      <w:pPr>
        <w:pStyle w:val="History"/>
        <w:rPr>
          <w:rFonts w:cs="Arial"/>
          <w:szCs w:val="24"/>
        </w:rPr>
      </w:pPr>
      <w:r>
        <w:rPr>
          <w:rFonts w:cs="Arial"/>
          <w:szCs w:val="24"/>
        </w:rPr>
        <w:t>The Acts referred to are identical and are quoted in the report of a former appeal in respect to an award relating to the Common School Fund and lands of the</w:t>
      </w:r>
    </w:p>
    <w:p w:rsidR="0063125E" w:rsidRDefault="00264116" w:rsidP="00264116">
      <w:pPr>
        <w:pStyle w:val="Page"/>
      </w:pPr>
      <w:r>
        <w:rPr>
          <w:rFonts w:cs="Arial"/>
          <w:szCs w:val="24"/>
        </w:rPr>
        <w:t xml:space="preserve">[Page </w:t>
      </w:r>
      <w:r w:rsidR="0063125E">
        <w:rPr>
          <w:rFonts w:cs="Arial"/>
          <w:szCs w:val="24"/>
        </w:rPr>
        <w:t>307]</w:t>
      </w:r>
    </w:p>
    <w:p w:rsidR="0063125E" w:rsidRDefault="0063125E" w:rsidP="002570B9">
      <w:pPr>
        <w:pStyle w:val="History"/>
        <w:ind w:firstLine="0"/>
        <w:rPr>
          <w:rFonts w:cs="Arial"/>
          <w:szCs w:val="24"/>
        </w:rPr>
      </w:pPr>
      <w:r>
        <w:rPr>
          <w:rFonts w:cs="Arial"/>
          <w:szCs w:val="24"/>
        </w:rPr>
        <w:lastRenderedPageBreak/>
        <w:t>former Province of Canada</w:t>
      </w:r>
      <w:r w:rsidR="00992B13">
        <w:rPr>
          <w:rStyle w:val="FootnoteReference"/>
          <w:rFonts w:cs="Arial"/>
          <w:szCs w:val="24"/>
        </w:rPr>
        <w:footnoteReference w:id="2"/>
      </w:r>
      <w:r>
        <w:rPr>
          <w:rFonts w:cs="Arial"/>
          <w:szCs w:val="24"/>
        </w:rPr>
        <w:t>, and each contains a provision that the arbitrators shall not be bound to decide according to the strict rules of law or evidence but may decide upon equitable principles, and when they do proceed on their view of a disputed question of law, the award shall set forth the same at the instance of either or any party and that any award made under the Acts shall be, in so far as it relates to disputed questions of law, subject to appeal to the Supreme Court of Canada and thence to the Judicial Committee of Her Majesty's Privy Council, in case their lordships are pleased to allow such appeal.</w:t>
      </w:r>
    </w:p>
    <w:p w:rsidR="0063125E" w:rsidRDefault="0063125E" w:rsidP="00070617">
      <w:pPr>
        <w:pStyle w:val="History"/>
        <w:rPr>
          <w:rFonts w:cs="Arial"/>
          <w:szCs w:val="24"/>
        </w:rPr>
      </w:pPr>
      <w:r>
        <w:rPr>
          <w:rFonts w:cs="Arial"/>
          <w:szCs w:val="24"/>
        </w:rPr>
        <w:t>It appeared that, at the time of rendering of the awards now appealed from, the arbitrators did not declare, but refused to declare, that in rendering the said awards or either of them they had proceeded as on a disputed question of law.</w:t>
      </w:r>
    </w:p>
    <w:p w:rsidR="0063125E" w:rsidRDefault="0063125E" w:rsidP="00070617">
      <w:pPr>
        <w:pStyle w:val="History"/>
        <w:rPr>
          <w:rFonts w:cs="Arial"/>
          <w:szCs w:val="24"/>
        </w:rPr>
      </w:pPr>
      <w:r>
        <w:rPr>
          <w:rFonts w:cs="Arial"/>
          <w:szCs w:val="24"/>
        </w:rPr>
        <w:t>A motion was made on behalf of the Province of Quebec to quash the appeal for want of jurisdiction.</w:t>
      </w:r>
    </w:p>
    <w:p w:rsidR="0063125E" w:rsidRDefault="0063125E" w:rsidP="002570B9">
      <w:pPr>
        <w:pStyle w:val="Sollicitors"/>
      </w:pPr>
      <w:r>
        <w:rPr>
          <w:iCs/>
        </w:rPr>
        <w:t xml:space="preserve">Trenholme Q.C. </w:t>
      </w:r>
      <w:r>
        <w:t>for the motion.</w:t>
      </w:r>
    </w:p>
    <w:p w:rsidR="0063125E" w:rsidRDefault="0063125E" w:rsidP="002570B9">
      <w:pPr>
        <w:pStyle w:val="Sollicitors"/>
      </w:pPr>
      <w:r>
        <w:t>Shepley Q.C. (Æmelius Irving Q.C. with him) contra.</w:t>
      </w:r>
    </w:p>
    <w:p w:rsidR="0063125E" w:rsidRDefault="0063125E" w:rsidP="002570B9">
      <w:pPr>
        <w:pStyle w:val="Sollicitors"/>
      </w:pPr>
      <w:r>
        <w:rPr>
          <w:iCs/>
        </w:rPr>
        <w:t xml:space="preserve">Hogg Q.C. </w:t>
      </w:r>
      <w:r>
        <w:t>watched the case for the Dominion of Canada.</w:t>
      </w:r>
    </w:p>
    <w:p w:rsidR="0063125E" w:rsidRDefault="0063125E" w:rsidP="002570B9">
      <w:pPr>
        <w:pStyle w:val="Reasons"/>
      </w:pPr>
      <w:r>
        <w:t>The judgment of the court was delivered by:</w:t>
      </w:r>
    </w:p>
    <w:p w:rsidR="0063125E" w:rsidRDefault="00070617" w:rsidP="00070617">
      <w:pPr>
        <w:pStyle w:val="Reasons"/>
        <w:rPr>
          <w:rFonts w:cs="Arial"/>
          <w:szCs w:val="24"/>
        </w:rPr>
      </w:pPr>
      <w:r w:rsidRPr="00070617">
        <w:rPr>
          <w:rFonts w:cs="Arial"/>
          <w:szCs w:val="24"/>
        </w:rPr>
        <w:t>THE CHIEF JUSTICE</w:t>
      </w:r>
      <w:r w:rsidR="0063125E">
        <w:rPr>
          <w:rFonts w:cs="Arial"/>
          <w:szCs w:val="24"/>
        </w:rPr>
        <w:t>.—(Oral.)—We all agree that the motion to quash should be granted. We need not go ~beyond the words of the Act which make the statement on the face of the award that the arbitrators proceeded on a question of law an indispensable condition precedent to the right to appeal. The point is not arguable. I have never known a question of</w:t>
      </w:r>
    </w:p>
    <w:p w:rsidR="0063125E" w:rsidRDefault="00264116" w:rsidP="00264116">
      <w:pPr>
        <w:pStyle w:val="Page"/>
      </w:pPr>
      <w:r>
        <w:rPr>
          <w:rFonts w:cs="Arial"/>
          <w:szCs w:val="24"/>
        </w:rPr>
        <w:t xml:space="preserve">[Page </w:t>
      </w:r>
      <w:r w:rsidR="0063125E">
        <w:rPr>
          <w:rFonts w:cs="Arial"/>
          <w:szCs w:val="24"/>
        </w:rPr>
        <w:t>308]</w:t>
      </w:r>
    </w:p>
    <w:p w:rsidR="0063125E" w:rsidRDefault="0063125E" w:rsidP="00070617">
      <w:pPr>
        <w:pStyle w:val="Reasons"/>
        <w:rPr>
          <w:rFonts w:cs="Arial"/>
          <w:szCs w:val="24"/>
        </w:rPr>
      </w:pPr>
      <w:r>
        <w:rPr>
          <w:rFonts w:cs="Arial"/>
          <w:szCs w:val="24"/>
        </w:rPr>
        <w:t>jurisdiction to be raised here so extremely clear against the competence of the court.</w:t>
      </w:r>
    </w:p>
    <w:p w:rsidR="0063125E" w:rsidRDefault="0063125E" w:rsidP="00070617">
      <w:pPr>
        <w:pStyle w:val="Reasons"/>
        <w:rPr>
          <w:rFonts w:cs="Arial"/>
          <w:szCs w:val="24"/>
        </w:rPr>
      </w:pPr>
      <w:r>
        <w:rPr>
          <w:rFonts w:cs="Arial"/>
          <w:szCs w:val="24"/>
        </w:rPr>
        <w:t>The motion to quash is granted.</w:t>
      </w:r>
    </w:p>
    <w:p w:rsidR="0063125E" w:rsidRPr="00070617" w:rsidRDefault="0063125E" w:rsidP="00070617">
      <w:pPr>
        <w:pStyle w:val="Reasons"/>
      </w:pPr>
      <w:r w:rsidRPr="00070617">
        <w:t>Appeal quashed.</w:t>
      </w:r>
    </w:p>
    <w:sectPr w:rsidR="0063125E" w:rsidRPr="00070617" w:rsidSect="00D771E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53" w:rsidRDefault="000C5353" w:rsidP="00D771E7">
      <w:r>
        <w:separator/>
      </w:r>
    </w:p>
  </w:endnote>
  <w:endnote w:type="continuationSeparator" w:id="1">
    <w:p w:rsidR="000C5353" w:rsidRDefault="000C5353" w:rsidP="00D77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E7" w:rsidRDefault="00D77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E7" w:rsidRDefault="00D77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E7" w:rsidRDefault="00D77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53" w:rsidRDefault="000C5353" w:rsidP="00D771E7">
      <w:r>
        <w:separator/>
      </w:r>
    </w:p>
  </w:footnote>
  <w:footnote w:type="continuationSeparator" w:id="1">
    <w:p w:rsidR="000C5353" w:rsidRDefault="000C5353" w:rsidP="00D771E7">
      <w:r>
        <w:continuationSeparator/>
      </w:r>
    </w:p>
  </w:footnote>
  <w:footnote w:id="2">
    <w:p w:rsidR="00992B13" w:rsidRPr="00992B13" w:rsidRDefault="00992B13">
      <w:pPr>
        <w:pStyle w:val="FootnoteText"/>
        <w:rPr>
          <w:lang w:val="en-US"/>
        </w:rPr>
      </w:pPr>
      <w:r>
        <w:rPr>
          <w:rStyle w:val="FootnoteReference"/>
        </w:rPr>
        <w:footnoteRef/>
      </w:r>
      <w:r>
        <w:t xml:space="preserve"> </w:t>
      </w:r>
      <w:r>
        <w:rPr>
          <w:rFonts w:cs="Arial"/>
          <w:smallCaps/>
          <w:szCs w:val="24"/>
        </w:rPr>
        <w:t>28 S. C. R. 609.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E7" w:rsidRDefault="00D77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E7" w:rsidRDefault="00D77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E7" w:rsidRDefault="00D77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18EC46E">
      <w:start w:val="1"/>
      <w:numFmt w:val="decimal"/>
      <w:pStyle w:val="ParagNum"/>
      <w:lvlText w:val="[%1]"/>
      <w:lvlJc w:val="left"/>
      <w:pPr>
        <w:tabs>
          <w:tab w:val="num" w:pos="369"/>
        </w:tabs>
        <w:ind w:left="369" w:hanging="369"/>
      </w:pPr>
    </w:lvl>
    <w:lvl w:ilvl="1" w:tplc="25547F74" w:tentative="1">
      <w:start w:val="1"/>
      <w:numFmt w:val="lowerLetter"/>
      <w:lvlText w:val="%2."/>
      <w:lvlJc w:val="left"/>
      <w:pPr>
        <w:tabs>
          <w:tab w:val="num" w:pos="1440"/>
        </w:tabs>
        <w:ind w:left="1440" w:hanging="360"/>
      </w:pPr>
    </w:lvl>
    <w:lvl w:ilvl="2" w:tplc="13367B66" w:tentative="1">
      <w:start w:val="1"/>
      <w:numFmt w:val="lowerRoman"/>
      <w:lvlText w:val="%3."/>
      <w:lvlJc w:val="right"/>
      <w:pPr>
        <w:tabs>
          <w:tab w:val="num" w:pos="2160"/>
        </w:tabs>
        <w:ind w:left="2160" w:hanging="180"/>
      </w:pPr>
    </w:lvl>
    <w:lvl w:ilvl="3" w:tplc="897C0196" w:tentative="1">
      <w:start w:val="1"/>
      <w:numFmt w:val="decimal"/>
      <w:lvlText w:val="%4."/>
      <w:lvlJc w:val="left"/>
      <w:pPr>
        <w:tabs>
          <w:tab w:val="num" w:pos="2880"/>
        </w:tabs>
        <w:ind w:left="2880" w:hanging="360"/>
      </w:pPr>
    </w:lvl>
    <w:lvl w:ilvl="4" w:tplc="4B0683DC" w:tentative="1">
      <w:start w:val="1"/>
      <w:numFmt w:val="lowerLetter"/>
      <w:lvlText w:val="%5."/>
      <w:lvlJc w:val="left"/>
      <w:pPr>
        <w:tabs>
          <w:tab w:val="num" w:pos="3600"/>
        </w:tabs>
        <w:ind w:left="3600" w:hanging="360"/>
      </w:pPr>
    </w:lvl>
    <w:lvl w:ilvl="5" w:tplc="F10AAA22" w:tentative="1">
      <w:start w:val="1"/>
      <w:numFmt w:val="lowerRoman"/>
      <w:lvlText w:val="%6."/>
      <w:lvlJc w:val="right"/>
      <w:pPr>
        <w:tabs>
          <w:tab w:val="num" w:pos="4320"/>
        </w:tabs>
        <w:ind w:left="4320" w:hanging="180"/>
      </w:pPr>
    </w:lvl>
    <w:lvl w:ilvl="6" w:tplc="80F4B2D6" w:tentative="1">
      <w:start w:val="1"/>
      <w:numFmt w:val="decimal"/>
      <w:lvlText w:val="%7."/>
      <w:lvlJc w:val="left"/>
      <w:pPr>
        <w:tabs>
          <w:tab w:val="num" w:pos="5040"/>
        </w:tabs>
        <w:ind w:left="5040" w:hanging="360"/>
      </w:pPr>
    </w:lvl>
    <w:lvl w:ilvl="7" w:tplc="32F2E938" w:tentative="1">
      <w:start w:val="1"/>
      <w:numFmt w:val="lowerLetter"/>
      <w:lvlText w:val="%8."/>
      <w:lvlJc w:val="left"/>
      <w:pPr>
        <w:tabs>
          <w:tab w:val="num" w:pos="5760"/>
        </w:tabs>
        <w:ind w:left="5760" w:hanging="360"/>
      </w:pPr>
    </w:lvl>
    <w:lvl w:ilvl="8" w:tplc="92D6B16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125E"/>
    <w:rsid w:val="00013FDA"/>
    <w:rsid w:val="000173FB"/>
    <w:rsid w:val="000608EA"/>
    <w:rsid w:val="000655EC"/>
    <w:rsid w:val="00070617"/>
    <w:rsid w:val="00077D2F"/>
    <w:rsid w:val="0008547A"/>
    <w:rsid w:val="000B6688"/>
    <w:rsid w:val="000C3415"/>
    <w:rsid w:val="000C5353"/>
    <w:rsid w:val="00121409"/>
    <w:rsid w:val="00125F0C"/>
    <w:rsid w:val="00126A8E"/>
    <w:rsid w:val="00174A9D"/>
    <w:rsid w:val="001837F3"/>
    <w:rsid w:val="001D0D42"/>
    <w:rsid w:val="001D1196"/>
    <w:rsid w:val="001D5C4A"/>
    <w:rsid w:val="001F6A76"/>
    <w:rsid w:val="002209AC"/>
    <w:rsid w:val="002428EB"/>
    <w:rsid w:val="002570B9"/>
    <w:rsid w:val="00264116"/>
    <w:rsid w:val="002A74DD"/>
    <w:rsid w:val="002B30C5"/>
    <w:rsid w:val="002C186C"/>
    <w:rsid w:val="002D5E01"/>
    <w:rsid w:val="002F4F64"/>
    <w:rsid w:val="002F7CFB"/>
    <w:rsid w:val="002F7D00"/>
    <w:rsid w:val="00361108"/>
    <w:rsid w:val="003824D9"/>
    <w:rsid w:val="003B32BB"/>
    <w:rsid w:val="003E5AF5"/>
    <w:rsid w:val="003F602F"/>
    <w:rsid w:val="004072EB"/>
    <w:rsid w:val="00426052"/>
    <w:rsid w:val="004277EE"/>
    <w:rsid w:val="0043543D"/>
    <w:rsid w:val="00442713"/>
    <w:rsid w:val="00457BC5"/>
    <w:rsid w:val="00463F5F"/>
    <w:rsid w:val="00482CDC"/>
    <w:rsid w:val="004C7ED4"/>
    <w:rsid w:val="00511D93"/>
    <w:rsid w:val="00514003"/>
    <w:rsid w:val="00537980"/>
    <w:rsid w:val="00563767"/>
    <w:rsid w:val="005667DA"/>
    <w:rsid w:val="00593C8B"/>
    <w:rsid w:val="0063125E"/>
    <w:rsid w:val="006330E7"/>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C3E6A"/>
    <w:rsid w:val="00926406"/>
    <w:rsid w:val="00963DF0"/>
    <w:rsid w:val="00992B13"/>
    <w:rsid w:val="009A7B1B"/>
    <w:rsid w:val="009D37B6"/>
    <w:rsid w:val="009E64DC"/>
    <w:rsid w:val="00A42735"/>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71E7"/>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67343"/>
    <w:rsid w:val="00FA66A7"/>
    <w:rsid w:val="00FF04C7"/>
    <w:rsid w:val="00FF49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11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6411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6411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64116"/>
  </w:style>
  <w:style w:type="paragraph" w:styleId="Header">
    <w:name w:val="header"/>
    <w:basedOn w:val="Normal"/>
    <w:link w:val="HeaderChar"/>
    <w:uiPriority w:val="99"/>
    <w:unhideWhenUsed/>
    <w:rsid w:val="00264116"/>
    <w:pPr>
      <w:tabs>
        <w:tab w:val="center" w:pos="4680"/>
        <w:tab w:val="right" w:pos="9360"/>
      </w:tabs>
    </w:pPr>
    <w:rPr>
      <w:rFonts w:ascii="Times New Roman" w:hAnsi="Times New Roman"/>
    </w:rPr>
  </w:style>
  <w:style w:type="character" w:customStyle="1" w:styleId="HeaderChar">
    <w:name w:val="Header Char"/>
    <w:link w:val="Header"/>
    <w:uiPriority w:val="99"/>
    <w:rsid w:val="0026411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64116"/>
    <w:pPr>
      <w:tabs>
        <w:tab w:val="center" w:pos="4680"/>
        <w:tab w:val="right" w:pos="9360"/>
      </w:tabs>
    </w:pPr>
    <w:rPr>
      <w:rFonts w:ascii="Times New Roman" w:hAnsi="Times New Roman"/>
    </w:rPr>
  </w:style>
  <w:style w:type="character" w:customStyle="1" w:styleId="FooterChar">
    <w:name w:val="Footer Char"/>
    <w:link w:val="Footer"/>
    <w:uiPriority w:val="99"/>
    <w:rsid w:val="0026411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B32B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64116"/>
    <w:pPr>
      <w:spacing w:before="100" w:beforeAutospacing="1"/>
      <w:ind w:left="567"/>
      <w:jc w:val="both"/>
    </w:pPr>
  </w:style>
  <w:style w:type="paragraph" w:customStyle="1" w:styleId="Metadata">
    <w:name w:val="Metadata"/>
    <w:basedOn w:val="Normal"/>
    <w:rsid w:val="00264116"/>
    <w:pPr>
      <w:spacing w:before="100" w:beforeAutospacing="1" w:after="100" w:afterAutospacing="1"/>
    </w:pPr>
    <w:rPr>
      <w:rFonts w:cs="Arial"/>
      <w:szCs w:val="24"/>
    </w:rPr>
  </w:style>
  <w:style w:type="paragraph" w:customStyle="1" w:styleId="Page">
    <w:name w:val="Page"/>
    <w:basedOn w:val="Normal"/>
    <w:link w:val="PageChar"/>
    <w:rsid w:val="00264116"/>
    <w:pPr>
      <w:spacing w:before="100" w:beforeAutospacing="1" w:after="100" w:afterAutospacing="1"/>
    </w:pPr>
    <w:rPr>
      <w:i/>
    </w:rPr>
  </w:style>
  <w:style w:type="paragraph" w:styleId="FootnoteText">
    <w:name w:val="footnote text"/>
    <w:basedOn w:val="Normal"/>
    <w:link w:val="FootnoteTextChar"/>
    <w:autoRedefine/>
    <w:semiHidden/>
    <w:rsid w:val="00264116"/>
    <w:rPr>
      <w:sz w:val="16"/>
      <w:szCs w:val="20"/>
    </w:rPr>
  </w:style>
  <w:style w:type="character" w:customStyle="1" w:styleId="FootnoteTextChar">
    <w:name w:val="Footnote Text Char"/>
    <w:link w:val="FootnoteText"/>
    <w:semiHidden/>
    <w:rsid w:val="00264116"/>
    <w:rPr>
      <w:rFonts w:ascii="Arial" w:eastAsia="MS Mincho" w:hAnsi="Arial" w:cs="Times New Roman"/>
      <w:sz w:val="16"/>
      <w:szCs w:val="20"/>
      <w:lang w:val="en-CA" w:eastAsia="ja-JP"/>
    </w:rPr>
  </w:style>
  <w:style w:type="character" w:styleId="FootnoteReference">
    <w:name w:val="footnote reference"/>
    <w:semiHidden/>
    <w:rsid w:val="00264116"/>
    <w:rPr>
      <w:vertAlign w:val="superscript"/>
    </w:rPr>
  </w:style>
  <w:style w:type="paragraph" w:customStyle="1" w:styleId="ParagNum">
    <w:name w:val="ParagNum"/>
    <w:basedOn w:val="Normal"/>
    <w:rsid w:val="0026411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64116"/>
    <w:pPr>
      <w:spacing w:before="100" w:beforeAutospacing="1" w:after="100" w:afterAutospacing="1" w:line="360" w:lineRule="auto"/>
    </w:pPr>
  </w:style>
  <w:style w:type="paragraph" w:customStyle="1" w:styleId="Indent2">
    <w:name w:val="Indent 2"/>
    <w:basedOn w:val="Indent1"/>
    <w:rsid w:val="00264116"/>
    <w:pPr>
      <w:ind w:left="1134"/>
    </w:pPr>
  </w:style>
  <w:style w:type="paragraph" w:customStyle="1" w:styleId="Indent3">
    <w:name w:val="Indent 3"/>
    <w:basedOn w:val="Indent1"/>
    <w:rsid w:val="00264116"/>
    <w:pPr>
      <w:ind w:left="1701"/>
    </w:pPr>
  </w:style>
  <w:style w:type="paragraph" w:customStyle="1" w:styleId="Indent4">
    <w:name w:val="Indent 4"/>
    <w:basedOn w:val="Indent1"/>
    <w:rsid w:val="00264116"/>
    <w:pPr>
      <w:ind w:left="2268"/>
    </w:pPr>
  </w:style>
  <w:style w:type="paragraph" w:customStyle="1" w:styleId="Indent10">
    <w:name w:val="Indent1"/>
    <w:basedOn w:val="Reasons"/>
    <w:rsid w:val="00264116"/>
    <w:pPr>
      <w:ind w:left="567"/>
    </w:pPr>
  </w:style>
  <w:style w:type="paragraph" w:customStyle="1" w:styleId="Indent20">
    <w:name w:val="Indent2"/>
    <w:basedOn w:val="Indent10"/>
    <w:rsid w:val="00264116"/>
    <w:pPr>
      <w:ind w:left="1134"/>
    </w:pPr>
  </w:style>
  <w:style w:type="paragraph" w:customStyle="1" w:styleId="Indent30">
    <w:name w:val="Indent3"/>
    <w:basedOn w:val="Indent10"/>
    <w:rsid w:val="00264116"/>
    <w:pPr>
      <w:ind w:left="1701"/>
    </w:pPr>
  </w:style>
  <w:style w:type="paragraph" w:customStyle="1" w:styleId="Indent40">
    <w:name w:val="Indent4"/>
    <w:basedOn w:val="Indent10"/>
    <w:rsid w:val="00264116"/>
    <w:pPr>
      <w:ind w:left="2268"/>
    </w:pPr>
  </w:style>
  <w:style w:type="paragraph" w:customStyle="1" w:styleId="Keywords">
    <w:name w:val="Keywords"/>
    <w:basedOn w:val="Normal"/>
    <w:rsid w:val="00264116"/>
    <w:pPr>
      <w:spacing w:before="100" w:beforeAutospacing="1" w:after="100" w:afterAutospacing="1"/>
    </w:pPr>
    <w:rPr>
      <w:rFonts w:cs="Arial"/>
      <w:i/>
      <w:szCs w:val="24"/>
    </w:rPr>
  </w:style>
  <w:style w:type="paragraph" w:customStyle="1" w:styleId="Summary">
    <w:name w:val="Summary"/>
    <w:basedOn w:val="Normal"/>
    <w:autoRedefine/>
    <w:rsid w:val="00264116"/>
    <w:pPr>
      <w:spacing w:before="100" w:beforeAutospacing="1" w:after="100" w:afterAutospacing="1"/>
      <w:ind w:left="562" w:hanging="562"/>
    </w:pPr>
    <w:rPr>
      <w:rFonts w:cs="Arial"/>
    </w:rPr>
  </w:style>
  <w:style w:type="paragraph" w:customStyle="1" w:styleId="History">
    <w:name w:val="History"/>
    <w:basedOn w:val="Normal"/>
    <w:rsid w:val="00264116"/>
    <w:pPr>
      <w:spacing w:before="100" w:beforeAutospacing="1" w:after="100" w:afterAutospacing="1"/>
      <w:ind w:firstLine="567"/>
    </w:pPr>
  </w:style>
  <w:style w:type="paragraph" w:customStyle="1" w:styleId="T1">
    <w:name w:val="T1"/>
    <w:basedOn w:val="Normal"/>
    <w:rsid w:val="00264116"/>
    <w:pPr>
      <w:spacing w:before="240" w:after="100" w:afterAutospacing="1"/>
    </w:pPr>
    <w:rPr>
      <w:b/>
    </w:rPr>
  </w:style>
  <w:style w:type="paragraph" w:customStyle="1" w:styleId="T2">
    <w:name w:val="T2"/>
    <w:basedOn w:val="Normal"/>
    <w:rsid w:val="00264116"/>
    <w:pPr>
      <w:spacing w:before="240" w:after="100" w:afterAutospacing="1"/>
    </w:pPr>
  </w:style>
  <w:style w:type="paragraph" w:customStyle="1" w:styleId="Sollicitors">
    <w:name w:val="Sollicitors"/>
    <w:basedOn w:val="Normal"/>
    <w:rsid w:val="00264116"/>
    <w:pPr>
      <w:spacing w:before="100" w:beforeAutospacing="1" w:after="100" w:afterAutospacing="1"/>
    </w:pPr>
    <w:rPr>
      <w:i/>
    </w:rPr>
  </w:style>
  <w:style w:type="paragraph" w:customStyle="1" w:styleId="Court">
    <w:name w:val="Court"/>
    <w:basedOn w:val="Normal"/>
    <w:rsid w:val="00264116"/>
    <w:rPr>
      <w:rFonts w:cs="Arial"/>
      <w:b/>
      <w:szCs w:val="24"/>
    </w:rPr>
  </w:style>
  <w:style w:type="character" w:customStyle="1" w:styleId="PageChar">
    <w:name w:val="Page Char"/>
    <w:link w:val="Page"/>
    <w:rsid w:val="00264116"/>
    <w:rPr>
      <w:rFonts w:ascii="Arial" w:eastAsia="MS Mincho" w:hAnsi="Arial" w:cs="Times New Roman"/>
      <w:i/>
      <w:sz w:val="24"/>
      <w:szCs w:val="28"/>
      <w:lang w:val="en-CA" w:eastAsia="ja-JP"/>
    </w:rPr>
  </w:style>
  <w:style w:type="character" w:customStyle="1" w:styleId="ReasonsCar">
    <w:name w:val="Reasons Car"/>
    <w:link w:val="Reasons"/>
    <w:rsid w:val="00264116"/>
    <w:rPr>
      <w:rFonts w:ascii="Arial" w:eastAsia="MS Mincho" w:hAnsi="Arial" w:cs="Times New Roman"/>
      <w:sz w:val="24"/>
      <w:szCs w:val="28"/>
      <w:lang w:val="en-CA" w:eastAsia="ja-JP"/>
    </w:rPr>
  </w:style>
  <w:style w:type="paragraph" w:customStyle="1" w:styleId="CitationLine">
    <w:name w:val="CitationLine"/>
    <w:basedOn w:val="Court"/>
    <w:rsid w:val="00264116"/>
  </w:style>
  <w:style w:type="paragraph" w:customStyle="1" w:styleId="DateISO">
    <w:name w:val="DateISO"/>
    <w:basedOn w:val="Court"/>
    <w:rsid w:val="002641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18</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2015-03-19T13:03:00Z</dcterms:created>
  <dcterms:modified xsi:type="dcterms:W3CDTF">2015-03-23T10:24:00Z</dcterms:modified>
</cp:coreProperties>
</file>