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21" w:rsidRDefault="000D3D21" w:rsidP="000D3D21">
      <w:pPr>
        <w:pStyle w:val="Court"/>
      </w:pPr>
      <w:r>
        <w:t>Supreme Court of Canada</w:t>
      </w:r>
    </w:p>
    <w:p w:rsidR="000D3D21" w:rsidRDefault="000D3D21" w:rsidP="000D3D21">
      <w:pPr>
        <w:pStyle w:val="CitationLine"/>
      </w:pPr>
      <w:r w:rsidRPr="000D3D21">
        <w:t xml:space="preserve">Michaels </w:t>
      </w:r>
      <w:r w:rsidRPr="006B56D1">
        <w:rPr>
          <w:i/>
        </w:rPr>
        <w:t>v</w:t>
      </w:r>
      <w:r w:rsidRPr="000D3D21">
        <w:rPr>
          <w:i/>
          <w:iCs/>
        </w:rPr>
        <w:t xml:space="preserve">. </w:t>
      </w:r>
      <w:r w:rsidRPr="000D3D21">
        <w:t>Michaels</w:t>
      </w:r>
      <w:r>
        <w:t xml:space="preserve"> (1900) 30 SCR 547</w:t>
      </w:r>
    </w:p>
    <w:p w:rsidR="000D3D21" w:rsidRDefault="000D3D21" w:rsidP="000D3D21">
      <w:pPr>
        <w:pStyle w:val="DateISO"/>
      </w:pPr>
      <w:r>
        <w:t xml:space="preserve">Date: </w:t>
      </w:r>
      <w:r w:rsidR="00A25EE3">
        <w:t>1900-10-08</w:t>
      </w:r>
    </w:p>
    <w:p w:rsidR="001A11E4" w:rsidRPr="000D3D21" w:rsidRDefault="000D3D21" w:rsidP="000D3D21">
      <w:pPr>
        <w:pStyle w:val="Metadata"/>
      </w:pPr>
      <w:r w:rsidRPr="000D3D21">
        <w:t>Clara Michaels</w:t>
      </w:r>
      <w:r w:rsidR="001A11E4" w:rsidRPr="000D3D21">
        <w:t xml:space="preserve"> (Plaintiff)</w:t>
      </w:r>
    </w:p>
    <w:p w:rsidR="001A11E4" w:rsidRPr="000D3D21" w:rsidRDefault="001A11E4" w:rsidP="000D3D21">
      <w:pPr>
        <w:pStyle w:val="Metadata"/>
      </w:pPr>
      <w:r w:rsidRPr="000D3D21">
        <w:t>Appellant</w:t>
      </w:r>
    </w:p>
    <w:p w:rsidR="001A11E4" w:rsidRPr="000D3D21" w:rsidRDefault="004266D0" w:rsidP="000D3D21">
      <w:pPr>
        <w:pStyle w:val="Metadata"/>
      </w:pPr>
      <w:r>
        <w:t>A</w:t>
      </w:r>
      <w:r w:rsidR="001A11E4" w:rsidRPr="000D3D21">
        <w:t>nd</w:t>
      </w:r>
    </w:p>
    <w:p w:rsidR="001A11E4" w:rsidRPr="000D3D21" w:rsidRDefault="000D3D21" w:rsidP="000D3D21">
      <w:pPr>
        <w:pStyle w:val="Metadata"/>
      </w:pPr>
      <w:r w:rsidRPr="000D3D21">
        <w:t xml:space="preserve">Abraham </w:t>
      </w:r>
      <w:r w:rsidR="001A11E4" w:rsidRPr="000D3D21">
        <w:t xml:space="preserve">L. </w:t>
      </w:r>
      <w:r w:rsidRPr="000D3D21">
        <w:t xml:space="preserve">Michaels </w:t>
      </w:r>
      <w:r w:rsidR="001A11E4" w:rsidRPr="000D3D21">
        <w:t>(Defendant)</w:t>
      </w:r>
    </w:p>
    <w:p w:rsidR="001A11E4" w:rsidRPr="000D3D21" w:rsidRDefault="001A11E4" w:rsidP="000D3D21">
      <w:pPr>
        <w:pStyle w:val="Metadata"/>
      </w:pPr>
      <w:r w:rsidRPr="000D3D21">
        <w:t>Respondent</w:t>
      </w:r>
    </w:p>
    <w:p w:rsidR="000D3D21" w:rsidRDefault="000D3D21" w:rsidP="000D3D21">
      <w:pPr>
        <w:pStyle w:val="Metadata"/>
      </w:pPr>
      <w:r>
        <w:t>1900: May 1, 2; 1900: Oct. 8.</w:t>
      </w:r>
    </w:p>
    <w:p w:rsidR="000D3D21" w:rsidRDefault="000D3D21" w:rsidP="000D3D21">
      <w:pPr>
        <w:pStyle w:val="Metadata"/>
      </w:pPr>
      <w:r w:rsidRPr="000D3D21">
        <w:t>Present</w:t>
      </w:r>
      <w:r>
        <w:rPr>
          <w:smallCaps/>
        </w:rPr>
        <w:t>:</w:t>
      </w:r>
      <w:r>
        <w:t>—Sir Henry Strong C.J., and Taschereau, Gwynne, Sedgewick and King JJ.</w:t>
      </w:r>
    </w:p>
    <w:p w:rsidR="001A11E4" w:rsidRDefault="001A11E4" w:rsidP="000D3D21">
      <w:pPr>
        <w:pStyle w:val="Metadata"/>
      </w:pPr>
      <w:r>
        <w:t>ON APPEAL FROM THE SUPREME COURT OF NOVA SCOTIA.</w:t>
      </w:r>
    </w:p>
    <w:p w:rsidR="001A11E4" w:rsidRDefault="001A11E4" w:rsidP="000D3D21">
      <w:pPr>
        <w:pStyle w:val="Keywords"/>
      </w:pPr>
      <w:r>
        <w:t>Husband and wife—Separate property of wife—Married woman's Properly Acts, (N.S.)—Action by wife against husband.</w:t>
      </w:r>
    </w:p>
    <w:p w:rsidR="001A11E4" w:rsidRDefault="001A11E4" w:rsidP="000D3D21">
      <w:pPr>
        <w:pStyle w:val="Summary"/>
      </w:pPr>
      <w:r>
        <w:t>Under the Married Women's Property Acts of Nova Scotia, a promissory note indorsed to the maker's wife can be sued on by the latter against her husband.</w:t>
      </w:r>
    </w:p>
    <w:p w:rsidR="001A11E4" w:rsidRDefault="001A11E4" w:rsidP="000D3D21">
      <w:pPr>
        <w:pStyle w:val="History"/>
      </w:pPr>
      <w:r w:rsidRPr="000D3D21">
        <w:t>Appeal</w:t>
      </w:r>
      <w:r>
        <w:rPr>
          <w:smallCaps/>
        </w:rPr>
        <w:t xml:space="preserve"> </w:t>
      </w:r>
      <w:r>
        <w:t>from a decision of the Supreme Court of Nova Scotia affirming, by an equal division, the judgment at the trial in favour of the defendant.</w:t>
      </w:r>
    </w:p>
    <w:p w:rsidR="001A11E4" w:rsidRDefault="001A11E4" w:rsidP="000D3D21">
      <w:pPr>
        <w:pStyle w:val="History"/>
        <w:rPr>
          <w:rFonts w:cs="Arial"/>
          <w:szCs w:val="24"/>
        </w:rPr>
      </w:pPr>
      <w:r>
        <w:rPr>
          <w:rFonts w:cs="Arial"/>
          <w:szCs w:val="24"/>
        </w:rPr>
        <w:t>The only question raised by the appeal was whether or not the appellant could maintain an action against her husband as maker of a promissory note indorsed to the plaintiff by the payee. The provisions of the Married Woman's Property Acts affecting the question as set out in the judgment.</w:t>
      </w:r>
    </w:p>
    <w:p w:rsidR="001A11E4" w:rsidRDefault="001A11E4" w:rsidP="000D3D21">
      <w:pPr>
        <w:pStyle w:val="History"/>
        <w:rPr>
          <w:rFonts w:cs="Arial"/>
          <w:szCs w:val="24"/>
        </w:rPr>
      </w:pPr>
      <w:r>
        <w:rPr>
          <w:rFonts w:cs="Arial"/>
          <w:i/>
          <w:iCs/>
          <w:szCs w:val="24"/>
        </w:rPr>
        <w:t xml:space="preserve">Mellish </w:t>
      </w:r>
      <w:r>
        <w:rPr>
          <w:rFonts w:cs="Arial"/>
          <w:szCs w:val="24"/>
        </w:rPr>
        <w:t>for the appellant. The note is not a contract between the parties such as is prohibited by the statute. It is in the hands of the plaintiff a chose in action. Independent of the statutes relating to the property of married women, a married woman was capable of having a chose in action conferred on her. The indorsement of the note was an assignment of a chose in action and it belonged to the wife so long as the husband did not reduce it into possession. See Williams on Executors (9 ed.) pp. 739 and 798; also</w:t>
      </w:r>
    </w:p>
    <w:p w:rsidR="001A11E4" w:rsidRDefault="00E83FA1" w:rsidP="00E83FA1">
      <w:pPr>
        <w:pStyle w:val="Page"/>
      </w:pPr>
      <w:r>
        <w:rPr>
          <w:rFonts w:cs="Arial"/>
          <w:szCs w:val="24"/>
        </w:rPr>
        <w:t xml:space="preserve">[Page </w:t>
      </w:r>
      <w:r w:rsidR="001A11E4">
        <w:rPr>
          <w:rFonts w:cs="Arial"/>
          <w:szCs w:val="24"/>
        </w:rPr>
        <w:t>458]</w:t>
      </w:r>
    </w:p>
    <w:p w:rsidR="001A11E4" w:rsidRDefault="001A11E4" w:rsidP="00F36592">
      <w:pPr>
        <w:pStyle w:val="History"/>
        <w:ind w:firstLine="0"/>
        <w:rPr>
          <w:rFonts w:cs="Arial"/>
          <w:szCs w:val="24"/>
        </w:rPr>
      </w:pPr>
      <w:r>
        <w:rPr>
          <w:rFonts w:cs="Arial"/>
          <w:i/>
          <w:iCs/>
          <w:szCs w:val="24"/>
        </w:rPr>
        <w:t xml:space="preserve">Fleet </w:t>
      </w:r>
      <w:r>
        <w:rPr>
          <w:rFonts w:cs="Arial"/>
          <w:szCs w:val="24"/>
        </w:rPr>
        <w:t xml:space="preserve">v. </w:t>
      </w:r>
      <w:r>
        <w:rPr>
          <w:rFonts w:cs="Arial"/>
          <w:i/>
          <w:iCs/>
          <w:szCs w:val="24"/>
        </w:rPr>
        <w:t>Perrins</w:t>
      </w:r>
      <w:r w:rsidR="00684151">
        <w:rPr>
          <w:rStyle w:val="FootnoteReference"/>
          <w:rFonts w:cs="Arial"/>
          <w:i/>
          <w:iCs/>
          <w:szCs w:val="24"/>
        </w:rPr>
        <w:footnoteReference w:id="2"/>
      </w:r>
      <w:r>
        <w:rPr>
          <w:rFonts w:cs="Arial"/>
          <w:szCs w:val="24"/>
        </w:rPr>
        <w:t xml:space="preserve">, per Blackburn J. at p. 541-2,(1868), decided before the earliest </w:t>
      </w:r>
      <w:r>
        <w:rPr>
          <w:rFonts w:cs="Arial"/>
          <w:szCs w:val="24"/>
        </w:rPr>
        <w:lastRenderedPageBreak/>
        <w:t xml:space="preserve">Married Woman's Property Act; </w:t>
      </w:r>
      <w:r>
        <w:rPr>
          <w:rFonts w:cs="Arial"/>
          <w:i/>
          <w:iCs/>
          <w:szCs w:val="24"/>
        </w:rPr>
        <w:t xml:space="preserve">Datton </w:t>
      </w:r>
      <w:r>
        <w:rPr>
          <w:rFonts w:cs="Arial"/>
          <w:szCs w:val="24"/>
        </w:rPr>
        <w:t xml:space="preserve">y. </w:t>
      </w:r>
      <w:r>
        <w:rPr>
          <w:rFonts w:cs="Arial"/>
          <w:i/>
          <w:iCs/>
          <w:szCs w:val="24"/>
        </w:rPr>
        <w:t>Midland Counties Railway Co.</w:t>
      </w:r>
      <w:r w:rsidR="00684151">
        <w:rPr>
          <w:rStyle w:val="FootnoteReference"/>
          <w:rFonts w:cs="Arial"/>
          <w:i/>
          <w:iCs/>
          <w:szCs w:val="24"/>
        </w:rPr>
        <w:footnoteReference w:id="3"/>
      </w:r>
      <w:r>
        <w:rPr>
          <w:rFonts w:cs="Arial"/>
          <w:szCs w:val="24"/>
        </w:rPr>
        <w:t xml:space="preserve">; </w:t>
      </w:r>
      <w:r>
        <w:rPr>
          <w:rFonts w:cs="Arial"/>
          <w:i/>
          <w:iCs/>
          <w:szCs w:val="24"/>
        </w:rPr>
        <w:t xml:space="preserve">Gates </w:t>
      </w:r>
      <w:r>
        <w:rPr>
          <w:rFonts w:cs="Arial"/>
          <w:szCs w:val="24"/>
        </w:rPr>
        <w:t xml:space="preserve">v. </w:t>
      </w:r>
      <w:r>
        <w:rPr>
          <w:rFonts w:cs="Arial"/>
          <w:i/>
          <w:iCs/>
          <w:szCs w:val="24"/>
        </w:rPr>
        <w:t>Madeley</w:t>
      </w:r>
      <w:r w:rsidR="00684151">
        <w:rPr>
          <w:rStyle w:val="FootnoteReference"/>
          <w:rFonts w:cs="Arial"/>
          <w:i/>
          <w:iCs/>
          <w:szCs w:val="24"/>
        </w:rPr>
        <w:footnoteReference w:id="4"/>
      </w:r>
      <w:r>
        <w:rPr>
          <w:rFonts w:cs="Arial"/>
          <w:szCs w:val="24"/>
        </w:rPr>
        <w:t xml:space="preserve">, per Parke B. at page 427; </w:t>
      </w:r>
      <w:r>
        <w:rPr>
          <w:rFonts w:cs="Arial"/>
          <w:i/>
          <w:iCs/>
          <w:szCs w:val="24"/>
        </w:rPr>
        <w:t xml:space="preserve">Richards </w:t>
      </w:r>
      <w:r>
        <w:rPr>
          <w:rFonts w:cs="Arial"/>
          <w:szCs w:val="24"/>
        </w:rPr>
        <w:t xml:space="preserve">v. </w:t>
      </w:r>
      <w:r>
        <w:rPr>
          <w:rFonts w:cs="Arial"/>
          <w:i/>
          <w:iCs/>
          <w:szCs w:val="24"/>
        </w:rPr>
        <w:t>Richards</w:t>
      </w:r>
      <w:r w:rsidR="00684151">
        <w:rPr>
          <w:rStyle w:val="FootnoteReference"/>
          <w:rFonts w:cs="Arial"/>
          <w:i/>
          <w:iCs/>
          <w:szCs w:val="24"/>
        </w:rPr>
        <w:footnoteReference w:id="5"/>
      </w:r>
      <w:r>
        <w:rPr>
          <w:rFonts w:cs="Arial"/>
          <w:szCs w:val="24"/>
        </w:rPr>
        <w:t xml:space="preserve">; </w:t>
      </w:r>
      <w:r>
        <w:rPr>
          <w:rFonts w:cs="Arial"/>
          <w:i/>
          <w:iCs/>
          <w:szCs w:val="24"/>
        </w:rPr>
        <w:t xml:space="preserve">Sherrington </w:t>
      </w:r>
      <w:r>
        <w:rPr>
          <w:rFonts w:cs="Arial"/>
          <w:szCs w:val="24"/>
        </w:rPr>
        <w:t xml:space="preserve">v. </w:t>
      </w:r>
      <w:r>
        <w:rPr>
          <w:rFonts w:cs="Arial"/>
          <w:i/>
          <w:iCs/>
          <w:szCs w:val="24"/>
        </w:rPr>
        <w:t>Yates</w:t>
      </w:r>
      <w:r w:rsidR="00684151">
        <w:rPr>
          <w:rStyle w:val="FootnoteReference"/>
          <w:rFonts w:cs="Arial"/>
          <w:i/>
          <w:iCs/>
          <w:szCs w:val="24"/>
        </w:rPr>
        <w:footnoteReference w:id="6"/>
      </w:r>
      <w:r>
        <w:rPr>
          <w:rFonts w:cs="Arial"/>
          <w:szCs w:val="24"/>
        </w:rPr>
        <w:t>; Anson on Contracts (7 ed,) p. 120; Eversley on Domestic Relations, p. 198.</w:t>
      </w:r>
    </w:p>
    <w:p w:rsidR="001A11E4" w:rsidRDefault="001A11E4" w:rsidP="00F36592">
      <w:pPr>
        <w:pStyle w:val="History"/>
        <w:rPr>
          <w:rFonts w:cs="Arial"/>
          <w:szCs w:val="24"/>
        </w:rPr>
      </w:pPr>
      <w:r>
        <w:rPr>
          <w:rFonts w:cs="Arial"/>
          <w:szCs w:val="24"/>
        </w:rPr>
        <w:t xml:space="preserve">This is property within the meaning of sec. 3 of ch. 94 R. S. N. S. (5 ser.) acquired when that statute was in force. The effect of the Act of 1898 was to make the plaintiff discovert, and enable her to sue her husband notwithstanding the note was indorsed to her long before its passage. Eversley 334, 424; </w:t>
      </w:r>
      <w:r>
        <w:rPr>
          <w:rFonts w:cs="Arial"/>
          <w:i/>
          <w:iCs/>
          <w:szCs w:val="24"/>
        </w:rPr>
        <w:t xml:space="preserve">Weldon </w:t>
      </w:r>
      <w:r>
        <w:rPr>
          <w:rFonts w:cs="Arial"/>
          <w:szCs w:val="24"/>
        </w:rPr>
        <w:t xml:space="preserve">v. </w:t>
      </w:r>
      <w:r>
        <w:rPr>
          <w:rFonts w:cs="Arial"/>
          <w:i/>
          <w:iCs/>
          <w:szCs w:val="24"/>
        </w:rPr>
        <w:t>Winslow</w:t>
      </w:r>
      <w:r w:rsidR="00684151">
        <w:rPr>
          <w:rStyle w:val="FootnoteReference"/>
          <w:rFonts w:cs="Arial"/>
          <w:i/>
          <w:iCs/>
          <w:szCs w:val="24"/>
        </w:rPr>
        <w:footnoteReference w:id="7"/>
      </w:r>
      <w:r>
        <w:rPr>
          <w:rFonts w:cs="Arial"/>
          <w:szCs w:val="24"/>
        </w:rPr>
        <w:t xml:space="preserve">; </w:t>
      </w:r>
      <w:r>
        <w:rPr>
          <w:rFonts w:cs="Arial"/>
          <w:i/>
          <w:iCs/>
          <w:szCs w:val="24"/>
        </w:rPr>
        <w:t xml:space="preserve">Woodward </w:t>
      </w:r>
      <w:r>
        <w:rPr>
          <w:rFonts w:cs="Arial"/>
          <w:szCs w:val="24"/>
        </w:rPr>
        <w:t xml:space="preserve">v. </w:t>
      </w:r>
      <w:r>
        <w:rPr>
          <w:rFonts w:cs="Arial"/>
          <w:i/>
          <w:iCs/>
          <w:szCs w:val="24"/>
        </w:rPr>
        <w:t>Woodward</w:t>
      </w:r>
      <w:r w:rsidR="00684151">
        <w:rPr>
          <w:rStyle w:val="FootnoteReference"/>
          <w:rFonts w:cs="Arial"/>
          <w:i/>
          <w:iCs/>
          <w:szCs w:val="24"/>
        </w:rPr>
        <w:footnoteReference w:id="8"/>
      </w:r>
      <w:r>
        <w:rPr>
          <w:rFonts w:cs="Arial"/>
          <w:szCs w:val="24"/>
        </w:rPr>
        <w:t xml:space="preserve">; </w:t>
      </w:r>
      <w:r>
        <w:rPr>
          <w:rFonts w:cs="Arial"/>
          <w:i/>
          <w:iCs/>
          <w:szCs w:val="24"/>
        </w:rPr>
        <w:t xml:space="preserve">Lowe </w:t>
      </w:r>
      <w:r>
        <w:rPr>
          <w:rFonts w:cs="Arial"/>
          <w:szCs w:val="24"/>
        </w:rPr>
        <w:t xml:space="preserve">v. </w:t>
      </w:r>
      <w:r>
        <w:rPr>
          <w:rFonts w:cs="Arial"/>
          <w:i/>
          <w:iCs/>
          <w:szCs w:val="24"/>
        </w:rPr>
        <w:t>Fox</w:t>
      </w:r>
      <w:r w:rsidR="00684151">
        <w:rPr>
          <w:rStyle w:val="FootnoteReference"/>
          <w:rFonts w:cs="Arial"/>
          <w:i/>
          <w:iCs/>
          <w:szCs w:val="24"/>
        </w:rPr>
        <w:footnoteReference w:id="9"/>
      </w:r>
      <w:r>
        <w:rPr>
          <w:rFonts w:cs="Arial"/>
          <w:szCs w:val="24"/>
        </w:rPr>
        <w:t xml:space="preserve">; Lush, Husband and Wife at p. 463; </w:t>
      </w:r>
      <w:r>
        <w:rPr>
          <w:rFonts w:cs="Arial"/>
          <w:i/>
          <w:iCs/>
          <w:szCs w:val="24"/>
        </w:rPr>
        <w:t xml:space="preserve">Weldon </w:t>
      </w:r>
      <w:r>
        <w:rPr>
          <w:rFonts w:cs="Arial"/>
          <w:szCs w:val="24"/>
        </w:rPr>
        <w:t xml:space="preserve">v. </w:t>
      </w:r>
      <w:r>
        <w:rPr>
          <w:rFonts w:cs="Arial"/>
          <w:i/>
          <w:iCs/>
          <w:szCs w:val="24"/>
        </w:rPr>
        <w:t>Neat</w:t>
      </w:r>
      <w:r w:rsidR="00684151">
        <w:rPr>
          <w:rStyle w:val="FootnoteReference"/>
          <w:rFonts w:cs="Arial"/>
          <w:i/>
          <w:iCs/>
          <w:szCs w:val="24"/>
        </w:rPr>
        <w:footnoteReference w:id="10"/>
      </w:r>
      <w:r>
        <w:rPr>
          <w:rFonts w:cs="Arial"/>
          <w:szCs w:val="24"/>
        </w:rPr>
        <w:t xml:space="preserve">; </w:t>
      </w:r>
      <w:r>
        <w:rPr>
          <w:rFonts w:cs="Arial"/>
          <w:i/>
          <w:iCs/>
          <w:szCs w:val="24"/>
        </w:rPr>
        <w:t xml:space="preserve">Weldon </w:t>
      </w:r>
      <w:r>
        <w:rPr>
          <w:rFonts w:cs="Arial"/>
          <w:szCs w:val="24"/>
        </w:rPr>
        <w:t xml:space="preserve">v. </w:t>
      </w:r>
      <w:r>
        <w:rPr>
          <w:rFonts w:cs="Arial"/>
          <w:i/>
          <w:iCs/>
          <w:szCs w:val="24"/>
        </w:rPr>
        <w:t>DeBathe</w:t>
      </w:r>
      <w:r w:rsidR="00041048">
        <w:rPr>
          <w:rStyle w:val="FootnoteReference"/>
          <w:rFonts w:cs="Arial"/>
          <w:i/>
          <w:iCs/>
          <w:szCs w:val="24"/>
        </w:rPr>
        <w:footnoteReference w:id="11"/>
      </w:r>
      <w:r>
        <w:rPr>
          <w:rFonts w:cs="Arial"/>
          <w:szCs w:val="24"/>
        </w:rPr>
        <w:t xml:space="preserve">; </w:t>
      </w:r>
      <w:r>
        <w:rPr>
          <w:rFonts w:cs="Arial"/>
          <w:i/>
          <w:iCs/>
          <w:szCs w:val="24"/>
        </w:rPr>
        <w:t xml:space="preserve">Severance </w:t>
      </w:r>
      <w:r>
        <w:rPr>
          <w:rFonts w:cs="Arial"/>
          <w:szCs w:val="24"/>
        </w:rPr>
        <w:t xml:space="preserve">v. </w:t>
      </w:r>
      <w:r>
        <w:rPr>
          <w:rFonts w:cs="Arial"/>
          <w:i/>
          <w:iCs/>
          <w:szCs w:val="24"/>
        </w:rPr>
        <w:t>Civil Service Supply Association</w:t>
      </w:r>
      <w:r w:rsidR="00041048">
        <w:rPr>
          <w:rStyle w:val="FootnoteReference"/>
          <w:rFonts w:cs="Arial"/>
          <w:i/>
          <w:iCs/>
          <w:szCs w:val="24"/>
        </w:rPr>
        <w:footnoteReference w:id="12"/>
      </w:r>
      <w:r>
        <w:rPr>
          <w:rFonts w:cs="Arial"/>
          <w:szCs w:val="24"/>
        </w:rPr>
        <w:t xml:space="preserve">; </w:t>
      </w:r>
      <w:r>
        <w:rPr>
          <w:rFonts w:cs="Arial"/>
          <w:i/>
          <w:iCs/>
          <w:szCs w:val="24"/>
        </w:rPr>
        <w:t xml:space="preserve">James </w:t>
      </w:r>
      <w:r>
        <w:rPr>
          <w:rFonts w:cs="Arial"/>
          <w:szCs w:val="24"/>
        </w:rPr>
        <w:t xml:space="preserve">v. </w:t>
      </w:r>
      <w:r>
        <w:rPr>
          <w:rFonts w:cs="Arial"/>
          <w:i/>
          <w:iCs/>
          <w:szCs w:val="24"/>
        </w:rPr>
        <w:t>Barraud</w:t>
      </w:r>
      <w:r w:rsidR="00041048">
        <w:rPr>
          <w:rStyle w:val="FootnoteReference"/>
          <w:rFonts w:cs="Arial"/>
          <w:i/>
          <w:iCs/>
          <w:szCs w:val="24"/>
        </w:rPr>
        <w:footnoteReference w:id="13"/>
      </w:r>
      <w:r>
        <w:rPr>
          <w:rFonts w:cs="Arial"/>
          <w:szCs w:val="24"/>
        </w:rPr>
        <w:t xml:space="preserve">; </w:t>
      </w:r>
      <w:r>
        <w:rPr>
          <w:rFonts w:cs="Arial"/>
          <w:i/>
          <w:iCs/>
          <w:szCs w:val="24"/>
        </w:rPr>
        <w:t xml:space="preserve">Butler </w:t>
      </w:r>
      <w:r>
        <w:rPr>
          <w:rFonts w:cs="Arial"/>
          <w:szCs w:val="24"/>
        </w:rPr>
        <w:t xml:space="preserve">v. </w:t>
      </w:r>
      <w:r>
        <w:rPr>
          <w:rFonts w:cs="Arial"/>
          <w:i/>
          <w:iCs/>
          <w:szCs w:val="24"/>
        </w:rPr>
        <w:t>Butler</w:t>
      </w:r>
      <w:r w:rsidR="00041048">
        <w:rPr>
          <w:rStyle w:val="FootnoteReference"/>
          <w:rFonts w:cs="Arial"/>
          <w:i/>
          <w:iCs/>
          <w:szCs w:val="24"/>
        </w:rPr>
        <w:footnoteReference w:id="14"/>
      </w:r>
      <w:r>
        <w:rPr>
          <w:rFonts w:cs="Arial"/>
          <w:szCs w:val="24"/>
        </w:rPr>
        <w:t xml:space="preserve">; </w:t>
      </w:r>
      <w:r>
        <w:rPr>
          <w:rFonts w:cs="Arial"/>
          <w:i/>
          <w:iCs/>
          <w:szCs w:val="24"/>
        </w:rPr>
        <w:t xml:space="preserve">Spooner </w:t>
      </w:r>
      <w:r>
        <w:rPr>
          <w:rFonts w:cs="Arial"/>
          <w:szCs w:val="24"/>
        </w:rPr>
        <w:t xml:space="preserve">v. </w:t>
      </w:r>
      <w:r>
        <w:rPr>
          <w:rFonts w:cs="Arial"/>
          <w:i/>
          <w:iCs/>
          <w:szCs w:val="24"/>
        </w:rPr>
        <w:t>Spooner</w:t>
      </w:r>
      <w:r w:rsidR="00041048">
        <w:rPr>
          <w:rStyle w:val="FootnoteReference"/>
          <w:rFonts w:cs="Arial"/>
          <w:i/>
          <w:iCs/>
          <w:szCs w:val="24"/>
        </w:rPr>
        <w:footnoteReference w:id="15"/>
      </w:r>
      <w:r>
        <w:rPr>
          <w:rFonts w:cs="Arial"/>
          <w:szCs w:val="24"/>
        </w:rPr>
        <w:t xml:space="preserve">; </w:t>
      </w:r>
      <w:r>
        <w:rPr>
          <w:rFonts w:cs="Arial"/>
          <w:i/>
          <w:iCs/>
          <w:szCs w:val="24"/>
        </w:rPr>
        <w:t xml:space="preserve">Buss </w:t>
      </w:r>
      <w:r>
        <w:rPr>
          <w:rFonts w:cs="Arial"/>
          <w:szCs w:val="24"/>
        </w:rPr>
        <w:t xml:space="preserve">v. </w:t>
      </w:r>
      <w:r>
        <w:rPr>
          <w:rFonts w:cs="Arial"/>
          <w:i/>
          <w:iCs/>
          <w:szCs w:val="24"/>
        </w:rPr>
        <w:t>George</w:t>
      </w:r>
      <w:r w:rsidR="00041048">
        <w:rPr>
          <w:rStyle w:val="FootnoteReference"/>
          <w:rFonts w:cs="Arial"/>
          <w:i/>
          <w:iCs/>
          <w:szCs w:val="24"/>
        </w:rPr>
        <w:footnoteReference w:id="16"/>
      </w:r>
      <w:r>
        <w:rPr>
          <w:rFonts w:cs="Arial"/>
          <w:szCs w:val="24"/>
        </w:rPr>
        <w:t>.</w:t>
      </w:r>
    </w:p>
    <w:p w:rsidR="001A11E4" w:rsidRDefault="001A11E4" w:rsidP="00F36592">
      <w:pPr>
        <w:pStyle w:val="History"/>
        <w:rPr>
          <w:rFonts w:cs="Arial"/>
          <w:szCs w:val="24"/>
        </w:rPr>
      </w:pPr>
      <w:r>
        <w:rPr>
          <w:rFonts w:cs="Arial"/>
          <w:i/>
          <w:iCs/>
          <w:szCs w:val="24"/>
        </w:rPr>
        <w:t>Borden Q. C.</w:t>
      </w:r>
      <w:r>
        <w:rPr>
          <w:rFonts w:cs="Arial"/>
          <w:szCs w:val="24"/>
        </w:rPr>
        <w:t xml:space="preserve"> for the respondent. The plaintiff claims as indorsee against the maker. The action is </w:t>
      </w:r>
      <w:r>
        <w:rPr>
          <w:rFonts w:cs="Arial"/>
          <w:i/>
          <w:iCs/>
          <w:szCs w:val="24"/>
        </w:rPr>
        <w:t xml:space="preserve">ex contractu </w:t>
      </w:r>
      <w:r>
        <w:rPr>
          <w:rFonts w:cs="Arial"/>
          <w:szCs w:val="24"/>
        </w:rPr>
        <w:t>upon an implied promise arising from the fact of the plaintiff being the holder of a promissory note made by defendant. Stephens on Pleading (7 ed.) p. 11; 1 Comyns Digest, p. 284, 290; 1 Saunders on Pleading &amp; Evidence (2 ed.) pp. 162, 447; Bullen &amp; Leak's Precedents on Pleading (3 ed.) p. 94.</w:t>
      </w:r>
    </w:p>
    <w:p w:rsidR="001A11E4" w:rsidRDefault="001A11E4" w:rsidP="00F36592">
      <w:pPr>
        <w:pStyle w:val="History"/>
        <w:rPr>
          <w:rFonts w:cs="Arial"/>
          <w:szCs w:val="24"/>
        </w:rPr>
      </w:pPr>
      <w:r>
        <w:rPr>
          <w:rFonts w:cs="Arial"/>
          <w:szCs w:val="24"/>
        </w:rPr>
        <w:t>By the statute 3 &amp; 4 Anne ch. 9, the indorsee is given the same right of action against the maker as the indorsee of a bill of exchange had by the custom</w:t>
      </w:r>
    </w:p>
    <w:p w:rsidR="001A11E4" w:rsidRDefault="00E83FA1" w:rsidP="00E83FA1">
      <w:pPr>
        <w:pStyle w:val="Page"/>
      </w:pPr>
      <w:r>
        <w:rPr>
          <w:rFonts w:cs="Arial"/>
          <w:szCs w:val="24"/>
        </w:rPr>
        <w:t xml:space="preserve">[Page </w:t>
      </w:r>
      <w:r w:rsidR="001A11E4">
        <w:rPr>
          <w:rFonts w:cs="Arial"/>
          <w:szCs w:val="24"/>
        </w:rPr>
        <w:t>549]</w:t>
      </w:r>
    </w:p>
    <w:p w:rsidR="001A11E4" w:rsidRDefault="001A11E4" w:rsidP="00F36592">
      <w:pPr>
        <w:pStyle w:val="History"/>
        <w:ind w:firstLine="0"/>
        <w:rPr>
          <w:rFonts w:cs="Arial"/>
          <w:szCs w:val="24"/>
        </w:rPr>
      </w:pPr>
      <w:r>
        <w:rPr>
          <w:rFonts w:cs="Arial"/>
          <w:szCs w:val="24"/>
        </w:rPr>
        <w:t xml:space="preserve">of merchants against the acceptor and the same implied promise exists between indorsee and maker of a promissory note as between indorsee and acceptor of a bill of exchange. </w:t>
      </w:r>
      <w:r>
        <w:rPr>
          <w:rFonts w:cs="Arial"/>
          <w:i/>
          <w:iCs/>
          <w:szCs w:val="24"/>
        </w:rPr>
        <w:t>Welsh v. Craig</w:t>
      </w:r>
      <w:r w:rsidR="00041048">
        <w:rPr>
          <w:rStyle w:val="FootnoteReference"/>
          <w:rFonts w:cs="Arial"/>
          <w:i/>
          <w:iCs/>
          <w:szCs w:val="24"/>
        </w:rPr>
        <w:footnoteReference w:id="17"/>
      </w:r>
      <w:r>
        <w:rPr>
          <w:rFonts w:cs="Arial"/>
          <w:szCs w:val="24"/>
        </w:rPr>
        <w:t xml:space="preserve">; </w:t>
      </w:r>
      <w:r>
        <w:rPr>
          <w:rFonts w:cs="Arial"/>
          <w:i/>
          <w:iCs/>
          <w:szCs w:val="24"/>
        </w:rPr>
        <w:t xml:space="preserve">Bishop </w:t>
      </w:r>
      <w:r>
        <w:rPr>
          <w:rFonts w:cs="Arial"/>
          <w:szCs w:val="24"/>
        </w:rPr>
        <w:t xml:space="preserve">v. </w:t>
      </w:r>
      <w:r>
        <w:rPr>
          <w:rFonts w:cs="Arial"/>
          <w:i/>
          <w:iCs/>
          <w:szCs w:val="24"/>
        </w:rPr>
        <w:t>Young</w:t>
      </w:r>
      <w:r w:rsidR="00041048">
        <w:rPr>
          <w:rStyle w:val="FootnoteReference"/>
          <w:rFonts w:cs="Arial"/>
          <w:i/>
          <w:iCs/>
          <w:szCs w:val="24"/>
        </w:rPr>
        <w:footnoteReference w:id="18"/>
      </w:r>
      <w:r>
        <w:rPr>
          <w:rFonts w:cs="Arial"/>
          <w:szCs w:val="24"/>
        </w:rPr>
        <w:t xml:space="preserve">; </w:t>
      </w:r>
      <w:r>
        <w:rPr>
          <w:rFonts w:cs="Arial"/>
          <w:i/>
          <w:iCs/>
          <w:szCs w:val="24"/>
        </w:rPr>
        <w:t xml:space="preserve">Powell </w:t>
      </w:r>
      <w:r>
        <w:rPr>
          <w:rFonts w:cs="Arial"/>
          <w:szCs w:val="24"/>
        </w:rPr>
        <w:t xml:space="preserve">v. </w:t>
      </w:r>
      <w:r>
        <w:rPr>
          <w:rFonts w:cs="Arial"/>
          <w:i/>
          <w:iCs/>
          <w:szCs w:val="24"/>
        </w:rPr>
        <w:t>Ancell</w:t>
      </w:r>
      <w:r w:rsidR="00041048">
        <w:rPr>
          <w:rStyle w:val="FootnoteReference"/>
          <w:rFonts w:cs="Arial"/>
          <w:i/>
          <w:iCs/>
          <w:szCs w:val="24"/>
        </w:rPr>
        <w:footnoteReference w:id="19"/>
      </w:r>
      <w:r>
        <w:rPr>
          <w:rFonts w:cs="Arial"/>
          <w:szCs w:val="24"/>
        </w:rPr>
        <w:t>.</w:t>
      </w:r>
    </w:p>
    <w:p w:rsidR="001A11E4" w:rsidRDefault="001A11E4" w:rsidP="00F36592">
      <w:pPr>
        <w:pStyle w:val="History"/>
        <w:rPr>
          <w:rFonts w:cs="Arial"/>
          <w:szCs w:val="24"/>
        </w:rPr>
      </w:pPr>
      <w:r>
        <w:rPr>
          <w:rFonts w:cs="Arial"/>
          <w:szCs w:val="24"/>
        </w:rPr>
        <w:t xml:space="preserve">Between husband and wife at common law there could be no contract express or implied because they are one person. 1 Chit. Black, p. 442; Crawley on Husband and Wife, pp. 28, 29; </w:t>
      </w:r>
      <w:r>
        <w:rPr>
          <w:rFonts w:cs="Arial"/>
          <w:i/>
          <w:iCs/>
          <w:szCs w:val="24"/>
        </w:rPr>
        <w:t xml:space="preserve">Phillips </w:t>
      </w:r>
      <w:r>
        <w:rPr>
          <w:rFonts w:cs="Arial"/>
          <w:szCs w:val="24"/>
        </w:rPr>
        <w:t xml:space="preserve">v. </w:t>
      </w:r>
      <w:r>
        <w:rPr>
          <w:rFonts w:cs="Arial"/>
          <w:i/>
          <w:iCs/>
          <w:szCs w:val="24"/>
        </w:rPr>
        <w:t>Barnet</w:t>
      </w:r>
      <w:r w:rsidR="00041048">
        <w:rPr>
          <w:rStyle w:val="FootnoteReference"/>
          <w:rFonts w:cs="Arial"/>
          <w:i/>
          <w:iCs/>
          <w:szCs w:val="24"/>
        </w:rPr>
        <w:footnoteReference w:id="20"/>
      </w:r>
      <w:r>
        <w:rPr>
          <w:rFonts w:cs="Arial"/>
          <w:szCs w:val="24"/>
        </w:rPr>
        <w:t xml:space="preserve">; </w:t>
      </w:r>
      <w:r>
        <w:rPr>
          <w:rFonts w:cs="Arial"/>
          <w:i/>
          <w:iCs/>
          <w:szCs w:val="24"/>
        </w:rPr>
        <w:t xml:space="preserve">Cahill </w:t>
      </w:r>
      <w:r>
        <w:rPr>
          <w:rFonts w:cs="Arial"/>
          <w:szCs w:val="24"/>
        </w:rPr>
        <w:t xml:space="preserve">v. </w:t>
      </w:r>
      <w:r>
        <w:rPr>
          <w:rFonts w:cs="Arial"/>
          <w:i/>
          <w:iCs/>
          <w:szCs w:val="24"/>
        </w:rPr>
        <w:t>Cahill</w:t>
      </w:r>
      <w:r w:rsidR="00041048">
        <w:rPr>
          <w:rStyle w:val="FootnoteReference"/>
          <w:rFonts w:cs="Arial"/>
          <w:i/>
          <w:iCs/>
          <w:szCs w:val="24"/>
        </w:rPr>
        <w:footnoteReference w:id="21"/>
      </w:r>
      <w:r>
        <w:rPr>
          <w:rFonts w:cs="Arial"/>
          <w:szCs w:val="24"/>
        </w:rPr>
        <w:t xml:space="preserve">. This is the principle upon which conveyances from husband to wife are held to be void. Co. Litt. 112 </w:t>
      </w:r>
      <w:r>
        <w:rPr>
          <w:rFonts w:cs="Arial"/>
          <w:i/>
          <w:iCs/>
          <w:szCs w:val="24"/>
        </w:rPr>
        <w:t>a.; Re Breton</w:t>
      </w:r>
      <w:r w:rsidR="00041048">
        <w:rPr>
          <w:rStyle w:val="FootnoteReference"/>
          <w:rFonts w:cs="Arial"/>
          <w:i/>
          <w:iCs/>
          <w:szCs w:val="24"/>
        </w:rPr>
        <w:footnoteReference w:id="22"/>
      </w:r>
      <w:r>
        <w:rPr>
          <w:rFonts w:cs="Arial"/>
          <w:szCs w:val="24"/>
        </w:rPr>
        <w:t xml:space="preserve">; </w:t>
      </w:r>
      <w:r>
        <w:rPr>
          <w:rFonts w:cs="Arial"/>
          <w:i/>
          <w:iCs/>
          <w:szCs w:val="24"/>
        </w:rPr>
        <w:lastRenderedPageBreak/>
        <w:t xml:space="preserve">Bliss </w:t>
      </w:r>
      <w:r>
        <w:rPr>
          <w:rFonts w:cs="Arial"/>
          <w:szCs w:val="24"/>
        </w:rPr>
        <w:t xml:space="preserve">v. </w:t>
      </w:r>
      <w:r>
        <w:rPr>
          <w:rFonts w:cs="Arial"/>
          <w:i/>
          <w:iCs/>
          <w:szCs w:val="24"/>
        </w:rPr>
        <w:t>Aetna Life Ins. Co.</w:t>
      </w:r>
      <w:r w:rsidR="00041048">
        <w:rPr>
          <w:rStyle w:val="FootnoteReference"/>
          <w:rFonts w:cs="Arial"/>
          <w:i/>
          <w:iCs/>
          <w:szCs w:val="24"/>
        </w:rPr>
        <w:footnoteReference w:id="23"/>
      </w:r>
      <w:r>
        <w:rPr>
          <w:rFonts w:cs="Arial"/>
          <w:szCs w:val="24"/>
        </w:rPr>
        <w:t xml:space="preserve">. The result is that at common law the indorsement gave the plaintiff no cause of action against her husband, but the note when indorsed to her became extinguished. </w:t>
      </w:r>
      <w:r>
        <w:rPr>
          <w:rFonts w:cs="Arial"/>
          <w:i/>
          <w:iCs/>
          <w:szCs w:val="24"/>
        </w:rPr>
        <w:t xml:space="preserve">Haley </w:t>
      </w:r>
      <w:r>
        <w:rPr>
          <w:rFonts w:cs="Arial"/>
          <w:szCs w:val="24"/>
        </w:rPr>
        <w:t xml:space="preserve">v. </w:t>
      </w:r>
      <w:r>
        <w:rPr>
          <w:rFonts w:cs="Arial"/>
          <w:i/>
          <w:iCs/>
          <w:szCs w:val="24"/>
        </w:rPr>
        <w:t>Lane</w:t>
      </w:r>
      <w:r w:rsidR="00041048">
        <w:rPr>
          <w:rStyle w:val="FootnoteReference"/>
          <w:rFonts w:cs="Arial"/>
          <w:i/>
          <w:iCs/>
          <w:szCs w:val="24"/>
        </w:rPr>
        <w:footnoteReference w:id="24"/>
      </w:r>
      <w:r>
        <w:rPr>
          <w:rFonts w:cs="Arial"/>
          <w:szCs w:val="24"/>
        </w:rPr>
        <w:t xml:space="preserve">; </w:t>
      </w:r>
      <w:r>
        <w:rPr>
          <w:rFonts w:cs="Arial"/>
          <w:i/>
          <w:iCs/>
          <w:szCs w:val="24"/>
        </w:rPr>
        <w:t>In re Price</w:t>
      </w:r>
      <w:r w:rsidR="00041048">
        <w:rPr>
          <w:rStyle w:val="FootnoteReference"/>
          <w:rFonts w:cs="Arial"/>
          <w:i/>
          <w:iCs/>
          <w:szCs w:val="24"/>
        </w:rPr>
        <w:footnoteReference w:id="25"/>
      </w:r>
      <w:r>
        <w:rPr>
          <w:rFonts w:cs="Arial"/>
          <w:szCs w:val="24"/>
        </w:rPr>
        <w:t xml:space="preserve">; </w:t>
      </w:r>
      <w:r>
        <w:rPr>
          <w:rFonts w:cs="Arial"/>
          <w:i/>
          <w:iCs/>
          <w:szCs w:val="24"/>
        </w:rPr>
        <w:t xml:space="preserve">Jackson </w:t>
      </w:r>
      <w:r>
        <w:rPr>
          <w:rFonts w:cs="Arial"/>
          <w:szCs w:val="24"/>
        </w:rPr>
        <w:t xml:space="preserve">v. </w:t>
      </w:r>
      <w:r>
        <w:rPr>
          <w:rFonts w:cs="Arial"/>
          <w:i/>
          <w:iCs/>
          <w:szCs w:val="24"/>
        </w:rPr>
        <w:t>Parks</w:t>
      </w:r>
      <w:r w:rsidR="00041048">
        <w:rPr>
          <w:rStyle w:val="FootnoteReference"/>
          <w:rFonts w:cs="Arial"/>
          <w:i/>
          <w:iCs/>
          <w:szCs w:val="24"/>
        </w:rPr>
        <w:footnoteReference w:id="26"/>
      </w:r>
      <w:r>
        <w:rPr>
          <w:rFonts w:cs="Arial"/>
          <w:szCs w:val="24"/>
        </w:rPr>
        <w:t xml:space="preserve">; </w:t>
      </w:r>
      <w:r>
        <w:rPr>
          <w:rFonts w:cs="Arial"/>
          <w:i/>
          <w:iCs/>
          <w:szCs w:val="24"/>
        </w:rPr>
        <w:t xml:space="preserve">Gay </w:t>
      </w:r>
      <w:r>
        <w:rPr>
          <w:rFonts w:cs="Arial"/>
          <w:szCs w:val="24"/>
        </w:rPr>
        <w:t xml:space="preserve">v. </w:t>
      </w:r>
      <w:r>
        <w:rPr>
          <w:rFonts w:cs="Arial"/>
          <w:i/>
          <w:iCs/>
          <w:szCs w:val="24"/>
        </w:rPr>
        <w:t>Kingsley</w:t>
      </w:r>
      <w:r w:rsidR="00041048">
        <w:rPr>
          <w:rStyle w:val="FootnoteReference"/>
          <w:rFonts w:cs="Arial"/>
          <w:i/>
          <w:iCs/>
          <w:szCs w:val="24"/>
        </w:rPr>
        <w:footnoteReference w:id="27"/>
      </w:r>
      <w:r>
        <w:rPr>
          <w:rFonts w:cs="Arial"/>
          <w:szCs w:val="24"/>
        </w:rPr>
        <w:t xml:space="preserve">; </w:t>
      </w:r>
      <w:r>
        <w:rPr>
          <w:rFonts w:cs="Arial"/>
          <w:i/>
          <w:iCs/>
          <w:szCs w:val="24"/>
        </w:rPr>
        <w:t xml:space="preserve">Chapman </w:t>
      </w:r>
      <w:r>
        <w:rPr>
          <w:rFonts w:cs="Arial"/>
          <w:szCs w:val="24"/>
        </w:rPr>
        <w:t xml:space="preserve">v. </w:t>
      </w:r>
      <w:r>
        <w:rPr>
          <w:rFonts w:cs="Arial"/>
          <w:i/>
          <w:iCs/>
          <w:szCs w:val="24"/>
        </w:rPr>
        <w:t>Kellogg</w:t>
      </w:r>
      <w:r w:rsidR="00041048">
        <w:rPr>
          <w:rStyle w:val="FootnoteReference"/>
          <w:rFonts w:cs="Arial"/>
          <w:i/>
          <w:iCs/>
          <w:szCs w:val="24"/>
        </w:rPr>
        <w:footnoteReference w:id="28"/>
      </w:r>
      <w:r>
        <w:rPr>
          <w:rFonts w:cs="Arial"/>
          <w:szCs w:val="24"/>
        </w:rPr>
        <w:t xml:space="preserve">; </w:t>
      </w:r>
      <w:r>
        <w:rPr>
          <w:rFonts w:cs="Arial"/>
          <w:i/>
          <w:iCs/>
          <w:szCs w:val="24"/>
        </w:rPr>
        <w:t xml:space="preserve">Abbott </w:t>
      </w:r>
      <w:r>
        <w:rPr>
          <w:rFonts w:cs="Arial"/>
          <w:szCs w:val="24"/>
        </w:rPr>
        <w:t xml:space="preserve">v. </w:t>
      </w:r>
      <w:r>
        <w:rPr>
          <w:rFonts w:cs="Arial"/>
          <w:i/>
          <w:iCs/>
          <w:szCs w:val="24"/>
        </w:rPr>
        <w:t>Winchester</w:t>
      </w:r>
      <w:r w:rsidR="00041048">
        <w:rPr>
          <w:rStyle w:val="FootnoteReference"/>
          <w:rFonts w:cs="Arial"/>
          <w:i/>
          <w:iCs/>
          <w:szCs w:val="24"/>
        </w:rPr>
        <w:footnoteReference w:id="29"/>
      </w:r>
      <w:r>
        <w:rPr>
          <w:rFonts w:cs="Arial"/>
          <w:szCs w:val="24"/>
        </w:rPr>
        <w:t xml:space="preserve">; </w:t>
      </w:r>
      <w:r>
        <w:rPr>
          <w:rFonts w:cs="Arial"/>
          <w:i/>
          <w:iCs/>
          <w:szCs w:val="24"/>
        </w:rPr>
        <w:t xml:space="preserve">Roby </w:t>
      </w:r>
      <w:r>
        <w:rPr>
          <w:rFonts w:cs="Arial"/>
          <w:szCs w:val="24"/>
        </w:rPr>
        <w:t xml:space="preserve">v. </w:t>
      </w:r>
      <w:r>
        <w:rPr>
          <w:rFonts w:cs="Arial"/>
          <w:i/>
          <w:iCs/>
          <w:szCs w:val="24"/>
        </w:rPr>
        <w:t>Phelon</w:t>
      </w:r>
      <w:r w:rsidR="00041048">
        <w:rPr>
          <w:rStyle w:val="FootnoteReference"/>
          <w:rFonts w:cs="Arial"/>
          <w:i/>
          <w:iCs/>
          <w:szCs w:val="24"/>
        </w:rPr>
        <w:footnoteReference w:id="30"/>
      </w:r>
      <w:r>
        <w:rPr>
          <w:rFonts w:cs="Arial"/>
          <w:szCs w:val="24"/>
        </w:rPr>
        <w:t>.</w:t>
      </w:r>
    </w:p>
    <w:p w:rsidR="001A11E4" w:rsidRDefault="001A11E4" w:rsidP="00F36592">
      <w:pPr>
        <w:pStyle w:val="History"/>
        <w:rPr>
          <w:rFonts w:cs="Arial"/>
          <w:szCs w:val="24"/>
        </w:rPr>
      </w:pPr>
      <w:r>
        <w:rPr>
          <w:rFonts w:cs="Arial"/>
          <w:szCs w:val="24"/>
        </w:rPr>
        <w:t xml:space="preserve">Both the Nova Scotia and Ontario Acts are like the English Married Woman's Property Act, 1882, and the Massachusetts Act; they do not do away with the unity of husband and wife but only remove certain specific disabilities of the wife leaving all others untouched. </w:t>
      </w:r>
      <w:r>
        <w:rPr>
          <w:rFonts w:cs="Arial"/>
          <w:i/>
          <w:iCs/>
          <w:szCs w:val="24"/>
        </w:rPr>
        <w:t xml:space="preserve">Butler </w:t>
      </w:r>
      <w:r>
        <w:rPr>
          <w:rFonts w:cs="Arial"/>
          <w:szCs w:val="24"/>
        </w:rPr>
        <w:t xml:space="preserve">v. </w:t>
      </w:r>
      <w:r>
        <w:rPr>
          <w:rFonts w:cs="Arial"/>
          <w:i/>
          <w:iCs/>
          <w:szCs w:val="24"/>
        </w:rPr>
        <w:t>Butler</w:t>
      </w:r>
      <w:r w:rsidR="00041048">
        <w:rPr>
          <w:rStyle w:val="FootnoteReference"/>
          <w:rFonts w:cs="Arial"/>
          <w:i/>
          <w:iCs/>
          <w:szCs w:val="24"/>
        </w:rPr>
        <w:footnoteReference w:id="31"/>
      </w:r>
      <w:r>
        <w:rPr>
          <w:rFonts w:cs="Arial"/>
          <w:szCs w:val="24"/>
        </w:rPr>
        <w:t xml:space="preserve">, per Willes J. at page 835; </w:t>
      </w:r>
      <w:r>
        <w:rPr>
          <w:rFonts w:cs="Arial"/>
          <w:i/>
          <w:iCs/>
          <w:szCs w:val="24"/>
        </w:rPr>
        <w:t xml:space="preserve">Lord </w:t>
      </w:r>
      <w:r>
        <w:rPr>
          <w:rFonts w:cs="Arial"/>
          <w:szCs w:val="24"/>
        </w:rPr>
        <w:t>v</w:t>
      </w:r>
      <w:r>
        <w:rPr>
          <w:rFonts w:cs="Arial"/>
          <w:i/>
          <w:iCs/>
          <w:szCs w:val="24"/>
        </w:rPr>
        <w:t>. Parker</w:t>
      </w:r>
      <w:r w:rsidR="00041048">
        <w:rPr>
          <w:rStyle w:val="FootnoteReference"/>
          <w:rFonts w:cs="Arial"/>
          <w:i/>
          <w:iCs/>
          <w:szCs w:val="24"/>
        </w:rPr>
        <w:footnoteReference w:id="32"/>
      </w:r>
      <w:r>
        <w:rPr>
          <w:rFonts w:cs="Arial"/>
          <w:szCs w:val="24"/>
        </w:rPr>
        <w:t xml:space="preserve">; </w:t>
      </w:r>
      <w:r>
        <w:rPr>
          <w:rFonts w:cs="Arial"/>
          <w:i/>
          <w:iCs/>
          <w:szCs w:val="24"/>
        </w:rPr>
        <w:t xml:space="preserve">Edwards </w:t>
      </w:r>
      <w:r>
        <w:rPr>
          <w:rFonts w:cs="Arial"/>
          <w:szCs w:val="24"/>
        </w:rPr>
        <w:t xml:space="preserve">v. </w:t>
      </w:r>
      <w:r>
        <w:rPr>
          <w:rFonts w:cs="Arial"/>
          <w:i/>
          <w:iCs/>
          <w:szCs w:val="24"/>
        </w:rPr>
        <w:t>Stevens</w:t>
      </w:r>
      <w:r w:rsidR="00041048">
        <w:rPr>
          <w:rStyle w:val="FootnoteReference"/>
          <w:rFonts w:cs="Arial"/>
          <w:i/>
          <w:iCs/>
          <w:szCs w:val="24"/>
        </w:rPr>
        <w:footnoteReference w:id="33"/>
      </w:r>
      <w:r>
        <w:rPr>
          <w:rFonts w:cs="Arial"/>
          <w:szCs w:val="24"/>
        </w:rPr>
        <w:t xml:space="preserve">; </w:t>
      </w:r>
      <w:r>
        <w:rPr>
          <w:rFonts w:cs="Arial"/>
          <w:i/>
          <w:iCs/>
          <w:szCs w:val="24"/>
        </w:rPr>
        <w:t xml:space="preserve">Ingham </w:t>
      </w:r>
      <w:r>
        <w:rPr>
          <w:rFonts w:cs="Arial"/>
          <w:szCs w:val="24"/>
        </w:rPr>
        <w:t xml:space="preserve">v. </w:t>
      </w:r>
      <w:r>
        <w:rPr>
          <w:rFonts w:cs="Arial"/>
          <w:i/>
          <w:iCs/>
          <w:szCs w:val="24"/>
        </w:rPr>
        <w:t>White</w:t>
      </w:r>
      <w:r w:rsidR="00041048">
        <w:rPr>
          <w:rStyle w:val="FootnoteReference"/>
          <w:rFonts w:cs="Arial"/>
          <w:i/>
          <w:iCs/>
          <w:szCs w:val="24"/>
        </w:rPr>
        <w:footnoteReference w:id="34"/>
      </w:r>
      <w:r>
        <w:rPr>
          <w:rFonts w:cs="Arial"/>
          <w:szCs w:val="24"/>
        </w:rPr>
        <w:t>.</w:t>
      </w:r>
    </w:p>
    <w:p w:rsidR="001A11E4" w:rsidRDefault="001A11E4" w:rsidP="00F36592">
      <w:pPr>
        <w:pStyle w:val="History"/>
        <w:rPr>
          <w:rFonts w:cs="Arial"/>
          <w:szCs w:val="24"/>
        </w:rPr>
      </w:pPr>
      <w:r>
        <w:rPr>
          <w:rFonts w:cs="Arial"/>
          <w:szCs w:val="24"/>
        </w:rPr>
        <w:t>The Ontario and Nova Scotia Acts referred to created in married women no contractual capacity whatever.</w:t>
      </w:r>
    </w:p>
    <w:p w:rsidR="001A11E4" w:rsidRDefault="00E83FA1" w:rsidP="00E83FA1">
      <w:pPr>
        <w:pStyle w:val="Page"/>
      </w:pPr>
      <w:r>
        <w:rPr>
          <w:rFonts w:cs="Arial"/>
          <w:szCs w:val="24"/>
        </w:rPr>
        <w:t xml:space="preserve">[Page </w:t>
      </w:r>
      <w:r w:rsidR="001A11E4">
        <w:rPr>
          <w:rFonts w:cs="Arial"/>
          <w:szCs w:val="24"/>
        </w:rPr>
        <w:t>550]</w:t>
      </w:r>
    </w:p>
    <w:p w:rsidR="001A11E4" w:rsidRDefault="001A11E4" w:rsidP="00F36592">
      <w:pPr>
        <w:pStyle w:val="History"/>
        <w:ind w:firstLine="0"/>
        <w:rPr>
          <w:rFonts w:cs="Arial"/>
          <w:szCs w:val="24"/>
        </w:rPr>
      </w:pPr>
      <w:r>
        <w:rPr>
          <w:rFonts w:cs="Arial"/>
          <w:i/>
          <w:iCs/>
          <w:szCs w:val="24"/>
        </w:rPr>
        <w:t xml:space="preserve">Moore </w:t>
      </w:r>
      <w:r>
        <w:rPr>
          <w:rFonts w:cs="Arial"/>
          <w:szCs w:val="24"/>
        </w:rPr>
        <w:t xml:space="preserve">v. </w:t>
      </w:r>
      <w:r>
        <w:rPr>
          <w:rFonts w:cs="Arial"/>
          <w:i/>
          <w:iCs/>
          <w:szCs w:val="24"/>
        </w:rPr>
        <w:t>Jackson</w:t>
      </w:r>
      <w:r w:rsidR="00041048">
        <w:rPr>
          <w:rStyle w:val="FootnoteReference"/>
          <w:rFonts w:cs="Arial"/>
          <w:i/>
          <w:iCs/>
          <w:szCs w:val="24"/>
        </w:rPr>
        <w:footnoteReference w:id="35"/>
      </w:r>
      <w:r>
        <w:rPr>
          <w:rFonts w:cs="Arial"/>
          <w:szCs w:val="24"/>
        </w:rPr>
        <w:t xml:space="preserve">; </w:t>
      </w:r>
      <w:r>
        <w:rPr>
          <w:rFonts w:cs="Arial"/>
          <w:i/>
          <w:iCs/>
          <w:szCs w:val="24"/>
        </w:rPr>
        <w:t xml:space="preserve">Foster </w:t>
      </w:r>
      <w:r>
        <w:rPr>
          <w:rFonts w:cs="Arial"/>
          <w:szCs w:val="24"/>
        </w:rPr>
        <w:t xml:space="preserve">v. </w:t>
      </w:r>
      <w:r>
        <w:rPr>
          <w:rFonts w:cs="Arial"/>
          <w:i/>
          <w:iCs/>
          <w:szCs w:val="24"/>
        </w:rPr>
        <w:t>Hartlen</w:t>
      </w:r>
      <w:r w:rsidR="00041048">
        <w:rPr>
          <w:rStyle w:val="FootnoteReference"/>
          <w:rFonts w:cs="Arial"/>
          <w:i/>
          <w:iCs/>
          <w:szCs w:val="24"/>
        </w:rPr>
        <w:footnoteReference w:id="36"/>
      </w:r>
      <w:r>
        <w:rPr>
          <w:rFonts w:cs="Arial"/>
          <w:i/>
          <w:iCs/>
          <w:szCs w:val="24"/>
        </w:rPr>
        <w:t>;</w:t>
      </w:r>
      <w:r>
        <w:rPr>
          <w:rFonts w:cs="Arial"/>
          <w:szCs w:val="24"/>
        </w:rPr>
        <w:t xml:space="preserve"> Neither does the New Brunswick Act. </w:t>
      </w:r>
      <w:r>
        <w:rPr>
          <w:rFonts w:cs="Arial"/>
          <w:i/>
          <w:iCs/>
          <w:szCs w:val="24"/>
        </w:rPr>
        <w:t xml:space="preserve">Wallace </w:t>
      </w:r>
      <w:r>
        <w:rPr>
          <w:rFonts w:cs="Arial"/>
          <w:szCs w:val="24"/>
        </w:rPr>
        <w:t xml:space="preserve">v. </w:t>
      </w:r>
      <w:r>
        <w:rPr>
          <w:rFonts w:cs="Arial"/>
          <w:i/>
          <w:iCs/>
          <w:szCs w:val="24"/>
        </w:rPr>
        <w:t>Lea</w:t>
      </w:r>
      <w:r w:rsidR="00041048">
        <w:rPr>
          <w:rStyle w:val="FootnoteReference"/>
          <w:rFonts w:cs="Arial"/>
          <w:i/>
          <w:iCs/>
          <w:szCs w:val="24"/>
        </w:rPr>
        <w:footnoteReference w:id="37"/>
      </w:r>
      <w:r>
        <w:rPr>
          <w:rFonts w:cs="Arial"/>
          <w:szCs w:val="24"/>
        </w:rPr>
        <w:t>.</w:t>
      </w:r>
    </w:p>
    <w:p w:rsidR="001A11E4" w:rsidRDefault="001A11E4" w:rsidP="00F36592">
      <w:pPr>
        <w:pStyle w:val="History"/>
        <w:rPr>
          <w:rFonts w:cs="Arial"/>
          <w:szCs w:val="24"/>
        </w:rPr>
      </w:pPr>
      <w:r>
        <w:rPr>
          <w:rFonts w:cs="Arial"/>
          <w:szCs w:val="24"/>
        </w:rPr>
        <w:t>There is a further ground as to the claim for interest, that inasmuch as plaintiff and defendant were living together as man and wife during all the time for which interest is claimed and plaintiff was receiving money from defendant from time to time, their transactions are of a character that it is impossible to go into to find out how much of the interest he has paid, and therefore none should be allowed.</w:t>
      </w:r>
    </w:p>
    <w:p w:rsidR="001A11E4" w:rsidRDefault="001A11E4" w:rsidP="00F36592">
      <w:pPr>
        <w:pStyle w:val="History"/>
        <w:rPr>
          <w:rFonts w:cs="Arial"/>
          <w:szCs w:val="24"/>
        </w:rPr>
      </w:pPr>
      <w:r>
        <w:rPr>
          <w:rFonts w:cs="Arial"/>
          <w:szCs w:val="24"/>
        </w:rPr>
        <w:t xml:space="preserve">We refer also to </w:t>
      </w:r>
      <w:r>
        <w:rPr>
          <w:rFonts w:cs="Arial"/>
          <w:i/>
          <w:iCs/>
          <w:szCs w:val="24"/>
        </w:rPr>
        <w:t xml:space="preserve">Fitzgerald </w:t>
      </w:r>
      <w:r>
        <w:rPr>
          <w:rFonts w:cs="Arial"/>
          <w:szCs w:val="24"/>
        </w:rPr>
        <w:t xml:space="preserve">v. </w:t>
      </w:r>
      <w:r>
        <w:rPr>
          <w:rFonts w:cs="Arial"/>
          <w:i/>
          <w:iCs/>
          <w:szCs w:val="24"/>
        </w:rPr>
        <w:t>Fitzgerald</w:t>
      </w:r>
      <w:r w:rsidR="00041048">
        <w:rPr>
          <w:rStyle w:val="FootnoteReference"/>
          <w:rFonts w:cs="Arial"/>
          <w:i/>
          <w:iCs/>
          <w:szCs w:val="24"/>
        </w:rPr>
        <w:footnoteReference w:id="38"/>
      </w:r>
      <w:r>
        <w:rPr>
          <w:rFonts w:cs="Arial"/>
          <w:szCs w:val="24"/>
        </w:rPr>
        <w:t xml:space="preserve">; </w:t>
      </w:r>
      <w:r>
        <w:rPr>
          <w:rFonts w:cs="Arial"/>
          <w:i/>
          <w:iCs/>
          <w:szCs w:val="24"/>
        </w:rPr>
        <w:t xml:space="preserve">Turnbull </w:t>
      </w:r>
      <w:r>
        <w:rPr>
          <w:rFonts w:cs="Arial"/>
          <w:szCs w:val="24"/>
        </w:rPr>
        <w:t xml:space="preserve">v. </w:t>
      </w:r>
      <w:r>
        <w:rPr>
          <w:rFonts w:cs="Arial"/>
          <w:i/>
          <w:iCs/>
          <w:szCs w:val="24"/>
        </w:rPr>
        <w:t>Foram</w:t>
      </w:r>
      <w:r w:rsidR="00041048">
        <w:rPr>
          <w:rStyle w:val="FootnoteReference"/>
          <w:rFonts w:cs="Arial"/>
          <w:i/>
          <w:iCs/>
          <w:szCs w:val="24"/>
        </w:rPr>
        <w:footnoteReference w:id="39"/>
      </w:r>
      <w:r>
        <w:rPr>
          <w:rFonts w:cs="Arial"/>
          <w:szCs w:val="24"/>
        </w:rPr>
        <w:t xml:space="preserve">; </w:t>
      </w:r>
      <w:r>
        <w:rPr>
          <w:rFonts w:cs="Arial"/>
          <w:i/>
          <w:iCs/>
          <w:szCs w:val="24"/>
        </w:rPr>
        <w:t xml:space="preserve">Conolan </w:t>
      </w:r>
      <w:r>
        <w:rPr>
          <w:rFonts w:cs="Arial"/>
          <w:szCs w:val="24"/>
        </w:rPr>
        <w:t xml:space="preserve">v. </w:t>
      </w:r>
      <w:r>
        <w:rPr>
          <w:rFonts w:cs="Arial"/>
          <w:i/>
          <w:iCs/>
          <w:szCs w:val="24"/>
        </w:rPr>
        <w:t>Ley land</w:t>
      </w:r>
      <w:r w:rsidR="00041048">
        <w:rPr>
          <w:rStyle w:val="FootnoteReference"/>
          <w:rFonts w:cs="Arial"/>
          <w:i/>
          <w:iCs/>
          <w:szCs w:val="24"/>
        </w:rPr>
        <w:footnoteReference w:id="40"/>
      </w:r>
      <w:r>
        <w:rPr>
          <w:rFonts w:cs="Arial"/>
          <w:szCs w:val="24"/>
        </w:rPr>
        <w:t xml:space="preserve">; </w:t>
      </w:r>
      <w:r>
        <w:rPr>
          <w:rFonts w:cs="Arial"/>
          <w:i/>
          <w:iCs/>
          <w:szCs w:val="24"/>
        </w:rPr>
        <w:t xml:space="preserve">In re Roper Roper </w:t>
      </w:r>
      <w:r>
        <w:rPr>
          <w:rFonts w:cs="Arial"/>
          <w:szCs w:val="24"/>
        </w:rPr>
        <w:t xml:space="preserve">v. </w:t>
      </w:r>
      <w:r>
        <w:rPr>
          <w:rFonts w:cs="Arial"/>
          <w:i/>
          <w:iCs/>
          <w:szCs w:val="24"/>
        </w:rPr>
        <w:t>Doncaster</w:t>
      </w:r>
      <w:r w:rsidR="00CD2CCD">
        <w:rPr>
          <w:rStyle w:val="FootnoteReference"/>
          <w:rFonts w:cs="Arial"/>
          <w:i/>
          <w:iCs/>
          <w:szCs w:val="24"/>
        </w:rPr>
        <w:footnoteReference w:id="41"/>
      </w:r>
      <w:r>
        <w:rPr>
          <w:rFonts w:cs="Arial"/>
          <w:szCs w:val="24"/>
        </w:rPr>
        <w:t xml:space="preserve">; </w:t>
      </w:r>
      <w:r>
        <w:rPr>
          <w:rFonts w:cs="Arial"/>
          <w:i/>
          <w:iCs/>
          <w:szCs w:val="24"/>
        </w:rPr>
        <w:t>Weldonv. DeBathe</w:t>
      </w:r>
      <w:r w:rsidR="00041048">
        <w:rPr>
          <w:rStyle w:val="FootnoteReference"/>
          <w:rFonts w:cs="Arial"/>
          <w:i/>
          <w:iCs/>
          <w:szCs w:val="24"/>
        </w:rPr>
        <w:footnoteReference w:id="42"/>
      </w:r>
      <w:r>
        <w:rPr>
          <w:rFonts w:cs="Arial"/>
          <w:szCs w:val="24"/>
        </w:rPr>
        <w:t>.</w:t>
      </w:r>
    </w:p>
    <w:p w:rsidR="001A11E4" w:rsidRDefault="001A11E4" w:rsidP="00F36592">
      <w:pPr>
        <w:pStyle w:val="Reasons"/>
      </w:pPr>
      <w:r>
        <w:t>The judgment of the court was delivered by:</w:t>
      </w:r>
    </w:p>
    <w:p w:rsidR="001A11E4" w:rsidRDefault="00F36592" w:rsidP="00F36592">
      <w:pPr>
        <w:pStyle w:val="Reasons"/>
        <w:rPr>
          <w:rFonts w:cs="Arial"/>
          <w:szCs w:val="24"/>
        </w:rPr>
      </w:pPr>
      <w:r w:rsidRPr="00F36592">
        <w:t>SEDGEWICK</w:t>
      </w:r>
      <w:r>
        <w:rPr>
          <w:rFonts w:cs="Arial"/>
          <w:smallCaps/>
          <w:szCs w:val="24"/>
        </w:rPr>
        <w:t xml:space="preserve"> </w:t>
      </w:r>
      <w:r w:rsidR="001A11E4">
        <w:rPr>
          <w:rFonts w:cs="Arial"/>
          <w:szCs w:val="24"/>
        </w:rPr>
        <w:t xml:space="preserve">J.—The plaintiff, appellant, is the wife of the defendant, respondent, and </w:t>
      </w:r>
      <w:r w:rsidR="001A11E4">
        <w:rPr>
          <w:rFonts w:cs="Arial"/>
          <w:szCs w:val="24"/>
        </w:rPr>
        <w:lastRenderedPageBreak/>
        <w:t xml:space="preserve">sues her husband upon a promissory note, dated 6th June, 1892, for $1,000, made by the husband and payable on demand to the order of one Jenny Levi, who gave valuable consideration therefor. Jenny Levi subsequently indorsed the note to her sister, the plaintiff, as a present. It is admitted that the whole transaction as between all parties was a perfectly </w:t>
      </w:r>
      <w:r w:rsidR="001A11E4">
        <w:rPr>
          <w:rFonts w:cs="Arial"/>
          <w:i/>
          <w:iCs/>
          <w:szCs w:val="24"/>
        </w:rPr>
        <w:t xml:space="preserve">bond fide </w:t>
      </w:r>
      <w:r w:rsidR="001A11E4">
        <w:rPr>
          <w:rFonts w:cs="Arial"/>
          <w:szCs w:val="24"/>
        </w:rPr>
        <w:t>one, and the only question in controversy in this suit is whether or not the plaintiff, being the defendant's wife, can recover on the note in question.</w:t>
      </w:r>
    </w:p>
    <w:p w:rsidR="001A11E4" w:rsidRDefault="001A11E4" w:rsidP="00F36592">
      <w:pPr>
        <w:pStyle w:val="Reasons"/>
        <w:rPr>
          <w:rFonts w:cs="Arial"/>
          <w:szCs w:val="24"/>
        </w:rPr>
      </w:pPr>
      <w:r>
        <w:rPr>
          <w:rFonts w:cs="Arial"/>
          <w:szCs w:val="24"/>
        </w:rPr>
        <w:t>At the time of the making of the note section three of chapter 94 of the Revised Statutes of Nova Scotia, 5th series, was in force. It is as follows:—</w:t>
      </w:r>
    </w:p>
    <w:p w:rsidR="001A11E4" w:rsidRDefault="001A11E4" w:rsidP="00F36592">
      <w:pPr>
        <w:pStyle w:val="Indent1"/>
      </w:pPr>
      <w:r>
        <w:t>Every married woman who shall have married before the nineteenth day of April, 1884, without any marriage contract or settlement, shall and may, from and after the said date, notwithstanding her coverture,</w:t>
      </w:r>
    </w:p>
    <w:p w:rsidR="001A11E4" w:rsidRDefault="00E83FA1" w:rsidP="00E83FA1">
      <w:pPr>
        <w:pStyle w:val="Page"/>
      </w:pPr>
      <w:r>
        <w:rPr>
          <w:rFonts w:cs="Arial"/>
          <w:szCs w:val="24"/>
        </w:rPr>
        <w:t xml:space="preserve">[Page </w:t>
      </w:r>
      <w:r w:rsidR="001A11E4">
        <w:rPr>
          <w:rFonts w:cs="Arial"/>
          <w:szCs w:val="24"/>
        </w:rPr>
        <w:t>551]</w:t>
      </w:r>
    </w:p>
    <w:p w:rsidR="001A11E4" w:rsidRDefault="001A11E4" w:rsidP="00F36592">
      <w:pPr>
        <w:pStyle w:val="Indent1"/>
      </w:pPr>
      <w:r>
        <w:t>have, hold and enjoy all her real estate, not on or before such date taken possession of by her husband, by himself or his tenants, and all her personal property, not on or before such date reduced into possession of her husband, whether such real estate or personal property shall have belonged to her before marriage or shall have been in any way acquired by her after marriage, otherwise than from her husband, free from his debts and obligations contracted after such date, and from his control or disposition without her consent, in as full and ample a manner as if she were sole and unmarried.</w:t>
      </w:r>
    </w:p>
    <w:p w:rsidR="001A11E4" w:rsidRDefault="001A11E4" w:rsidP="00F36592">
      <w:pPr>
        <w:pStyle w:val="Indent1"/>
      </w:pPr>
      <w:r>
        <w:t>Section 81. Nothing herein contained shall authorise any married woman to make a contract with her husband otherwise than in this chapter expressly mentioned.</w:t>
      </w:r>
      <w:r>
        <w:tab/>
        <w:t>*</w:t>
      </w:r>
      <w:r>
        <w:tab/>
        <w:t>*</w:t>
      </w:r>
      <w:r>
        <w:tab/>
        <w:t>*</w:t>
      </w:r>
    </w:p>
    <w:p w:rsidR="001A11E4" w:rsidRDefault="001A11E4" w:rsidP="00F36592">
      <w:pPr>
        <w:pStyle w:val="Reasons"/>
        <w:rPr>
          <w:rFonts w:cs="Arial"/>
          <w:szCs w:val="24"/>
        </w:rPr>
      </w:pPr>
      <w:r>
        <w:rPr>
          <w:rFonts w:cs="Arial"/>
          <w:szCs w:val="24"/>
        </w:rPr>
        <w:t>This chapter 94 and subsequent Acts on the subject of married women's property were by chapter 22 of the Acts of 1898 consolidated and amended; secs. 12 and 23 being as follows:</w:t>
      </w:r>
    </w:p>
    <w:p w:rsidR="001A11E4" w:rsidRDefault="001A11E4" w:rsidP="00F36592">
      <w:pPr>
        <w:pStyle w:val="Indent1"/>
      </w:pPr>
      <w:r>
        <w:t xml:space="preserve">12. Every woman, whether married before or after this Act, shall have, in her own name, against all persons whomsoever, including her husband, the same civil remedies, and also (subject as regards her husband to the proviso hereinafter contained,) the same remedies and redress by way of criminal proceedings, for the protection and security of her own separate property, as if such property belonged </w:t>
      </w:r>
      <w:r>
        <w:lastRenderedPageBreak/>
        <w:t xml:space="preserve">to her as a feme sole, but, except as aforesaid, no husband or wife shall be entitled to sue the other for a tort. </w:t>
      </w:r>
      <w:r>
        <w:tab/>
        <w:t>*</w:t>
      </w:r>
      <w:r>
        <w:tab/>
        <w:t>*</w:t>
      </w:r>
      <w:r>
        <w:tab/>
        <w:t>*</w:t>
      </w:r>
    </w:p>
    <w:p w:rsidR="001A11E4" w:rsidRDefault="001A11E4" w:rsidP="00F36592">
      <w:pPr>
        <w:pStyle w:val="Indent1"/>
      </w:pPr>
      <w:r>
        <w:t>23. The Married Woman's Property Act, 1884, and the Acts in amendment thereof are hereby repealed; provided that such repeal shall not affect any act done or right acquired while such acts were in force, or any right or liability of any husband or wife, married before the commencement of this Act, to sue, or be sued under the provisions of the said repealed Acts or either of them, for or in respect of any debt, contract, wrong or other matter or thing whatsoever, for or in respect of which any such right or liability shall have accrued to or against such husband or wife before the commencement of this Act.</w:t>
      </w:r>
    </w:p>
    <w:p w:rsidR="001A11E4" w:rsidRDefault="001A11E4" w:rsidP="00F36592">
      <w:pPr>
        <w:pStyle w:val="Reasons"/>
        <w:rPr>
          <w:rFonts w:cs="Arial"/>
          <w:szCs w:val="24"/>
        </w:rPr>
      </w:pPr>
      <w:r>
        <w:rPr>
          <w:rFonts w:cs="Arial"/>
          <w:szCs w:val="24"/>
        </w:rPr>
        <w:t>The case was tried before Mr. Justice Ritchie, who gave judgment for the husband, and his judgment was sustained by an equally divided court, the Chief Justice and Weatherbe J. dissenting.</w:t>
      </w:r>
    </w:p>
    <w:p w:rsidR="001A11E4" w:rsidRDefault="001A11E4" w:rsidP="00F36592">
      <w:pPr>
        <w:pStyle w:val="Reasons"/>
        <w:rPr>
          <w:rFonts w:cs="Arial"/>
          <w:szCs w:val="24"/>
        </w:rPr>
      </w:pPr>
      <w:r>
        <w:rPr>
          <w:rFonts w:cs="Arial"/>
          <w:szCs w:val="24"/>
        </w:rPr>
        <w:t>Two questions arise, first, whether section 81 of ch. 94, above quoted applies to the case in question; and secondly, if it does not whether section twelve of</w:t>
      </w:r>
    </w:p>
    <w:p w:rsidR="001A11E4" w:rsidRDefault="00E83FA1" w:rsidP="00E83FA1">
      <w:pPr>
        <w:pStyle w:val="Page"/>
      </w:pPr>
      <w:r>
        <w:rPr>
          <w:rFonts w:cs="Arial"/>
          <w:szCs w:val="24"/>
        </w:rPr>
        <w:t xml:space="preserve">[Page </w:t>
      </w:r>
      <w:r w:rsidR="001A11E4">
        <w:rPr>
          <w:rFonts w:cs="Arial"/>
          <w:szCs w:val="24"/>
        </w:rPr>
        <w:t>552]</w:t>
      </w:r>
    </w:p>
    <w:p w:rsidR="001A11E4" w:rsidRDefault="001A11E4" w:rsidP="00F36592">
      <w:pPr>
        <w:pStyle w:val="Reasons"/>
        <w:rPr>
          <w:rFonts w:cs="Arial"/>
          <w:szCs w:val="24"/>
        </w:rPr>
      </w:pPr>
      <w:r>
        <w:rPr>
          <w:rFonts w:cs="Arial"/>
          <w:szCs w:val="24"/>
        </w:rPr>
        <w:t>the Act of 1898, can be taken advantage of in order to sustain the action.</w:t>
      </w:r>
    </w:p>
    <w:p w:rsidR="001A11E4" w:rsidRDefault="001A11E4" w:rsidP="00F36592">
      <w:pPr>
        <w:pStyle w:val="Reasons"/>
        <w:rPr>
          <w:rFonts w:cs="Arial"/>
          <w:szCs w:val="24"/>
        </w:rPr>
      </w:pPr>
      <w:r>
        <w:rPr>
          <w:rFonts w:cs="Arial"/>
          <w:szCs w:val="24"/>
        </w:rPr>
        <w:t>Upon the first point Mr; Justice Ritchie held, as I understand him, that the plaintiff could not succeed, inasmuch as her claim was based entirely upon the contract specified in the promissory note or, in other words, that there was some contractual obligation between the wife and the husband in respect of it, and that in consequence her right to succeed was shut out by her incapacity to make a contract with her husband as provided in section eighty-one, above referred to.</w:t>
      </w:r>
    </w:p>
    <w:p w:rsidR="001A11E4" w:rsidRDefault="001A11E4" w:rsidP="00F36592">
      <w:pPr>
        <w:pStyle w:val="Reasons"/>
        <w:rPr>
          <w:rFonts w:cs="Arial"/>
          <w:szCs w:val="24"/>
        </w:rPr>
      </w:pPr>
      <w:r>
        <w:rPr>
          <w:rFonts w:cs="Arial"/>
          <w:szCs w:val="24"/>
        </w:rPr>
        <w:t xml:space="preserve">This, I respectfully submit, is a fundamental error in the judgment appealed from. Section three gave her a right to hold and enjoy all her personal property, whether acquired before marriage or after marriage otherwise than from her husband. There can be no doubt but that the note in question is property, and that it had not been reduced into possession by the husband. It was, therefore, as much hers as if it had been a chattel, and she had a right to deal with it as the statute says "in as full and ample a </w:t>
      </w:r>
      <w:r>
        <w:rPr>
          <w:rFonts w:cs="Arial"/>
          <w:szCs w:val="24"/>
        </w:rPr>
        <w:lastRenderedPageBreak/>
        <w:t>manner as if she were sole and unmarried." Is she prevented from enforcing it because at common law she could not enforce it against her husband? Or because she is prohibited by chapter 94 from making a contract with her husband?</w:t>
      </w:r>
    </w:p>
    <w:p w:rsidR="001A11E4" w:rsidRDefault="001A11E4" w:rsidP="00F36592">
      <w:pPr>
        <w:pStyle w:val="Reasons"/>
        <w:rPr>
          <w:rFonts w:cs="Arial"/>
          <w:szCs w:val="24"/>
        </w:rPr>
      </w:pPr>
      <w:r>
        <w:rPr>
          <w:rFonts w:cs="Arial"/>
          <w:szCs w:val="24"/>
        </w:rPr>
        <w:t>In my judgment, she is not. There is not here, in my view, any contractual relationship between the husband and the wife. The contract is between the maker and the payee only and the wife's right depends, not upon any promise made to her or on her behalf by the husband, or upon any contractual relationship between the two, but upon other principles altogether.</w:t>
      </w:r>
    </w:p>
    <w:p w:rsidR="001A11E4" w:rsidRDefault="001A11E4" w:rsidP="00F36592">
      <w:pPr>
        <w:pStyle w:val="Reasons"/>
        <w:rPr>
          <w:rFonts w:cs="Arial"/>
          <w:szCs w:val="24"/>
        </w:rPr>
      </w:pPr>
      <w:r>
        <w:rPr>
          <w:rFonts w:cs="Arial"/>
          <w:szCs w:val="24"/>
        </w:rPr>
        <w:t xml:space="preserve">Now, it is elementary that as a general rule no one can recover in an action </w:t>
      </w:r>
      <w:r>
        <w:rPr>
          <w:rFonts w:cs="Arial"/>
          <w:i/>
          <w:iCs/>
          <w:szCs w:val="24"/>
        </w:rPr>
        <w:t xml:space="preserve">ex contractu </w:t>
      </w:r>
      <w:r>
        <w:rPr>
          <w:rFonts w:cs="Arial"/>
          <w:szCs w:val="24"/>
        </w:rPr>
        <w:t>except a person</w:t>
      </w:r>
    </w:p>
    <w:p w:rsidR="001A11E4" w:rsidRDefault="00E83FA1" w:rsidP="00E83FA1">
      <w:pPr>
        <w:pStyle w:val="Page"/>
      </w:pPr>
      <w:r>
        <w:rPr>
          <w:rFonts w:cs="Arial"/>
          <w:szCs w:val="24"/>
        </w:rPr>
        <w:t xml:space="preserve">[Page </w:t>
      </w:r>
      <w:r w:rsidR="001A11E4">
        <w:rPr>
          <w:rFonts w:cs="Arial"/>
          <w:szCs w:val="24"/>
        </w:rPr>
        <w:t>553]</w:t>
      </w:r>
    </w:p>
    <w:p w:rsidR="001A11E4" w:rsidRDefault="001A11E4" w:rsidP="00F36592">
      <w:pPr>
        <w:pStyle w:val="Reasons"/>
        <w:rPr>
          <w:rFonts w:cs="Arial"/>
          <w:szCs w:val="24"/>
        </w:rPr>
      </w:pPr>
      <w:r>
        <w:rPr>
          <w:rFonts w:cs="Arial"/>
          <w:szCs w:val="24"/>
        </w:rPr>
        <w:t xml:space="preserve">who is a party to the contract or his representative. There must in every case be privity of contract, a promise made by the defendant to the plaintiff. Even if that promise is to pay money to a third person or to do something for the benefit of that third person, it is settled that that third person cannot sue on the contract, he not being the promisee See </w:t>
      </w:r>
      <w:r>
        <w:rPr>
          <w:rFonts w:cs="Arial"/>
          <w:i/>
          <w:iCs/>
          <w:szCs w:val="24"/>
        </w:rPr>
        <w:t xml:space="preserve">Tweedle </w:t>
      </w:r>
      <w:r>
        <w:rPr>
          <w:rFonts w:cs="Arial"/>
          <w:szCs w:val="24"/>
        </w:rPr>
        <w:t xml:space="preserve">v. </w:t>
      </w:r>
      <w:r>
        <w:rPr>
          <w:rFonts w:cs="Arial"/>
          <w:i/>
          <w:iCs/>
          <w:szCs w:val="24"/>
        </w:rPr>
        <w:t>Atkinson</w:t>
      </w:r>
      <w:r w:rsidR="00041048">
        <w:rPr>
          <w:rStyle w:val="FootnoteReference"/>
          <w:rFonts w:cs="Arial"/>
          <w:i/>
          <w:iCs/>
          <w:szCs w:val="24"/>
        </w:rPr>
        <w:footnoteReference w:id="43"/>
      </w:r>
      <w:r>
        <w:rPr>
          <w:rFonts w:cs="Arial"/>
          <w:szCs w:val="24"/>
        </w:rPr>
        <w:t>.</w:t>
      </w:r>
    </w:p>
    <w:p w:rsidR="001A11E4" w:rsidRDefault="001A11E4" w:rsidP="00F36592">
      <w:pPr>
        <w:pStyle w:val="Reasons"/>
        <w:rPr>
          <w:rFonts w:cs="Arial"/>
          <w:szCs w:val="24"/>
        </w:rPr>
      </w:pPr>
      <w:r>
        <w:rPr>
          <w:rFonts w:cs="Arial"/>
          <w:szCs w:val="24"/>
        </w:rPr>
        <w:t xml:space="preserve">And this principle has been laid down over and over again in this court as well as in England. </w:t>
      </w:r>
      <w:r>
        <w:rPr>
          <w:rFonts w:cs="Arial"/>
          <w:i/>
          <w:iCs/>
          <w:szCs w:val="24"/>
        </w:rPr>
        <w:t xml:space="preserve">Cleaver </w:t>
      </w:r>
      <w:r>
        <w:rPr>
          <w:rFonts w:cs="Arial"/>
          <w:szCs w:val="24"/>
        </w:rPr>
        <w:t xml:space="preserve">v. </w:t>
      </w:r>
      <w:r>
        <w:rPr>
          <w:rFonts w:cs="Arial"/>
          <w:i/>
          <w:iCs/>
          <w:szCs w:val="24"/>
        </w:rPr>
        <w:t>Mutual Reserve Fund</w:t>
      </w:r>
      <w:r w:rsidR="00041048">
        <w:rPr>
          <w:rStyle w:val="FootnoteReference"/>
          <w:rFonts w:cs="Arial"/>
          <w:i/>
          <w:iCs/>
          <w:szCs w:val="24"/>
        </w:rPr>
        <w:footnoteReference w:id="44"/>
      </w:r>
      <w:r>
        <w:rPr>
          <w:rFonts w:cs="Arial"/>
          <w:szCs w:val="24"/>
        </w:rPr>
        <w:t xml:space="preserve">; </w:t>
      </w:r>
      <w:r>
        <w:rPr>
          <w:rFonts w:cs="Arial"/>
          <w:i/>
          <w:iCs/>
          <w:szCs w:val="24"/>
        </w:rPr>
        <w:t xml:space="preserve">Guerin </w:t>
      </w:r>
      <w:r>
        <w:rPr>
          <w:rFonts w:cs="Arial"/>
          <w:szCs w:val="24"/>
        </w:rPr>
        <w:t xml:space="preserve">v. </w:t>
      </w:r>
      <w:r>
        <w:rPr>
          <w:rFonts w:cs="Arial"/>
          <w:i/>
          <w:iCs/>
          <w:szCs w:val="24"/>
        </w:rPr>
        <w:t>Manchester Fire Assurance Co.</w:t>
      </w:r>
      <w:r w:rsidR="00041048">
        <w:rPr>
          <w:rStyle w:val="FootnoteReference"/>
          <w:rFonts w:cs="Arial"/>
          <w:i/>
          <w:iCs/>
          <w:szCs w:val="24"/>
        </w:rPr>
        <w:footnoteReference w:id="45"/>
      </w:r>
      <w:r w:rsidR="006432CA">
        <w:rPr>
          <w:rFonts w:cs="Arial"/>
          <w:i/>
          <w:iCs/>
          <w:szCs w:val="24"/>
        </w:rPr>
        <w:t xml:space="preserve"> </w:t>
      </w:r>
      <w:r>
        <w:rPr>
          <w:rFonts w:cs="Arial"/>
          <w:szCs w:val="24"/>
        </w:rPr>
        <w:t>at page 150.</w:t>
      </w:r>
    </w:p>
    <w:p w:rsidR="001A11E4" w:rsidRDefault="001A11E4" w:rsidP="00F36592">
      <w:pPr>
        <w:pStyle w:val="Reasons"/>
        <w:rPr>
          <w:rFonts w:cs="Arial"/>
          <w:szCs w:val="24"/>
        </w:rPr>
      </w:pPr>
      <w:r>
        <w:rPr>
          <w:rFonts w:cs="Arial"/>
          <w:szCs w:val="24"/>
        </w:rPr>
        <w:t xml:space="preserve">There are, of course, exceptions to the rule, the most important exception being the case of Bills of Exchange, which, by the law merchant, were excluded from the operation of the principle. Promissory notes, as everybody knows, did not come within the operation of the law merchant, and the statute 3 &amp; 4 Anne, ch. 9, was passed for that purpose. Covenants running with the land may be considered as forming another exception, and now, in most of the provinces of Canada as well as in England, all </w:t>
      </w:r>
      <w:r>
        <w:rPr>
          <w:rFonts w:cs="Arial"/>
          <w:szCs w:val="24"/>
        </w:rPr>
        <w:lastRenderedPageBreak/>
        <w:t xml:space="preserve">contracts are assignable and the assignee may sue thereon in his own name. But the maker of a promissory note makes his contract with the payee alone. It is by virtue of the statute of Anne, and subsequent legislation, and not by virtue of the contract, that a holder other than the payee is entitled to sue upon it. Although the action is an action </w:t>
      </w:r>
      <w:r>
        <w:rPr>
          <w:rFonts w:cs="Arial"/>
          <w:i/>
          <w:iCs/>
          <w:szCs w:val="24"/>
        </w:rPr>
        <w:t xml:space="preserve">ex contractu, </w:t>
      </w:r>
      <w:r>
        <w:rPr>
          <w:rFonts w:cs="Arial"/>
          <w:szCs w:val="24"/>
        </w:rPr>
        <w:t>the plaintiff obtains his title to sue upon the contract, not by virtue of a promise made to him, but of a promise made to the payee, which promise enures to his benefit as a legal consequence of the indorsation of the instrument to him by the payee or by any other indorser. It seems to me then clear that section 81 of chapter 94. does not apply to the present case.</w:t>
      </w:r>
    </w:p>
    <w:p w:rsidR="001A11E4" w:rsidRDefault="00E83FA1" w:rsidP="00E83FA1">
      <w:pPr>
        <w:pStyle w:val="Page"/>
      </w:pPr>
      <w:r>
        <w:rPr>
          <w:rFonts w:cs="Arial"/>
          <w:szCs w:val="24"/>
        </w:rPr>
        <w:t xml:space="preserve">[Page </w:t>
      </w:r>
      <w:r w:rsidR="001A11E4">
        <w:rPr>
          <w:rFonts w:cs="Arial"/>
          <w:szCs w:val="24"/>
        </w:rPr>
        <w:t>554]</w:t>
      </w:r>
    </w:p>
    <w:p w:rsidR="001A11E4" w:rsidRDefault="001A11E4" w:rsidP="00F36592">
      <w:pPr>
        <w:pStyle w:val="Reasons"/>
        <w:rPr>
          <w:rFonts w:cs="Arial"/>
          <w:szCs w:val="24"/>
        </w:rPr>
      </w:pPr>
      <w:r>
        <w:rPr>
          <w:rFonts w:cs="Arial"/>
          <w:szCs w:val="24"/>
        </w:rPr>
        <w:t>Upon the other ground Mr. Justice Ritchie stated that:</w:t>
      </w:r>
    </w:p>
    <w:p w:rsidR="001A11E4" w:rsidRDefault="001A11E4" w:rsidP="00F36592">
      <w:pPr>
        <w:pStyle w:val="Indent1"/>
      </w:pPr>
      <w:r>
        <w:t>If the Married Woman's Property Act, 1898, were in force, it would probably remove all the plaintiff's difficulties; but it has no application to this promissory note, the title to which accrued to the plaintiff, if at all, long before the commencement of that Act.</w:t>
      </w:r>
    </w:p>
    <w:p w:rsidR="001A11E4" w:rsidRDefault="001A11E4" w:rsidP="00F36592">
      <w:pPr>
        <w:pStyle w:val="Reasons"/>
        <w:rPr>
          <w:rFonts w:cs="Arial"/>
          <w:szCs w:val="24"/>
        </w:rPr>
      </w:pPr>
      <w:r>
        <w:rPr>
          <w:rFonts w:cs="Arial"/>
          <w:szCs w:val="24"/>
        </w:rPr>
        <w:t xml:space="preserve">The Act referred to was passed before the institution of this action and, in my judgment, the plaintiff could avail herself of its provisions, notwithstanding that it was passed after the making of the note. Section 12 gives her, in express terms, in her own name, the right to sue her husband, and section 23 would seem to admit that even previously she had that right under the original Act. I have no doubt but that the statute has a retrospective operation. It is a provision relating to procedure and practice only, where the general principle that there is a presumption against retrospective construction does not apply, </w:t>
      </w:r>
      <w:r>
        <w:rPr>
          <w:rFonts w:cs="Arial"/>
          <w:i/>
          <w:iCs/>
          <w:szCs w:val="24"/>
        </w:rPr>
        <w:t xml:space="preserve">Gardner </w:t>
      </w:r>
      <w:r>
        <w:rPr>
          <w:rFonts w:cs="Arial"/>
          <w:szCs w:val="24"/>
        </w:rPr>
        <w:t xml:space="preserve">v. </w:t>
      </w:r>
      <w:r>
        <w:rPr>
          <w:rFonts w:cs="Arial"/>
          <w:i/>
          <w:iCs/>
          <w:szCs w:val="24"/>
        </w:rPr>
        <w:t>Lucas</w:t>
      </w:r>
      <w:r w:rsidR="00041048">
        <w:rPr>
          <w:rStyle w:val="FootnoteReference"/>
          <w:rFonts w:cs="Arial"/>
          <w:i/>
          <w:iCs/>
          <w:szCs w:val="24"/>
        </w:rPr>
        <w:footnoteReference w:id="46"/>
      </w:r>
      <w:r>
        <w:rPr>
          <w:rFonts w:cs="Arial"/>
          <w:szCs w:val="24"/>
        </w:rPr>
        <w:t>.</w:t>
      </w:r>
    </w:p>
    <w:p w:rsidR="001A11E4" w:rsidRDefault="001A11E4" w:rsidP="00F36592">
      <w:pPr>
        <w:pStyle w:val="Reasons"/>
        <w:rPr>
          <w:rFonts w:cs="Arial"/>
          <w:szCs w:val="24"/>
        </w:rPr>
      </w:pPr>
      <w:r>
        <w:rPr>
          <w:rFonts w:cs="Arial"/>
          <w:szCs w:val="24"/>
        </w:rPr>
        <w:t>For these reasons I am of opinion that this appeal should be allowed and judgment entered for the plaintiff for the amount of the note sued upon, with interest and costs, the plaintiff to have her costs in all the courts.</w:t>
      </w:r>
    </w:p>
    <w:p w:rsidR="001A11E4" w:rsidRDefault="001A11E4" w:rsidP="00F36592">
      <w:pPr>
        <w:pStyle w:val="Reasons"/>
        <w:rPr>
          <w:rFonts w:cs="Arial"/>
          <w:szCs w:val="24"/>
        </w:rPr>
      </w:pPr>
      <w:r>
        <w:rPr>
          <w:rFonts w:cs="Arial"/>
          <w:szCs w:val="24"/>
        </w:rPr>
        <w:t>His Lordship the Chief Justice took no part in the judgment on account of illness.</w:t>
      </w:r>
    </w:p>
    <w:p w:rsidR="001A11E4" w:rsidRPr="00F36592" w:rsidRDefault="001A11E4" w:rsidP="00F36592">
      <w:pPr>
        <w:pStyle w:val="Reasons"/>
      </w:pPr>
      <w:r w:rsidRPr="00F36592">
        <w:lastRenderedPageBreak/>
        <w:t>Appeal allowed with costs.</w:t>
      </w:r>
    </w:p>
    <w:p w:rsidR="001A11E4" w:rsidRDefault="001A11E4" w:rsidP="00F36592">
      <w:pPr>
        <w:pStyle w:val="Sollicitors"/>
        <w:rPr>
          <w:iCs/>
        </w:rPr>
      </w:pPr>
      <w:r>
        <w:t xml:space="preserve">Solicitor for the appellant: </w:t>
      </w:r>
      <w:r>
        <w:rPr>
          <w:iCs/>
        </w:rPr>
        <w:t>John M. Chisholm.</w:t>
      </w:r>
    </w:p>
    <w:p w:rsidR="001A11E4" w:rsidRDefault="001A11E4" w:rsidP="00F36592">
      <w:pPr>
        <w:pStyle w:val="Sollicitors"/>
        <w:rPr>
          <w:iCs/>
        </w:rPr>
      </w:pPr>
      <w:r>
        <w:t xml:space="preserve">Solicitor for the defendant: </w:t>
      </w:r>
      <w:r>
        <w:rPr>
          <w:iCs/>
        </w:rPr>
        <w:t>H. C. Borden.</w:t>
      </w:r>
    </w:p>
    <w:sectPr w:rsidR="001A11E4" w:rsidSect="00A9762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FE" w:rsidRDefault="006D72FE" w:rsidP="00A9762F">
      <w:r>
        <w:separator/>
      </w:r>
    </w:p>
  </w:endnote>
  <w:endnote w:type="continuationSeparator" w:id="1">
    <w:p w:rsidR="006D72FE" w:rsidRDefault="006D72FE" w:rsidP="00A97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F" w:rsidRDefault="00A97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F" w:rsidRDefault="00A976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F" w:rsidRDefault="00A97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FE" w:rsidRDefault="006D72FE" w:rsidP="00A9762F">
      <w:r>
        <w:separator/>
      </w:r>
    </w:p>
  </w:footnote>
  <w:footnote w:type="continuationSeparator" w:id="1">
    <w:p w:rsidR="006D72FE" w:rsidRDefault="006D72FE" w:rsidP="00A9762F">
      <w:r>
        <w:continuationSeparator/>
      </w:r>
    </w:p>
  </w:footnote>
  <w:footnote w:id="2">
    <w:p w:rsidR="00684151" w:rsidRPr="00684151" w:rsidRDefault="00684151">
      <w:pPr>
        <w:pStyle w:val="FootnoteText"/>
        <w:rPr>
          <w:lang w:val="en-US"/>
        </w:rPr>
      </w:pPr>
      <w:r>
        <w:rPr>
          <w:rStyle w:val="FootnoteReference"/>
        </w:rPr>
        <w:footnoteRef/>
      </w:r>
      <w:r>
        <w:t xml:space="preserve"> </w:t>
      </w:r>
      <w:r>
        <w:rPr>
          <w:rFonts w:cs="Arial"/>
          <w:szCs w:val="24"/>
        </w:rPr>
        <w:t>L. R. 3 Q. B. 536.</w:t>
      </w:r>
    </w:p>
  </w:footnote>
  <w:footnote w:id="3">
    <w:p w:rsidR="00684151" w:rsidRPr="00684151" w:rsidRDefault="00684151">
      <w:pPr>
        <w:pStyle w:val="FootnoteText"/>
        <w:rPr>
          <w:lang w:val="en-US"/>
        </w:rPr>
      </w:pPr>
      <w:r>
        <w:rPr>
          <w:rStyle w:val="FootnoteReference"/>
        </w:rPr>
        <w:footnoteRef/>
      </w:r>
      <w:r>
        <w:t xml:space="preserve"> </w:t>
      </w:r>
      <w:r>
        <w:rPr>
          <w:rFonts w:cs="Arial"/>
          <w:szCs w:val="24"/>
        </w:rPr>
        <w:t>13 C. B. 474.</w:t>
      </w:r>
    </w:p>
  </w:footnote>
  <w:footnote w:id="4">
    <w:p w:rsidR="00684151" w:rsidRPr="00684151" w:rsidRDefault="00684151">
      <w:pPr>
        <w:pStyle w:val="FootnoteText"/>
        <w:rPr>
          <w:lang w:val="en-US"/>
        </w:rPr>
      </w:pPr>
      <w:r>
        <w:rPr>
          <w:rStyle w:val="FootnoteReference"/>
        </w:rPr>
        <w:footnoteRef/>
      </w:r>
      <w:r>
        <w:t xml:space="preserve"> </w:t>
      </w:r>
      <w:r>
        <w:rPr>
          <w:rFonts w:cs="Arial"/>
          <w:szCs w:val="24"/>
        </w:rPr>
        <w:t>6 M. &amp; W. 425.</w:t>
      </w:r>
    </w:p>
  </w:footnote>
  <w:footnote w:id="5">
    <w:p w:rsidR="00684151" w:rsidRPr="00684151" w:rsidRDefault="00684151">
      <w:pPr>
        <w:pStyle w:val="FootnoteText"/>
        <w:rPr>
          <w:lang w:val="en-US"/>
        </w:rPr>
      </w:pPr>
      <w:r>
        <w:rPr>
          <w:rStyle w:val="FootnoteReference"/>
        </w:rPr>
        <w:footnoteRef/>
      </w:r>
      <w:r>
        <w:t xml:space="preserve"> </w:t>
      </w:r>
      <w:r>
        <w:rPr>
          <w:rFonts w:cs="Arial"/>
          <w:szCs w:val="24"/>
        </w:rPr>
        <w:t>2 B. &amp; Ad. 447.</w:t>
      </w:r>
    </w:p>
  </w:footnote>
  <w:footnote w:id="6">
    <w:p w:rsidR="00684151" w:rsidRPr="00684151" w:rsidRDefault="00684151">
      <w:pPr>
        <w:pStyle w:val="FootnoteText"/>
        <w:rPr>
          <w:lang w:val="en-US"/>
        </w:rPr>
      </w:pPr>
      <w:r>
        <w:rPr>
          <w:rStyle w:val="FootnoteReference"/>
        </w:rPr>
        <w:footnoteRef/>
      </w:r>
      <w:r>
        <w:t xml:space="preserve"> </w:t>
      </w:r>
      <w:r>
        <w:rPr>
          <w:rFonts w:cs="Arial"/>
          <w:szCs w:val="24"/>
        </w:rPr>
        <w:t>12 M. &amp; W. 855.</w:t>
      </w:r>
    </w:p>
  </w:footnote>
  <w:footnote w:id="7">
    <w:p w:rsidR="00684151" w:rsidRPr="00684151" w:rsidRDefault="00684151">
      <w:pPr>
        <w:pStyle w:val="FootnoteText"/>
        <w:rPr>
          <w:lang w:val="en-US"/>
        </w:rPr>
      </w:pPr>
      <w:r>
        <w:rPr>
          <w:rStyle w:val="FootnoteReference"/>
        </w:rPr>
        <w:footnoteRef/>
      </w:r>
      <w:r>
        <w:t xml:space="preserve"> </w:t>
      </w:r>
      <w:r>
        <w:rPr>
          <w:rFonts w:cs="Arial"/>
          <w:szCs w:val="24"/>
        </w:rPr>
        <w:t>13 Q. B. D. 784.</w:t>
      </w:r>
    </w:p>
  </w:footnote>
  <w:footnote w:id="8">
    <w:p w:rsidR="00684151" w:rsidRPr="00684151" w:rsidRDefault="00684151">
      <w:pPr>
        <w:pStyle w:val="FootnoteText"/>
        <w:rPr>
          <w:lang w:val="en-US"/>
        </w:rPr>
      </w:pPr>
      <w:r>
        <w:rPr>
          <w:rStyle w:val="FootnoteReference"/>
        </w:rPr>
        <w:footnoteRef/>
      </w:r>
      <w:r>
        <w:t xml:space="preserve"> </w:t>
      </w:r>
      <w:r>
        <w:rPr>
          <w:rFonts w:cs="Arial"/>
          <w:szCs w:val="24"/>
        </w:rPr>
        <w:t>3 DeG. J. &amp; S. 672.</w:t>
      </w:r>
    </w:p>
  </w:footnote>
  <w:footnote w:id="9">
    <w:p w:rsidR="00684151" w:rsidRPr="00684151" w:rsidRDefault="00684151">
      <w:pPr>
        <w:pStyle w:val="FootnoteText"/>
        <w:rPr>
          <w:lang w:val="en-US"/>
        </w:rPr>
      </w:pPr>
      <w:r>
        <w:rPr>
          <w:rStyle w:val="FootnoteReference"/>
        </w:rPr>
        <w:footnoteRef/>
      </w:r>
      <w:r>
        <w:t xml:space="preserve"> </w:t>
      </w:r>
      <w:r>
        <w:rPr>
          <w:rFonts w:cs="Arial"/>
          <w:szCs w:val="24"/>
        </w:rPr>
        <w:t>15 Q. B. D. 667.</w:t>
      </w:r>
    </w:p>
  </w:footnote>
  <w:footnote w:id="10">
    <w:p w:rsidR="00684151" w:rsidRPr="00684151" w:rsidRDefault="00684151">
      <w:pPr>
        <w:pStyle w:val="FootnoteText"/>
        <w:rPr>
          <w:lang w:val="en-US"/>
        </w:rPr>
      </w:pPr>
      <w:r>
        <w:rPr>
          <w:rStyle w:val="FootnoteReference"/>
        </w:rPr>
        <w:footnoteRef/>
      </w:r>
      <w:r>
        <w:t xml:space="preserve"> </w:t>
      </w:r>
      <w:r>
        <w:rPr>
          <w:rFonts w:cs="Arial"/>
          <w:szCs w:val="24"/>
        </w:rPr>
        <w:t>51 L. T. 289.</w:t>
      </w:r>
    </w:p>
  </w:footnote>
  <w:footnote w:id="11">
    <w:p w:rsidR="00041048" w:rsidRPr="00041048" w:rsidRDefault="00041048">
      <w:pPr>
        <w:pStyle w:val="FootnoteText"/>
        <w:rPr>
          <w:lang w:val="en-US"/>
        </w:rPr>
      </w:pPr>
      <w:r>
        <w:rPr>
          <w:rStyle w:val="FootnoteReference"/>
        </w:rPr>
        <w:footnoteRef/>
      </w:r>
      <w:r>
        <w:t xml:space="preserve"> </w:t>
      </w:r>
      <w:r>
        <w:rPr>
          <w:rFonts w:cs="Arial"/>
          <w:szCs w:val="24"/>
        </w:rPr>
        <w:t>14 Q. B. D. 339.</w:t>
      </w:r>
    </w:p>
  </w:footnote>
  <w:footnote w:id="12">
    <w:p w:rsidR="00041048" w:rsidRPr="00041048" w:rsidRDefault="00041048">
      <w:pPr>
        <w:pStyle w:val="FootnoteText"/>
        <w:rPr>
          <w:lang w:val="en-US"/>
        </w:rPr>
      </w:pPr>
      <w:r>
        <w:rPr>
          <w:rStyle w:val="FootnoteReference"/>
        </w:rPr>
        <w:footnoteRef/>
      </w:r>
      <w:r>
        <w:t xml:space="preserve"> </w:t>
      </w:r>
      <w:r>
        <w:rPr>
          <w:rFonts w:cs="Arial"/>
          <w:szCs w:val="24"/>
        </w:rPr>
        <w:t>48 L. T. 485.</w:t>
      </w:r>
    </w:p>
  </w:footnote>
  <w:footnote w:id="13">
    <w:p w:rsidR="00041048" w:rsidRPr="00041048" w:rsidRDefault="00041048">
      <w:pPr>
        <w:pStyle w:val="FootnoteText"/>
        <w:rPr>
          <w:lang w:val="en-US"/>
        </w:rPr>
      </w:pPr>
      <w:r>
        <w:rPr>
          <w:rStyle w:val="FootnoteReference"/>
        </w:rPr>
        <w:footnoteRef/>
      </w:r>
      <w:r>
        <w:t xml:space="preserve"> </w:t>
      </w:r>
      <w:r>
        <w:rPr>
          <w:rFonts w:cs="Arial"/>
          <w:szCs w:val="24"/>
        </w:rPr>
        <w:t>19 L. T. 300.</w:t>
      </w:r>
    </w:p>
  </w:footnote>
  <w:footnote w:id="14">
    <w:p w:rsidR="00041048" w:rsidRPr="00041048" w:rsidRDefault="00041048">
      <w:pPr>
        <w:pStyle w:val="FootnoteText"/>
        <w:rPr>
          <w:lang w:val="en-US"/>
        </w:rPr>
      </w:pPr>
      <w:r>
        <w:rPr>
          <w:rStyle w:val="FootnoteReference"/>
        </w:rPr>
        <w:footnoteRef/>
      </w:r>
      <w:r>
        <w:t xml:space="preserve"> </w:t>
      </w:r>
      <w:r>
        <w:rPr>
          <w:rFonts w:cs="Arial"/>
          <w:szCs w:val="24"/>
        </w:rPr>
        <w:t>16 Q. B. D. 374.</w:t>
      </w:r>
    </w:p>
  </w:footnote>
  <w:footnote w:id="15">
    <w:p w:rsidR="00041048" w:rsidRPr="00041048" w:rsidRDefault="00041048">
      <w:pPr>
        <w:pStyle w:val="FootnoteText"/>
        <w:rPr>
          <w:lang w:val="en-US"/>
        </w:rPr>
      </w:pPr>
      <w:r>
        <w:rPr>
          <w:rStyle w:val="FootnoteReference"/>
        </w:rPr>
        <w:footnoteRef/>
      </w:r>
      <w:r>
        <w:t xml:space="preserve"> </w:t>
      </w:r>
      <w:r>
        <w:rPr>
          <w:rFonts w:cs="Arial"/>
          <w:szCs w:val="24"/>
        </w:rPr>
        <w:t>155 Mass. 52.</w:t>
      </w:r>
    </w:p>
  </w:footnote>
  <w:footnote w:id="16">
    <w:p w:rsidR="00041048" w:rsidRPr="00041048" w:rsidRDefault="00041048">
      <w:pPr>
        <w:pStyle w:val="FootnoteText"/>
        <w:rPr>
          <w:lang w:val="en-US"/>
        </w:rPr>
      </w:pPr>
      <w:r>
        <w:rPr>
          <w:rStyle w:val="FootnoteReference"/>
        </w:rPr>
        <w:footnoteRef/>
      </w:r>
      <w:r>
        <w:t xml:space="preserve"> </w:t>
      </w:r>
      <w:r>
        <w:rPr>
          <w:rFonts w:cs="Arial"/>
          <w:szCs w:val="24"/>
        </w:rPr>
        <w:t>45 N. H. 467.</w:t>
      </w:r>
    </w:p>
  </w:footnote>
  <w:footnote w:id="17">
    <w:p w:rsidR="00041048" w:rsidRPr="00041048" w:rsidRDefault="00041048">
      <w:pPr>
        <w:pStyle w:val="FootnoteText"/>
        <w:rPr>
          <w:lang w:val="en-US"/>
        </w:rPr>
      </w:pPr>
      <w:r>
        <w:rPr>
          <w:rStyle w:val="FootnoteReference"/>
        </w:rPr>
        <w:footnoteRef/>
      </w:r>
      <w:r>
        <w:t xml:space="preserve"> </w:t>
      </w:r>
      <w:r>
        <w:rPr>
          <w:rFonts w:cs="Arial"/>
          <w:szCs w:val="24"/>
        </w:rPr>
        <w:t>Str. 680.</w:t>
      </w:r>
    </w:p>
  </w:footnote>
  <w:footnote w:id="18">
    <w:p w:rsidR="00041048" w:rsidRPr="00041048" w:rsidRDefault="00041048">
      <w:pPr>
        <w:pStyle w:val="FootnoteText"/>
        <w:rPr>
          <w:lang w:val="en-US"/>
        </w:rPr>
      </w:pPr>
      <w:r>
        <w:rPr>
          <w:rStyle w:val="FootnoteReference"/>
        </w:rPr>
        <w:footnoteRef/>
      </w:r>
      <w:r>
        <w:t xml:space="preserve"> </w:t>
      </w:r>
      <w:r>
        <w:rPr>
          <w:rFonts w:cs="Arial"/>
          <w:szCs w:val="24"/>
        </w:rPr>
        <w:t>2 B. &amp; P. 78.</w:t>
      </w:r>
    </w:p>
  </w:footnote>
  <w:footnote w:id="19">
    <w:p w:rsidR="00041048" w:rsidRPr="00041048" w:rsidRDefault="00041048">
      <w:pPr>
        <w:pStyle w:val="FootnoteText"/>
        <w:rPr>
          <w:lang w:val="en-US"/>
        </w:rPr>
      </w:pPr>
      <w:r>
        <w:rPr>
          <w:rStyle w:val="FootnoteReference"/>
        </w:rPr>
        <w:footnoteRef/>
      </w:r>
      <w:r>
        <w:t xml:space="preserve"> </w:t>
      </w:r>
      <w:r>
        <w:rPr>
          <w:rFonts w:cs="Arial"/>
          <w:szCs w:val="24"/>
        </w:rPr>
        <w:t>9 Dowl. 593.</w:t>
      </w:r>
    </w:p>
  </w:footnote>
  <w:footnote w:id="20">
    <w:p w:rsidR="00041048" w:rsidRPr="00041048" w:rsidRDefault="00041048">
      <w:pPr>
        <w:pStyle w:val="FootnoteText"/>
        <w:rPr>
          <w:lang w:val="en-US"/>
        </w:rPr>
      </w:pPr>
      <w:r>
        <w:rPr>
          <w:rStyle w:val="FootnoteReference"/>
        </w:rPr>
        <w:footnoteRef/>
      </w:r>
      <w:r>
        <w:t xml:space="preserve"> </w:t>
      </w:r>
      <w:r>
        <w:rPr>
          <w:rFonts w:cs="Arial"/>
          <w:szCs w:val="24"/>
        </w:rPr>
        <w:t>1 Q. B. D. 436.</w:t>
      </w:r>
    </w:p>
  </w:footnote>
  <w:footnote w:id="21">
    <w:p w:rsidR="00041048" w:rsidRPr="00041048" w:rsidRDefault="00041048">
      <w:pPr>
        <w:pStyle w:val="FootnoteText"/>
        <w:rPr>
          <w:lang w:val="en-US"/>
        </w:rPr>
      </w:pPr>
      <w:r>
        <w:rPr>
          <w:rStyle w:val="FootnoteReference"/>
        </w:rPr>
        <w:footnoteRef/>
      </w:r>
      <w:r>
        <w:t xml:space="preserve"> </w:t>
      </w:r>
      <w:r>
        <w:rPr>
          <w:rFonts w:cs="Arial"/>
          <w:szCs w:val="24"/>
        </w:rPr>
        <w:t>8 App. Cas. 420, 425.</w:t>
      </w:r>
    </w:p>
  </w:footnote>
  <w:footnote w:id="22">
    <w:p w:rsidR="00041048" w:rsidRPr="00041048" w:rsidRDefault="00041048">
      <w:pPr>
        <w:pStyle w:val="FootnoteText"/>
        <w:rPr>
          <w:lang w:val="en-US"/>
        </w:rPr>
      </w:pPr>
      <w:r>
        <w:rPr>
          <w:rStyle w:val="FootnoteReference"/>
        </w:rPr>
        <w:footnoteRef/>
      </w:r>
      <w:r>
        <w:t xml:space="preserve"> </w:t>
      </w:r>
      <w:r>
        <w:rPr>
          <w:rFonts w:cs="Arial"/>
          <w:szCs w:val="24"/>
        </w:rPr>
        <w:t>17 Ch. D. 416.</w:t>
      </w:r>
    </w:p>
  </w:footnote>
  <w:footnote w:id="23">
    <w:p w:rsidR="00041048" w:rsidRPr="00041048" w:rsidRDefault="00041048">
      <w:pPr>
        <w:pStyle w:val="FootnoteText"/>
        <w:rPr>
          <w:lang w:val="en-US"/>
        </w:rPr>
      </w:pPr>
      <w:r>
        <w:rPr>
          <w:rStyle w:val="FootnoteReference"/>
        </w:rPr>
        <w:footnoteRef/>
      </w:r>
      <w:r>
        <w:t xml:space="preserve"> </w:t>
      </w:r>
      <w:r>
        <w:rPr>
          <w:rFonts w:cs="Arial"/>
          <w:szCs w:val="24"/>
        </w:rPr>
        <w:t>19 N. S. Rep. 363.</w:t>
      </w:r>
    </w:p>
  </w:footnote>
  <w:footnote w:id="24">
    <w:p w:rsidR="00041048" w:rsidRPr="00041048" w:rsidRDefault="00041048">
      <w:pPr>
        <w:pStyle w:val="FootnoteText"/>
        <w:rPr>
          <w:lang w:val="en-US"/>
        </w:rPr>
      </w:pPr>
      <w:r>
        <w:rPr>
          <w:rStyle w:val="FootnoteReference"/>
        </w:rPr>
        <w:footnoteRef/>
      </w:r>
      <w:r>
        <w:t xml:space="preserve"> </w:t>
      </w:r>
      <w:r>
        <w:rPr>
          <w:rFonts w:cs="Arial"/>
          <w:szCs w:val="24"/>
        </w:rPr>
        <w:t>2 Atk. 181.</w:t>
      </w:r>
    </w:p>
  </w:footnote>
  <w:footnote w:id="25">
    <w:p w:rsidR="00041048" w:rsidRPr="00041048" w:rsidRDefault="00041048">
      <w:pPr>
        <w:pStyle w:val="FootnoteText"/>
        <w:rPr>
          <w:lang w:val="en-US"/>
        </w:rPr>
      </w:pPr>
      <w:r>
        <w:rPr>
          <w:rStyle w:val="FootnoteReference"/>
        </w:rPr>
        <w:footnoteRef/>
      </w:r>
      <w:r>
        <w:t xml:space="preserve"> </w:t>
      </w:r>
      <w:r>
        <w:rPr>
          <w:rFonts w:cs="Arial"/>
          <w:szCs w:val="24"/>
        </w:rPr>
        <w:t>11 Ch. D. 163.</w:t>
      </w:r>
    </w:p>
  </w:footnote>
  <w:footnote w:id="26">
    <w:p w:rsidR="00041048" w:rsidRPr="00041048" w:rsidRDefault="00041048">
      <w:pPr>
        <w:pStyle w:val="FootnoteText"/>
        <w:rPr>
          <w:lang w:val="en-US"/>
        </w:rPr>
      </w:pPr>
      <w:r>
        <w:rPr>
          <w:rStyle w:val="FootnoteReference"/>
        </w:rPr>
        <w:footnoteRef/>
      </w:r>
      <w:r>
        <w:t xml:space="preserve"> </w:t>
      </w:r>
      <w:r>
        <w:rPr>
          <w:rFonts w:cs="Arial"/>
          <w:szCs w:val="24"/>
        </w:rPr>
        <w:t>10 Cush. 550.</w:t>
      </w:r>
    </w:p>
  </w:footnote>
  <w:footnote w:id="27">
    <w:p w:rsidR="00041048" w:rsidRPr="00041048" w:rsidRDefault="00041048">
      <w:pPr>
        <w:pStyle w:val="FootnoteText"/>
        <w:rPr>
          <w:lang w:val="en-US"/>
        </w:rPr>
      </w:pPr>
      <w:r>
        <w:rPr>
          <w:rStyle w:val="FootnoteReference"/>
        </w:rPr>
        <w:footnoteRef/>
      </w:r>
      <w:r>
        <w:t xml:space="preserve"> </w:t>
      </w:r>
      <w:r>
        <w:rPr>
          <w:rFonts w:cs="Arial"/>
          <w:szCs w:val="24"/>
        </w:rPr>
        <w:t>11 Allen (Mass.) 345.</w:t>
      </w:r>
    </w:p>
  </w:footnote>
  <w:footnote w:id="28">
    <w:p w:rsidR="00041048" w:rsidRPr="00041048" w:rsidRDefault="00041048">
      <w:pPr>
        <w:pStyle w:val="FootnoteText"/>
        <w:rPr>
          <w:lang w:val="en-US"/>
        </w:rPr>
      </w:pPr>
      <w:r>
        <w:rPr>
          <w:rStyle w:val="FootnoteReference"/>
        </w:rPr>
        <w:footnoteRef/>
      </w:r>
      <w:r>
        <w:t xml:space="preserve"> </w:t>
      </w:r>
      <w:r>
        <w:rPr>
          <w:rFonts w:cs="Arial"/>
          <w:szCs w:val="24"/>
        </w:rPr>
        <w:t>102 Mass. 246.</w:t>
      </w:r>
    </w:p>
  </w:footnote>
  <w:footnote w:id="29">
    <w:p w:rsidR="00041048" w:rsidRPr="00041048" w:rsidRDefault="00041048">
      <w:pPr>
        <w:pStyle w:val="FootnoteText"/>
        <w:rPr>
          <w:lang w:val="en-US"/>
        </w:rPr>
      </w:pPr>
      <w:r>
        <w:rPr>
          <w:rStyle w:val="FootnoteReference"/>
        </w:rPr>
        <w:footnoteRef/>
      </w:r>
      <w:r>
        <w:t xml:space="preserve"> </w:t>
      </w:r>
      <w:r>
        <w:rPr>
          <w:rFonts w:cs="Arial"/>
          <w:szCs w:val="24"/>
        </w:rPr>
        <w:t>105 Mass. 115.</w:t>
      </w:r>
    </w:p>
  </w:footnote>
  <w:footnote w:id="30">
    <w:p w:rsidR="00041048" w:rsidRPr="00041048" w:rsidRDefault="00041048">
      <w:pPr>
        <w:pStyle w:val="FootnoteText"/>
        <w:rPr>
          <w:lang w:val="en-US"/>
        </w:rPr>
      </w:pPr>
      <w:r>
        <w:rPr>
          <w:rStyle w:val="FootnoteReference"/>
        </w:rPr>
        <w:footnoteRef/>
      </w:r>
      <w:r>
        <w:t xml:space="preserve"> </w:t>
      </w:r>
      <w:r>
        <w:rPr>
          <w:rFonts w:cs="Arial"/>
          <w:szCs w:val="24"/>
        </w:rPr>
        <w:t>118 Mass. 541.</w:t>
      </w:r>
    </w:p>
  </w:footnote>
  <w:footnote w:id="31">
    <w:p w:rsidR="00041048" w:rsidRPr="00041048" w:rsidRDefault="00041048">
      <w:pPr>
        <w:pStyle w:val="FootnoteText"/>
        <w:rPr>
          <w:lang w:val="en-US"/>
        </w:rPr>
      </w:pPr>
      <w:r>
        <w:rPr>
          <w:rStyle w:val="FootnoteReference"/>
        </w:rPr>
        <w:footnoteRef/>
      </w:r>
      <w:r>
        <w:t xml:space="preserve"> </w:t>
      </w:r>
      <w:r>
        <w:rPr>
          <w:rFonts w:cs="Arial"/>
          <w:szCs w:val="24"/>
        </w:rPr>
        <w:t>14 Q. B. D. 831.</w:t>
      </w:r>
    </w:p>
  </w:footnote>
  <w:footnote w:id="32">
    <w:p w:rsidR="00041048" w:rsidRPr="00041048" w:rsidRDefault="00041048">
      <w:pPr>
        <w:pStyle w:val="FootnoteText"/>
        <w:rPr>
          <w:lang w:val="en-US"/>
        </w:rPr>
      </w:pPr>
      <w:r>
        <w:rPr>
          <w:rStyle w:val="FootnoteReference"/>
        </w:rPr>
        <w:footnoteRef/>
      </w:r>
      <w:r>
        <w:t xml:space="preserve"> </w:t>
      </w:r>
      <w:r>
        <w:rPr>
          <w:rFonts w:cs="Arial"/>
          <w:szCs w:val="24"/>
        </w:rPr>
        <w:t>3 Allen (Mass.) 127.</w:t>
      </w:r>
    </w:p>
  </w:footnote>
  <w:footnote w:id="33">
    <w:p w:rsidR="00041048" w:rsidRPr="00041048" w:rsidRDefault="00041048">
      <w:pPr>
        <w:pStyle w:val="FootnoteText"/>
        <w:rPr>
          <w:lang w:val="en-US"/>
        </w:rPr>
      </w:pPr>
      <w:r>
        <w:rPr>
          <w:rStyle w:val="FootnoteReference"/>
        </w:rPr>
        <w:footnoteRef/>
      </w:r>
      <w:r>
        <w:t xml:space="preserve"> </w:t>
      </w:r>
      <w:r>
        <w:rPr>
          <w:rFonts w:cs="Arial"/>
          <w:szCs w:val="24"/>
        </w:rPr>
        <w:t>3 Allen (Mass.) 315.</w:t>
      </w:r>
    </w:p>
  </w:footnote>
  <w:footnote w:id="34">
    <w:p w:rsidR="00041048" w:rsidRPr="00041048" w:rsidRDefault="00041048">
      <w:pPr>
        <w:pStyle w:val="FootnoteText"/>
        <w:rPr>
          <w:lang w:val="en-US"/>
        </w:rPr>
      </w:pPr>
      <w:r>
        <w:rPr>
          <w:rStyle w:val="FootnoteReference"/>
        </w:rPr>
        <w:footnoteRef/>
      </w:r>
      <w:r>
        <w:t xml:space="preserve"> </w:t>
      </w:r>
      <w:r>
        <w:rPr>
          <w:rFonts w:cs="Arial"/>
          <w:smallCaps/>
          <w:szCs w:val="24"/>
        </w:rPr>
        <w:t xml:space="preserve">4 </w:t>
      </w:r>
      <w:r>
        <w:rPr>
          <w:rFonts w:cs="Arial"/>
          <w:szCs w:val="24"/>
        </w:rPr>
        <w:t>Allen (Mass.) 412.</w:t>
      </w:r>
    </w:p>
  </w:footnote>
  <w:footnote w:id="35">
    <w:p w:rsidR="00041048" w:rsidRPr="00041048" w:rsidRDefault="00041048">
      <w:pPr>
        <w:pStyle w:val="FootnoteText"/>
        <w:rPr>
          <w:lang w:val="en-US"/>
        </w:rPr>
      </w:pPr>
      <w:r>
        <w:rPr>
          <w:rStyle w:val="FootnoteReference"/>
        </w:rPr>
        <w:footnoteRef/>
      </w:r>
      <w:r>
        <w:t xml:space="preserve"> </w:t>
      </w:r>
      <w:r>
        <w:rPr>
          <w:rFonts w:cs="Arial"/>
          <w:szCs w:val="24"/>
        </w:rPr>
        <w:t>22 Can. S. C. R. 210.</w:t>
      </w:r>
    </w:p>
  </w:footnote>
  <w:footnote w:id="36">
    <w:p w:rsidR="00041048" w:rsidRPr="00041048" w:rsidRDefault="00041048">
      <w:pPr>
        <w:pStyle w:val="FootnoteText"/>
        <w:rPr>
          <w:lang w:val="en-US"/>
        </w:rPr>
      </w:pPr>
      <w:r>
        <w:rPr>
          <w:rStyle w:val="FootnoteReference"/>
        </w:rPr>
        <w:footnoteRef/>
      </w:r>
      <w:r>
        <w:t xml:space="preserve"> </w:t>
      </w:r>
      <w:r>
        <w:rPr>
          <w:rFonts w:cs="Arial"/>
          <w:szCs w:val="24"/>
        </w:rPr>
        <w:t>27 N. S. Rep. 357.</w:t>
      </w:r>
    </w:p>
  </w:footnote>
  <w:footnote w:id="37">
    <w:p w:rsidR="00041048" w:rsidRPr="00041048" w:rsidRDefault="00041048">
      <w:pPr>
        <w:pStyle w:val="FootnoteText"/>
        <w:rPr>
          <w:lang w:val="en-US"/>
        </w:rPr>
      </w:pPr>
      <w:r>
        <w:rPr>
          <w:rStyle w:val="FootnoteReference"/>
        </w:rPr>
        <w:footnoteRef/>
      </w:r>
      <w:r>
        <w:t xml:space="preserve"> </w:t>
      </w:r>
      <w:r>
        <w:rPr>
          <w:rFonts w:cs="Arial"/>
          <w:szCs w:val="24"/>
        </w:rPr>
        <w:t>28 Can. S. C. R. 595.</w:t>
      </w:r>
    </w:p>
  </w:footnote>
  <w:footnote w:id="38">
    <w:p w:rsidR="00041048" w:rsidRPr="00041048" w:rsidRDefault="00041048">
      <w:pPr>
        <w:pStyle w:val="FootnoteText"/>
        <w:rPr>
          <w:lang w:val="en-US"/>
        </w:rPr>
      </w:pPr>
      <w:r>
        <w:rPr>
          <w:rStyle w:val="FootnoteReference"/>
        </w:rPr>
        <w:footnoteRef/>
      </w:r>
      <w:r>
        <w:t xml:space="preserve"> </w:t>
      </w:r>
      <w:r>
        <w:rPr>
          <w:rFonts w:cs="Arial"/>
          <w:szCs w:val="24"/>
        </w:rPr>
        <w:t>15 Q. B. D. 234.</w:t>
      </w:r>
    </w:p>
  </w:footnote>
  <w:footnote w:id="39">
    <w:p w:rsidR="00041048" w:rsidRPr="00041048" w:rsidRDefault="00041048">
      <w:pPr>
        <w:pStyle w:val="FootnoteText"/>
        <w:rPr>
          <w:lang w:val="en-US"/>
        </w:rPr>
      </w:pPr>
      <w:r>
        <w:rPr>
          <w:rStyle w:val="FootnoteReference"/>
        </w:rPr>
        <w:footnoteRef/>
      </w:r>
      <w:r>
        <w:t xml:space="preserve"> </w:t>
      </w:r>
      <w:r>
        <w:rPr>
          <w:rFonts w:cs="Arial"/>
          <w:szCs w:val="24"/>
        </w:rPr>
        <w:t>27 Ch. D. 632.</w:t>
      </w:r>
    </w:p>
  </w:footnote>
  <w:footnote w:id="40">
    <w:p w:rsidR="00041048" w:rsidRPr="00041048" w:rsidRDefault="00041048">
      <w:pPr>
        <w:pStyle w:val="FootnoteText"/>
        <w:rPr>
          <w:lang w:val="en-US"/>
        </w:rPr>
      </w:pPr>
      <w:r>
        <w:rPr>
          <w:rStyle w:val="FootnoteReference"/>
        </w:rPr>
        <w:footnoteRef/>
      </w:r>
      <w:r>
        <w:t xml:space="preserve"> </w:t>
      </w:r>
      <w:r>
        <w:rPr>
          <w:rFonts w:cs="Arial"/>
          <w:szCs w:val="24"/>
        </w:rPr>
        <w:t>39 Ch. D. 487.</w:t>
      </w:r>
    </w:p>
  </w:footnote>
  <w:footnote w:id="41">
    <w:p w:rsidR="00CD2CCD" w:rsidRPr="00CD2CCD" w:rsidRDefault="00CD2CCD">
      <w:pPr>
        <w:pStyle w:val="FootnoteText"/>
        <w:rPr>
          <w:lang w:val="en-US"/>
        </w:rPr>
      </w:pPr>
      <w:r>
        <w:rPr>
          <w:rStyle w:val="FootnoteReference"/>
        </w:rPr>
        <w:footnoteRef/>
      </w:r>
      <w:r>
        <w:t xml:space="preserve"> </w:t>
      </w:r>
      <w:r>
        <w:rPr>
          <w:rFonts w:cs="Arial"/>
          <w:szCs w:val="24"/>
        </w:rPr>
        <w:t>L. R. 2 P. C. 83.</w:t>
      </w:r>
    </w:p>
  </w:footnote>
  <w:footnote w:id="42">
    <w:p w:rsidR="00041048" w:rsidRPr="00041048" w:rsidRDefault="00041048">
      <w:pPr>
        <w:pStyle w:val="FootnoteText"/>
        <w:rPr>
          <w:lang w:val="en-US"/>
        </w:rPr>
      </w:pPr>
      <w:r>
        <w:rPr>
          <w:rStyle w:val="FootnoteReference"/>
        </w:rPr>
        <w:footnoteRef/>
      </w:r>
      <w:r>
        <w:t xml:space="preserve"> </w:t>
      </w:r>
      <w:r>
        <w:rPr>
          <w:rFonts w:cs="Arial"/>
          <w:szCs w:val="24"/>
        </w:rPr>
        <w:t>14 Q. B. D. 344.</w:t>
      </w:r>
    </w:p>
  </w:footnote>
  <w:footnote w:id="43">
    <w:p w:rsidR="00041048" w:rsidRPr="00041048" w:rsidRDefault="00041048">
      <w:pPr>
        <w:pStyle w:val="FootnoteText"/>
        <w:rPr>
          <w:lang w:val="en-US"/>
        </w:rPr>
      </w:pPr>
      <w:r>
        <w:rPr>
          <w:rStyle w:val="FootnoteReference"/>
        </w:rPr>
        <w:footnoteRef/>
      </w:r>
      <w:r>
        <w:t xml:space="preserve"> </w:t>
      </w:r>
      <w:r>
        <w:rPr>
          <w:rFonts w:cs="Arial"/>
          <w:szCs w:val="24"/>
        </w:rPr>
        <w:t>1 B. &amp; S. 393.</w:t>
      </w:r>
    </w:p>
  </w:footnote>
  <w:footnote w:id="44">
    <w:p w:rsidR="00041048" w:rsidRPr="00041048" w:rsidRDefault="00041048">
      <w:pPr>
        <w:pStyle w:val="FootnoteText"/>
        <w:rPr>
          <w:lang w:val="en-US"/>
        </w:rPr>
      </w:pPr>
      <w:r>
        <w:rPr>
          <w:rStyle w:val="FootnoteReference"/>
        </w:rPr>
        <w:footnoteRef/>
      </w:r>
      <w:r>
        <w:t xml:space="preserve"> </w:t>
      </w:r>
      <w:r>
        <w:rPr>
          <w:rFonts w:cs="Arial"/>
          <w:i/>
          <w:iCs/>
          <w:szCs w:val="24"/>
        </w:rPr>
        <w:t xml:space="preserve"> </w:t>
      </w:r>
      <w:r>
        <w:rPr>
          <w:rFonts w:cs="Arial"/>
          <w:szCs w:val="24"/>
        </w:rPr>
        <w:t>[1892] Q. B.</w:t>
      </w:r>
    </w:p>
  </w:footnote>
  <w:footnote w:id="45">
    <w:p w:rsidR="00041048" w:rsidRPr="00041048" w:rsidRDefault="00041048">
      <w:pPr>
        <w:pStyle w:val="FootnoteText"/>
        <w:rPr>
          <w:lang w:val="en-US"/>
        </w:rPr>
      </w:pPr>
      <w:r>
        <w:rPr>
          <w:rStyle w:val="FootnoteReference"/>
        </w:rPr>
        <w:footnoteRef/>
      </w:r>
      <w:r>
        <w:t xml:space="preserve"> </w:t>
      </w:r>
      <w:r>
        <w:rPr>
          <w:rFonts w:cs="Arial"/>
          <w:szCs w:val="24"/>
        </w:rPr>
        <w:t>29 Can. S. C. R. 139.</w:t>
      </w:r>
    </w:p>
  </w:footnote>
  <w:footnote w:id="46">
    <w:p w:rsidR="00041048" w:rsidRPr="00041048" w:rsidRDefault="00041048">
      <w:pPr>
        <w:pStyle w:val="FootnoteText"/>
        <w:rPr>
          <w:lang w:val="en-US"/>
        </w:rPr>
      </w:pPr>
      <w:r>
        <w:rPr>
          <w:rStyle w:val="FootnoteReference"/>
        </w:rPr>
        <w:footnoteRef/>
      </w:r>
      <w:r>
        <w:t xml:space="preserve"> </w:t>
      </w:r>
      <w:r>
        <w:rPr>
          <w:rFonts w:cs="Arial"/>
          <w:szCs w:val="24"/>
        </w:rPr>
        <w:t xml:space="preserve">3 App. Cas. 603; and see Statutes, pp. 314 </w:t>
      </w:r>
      <w:r>
        <w:rPr>
          <w:rFonts w:cs="Arial"/>
          <w:i/>
          <w:iCs/>
          <w:szCs w:val="24"/>
        </w:rPr>
        <w:t xml:space="preserve">et seq. </w:t>
      </w:r>
      <w:r>
        <w:rPr>
          <w:rFonts w:cs="Arial"/>
          <w:szCs w:val="24"/>
        </w:rPr>
        <w:t>Maxwell on the Interpretation of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F" w:rsidRDefault="00A97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F" w:rsidRDefault="00A976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F" w:rsidRDefault="00A97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11E4"/>
    <w:rsid w:val="00013FDA"/>
    <w:rsid w:val="000173FB"/>
    <w:rsid w:val="00041048"/>
    <w:rsid w:val="00063F09"/>
    <w:rsid w:val="000655EC"/>
    <w:rsid w:val="00077D2F"/>
    <w:rsid w:val="0008547A"/>
    <w:rsid w:val="000B6688"/>
    <w:rsid w:val="000C3415"/>
    <w:rsid w:val="000D3D21"/>
    <w:rsid w:val="00121409"/>
    <w:rsid w:val="00125F0C"/>
    <w:rsid w:val="00126A8E"/>
    <w:rsid w:val="001837F3"/>
    <w:rsid w:val="001A11E4"/>
    <w:rsid w:val="001D0D42"/>
    <w:rsid w:val="001D5C4A"/>
    <w:rsid w:val="001F6A76"/>
    <w:rsid w:val="002209AC"/>
    <w:rsid w:val="002428EB"/>
    <w:rsid w:val="00257DC0"/>
    <w:rsid w:val="002A74DD"/>
    <w:rsid w:val="002B30C5"/>
    <w:rsid w:val="002C186C"/>
    <w:rsid w:val="002D5E01"/>
    <w:rsid w:val="002F4F64"/>
    <w:rsid w:val="002F7D00"/>
    <w:rsid w:val="00361108"/>
    <w:rsid w:val="003824D9"/>
    <w:rsid w:val="003E5AF5"/>
    <w:rsid w:val="003F602F"/>
    <w:rsid w:val="004266D0"/>
    <w:rsid w:val="004277EE"/>
    <w:rsid w:val="0043543D"/>
    <w:rsid w:val="00436BB3"/>
    <w:rsid w:val="00442713"/>
    <w:rsid w:val="00457BC5"/>
    <w:rsid w:val="00463F5F"/>
    <w:rsid w:val="00482CDC"/>
    <w:rsid w:val="004832B7"/>
    <w:rsid w:val="004C7ED4"/>
    <w:rsid w:val="00511D93"/>
    <w:rsid w:val="00514003"/>
    <w:rsid w:val="00537980"/>
    <w:rsid w:val="00563767"/>
    <w:rsid w:val="005667DA"/>
    <w:rsid w:val="00593C8B"/>
    <w:rsid w:val="006330E7"/>
    <w:rsid w:val="006432CA"/>
    <w:rsid w:val="00644967"/>
    <w:rsid w:val="0067456D"/>
    <w:rsid w:val="00684151"/>
    <w:rsid w:val="006B56D1"/>
    <w:rsid w:val="006D2BED"/>
    <w:rsid w:val="006D6F42"/>
    <w:rsid w:val="006D72FE"/>
    <w:rsid w:val="006E5FEA"/>
    <w:rsid w:val="00747F2C"/>
    <w:rsid w:val="00751F7D"/>
    <w:rsid w:val="00777878"/>
    <w:rsid w:val="007969C4"/>
    <w:rsid w:val="007B3A90"/>
    <w:rsid w:val="007D6DD5"/>
    <w:rsid w:val="007E081C"/>
    <w:rsid w:val="008027F3"/>
    <w:rsid w:val="008433A9"/>
    <w:rsid w:val="008550EF"/>
    <w:rsid w:val="00872F75"/>
    <w:rsid w:val="00880FBB"/>
    <w:rsid w:val="008B0B7A"/>
    <w:rsid w:val="009201F4"/>
    <w:rsid w:val="00926406"/>
    <w:rsid w:val="009A34E6"/>
    <w:rsid w:val="009A7B1B"/>
    <w:rsid w:val="009D37B6"/>
    <w:rsid w:val="009E64DC"/>
    <w:rsid w:val="00A05E1F"/>
    <w:rsid w:val="00A23543"/>
    <w:rsid w:val="00A25EE3"/>
    <w:rsid w:val="00A42830"/>
    <w:rsid w:val="00A4371F"/>
    <w:rsid w:val="00A54E5B"/>
    <w:rsid w:val="00A61128"/>
    <w:rsid w:val="00A77109"/>
    <w:rsid w:val="00A94C52"/>
    <w:rsid w:val="00A9762F"/>
    <w:rsid w:val="00AB09B8"/>
    <w:rsid w:val="00B007EC"/>
    <w:rsid w:val="00B177F7"/>
    <w:rsid w:val="00B41B49"/>
    <w:rsid w:val="00B532F0"/>
    <w:rsid w:val="00B639A4"/>
    <w:rsid w:val="00B772A6"/>
    <w:rsid w:val="00BB07BE"/>
    <w:rsid w:val="00BC448B"/>
    <w:rsid w:val="00BC4595"/>
    <w:rsid w:val="00BF7653"/>
    <w:rsid w:val="00C372DF"/>
    <w:rsid w:val="00C45FBD"/>
    <w:rsid w:val="00C54EB9"/>
    <w:rsid w:val="00C7016B"/>
    <w:rsid w:val="00C93FA5"/>
    <w:rsid w:val="00CB6D18"/>
    <w:rsid w:val="00CB726B"/>
    <w:rsid w:val="00CC50DD"/>
    <w:rsid w:val="00CD1289"/>
    <w:rsid w:val="00CD1F09"/>
    <w:rsid w:val="00CD2CCD"/>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3FA1"/>
    <w:rsid w:val="00E86DF4"/>
    <w:rsid w:val="00EB3437"/>
    <w:rsid w:val="00EF2358"/>
    <w:rsid w:val="00F13669"/>
    <w:rsid w:val="00F177D8"/>
    <w:rsid w:val="00F35E8A"/>
    <w:rsid w:val="00F36592"/>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5EE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25EE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25EE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25EE3"/>
  </w:style>
  <w:style w:type="paragraph" w:styleId="Header">
    <w:name w:val="header"/>
    <w:basedOn w:val="Normal"/>
    <w:link w:val="HeaderChar"/>
    <w:uiPriority w:val="99"/>
    <w:unhideWhenUsed/>
    <w:rsid w:val="00A25EE3"/>
    <w:pPr>
      <w:tabs>
        <w:tab w:val="center" w:pos="4680"/>
        <w:tab w:val="right" w:pos="9360"/>
      </w:tabs>
    </w:pPr>
    <w:rPr>
      <w:rFonts w:ascii="Times New Roman" w:hAnsi="Times New Roman"/>
    </w:rPr>
  </w:style>
  <w:style w:type="character" w:customStyle="1" w:styleId="HeaderChar">
    <w:name w:val="Header Char"/>
    <w:link w:val="Header"/>
    <w:uiPriority w:val="99"/>
    <w:rsid w:val="00A25EE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25EE3"/>
    <w:pPr>
      <w:tabs>
        <w:tab w:val="center" w:pos="4680"/>
        <w:tab w:val="right" w:pos="9360"/>
      </w:tabs>
    </w:pPr>
    <w:rPr>
      <w:rFonts w:ascii="Times New Roman" w:hAnsi="Times New Roman"/>
    </w:rPr>
  </w:style>
  <w:style w:type="character" w:customStyle="1" w:styleId="FooterChar">
    <w:name w:val="Footer Char"/>
    <w:link w:val="Footer"/>
    <w:uiPriority w:val="99"/>
    <w:rsid w:val="00A25EE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63F0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25EE3"/>
    <w:pPr>
      <w:spacing w:before="100" w:beforeAutospacing="1"/>
      <w:ind w:left="567"/>
      <w:jc w:val="both"/>
    </w:pPr>
  </w:style>
  <w:style w:type="paragraph" w:customStyle="1" w:styleId="Metadata">
    <w:name w:val="Metadata"/>
    <w:basedOn w:val="Normal"/>
    <w:rsid w:val="00A25EE3"/>
    <w:pPr>
      <w:spacing w:before="100" w:beforeAutospacing="1" w:after="100" w:afterAutospacing="1"/>
    </w:pPr>
    <w:rPr>
      <w:rFonts w:cs="Arial"/>
      <w:szCs w:val="24"/>
    </w:rPr>
  </w:style>
  <w:style w:type="paragraph" w:customStyle="1" w:styleId="Page">
    <w:name w:val="Page"/>
    <w:basedOn w:val="Normal"/>
    <w:link w:val="PageChar"/>
    <w:rsid w:val="00A25EE3"/>
    <w:pPr>
      <w:spacing w:before="100" w:beforeAutospacing="1" w:after="100" w:afterAutospacing="1"/>
    </w:pPr>
    <w:rPr>
      <w:i/>
    </w:rPr>
  </w:style>
  <w:style w:type="paragraph" w:styleId="FootnoteText">
    <w:name w:val="footnote text"/>
    <w:basedOn w:val="Normal"/>
    <w:link w:val="FootnoteTextChar"/>
    <w:autoRedefine/>
    <w:semiHidden/>
    <w:rsid w:val="00A25EE3"/>
    <w:rPr>
      <w:sz w:val="16"/>
      <w:szCs w:val="20"/>
    </w:rPr>
  </w:style>
  <w:style w:type="character" w:customStyle="1" w:styleId="FootnoteTextChar">
    <w:name w:val="Footnote Text Char"/>
    <w:link w:val="FootnoteText"/>
    <w:semiHidden/>
    <w:rsid w:val="00A25EE3"/>
    <w:rPr>
      <w:rFonts w:ascii="Arial" w:eastAsia="MS Mincho" w:hAnsi="Arial" w:cs="Times New Roman"/>
      <w:sz w:val="16"/>
      <w:szCs w:val="20"/>
      <w:lang w:val="en-CA" w:eastAsia="ja-JP"/>
    </w:rPr>
  </w:style>
  <w:style w:type="character" w:styleId="FootnoteReference">
    <w:name w:val="footnote reference"/>
    <w:semiHidden/>
    <w:rsid w:val="00A25EE3"/>
    <w:rPr>
      <w:vertAlign w:val="superscript"/>
    </w:rPr>
  </w:style>
  <w:style w:type="paragraph" w:customStyle="1" w:styleId="ParagNum">
    <w:name w:val="ParagNum"/>
    <w:basedOn w:val="Normal"/>
    <w:rsid w:val="00A25EE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25EE3"/>
    <w:pPr>
      <w:spacing w:before="100" w:beforeAutospacing="1" w:after="100" w:afterAutospacing="1" w:line="360" w:lineRule="auto"/>
    </w:pPr>
  </w:style>
  <w:style w:type="paragraph" w:customStyle="1" w:styleId="Indent2">
    <w:name w:val="Indent 2"/>
    <w:basedOn w:val="Indent1"/>
    <w:rsid w:val="00A25EE3"/>
    <w:pPr>
      <w:ind w:left="1134"/>
    </w:pPr>
  </w:style>
  <w:style w:type="paragraph" w:customStyle="1" w:styleId="Indent3">
    <w:name w:val="Indent 3"/>
    <w:basedOn w:val="Indent1"/>
    <w:rsid w:val="00A25EE3"/>
    <w:pPr>
      <w:ind w:left="1701"/>
    </w:pPr>
  </w:style>
  <w:style w:type="paragraph" w:customStyle="1" w:styleId="Indent4">
    <w:name w:val="Indent 4"/>
    <w:basedOn w:val="Indent1"/>
    <w:rsid w:val="00A25EE3"/>
    <w:pPr>
      <w:ind w:left="2268"/>
    </w:pPr>
  </w:style>
  <w:style w:type="paragraph" w:customStyle="1" w:styleId="Indent10">
    <w:name w:val="Indent1"/>
    <w:basedOn w:val="Reasons"/>
    <w:rsid w:val="00A25EE3"/>
    <w:pPr>
      <w:ind w:left="567"/>
    </w:pPr>
  </w:style>
  <w:style w:type="paragraph" w:customStyle="1" w:styleId="Indent20">
    <w:name w:val="Indent2"/>
    <w:basedOn w:val="Indent10"/>
    <w:rsid w:val="00A25EE3"/>
    <w:pPr>
      <w:ind w:left="1134"/>
    </w:pPr>
  </w:style>
  <w:style w:type="paragraph" w:customStyle="1" w:styleId="Indent30">
    <w:name w:val="Indent3"/>
    <w:basedOn w:val="Indent10"/>
    <w:rsid w:val="00A25EE3"/>
    <w:pPr>
      <w:ind w:left="1701"/>
    </w:pPr>
  </w:style>
  <w:style w:type="paragraph" w:customStyle="1" w:styleId="Indent40">
    <w:name w:val="Indent4"/>
    <w:basedOn w:val="Indent10"/>
    <w:rsid w:val="00A25EE3"/>
    <w:pPr>
      <w:ind w:left="2268"/>
    </w:pPr>
  </w:style>
  <w:style w:type="paragraph" w:customStyle="1" w:styleId="Keywords">
    <w:name w:val="Keywords"/>
    <w:basedOn w:val="Normal"/>
    <w:rsid w:val="00A25EE3"/>
    <w:pPr>
      <w:spacing w:before="100" w:beforeAutospacing="1" w:after="100" w:afterAutospacing="1"/>
    </w:pPr>
    <w:rPr>
      <w:rFonts w:cs="Arial"/>
      <w:i/>
      <w:szCs w:val="24"/>
    </w:rPr>
  </w:style>
  <w:style w:type="paragraph" w:customStyle="1" w:styleId="Summary">
    <w:name w:val="Summary"/>
    <w:basedOn w:val="Normal"/>
    <w:autoRedefine/>
    <w:rsid w:val="00A25EE3"/>
    <w:pPr>
      <w:spacing w:before="100" w:beforeAutospacing="1" w:after="100" w:afterAutospacing="1"/>
      <w:ind w:left="562" w:hanging="562"/>
    </w:pPr>
    <w:rPr>
      <w:rFonts w:cs="Arial"/>
    </w:rPr>
  </w:style>
  <w:style w:type="paragraph" w:customStyle="1" w:styleId="History">
    <w:name w:val="History"/>
    <w:basedOn w:val="Normal"/>
    <w:rsid w:val="00A25EE3"/>
    <w:pPr>
      <w:spacing w:before="100" w:beforeAutospacing="1" w:after="100" w:afterAutospacing="1"/>
      <w:ind w:firstLine="567"/>
    </w:pPr>
  </w:style>
  <w:style w:type="paragraph" w:customStyle="1" w:styleId="T1">
    <w:name w:val="T1"/>
    <w:basedOn w:val="Normal"/>
    <w:rsid w:val="00A25EE3"/>
    <w:pPr>
      <w:spacing w:before="240" w:after="100" w:afterAutospacing="1"/>
    </w:pPr>
    <w:rPr>
      <w:b/>
    </w:rPr>
  </w:style>
  <w:style w:type="paragraph" w:customStyle="1" w:styleId="T2">
    <w:name w:val="T2"/>
    <w:basedOn w:val="Normal"/>
    <w:rsid w:val="00A25EE3"/>
    <w:pPr>
      <w:spacing w:before="240" w:after="100" w:afterAutospacing="1"/>
    </w:pPr>
  </w:style>
  <w:style w:type="paragraph" w:customStyle="1" w:styleId="Sollicitors">
    <w:name w:val="Sollicitors"/>
    <w:basedOn w:val="Normal"/>
    <w:rsid w:val="00A25EE3"/>
    <w:pPr>
      <w:spacing w:before="100" w:beforeAutospacing="1" w:after="100" w:afterAutospacing="1"/>
    </w:pPr>
    <w:rPr>
      <w:i/>
    </w:rPr>
  </w:style>
  <w:style w:type="paragraph" w:customStyle="1" w:styleId="Court">
    <w:name w:val="Court"/>
    <w:basedOn w:val="Normal"/>
    <w:rsid w:val="00A25EE3"/>
    <w:rPr>
      <w:rFonts w:cs="Arial"/>
      <w:b/>
      <w:szCs w:val="24"/>
    </w:rPr>
  </w:style>
  <w:style w:type="character" w:customStyle="1" w:styleId="PageChar">
    <w:name w:val="Page Char"/>
    <w:link w:val="Page"/>
    <w:rsid w:val="00A25EE3"/>
    <w:rPr>
      <w:rFonts w:ascii="Arial" w:eastAsia="MS Mincho" w:hAnsi="Arial" w:cs="Times New Roman"/>
      <w:i/>
      <w:sz w:val="24"/>
      <w:szCs w:val="28"/>
      <w:lang w:val="en-CA" w:eastAsia="ja-JP"/>
    </w:rPr>
  </w:style>
  <w:style w:type="character" w:customStyle="1" w:styleId="ReasonsCar">
    <w:name w:val="Reasons Car"/>
    <w:link w:val="Reasons"/>
    <w:rsid w:val="00A25EE3"/>
    <w:rPr>
      <w:rFonts w:ascii="Arial" w:eastAsia="MS Mincho" w:hAnsi="Arial" w:cs="Times New Roman"/>
      <w:sz w:val="24"/>
      <w:szCs w:val="28"/>
      <w:lang w:val="en-CA" w:eastAsia="ja-JP"/>
    </w:rPr>
  </w:style>
  <w:style w:type="paragraph" w:customStyle="1" w:styleId="CitationLine">
    <w:name w:val="CitationLine"/>
    <w:basedOn w:val="Court"/>
    <w:rsid w:val="00A25EE3"/>
  </w:style>
  <w:style w:type="paragraph" w:customStyle="1" w:styleId="DateISO">
    <w:name w:val="DateISO"/>
    <w:basedOn w:val="Court"/>
    <w:rsid w:val="00A25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8</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13</cp:revision>
  <dcterms:created xsi:type="dcterms:W3CDTF">2015-03-19T13:03:00Z</dcterms:created>
  <dcterms:modified xsi:type="dcterms:W3CDTF">2015-03-23T04:07:00Z</dcterms:modified>
</cp:coreProperties>
</file>