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8E" w:rsidRDefault="0068068E" w:rsidP="0068068E">
      <w:pPr>
        <w:pStyle w:val="Court"/>
      </w:pPr>
      <w:r>
        <w:t>Supreme Court of Canada</w:t>
      </w:r>
    </w:p>
    <w:p w:rsidR="0068068E" w:rsidRDefault="0068068E" w:rsidP="0068068E">
      <w:pPr>
        <w:pStyle w:val="CitationLine"/>
      </w:pPr>
      <w:r w:rsidRPr="0068068E">
        <w:rPr>
          <w:lang w:val="de-DE"/>
        </w:rPr>
        <w:t>Green</w:t>
      </w:r>
      <w:r w:rsidRPr="0068068E">
        <w:t xml:space="preserve"> </w:t>
      </w:r>
      <w:r w:rsidRPr="0068068E">
        <w:rPr>
          <w:i/>
          <w:iCs/>
        </w:rPr>
        <w:t xml:space="preserve">v. </w:t>
      </w:r>
      <w:r w:rsidRPr="0068068E">
        <w:rPr>
          <w:lang w:val="de-DE"/>
        </w:rPr>
        <w:t>Miller</w:t>
      </w:r>
      <w:r>
        <w:t xml:space="preserve"> (1901) 31 SCR 177</w:t>
      </w:r>
    </w:p>
    <w:p w:rsidR="0068068E" w:rsidRDefault="0068068E" w:rsidP="0068068E">
      <w:pPr>
        <w:pStyle w:val="DateISO"/>
      </w:pPr>
      <w:r>
        <w:t>Date: 1901-03-18</w:t>
      </w:r>
    </w:p>
    <w:p w:rsidR="00CF2743" w:rsidRPr="0068068E" w:rsidRDefault="0068068E" w:rsidP="0068068E">
      <w:pPr>
        <w:pStyle w:val="Metadata"/>
      </w:pPr>
      <w:r w:rsidRPr="0068068E">
        <w:t>Frederick W. Green (Defendant)</w:t>
      </w:r>
    </w:p>
    <w:p w:rsidR="00CF2743" w:rsidRPr="0068068E" w:rsidRDefault="0068068E" w:rsidP="0068068E">
      <w:pPr>
        <w:pStyle w:val="Metadata"/>
      </w:pPr>
      <w:r w:rsidRPr="0068068E">
        <w:t>Appellant</w:t>
      </w:r>
    </w:p>
    <w:p w:rsidR="00CF2743" w:rsidRPr="0068068E" w:rsidRDefault="0068068E" w:rsidP="0068068E">
      <w:pPr>
        <w:pStyle w:val="Metadata"/>
      </w:pPr>
      <w:r w:rsidRPr="0068068E">
        <w:t>And</w:t>
      </w:r>
    </w:p>
    <w:p w:rsidR="00CF2743" w:rsidRPr="0068068E" w:rsidRDefault="0068068E" w:rsidP="0068068E">
      <w:pPr>
        <w:pStyle w:val="Metadata"/>
      </w:pPr>
      <w:r w:rsidRPr="0068068E">
        <w:t>Oliver S. Miller (Plaintiff)</w:t>
      </w:r>
    </w:p>
    <w:p w:rsidR="00CF2743" w:rsidRPr="0068068E" w:rsidRDefault="0068068E" w:rsidP="0068068E">
      <w:pPr>
        <w:pStyle w:val="Metadata"/>
      </w:pPr>
      <w:r w:rsidRPr="0068068E">
        <w:t>Respondent</w:t>
      </w:r>
    </w:p>
    <w:p w:rsidR="0068068E" w:rsidRDefault="0068068E" w:rsidP="0068068E">
      <w:pPr>
        <w:pStyle w:val="Metadata"/>
      </w:pPr>
      <w:r>
        <w:rPr>
          <w:smallCaps/>
        </w:rPr>
        <w:t xml:space="preserve">1901: </w:t>
      </w:r>
      <w:r>
        <w:t>Feb. 25, 26; 1901: Mar. 18.</w:t>
      </w:r>
    </w:p>
    <w:p w:rsidR="0068068E" w:rsidRDefault="0068068E" w:rsidP="0068068E">
      <w:pPr>
        <w:pStyle w:val="Metadata"/>
        <w:rPr>
          <w:smallCaps/>
        </w:rPr>
      </w:pPr>
      <w:r w:rsidRPr="0068068E">
        <w:t>Present</w:t>
      </w:r>
      <w:r>
        <w:rPr>
          <w:smallCaps/>
        </w:rPr>
        <w:t>:</w:t>
      </w:r>
      <w:r>
        <w:t>—Taschereau, Gwynne, Sedgewick, King and Girouard JJ.</w:t>
      </w:r>
    </w:p>
    <w:p w:rsidR="00CF2743" w:rsidRPr="0068068E" w:rsidRDefault="0068068E" w:rsidP="0068068E">
      <w:pPr>
        <w:pStyle w:val="Metadata"/>
      </w:pPr>
      <w:r w:rsidRPr="0068068E">
        <w:t>ON APPEAL FROM THE SUPREME COURT OF NOVA SCOTIA.</w:t>
      </w:r>
    </w:p>
    <w:p w:rsidR="00CF2743" w:rsidRDefault="00CF2743" w:rsidP="0068068E">
      <w:pPr>
        <w:pStyle w:val="Keywords"/>
      </w:pPr>
      <w:r>
        <w:t>Libel—Privileged communication—Malice—Charge to jury—Evidence.</w:t>
      </w:r>
    </w:p>
    <w:p w:rsidR="00CF2743" w:rsidRDefault="00CF2743" w:rsidP="0068068E">
      <w:pPr>
        <w:pStyle w:val="Summary"/>
      </w:pPr>
      <w:r>
        <w:t xml:space="preserve">On the trial of an action claiming damages for a libel alleged to be contained in a privileged communication the judge charged the jury as to privilege and added "if the defendant made the communication </w:t>
      </w:r>
      <w:r>
        <w:rPr>
          <w:i/>
          <w:iCs/>
        </w:rPr>
        <w:t xml:space="preserve">bonâ fide, </w:t>
      </w:r>
      <w:r>
        <w:t>believing it to be true, and the privilege existed that I have endeavoured to explain, then there would be no action against him."</w:t>
      </w:r>
    </w:p>
    <w:p w:rsidR="00CF2743" w:rsidRDefault="00CF2743" w:rsidP="0068068E">
      <w:pPr>
        <w:pStyle w:val="Summary"/>
        <w:rPr>
          <w:szCs w:val="24"/>
        </w:rPr>
      </w:pPr>
      <w:r>
        <w:rPr>
          <w:i/>
          <w:iCs/>
          <w:szCs w:val="24"/>
        </w:rPr>
        <w:t xml:space="preserve">Held, </w:t>
      </w:r>
      <w:r>
        <w:rPr>
          <w:szCs w:val="24"/>
        </w:rPr>
        <w:t>that plaintiff was entitled to a more explicit statement of the law on a point directly affecting the proof of an issue the burden of which was upon him.</w:t>
      </w:r>
    </w:p>
    <w:p w:rsidR="00CF2743" w:rsidRDefault="00CF2743" w:rsidP="0068068E">
      <w:pPr>
        <w:pStyle w:val="Summary"/>
        <w:rPr>
          <w:szCs w:val="24"/>
        </w:rPr>
      </w:pPr>
      <w:r>
        <w:rPr>
          <w:szCs w:val="24"/>
        </w:rPr>
        <w:t>One portion of the communication containing the alleged libel might be read as importing a grave charge against the plaintiff or as an innocuous statement of fact.</w:t>
      </w:r>
    </w:p>
    <w:p w:rsidR="00CF2743" w:rsidRDefault="00CF2743" w:rsidP="0068068E">
      <w:pPr>
        <w:pStyle w:val="Summary"/>
        <w:rPr>
          <w:szCs w:val="24"/>
        </w:rPr>
      </w:pPr>
      <w:r>
        <w:rPr>
          <w:i/>
          <w:iCs/>
          <w:szCs w:val="24"/>
        </w:rPr>
        <w:t xml:space="preserve">Held, </w:t>
      </w:r>
      <w:r>
        <w:rPr>
          <w:szCs w:val="24"/>
        </w:rPr>
        <w:t>that as to prove malice the writer's knowledge of the falsity of the fact was the material point the sense in which he may have used the words was the governing consideration.</w:t>
      </w:r>
    </w:p>
    <w:p w:rsidR="00CF2743" w:rsidRDefault="00CF2743" w:rsidP="0068068E">
      <w:pPr>
        <w:pStyle w:val="Summary"/>
        <w:rPr>
          <w:szCs w:val="24"/>
        </w:rPr>
      </w:pPr>
      <w:r>
        <w:rPr>
          <w:szCs w:val="24"/>
        </w:rPr>
        <w:t>The judge's charge was not open to objection for want of an explicit reference to pre-existing unfriendliness between the parties as proof of malice where the only evidence of unfriendliness consisted of hard things said of the defendant by the plaintiff.</w:t>
      </w:r>
    </w:p>
    <w:p w:rsidR="00CF2743" w:rsidRDefault="00CF2743" w:rsidP="0068068E">
      <w:pPr>
        <w:pStyle w:val="Summary"/>
        <w:rPr>
          <w:szCs w:val="24"/>
        </w:rPr>
      </w:pPr>
      <w:r>
        <w:rPr>
          <w:szCs w:val="24"/>
        </w:rPr>
        <w:t xml:space="preserve">Judgment of the Supreme Court of Nova Scotia </w:t>
      </w:r>
      <w:r>
        <w:rPr>
          <w:smallCaps/>
          <w:szCs w:val="24"/>
        </w:rPr>
        <w:t>(32 N</w:t>
      </w:r>
      <w:r>
        <w:rPr>
          <w:szCs w:val="24"/>
        </w:rPr>
        <w:t xml:space="preserve">. S. Rep. </w:t>
      </w:r>
      <w:r>
        <w:rPr>
          <w:smallCaps/>
          <w:szCs w:val="24"/>
        </w:rPr>
        <w:t xml:space="preserve">129) </w:t>
      </w:r>
      <w:r>
        <w:rPr>
          <w:szCs w:val="24"/>
        </w:rPr>
        <w:t>affirmed, Gwynne and Sedgewick JJ. dissenting.</w:t>
      </w:r>
    </w:p>
    <w:p w:rsidR="00CF2743" w:rsidRDefault="00CF2743" w:rsidP="0068068E">
      <w:pPr>
        <w:pStyle w:val="History"/>
      </w:pPr>
      <w:r w:rsidRPr="0068068E">
        <w:lastRenderedPageBreak/>
        <w:t>Appeal</w:t>
      </w:r>
      <w:r>
        <w:rPr>
          <w:smallCaps/>
        </w:rPr>
        <w:t xml:space="preserve"> </w:t>
      </w:r>
      <w:r>
        <w:t>from a decision of the Supreme Court of Nova Scotia</w:t>
      </w:r>
      <w:r w:rsidR="002018FD">
        <w:rPr>
          <w:rStyle w:val="FootnoteReference"/>
        </w:rPr>
        <w:footnoteReference w:id="2"/>
      </w:r>
      <w:r>
        <w:t xml:space="preserve"> setting aside a verdict for the defendant and ordering a new trial.</w:t>
      </w:r>
    </w:p>
    <w:p w:rsidR="00CF2743" w:rsidRDefault="00CF2743" w:rsidP="0068068E">
      <w:pPr>
        <w:pStyle w:val="History"/>
        <w:rPr>
          <w:rFonts w:cs="Arial"/>
          <w:szCs w:val="24"/>
        </w:rPr>
      </w:pPr>
      <w:r>
        <w:rPr>
          <w:rFonts w:cs="Arial"/>
          <w:szCs w:val="24"/>
        </w:rPr>
        <w:t>The letter containing the alleged libel of the plaintiff by the defendant, and other facts bearing on the questions raised on the appeal are set out in the judgment of the court.</w:t>
      </w:r>
    </w:p>
    <w:p w:rsidR="00CF2743" w:rsidRDefault="00003B31" w:rsidP="00003B31">
      <w:pPr>
        <w:pStyle w:val="Page"/>
      </w:pPr>
      <w:r>
        <w:rPr>
          <w:rFonts w:cs="Arial"/>
          <w:szCs w:val="24"/>
        </w:rPr>
        <w:t xml:space="preserve">[Page </w:t>
      </w:r>
      <w:r w:rsidR="00CF2743">
        <w:rPr>
          <w:rFonts w:cs="Arial"/>
          <w:szCs w:val="24"/>
        </w:rPr>
        <w:t>178]</w:t>
      </w:r>
    </w:p>
    <w:p w:rsidR="00CF2743" w:rsidRDefault="00CF2743" w:rsidP="00141957">
      <w:pPr>
        <w:pStyle w:val="History"/>
        <w:rPr>
          <w:rFonts w:cs="Arial"/>
          <w:szCs w:val="24"/>
        </w:rPr>
      </w:pPr>
      <w:r>
        <w:rPr>
          <w:rFonts w:cs="Arial"/>
          <w:i/>
          <w:iCs/>
          <w:szCs w:val="24"/>
        </w:rPr>
        <w:t xml:space="preserve">W. B. A. Ritchie K.C. </w:t>
      </w:r>
      <w:r>
        <w:rPr>
          <w:rFonts w:cs="Arial"/>
          <w:szCs w:val="24"/>
        </w:rPr>
        <w:t xml:space="preserve">for the appellant. The letter written was upon a privileged occasion; </w:t>
      </w:r>
      <w:r>
        <w:rPr>
          <w:rFonts w:cs="Arial"/>
          <w:i/>
          <w:iCs/>
          <w:szCs w:val="24"/>
        </w:rPr>
        <w:t xml:space="preserve">Toogood </w:t>
      </w:r>
      <w:r>
        <w:rPr>
          <w:rFonts w:cs="Arial"/>
          <w:szCs w:val="24"/>
        </w:rPr>
        <w:t xml:space="preserve">v. </w:t>
      </w:r>
      <w:r>
        <w:rPr>
          <w:rFonts w:cs="Arial"/>
          <w:i/>
          <w:iCs/>
          <w:szCs w:val="24"/>
        </w:rPr>
        <w:t>Spyring</w:t>
      </w:r>
      <w:r w:rsidR="002018FD">
        <w:rPr>
          <w:rStyle w:val="FootnoteReference"/>
          <w:rFonts w:cs="Arial"/>
          <w:i/>
          <w:iCs/>
          <w:szCs w:val="24"/>
        </w:rPr>
        <w:footnoteReference w:id="3"/>
      </w:r>
      <w:r>
        <w:rPr>
          <w:rFonts w:cs="Arial"/>
          <w:szCs w:val="24"/>
        </w:rPr>
        <w:t xml:space="preserve">; </w:t>
      </w:r>
      <w:r>
        <w:rPr>
          <w:rFonts w:cs="Arial"/>
          <w:i/>
          <w:iCs/>
          <w:szCs w:val="24"/>
        </w:rPr>
        <w:t xml:space="preserve">Somerville </w:t>
      </w:r>
      <w:r>
        <w:rPr>
          <w:rFonts w:cs="Arial"/>
          <w:szCs w:val="24"/>
        </w:rPr>
        <w:t xml:space="preserve">v. </w:t>
      </w:r>
      <w:r>
        <w:rPr>
          <w:rFonts w:cs="Arial"/>
          <w:i/>
          <w:iCs/>
          <w:szCs w:val="24"/>
        </w:rPr>
        <w:t>Hawkins</w:t>
      </w:r>
      <w:r w:rsidR="002018FD">
        <w:rPr>
          <w:rStyle w:val="FootnoteReference"/>
          <w:rFonts w:cs="Arial"/>
          <w:i/>
          <w:iCs/>
          <w:szCs w:val="24"/>
        </w:rPr>
        <w:footnoteReference w:id="4"/>
      </w:r>
      <w:r>
        <w:rPr>
          <w:rFonts w:cs="Arial"/>
          <w:szCs w:val="24"/>
        </w:rPr>
        <w:t xml:space="preserve">; </w:t>
      </w:r>
      <w:r>
        <w:rPr>
          <w:rFonts w:cs="Arial"/>
          <w:i/>
          <w:iCs/>
          <w:szCs w:val="24"/>
        </w:rPr>
        <w:t xml:space="preserve">Harrison </w:t>
      </w:r>
      <w:r>
        <w:rPr>
          <w:rFonts w:cs="Arial"/>
          <w:szCs w:val="24"/>
        </w:rPr>
        <w:t xml:space="preserve">v. </w:t>
      </w:r>
      <w:r>
        <w:rPr>
          <w:rFonts w:cs="Arial"/>
          <w:i/>
          <w:iCs/>
          <w:szCs w:val="24"/>
        </w:rPr>
        <w:t>Bush</w:t>
      </w:r>
      <w:r w:rsidR="002018FD">
        <w:rPr>
          <w:rStyle w:val="FootnoteReference"/>
          <w:rFonts w:cs="Arial"/>
          <w:i/>
          <w:iCs/>
          <w:szCs w:val="24"/>
        </w:rPr>
        <w:footnoteReference w:id="5"/>
      </w:r>
      <w:r>
        <w:rPr>
          <w:rFonts w:cs="Arial"/>
          <w:szCs w:val="24"/>
        </w:rPr>
        <w:t xml:space="preserve">; </w:t>
      </w:r>
      <w:r>
        <w:rPr>
          <w:rFonts w:cs="Arial"/>
          <w:i/>
          <w:iCs/>
          <w:szCs w:val="24"/>
        </w:rPr>
        <w:t xml:space="preserve">Jenoure </w:t>
      </w:r>
      <w:r>
        <w:rPr>
          <w:rFonts w:cs="Arial"/>
          <w:szCs w:val="24"/>
        </w:rPr>
        <w:t xml:space="preserve">v. </w:t>
      </w:r>
      <w:r>
        <w:rPr>
          <w:rFonts w:cs="Arial"/>
          <w:i/>
          <w:iCs/>
          <w:szCs w:val="24"/>
        </w:rPr>
        <w:t>Delmege</w:t>
      </w:r>
      <w:r w:rsidR="002018FD">
        <w:rPr>
          <w:rStyle w:val="FootnoteReference"/>
          <w:rFonts w:cs="Arial"/>
          <w:i/>
          <w:iCs/>
          <w:szCs w:val="24"/>
        </w:rPr>
        <w:footnoteReference w:id="6"/>
      </w:r>
      <w:r>
        <w:rPr>
          <w:rFonts w:cs="Arial"/>
          <w:szCs w:val="24"/>
        </w:rPr>
        <w:t xml:space="preserve">; </w:t>
      </w:r>
      <w:r>
        <w:rPr>
          <w:rFonts w:cs="Arial"/>
          <w:i/>
          <w:iCs/>
          <w:szCs w:val="24"/>
        </w:rPr>
        <w:t xml:space="preserve">Nevill </w:t>
      </w:r>
      <w:r>
        <w:rPr>
          <w:rFonts w:cs="Arial"/>
          <w:szCs w:val="24"/>
        </w:rPr>
        <w:t xml:space="preserve">v. </w:t>
      </w:r>
      <w:r>
        <w:rPr>
          <w:rFonts w:cs="Arial"/>
          <w:i/>
          <w:iCs/>
          <w:szCs w:val="24"/>
        </w:rPr>
        <w:t>Fine Art and General Insurance Company</w:t>
      </w:r>
      <w:r w:rsidR="002018FD">
        <w:rPr>
          <w:rStyle w:val="FootnoteReference"/>
          <w:rFonts w:cs="Arial"/>
          <w:i/>
          <w:iCs/>
          <w:szCs w:val="24"/>
        </w:rPr>
        <w:footnoteReference w:id="7"/>
      </w:r>
      <w:r>
        <w:rPr>
          <w:rFonts w:cs="Arial"/>
          <w:szCs w:val="24"/>
        </w:rPr>
        <w:t xml:space="preserve">. The jury could not have found that the statement of </w:t>
      </w:r>
      <w:r>
        <w:rPr>
          <w:rFonts w:cs="Arial"/>
          <w:smallCaps/>
          <w:szCs w:val="24"/>
        </w:rPr>
        <w:t>G</w:t>
      </w:r>
      <w:r>
        <w:rPr>
          <w:rFonts w:cs="Arial"/>
          <w:szCs w:val="24"/>
        </w:rPr>
        <w:t xml:space="preserve">reen that he "relieved" Miller of the agency was false. There is no evidence of malice; on this point see </w:t>
      </w:r>
      <w:r>
        <w:rPr>
          <w:rFonts w:cs="Arial"/>
          <w:i/>
          <w:iCs/>
          <w:szCs w:val="24"/>
        </w:rPr>
        <w:t xml:space="preserve">Spill </w:t>
      </w:r>
      <w:r>
        <w:rPr>
          <w:rFonts w:cs="Arial"/>
          <w:szCs w:val="24"/>
        </w:rPr>
        <w:t xml:space="preserve">v. </w:t>
      </w:r>
      <w:r>
        <w:rPr>
          <w:rFonts w:cs="Arial"/>
          <w:i/>
          <w:iCs/>
          <w:szCs w:val="24"/>
        </w:rPr>
        <w:t>Maule</w:t>
      </w:r>
      <w:r w:rsidR="002018FD">
        <w:rPr>
          <w:rStyle w:val="FootnoteReference"/>
          <w:rFonts w:cs="Arial"/>
          <w:i/>
          <w:iCs/>
          <w:szCs w:val="24"/>
        </w:rPr>
        <w:footnoteReference w:id="8"/>
      </w:r>
      <w:r>
        <w:rPr>
          <w:rFonts w:cs="Arial"/>
          <w:szCs w:val="24"/>
        </w:rPr>
        <w:t xml:space="preserve">; </w:t>
      </w:r>
      <w:r>
        <w:rPr>
          <w:rFonts w:cs="Arial"/>
          <w:i/>
          <w:iCs/>
          <w:szCs w:val="24"/>
        </w:rPr>
        <w:t xml:space="preserve">Dewe </w:t>
      </w:r>
      <w:r>
        <w:rPr>
          <w:rFonts w:cs="Arial"/>
          <w:szCs w:val="24"/>
        </w:rPr>
        <w:t xml:space="preserve">v. </w:t>
      </w:r>
      <w:r>
        <w:rPr>
          <w:rFonts w:cs="Arial"/>
          <w:i/>
          <w:iCs/>
          <w:szCs w:val="24"/>
        </w:rPr>
        <w:t>Waterbury</w:t>
      </w:r>
      <w:r w:rsidR="002018FD">
        <w:rPr>
          <w:rStyle w:val="FootnoteReference"/>
          <w:rFonts w:cs="Arial"/>
          <w:i/>
          <w:iCs/>
          <w:szCs w:val="24"/>
        </w:rPr>
        <w:footnoteReference w:id="9"/>
      </w:r>
      <w:r>
        <w:rPr>
          <w:rFonts w:cs="Arial"/>
          <w:szCs w:val="24"/>
        </w:rPr>
        <w:t xml:space="preserve">. Even assuming untrue statements were made in the letter, there was no evidence of their falsity in the sense they were understood by the defendant, and instruction as suggested would have been inappropriate and misleading. </w:t>
      </w:r>
      <w:r>
        <w:rPr>
          <w:rFonts w:cs="Arial"/>
          <w:i/>
          <w:iCs/>
          <w:szCs w:val="24"/>
        </w:rPr>
        <w:t xml:space="preserve">English </w:t>
      </w:r>
      <w:r>
        <w:rPr>
          <w:rFonts w:cs="Arial"/>
          <w:szCs w:val="24"/>
        </w:rPr>
        <w:t xml:space="preserve">v. </w:t>
      </w:r>
      <w:r>
        <w:rPr>
          <w:rFonts w:cs="Arial"/>
          <w:i/>
          <w:iCs/>
          <w:szCs w:val="24"/>
        </w:rPr>
        <w:t>Lamb</w:t>
      </w:r>
      <w:r w:rsidR="002018FD">
        <w:rPr>
          <w:rStyle w:val="FootnoteReference"/>
          <w:rFonts w:cs="Arial"/>
          <w:i/>
          <w:iCs/>
          <w:szCs w:val="24"/>
        </w:rPr>
        <w:footnoteReference w:id="10"/>
      </w:r>
      <w:r>
        <w:rPr>
          <w:rFonts w:cs="Arial"/>
          <w:i/>
          <w:iCs/>
          <w:szCs w:val="24"/>
        </w:rPr>
        <w:t>;</w:t>
      </w:r>
      <w:r>
        <w:rPr>
          <w:rFonts w:cs="Arial"/>
          <w:szCs w:val="24"/>
        </w:rPr>
        <w:t xml:space="preserve"> </w:t>
      </w:r>
      <w:r>
        <w:rPr>
          <w:rFonts w:cs="Arial"/>
          <w:i/>
          <w:iCs/>
          <w:szCs w:val="24"/>
        </w:rPr>
        <w:t xml:space="preserve">Attorney-General </w:t>
      </w:r>
      <w:r>
        <w:rPr>
          <w:rFonts w:cs="Arial"/>
          <w:szCs w:val="24"/>
        </w:rPr>
        <w:t xml:space="preserve">v. </w:t>
      </w:r>
      <w:r>
        <w:rPr>
          <w:rFonts w:cs="Arial"/>
          <w:i/>
          <w:iCs/>
          <w:szCs w:val="24"/>
        </w:rPr>
        <w:t>Good</w:t>
      </w:r>
      <w:r w:rsidR="002018FD">
        <w:rPr>
          <w:rStyle w:val="FootnoteReference"/>
          <w:rFonts w:cs="Arial"/>
          <w:i/>
          <w:iCs/>
          <w:szCs w:val="24"/>
        </w:rPr>
        <w:footnoteReference w:id="11"/>
      </w:r>
      <w:r>
        <w:rPr>
          <w:rFonts w:cs="Arial"/>
          <w:szCs w:val="24"/>
        </w:rPr>
        <w:t xml:space="preserve">. The jury were correctly instructed as to malice with the particularity necessary and also as to the meaning of the word "report" as used. Any remarks that might have been out of place were corrected when the jury was recalled, and further instructions given and the construction that might have been put on that reference as imputing misconduct. It was competent for the judge to correct his charge by this re-direction. These were mere comments on questions of fact and there was no suggestion in the letter of any fraudulent conversion or omission to account. See </w:t>
      </w:r>
      <w:r>
        <w:rPr>
          <w:rFonts w:cs="Arial"/>
          <w:i/>
          <w:iCs/>
          <w:szCs w:val="24"/>
        </w:rPr>
        <w:t xml:space="preserve">Giblin </w:t>
      </w:r>
      <w:r>
        <w:rPr>
          <w:rFonts w:cs="Arial"/>
          <w:szCs w:val="24"/>
        </w:rPr>
        <w:t xml:space="preserve">v. </w:t>
      </w:r>
      <w:r>
        <w:rPr>
          <w:rFonts w:cs="Arial"/>
          <w:i/>
          <w:iCs/>
          <w:szCs w:val="24"/>
        </w:rPr>
        <w:t>McMullen</w:t>
      </w:r>
      <w:r w:rsidR="002018FD">
        <w:rPr>
          <w:rStyle w:val="FootnoteReference"/>
          <w:rFonts w:cs="Arial"/>
          <w:i/>
          <w:iCs/>
          <w:szCs w:val="24"/>
        </w:rPr>
        <w:footnoteReference w:id="12"/>
      </w:r>
      <w:r>
        <w:rPr>
          <w:rFonts w:cs="Arial"/>
          <w:szCs w:val="24"/>
        </w:rPr>
        <w:t xml:space="preserve">; </w:t>
      </w:r>
      <w:r>
        <w:rPr>
          <w:rFonts w:cs="Arial"/>
          <w:i/>
          <w:iCs/>
          <w:szCs w:val="24"/>
        </w:rPr>
        <w:t xml:space="preserve">Metropolitan Railway Co </w:t>
      </w:r>
      <w:r>
        <w:rPr>
          <w:rFonts w:cs="Arial"/>
          <w:szCs w:val="24"/>
        </w:rPr>
        <w:t xml:space="preserve">v. </w:t>
      </w:r>
      <w:r>
        <w:rPr>
          <w:rFonts w:cs="Arial"/>
          <w:i/>
          <w:iCs/>
          <w:szCs w:val="24"/>
        </w:rPr>
        <w:t>Jackson</w:t>
      </w:r>
      <w:r w:rsidR="002018FD">
        <w:rPr>
          <w:rStyle w:val="FootnoteReference"/>
          <w:rFonts w:cs="Arial"/>
          <w:i/>
          <w:iCs/>
          <w:szCs w:val="24"/>
        </w:rPr>
        <w:footnoteReference w:id="13"/>
      </w:r>
      <w:r>
        <w:rPr>
          <w:rFonts w:cs="Arial"/>
          <w:szCs w:val="24"/>
        </w:rPr>
        <w:t>.</w:t>
      </w:r>
    </w:p>
    <w:p w:rsidR="00CF2743" w:rsidRDefault="00CF2743" w:rsidP="00141957">
      <w:pPr>
        <w:pStyle w:val="History"/>
        <w:rPr>
          <w:rFonts w:cs="Arial"/>
          <w:szCs w:val="24"/>
        </w:rPr>
      </w:pPr>
      <w:r>
        <w:rPr>
          <w:rFonts w:cs="Arial"/>
          <w:szCs w:val="24"/>
        </w:rPr>
        <w:t>The evidence shews that the alleged libel was true in fact as to all material statements. A new trial should not be granted when the verdict is right and there is not sufficient error or omission in the charge</w:t>
      </w:r>
    </w:p>
    <w:p w:rsidR="00CF2743" w:rsidRDefault="00003B31" w:rsidP="00003B31">
      <w:pPr>
        <w:pStyle w:val="Page"/>
      </w:pPr>
      <w:r>
        <w:rPr>
          <w:rFonts w:cs="Arial"/>
          <w:szCs w:val="24"/>
        </w:rPr>
        <w:t xml:space="preserve">[Page </w:t>
      </w:r>
      <w:r w:rsidR="00CF2743">
        <w:rPr>
          <w:rFonts w:cs="Arial"/>
          <w:szCs w:val="24"/>
        </w:rPr>
        <w:t>179]</w:t>
      </w:r>
    </w:p>
    <w:p w:rsidR="00CF2743" w:rsidRDefault="00CF2743" w:rsidP="00141957">
      <w:pPr>
        <w:pStyle w:val="History"/>
        <w:ind w:firstLine="0"/>
        <w:rPr>
          <w:rFonts w:cs="Arial"/>
          <w:szCs w:val="24"/>
        </w:rPr>
      </w:pPr>
      <w:r>
        <w:rPr>
          <w:rFonts w:cs="Arial"/>
          <w:szCs w:val="24"/>
        </w:rPr>
        <w:t>to</w:t>
      </w:r>
      <w:r>
        <w:rPr>
          <w:rFonts w:cs="Arial"/>
          <w:i/>
          <w:iCs/>
          <w:szCs w:val="24"/>
        </w:rPr>
        <w:t xml:space="preserve"> </w:t>
      </w:r>
      <w:r>
        <w:rPr>
          <w:rFonts w:cs="Arial"/>
          <w:szCs w:val="24"/>
        </w:rPr>
        <w:t xml:space="preserve">justify it. </w:t>
      </w:r>
      <w:r>
        <w:rPr>
          <w:rFonts w:cs="Arial"/>
          <w:i/>
          <w:iCs/>
          <w:szCs w:val="24"/>
        </w:rPr>
        <w:t xml:space="preserve">Deerly </w:t>
      </w:r>
      <w:r>
        <w:rPr>
          <w:rFonts w:cs="Arial"/>
          <w:szCs w:val="24"/>
        </w:rPr>
        <w:t xml:space="preserve">v. </w:t>
      </w:r>
      <w:r>
        <w:rPr>
          <w:rFonts w:cs="Arial"/>
          <w:i/>
          <w:iCs/>
          <w:szCs w:val="24"/>
        </w:rPr>
        <w:t>Duchess of Mazarine</w:t>
      </w:r>
      <w:r w:rsidR="002018FD">
        <w:rPr>
          <w:rStyle w:val="FootnoteReference"/>
          <w:rFonts w:cs="Arial"/>
          <w:i/>
          <w:iCs/>
          <w:szCs w:val="24"/>
        </w:rPr>
        <w:footnoteReference w:id="14"/>
      </w:r>
      <w:r>
        <w:rPr>
          <w:rFonts w:cs="Arial"/>
          <w:szCs w:val="24"/>
        </w:rPr>
        <w:t xml:space="preserve">; </w:t>
      </w:r>
      <w:r>
        <w:rPr>
          <w:rFonts w:cs="Arial"/>
          <w:i/>
          <w:iCs/>
          <w:szCs w:val="24"/>
        </w:rPr>
        <w:t xml:space="preserve">Cox </w:t>
      </w:r>
      <w:r>
        <w:rPr>
          <w:rFonts w:cs="Arial"/>
          <w:szCs w:val="24"/>
        </w:rPr>
        <w:t xml:space="preserve">v. </w:t>
      </w:r>
      <w:r>
        <w:rPr>
          <w:rFonts w:cs="Arial"/>
          <w:i/>
          <w:iCs/>
          <w:szCs w:val="24"/>
        </w:rPr>
        <w:t>Kitchin</w:t>
      </w:r>
      <w:r w:rsidR="002018FD">
        <w:rPr>
          <w:rStyle w:val="FootnoteReference"/>
          <w:rFonts w:cs="Arial"/>
          <w:i/>
          <w:iCs/>
          <w:szCs w:val="24"/>
        </w:rPr>
        <w:footnoteReference w:id="15"/>
      </w:r>
      <w:r>
        <w:rPr>
          <w:rFonts w:cs="Arial"/>
          <w:szCs w:val="24"/>
        </w:rPr>
        <w:t xml:space="preserve">; </w:t>
      </w:r>
      <w:r>
        <w:rPr>
          <w:rFonts w:cs="Arial"/>
          <w:i/>
          <w:iCs/>
          <w:szCs w:val="24"/>
        </w:rPr>
        <w:t xml:space="preserve">Ford </w:t>
      </w:r>
      <w:r>
        <w:rPr>
          <w:rFonts w:cs="Arial"/>
          <w:szCs w:val="24"/>
        </w:rPr>
        <w:t xml:space="preserve">v. </w:t>
      </w:r>
      <w:r>
        <w:rPr>
          <w:rFonts w:cs="Arial"/>
          <w:i/>
          <w:iCs/>
          <w:szCs w:val="24"/>
        </w:rPr>
        <w:t>Lacy</w:t>
      </w:r>
      <w:r w:rsidR="002018FD">
        <w:rPr>
          <w:rStyle w:val="FootnoteReference"/>
          <w:rFonts w:cs="Arial"/>
          <w:i/>
          <w:iCs/>
          <w:szCs w:val="24"/>
        </w:rPr>
        <w:footnoteReference w:id="16"/>
      </w:r>
      <w:r>
        <w:rPr>
          <w:rFonts w:cs="Arial"/>
          <w:szCs w:val="24"/>
        </w:rPr>
        <w:t xml:space="preserve">; </w:t>
      </w:r>
      <w:r>
        <w:rPr>
          <w:rFonts w:cs="Arial"/>
          <w:i/>
          <w:iCs/>
          <w:szCs w:val="24"/>
        </w:rPr>
        <w:t xml:space="preserve">Great Western Railway Co. </w:t>
      </w:r>
      <w:r>
        <w:rPr>
          <w:rFonts w:cs="Arial"/>
          <w:szCs w:val="24"/>
        </w:rPr>
        <w:t xml:space="preserve">v. </w:t>
      </w:r>
      <w:r>
        <w:rPr>
          <w:rFonts w:cs="Arial"/>
          <w:i/>
          <w:iCs/>
          <w:szCs w:val="24"/>
        </w:rPr>
        <w:t>Braid</w:t>
      </w:r>
      <w:r w:rsidR="002018FD">
        <w:rPr>
          <w:rStyle w:val="FootnoteReference"/>
          <w:rFonts w:cs="Arial"/>
          <w:i/>
          <w:iCs/>
          <w:szCs w:val="24"/>
        </w:rPr>
        <w:footnoteReference w:id="17"/>
      </w:r>
      <w:r>
        <w:rPr>
          <w:rFonts w:cs="Arial"/>
          <w:szCs w:val="24"/>
        </w:rPr>
        <w:t xml:space="preserve">; </w:t>
      </w:r>
      <w:r>
        <w:rPr>
          <w:rFonts w:cs="Arial"/>
          <w:i/>
          <w:iCs/>
          <w:szCs w:val="24"/>
        </w:rPr>
        <w:t xml:space="preserve">Edmonson </w:t>
      </w:r>
      <w:r>
        <w:rPr>
          <w:rFonts w:cs="Arial"/>
          <w:szCs w:val="24"/>
        </w:rPr>
        <w:t xml:space="preserve">v. </w:t>
      </w:r>
      <w:r>
        <w:rPr>
          <w:rFonts w:cs="Arial"/>
          <w:i/>
          <w:iCs/>
          <w:szCs w:val="24"/>
        </w:rPr>
        <w:t>Mitchell</w:t>
      </w:r>
      <w:r w:rsidR="002018FD">
        <w:rPr>
          <w:rStyle w:val="FootnoteReference"/>
          <w:rFonts w:cs="Arial"/>
          <w:i/>
          <w:iCs/>
          <w:szCs w:val="24"/>
        </w:rPr>
        <w:footnoteReference w:id="18"/>
      </w:r>
      <w:r>
        <w:rPr>
          <w:rFonts w:cs="Arial"/>
          <w:szCs w:val="24"/>
        </w:rPr>
        <w:t xml:space="preserve">; </w:t>
      </w:r>
      <w:r>
        <w:rPr>
          <w:rFonts w:cs="Arial"/>
          <w:i/>
          <w:iCs/>
          <w:szCs w:val="24"/>
        </w:rPr>
        <w:t xml:space="preserve">Wickes </w:t>
      </w:r>
      <w:r>
        <w:rPr>
          <w:rFonts w:cs="Arial"/>
          <w:szCs w:val="24"/>
        </w:rPr>
        <w:t xml:space="preserve">v. </w:t>
      </w:r>
      <w:r>
        <w:rPr>
          <w:rFonts w:cs="Arial"/>
          <w:i/>
          <w:iCs/>
          <w:szCs w:val="24"/>
        </w:rPr>
        <w:t>Clutterbuck</w:t>
      </w:r>
      <w:r w:rsidR="002018FD">
        <w:rPr>
          <w:rStyle w:val="FootnoteReference"/>
          <w:rFonts w:cs="Arial"/>
          <w:i/>
          <w:iCs/>
          <w:szCs w:val="24"/>
        </w:rPr>
        <w:footnoteReference w:id="19"/>
      </w:r>
      <w:r>
        <w:rPr>
          <w:rFonts w:cs="Arial"/>
          <w:szCs w:val="24"/>
        </w:rPr>
        <w:t xml:space="preserve">; </w:t>
      </w:r>
      <w:r>
        <w:rPr>
          <w:rFonts w:cs="Arial"/>
          <w:i/>
          <w:iCs/>
          <w:szCs w:val="24"/>
        </w:rPr>
        <w:t xml:space="preserve">Lordly </w:t>
      </w:r>
      <w:r>
        <w:rPr>
          <w:rFonts w:cs="Arial"/>
          <w:szCs w:val="24"/>
        </w:rPr>
        <w:lastRenderedPageBreak/>
        <w:t xml:space="preserve">v. </w:t>
      </w:r>
      <w:r>
        <w:rPr>
          <w:rFonts w:cs="Arial"/>
          <w:i/>
          <w:iCs/>
          <w:szCs w:val="24"/>
        </w:rPr>
        <w:t>McRae</w:t>
      </w:r>
      <w:r w:rsidR="002018FD">
        <w:rPr>
          <w:rStyle w:val="FootnoteReference"/>
          <w:rFonts w:cs="Arial"/>
          <w:i/>
          <w:iCs/>
          <w:szCs w:val="24"/>
        </w:rPr>
        <w:footnoteReference w:id="20"/>
      </w:r>
      <w:r>
        <w:rPr>
          <w:rFonts w:cs="Arial"/>
          <w:szCs w:val="24"/>
        </w:rPr>
        <w:t xml:space="preserve">; </w:t>
      </w:r>
      <w:r>
        <w:rPr>
          <w:rFonts w:cs="Arial"/>
          <w:i/>
          <w:iCs/>
          <w:szCs w:val="24"/>
        </w:rPr>
        <w:t xml:space="preserve">Herrington </w:t>
      </w:r>
      <w:r>
        <w:rPr>
          <w:rFonts w:cs="Arial"/>
          <w:szCs w:val="24"/>
        </w:rPr>
        <w:t xml:space="preserve">v. </w:t>
      </w:r>
      <w:r>
        <w:rPr>
          <w:rFonts w:cs="Arial"/>
          <w:i/>
          <w:iCs/>
          <w:szCs w:val="24"/>
        </w:rPr>
        <w:t>McBay</w:t>
      </w:r>
      <w:r w:rsidR="002018FD">
        <w:rPr>
          <w:rStyle w:val="FootnoteReference"/>
          <w:rFonts w:cs="Arial"/>
          <w:i/>
          <w:iCs/>
          <w:szCs w:val="24"/>
        </w:rPr>
        <w:footnoteReference w:id="21"/>
      </w:r>
      <w:r>
        <w:rPr>
          <w:rFonts w:cs="Arial"/>
          <w:szCs w:val="24"/>
        </w:rPr>
        <w:t xml:space="preserve">; </w:t>
      </w:r>
      <w:r>
        <w:rPr>
          <w:rFonts w:cs="Arial"/>
          <w:i/>
          <w:iCs/>
          <w:szCs w:val="24"/>
        </w:rPr>
        <w:t xml:space="preserve">Jenkins </w:t>
      </w:r>
      <w:r>
        <w:rPr>
          <w:rFonts w:cs="Arial"/>
          <w:szCs w:val="24"/>
        </w:rPr>
        <w:t xml:space="preserve">v. </w:t>
      </w:r>
      <w:r>
        <w:rPr>
          <w:rFonts w:cs="Arial"/>
          <w:i/>
          <w:iCs/>
          <w:szCs w:val="24"/>
        </w:rPr>
        <w:t>Morris</w:t>
      </w:r>
      <w:r w:rsidR="002018FD">
        <w:rPr>
          <w:rStyle w:val="FootnoteReference"/>
          <w:rFonts w:cs="Arial"/>
          <w:i/>
          <w:iCs/>
          <w:szCs w:val="24"/>
        </w:rPr>
        <w:footnoteReference w:id="22"/>
      </w:r>
      <w:r>
        <w:rPr>
          <w:rFonts w:cs="Arial"/>
          <w:szCs w:val="24"/>
        </w:rPr>
        <w:t xml:space="preserve">; </w:t>
      </w:r>
      <w:r>
        <w:rPr>
          <w:rFonts w:cs="Arial"/>
          <w:i/>
          <w:iCs/>
          <w:szCs w:val="24"/>
        </w:rPr>
        <w:t>Wells</w:t>
      </w:r>
      <w:r>
        <w:rPr>
          <w:rFonts w:cs="Arial"/>
          <w:szCs w:val="24"/>
        </w:rPr>
        <w:t xml:space="preserve"> v. </w:t>
      </w:r>
      <w:r>
        <w:rPr>
          <w:rFonts w:cs="Arial"/>
          <w:i/>
          <w:iCs/>
          <w:szCs w:val="24"/>
        </w:rPr>
        <w:t>Lindop</w:t>
      </w:r>
      <w:r w:rsidR="002018FD">
        <w:rPr>
          <w:rStyle w:val="FootnoteReference"/>
          <w:rFonts w:cs="Arial"/>
          <w:i/>
          <w:iCs/>
          <w:szCs w:val="24"/>
        </w:rPr>
        <w:footnoteReference w:id="23"/>
      </w:r>
      <w:r>
        <w:rPr>
          <w:rFonts w:cs="Arial"/>
          <w:szCs w:val="24"/>
        </w:rPr>
        <w:t xml:space="preserve">; </w:t>
      </w:r>
      <w:r>
        <w:rPr>
          <w:rFonts w:cs="Arial"/>
          <w:i/>
          <w:iCs/>
          <w:szCs w:val="24"/>
        </w:rPr>
        <w:t xml:space="preserve">Bray </w:t>
      </w:r>
      <w:r>
        <w:rPr>
          <w:rFonts w:cs="Arial"/>
          <w:szCs w:val="24"/>
        </w:rPr>
        <w:t xml:space="preserve">v. </w:t>
      </w:r>
      <w:r>
        <w:rPr>
          <w:rFonts w:cs="Arial"/>
          <w:i/>
          <w:iCs/>
          <w:szCs w:val="24"/>
        </w:rPr>
        <w:t>Ford</w:t>
      </w:r>
      <w:r w:rsidR="002018FD">
        <w:rPr>
          <w:rStyle w:val="FootnoteReference"/>
          <w:rFonts w:cs="Arial"/>
          <w:i/>
          <w:iCs/>
          <w:szCs w:val="24"/>
        </w:rPr>
        <w:footnoteReference w:id="24"/>
      </w:r>
      <w:r>
        <w:rPr>
          <w:rFonts w:cs="Arial"/>
          <w:szCs w:val="24"/>
        </w:rPr>
        <w:t>.</w:t>
      </w:r>
    </w:p>
    <w:p w:rsidR="00CF2743" w:rsidRDefault="00CF2743" w:rsidP="00141957">
      <w:pPr>
        <w:pStyle w:val="History"/>
        <w:rPr>
          <w:rFonts w:cs="Arial"/>
          <w:szCs w:val="24"/>
        </w:rPr>
      </w:pPr>
      <w:r>
        <w:rPr>
          <w:rFonts w:cs="Arial"/>
          <w:szCs w:val="24"/>
        </w:rPr>
        <w:t xml:space="preserve">Wrong observations in a charge as to facts are not material; </w:t>
      </w:r>
      <w:r>
        <w:rPr>
          <w:rFonts w:cs="Arial"/>
          <w:i/>
          <w:iCs/>
          <w:szCs w:val="24"/>
        </w:rPr>
        <w:t xml:space="preserve">Taylor </w:t>
      </w:r>
      <w:r>
        <w:rPr>
          <w:rFonts w:cs="Arial"/>
          <w:szCs w:val="24"/>
        </w:rPr>
        <w:t xml:space="preserve">v. </w:t>
      </w:r>
      <w:r>
        <w:rPr>
          <w:rFonts w:cs="Arial"/>
          <w:i/>
          <w:iCs/>
          <w:szCs w:val="24"/>
        </w:rPr>
        <w:t>Ashton</w:t>
      </w:r>
      <w:r w:rsidR="002018FD">
        <w:rPr>
          <w:rStyle w:val="FootnoteReference"/>
          <w:rFonts w:cs="Arial"/>
          <w:i/>
          <w:iCs/>
          <w:szCs w:val="24"/>
        </w:rPr>
        <w:footnoteReference w:id="25"/>
      </w:r>
      <w:r>
        <w:rPr>
          <w:rFonts w:cs="Arial"/>
          <w:szCs w:val="24"/>
        </w:rPr>
        <w:t xml:space="preserve">; </w:t>
      </w:r>
      <w:r>
        <w:rPr>
          <w:rFonts w:cs="Arial"/>
          <w:i/>
          <w:iCs/>
          <w:szCs w:val="24"/>
        </w:rPr>
        <w:t xml:space="preserve">Darby </w:t>
      </w:r>
      <w:r>
        <w:rPr>
          <w:rFonts w:cs="Arial"/>
          <w:szCs w:val="24"/>
        </w:rPr>
        <w:t xml:space="preserve">v. </w:t>
      </w:r>
      <w:r>
        <w:rPr>
          <w:rFonts w:cs="Arial"/>
          <w:i/>
          <w:iCs/>
          <w:szCs w:val="24"/>
        </w:rPr>
        <w:t>Ouseley</w:t>
      </w:r>
      <w:r w:rsidR="002018FD">
        <w:rPr>
          <w:rStyle w:val="FootnoteReference"/>
          <w:rFonts w:cs="Arial"/>
          <w:i/>
          <w:iCs/>
          <w:szCs w:val="24"/>
        </w:rPr>
        <w:footnoteReference w:id="26"/>
      </w:r>
      <w:r>
        <w:rPr>
          <w:rFonts w:cs="Arial"/>
          <w:szCs w:val="24"/>
        </w:rPr>
        <w:t xml:space="preserve">; </w:t>
      </w:r>
      <w:r>
        <w:rPr>
          <w:rFonts w:cs="Arial"/>
          <w:i/>
          <w:iCs/>
          <w:szCs w:val="24"/>
        </w:rPr>
        <w:t xml:space="preserve">Hawkins </w:t>
      </w:r>
      <w:r>
        <w:rPr>
          <w:rFonts w:cs="Arial"/>
          <w:szCs w:val="24"/>
        </w:rPr>
        <w:t xml:space="preserve">v. </w:t>
      </w:r>
      <w:r>
        <w:rPr>
          <w:rFonts w:cs="Arial"/>
          <w:i/>
          <w:iCs/>
          <w:szCs w:val="24"/>
        </w:rPr>
        <w:t>Snow</w:t>
      </w:r>
      <w:r w:rsidR="002018FD">
        <w:rPr>
          <w:rStyle w:val="FootnoteReference"/>
          <w:rFonts w:cs="Arial"/>
          <w:i/>
          <w:iCs/>
          <w:szCs w:val="24"/>
        </w:rPr>
        <w:footnoteReference w:id="27"/>
      </w:r>
      <w:r>
        <w:rPr>
          <w:rFonts w:cs="Arial"/>
          <w:szCs w:val="24"/>
        </w:rPr>
        <w:t xml:space="preserve">; nor misdirection on points unnecessary to be considered. </w:t>
      </w:r>
      <w:r>
        <w:rPr>
          <w:rFonts w:cs="Arial"/>
          <w:i/>
          <w:iCs/>
          <w:szCs w:val="24"/>
        </w:rPr>
        <w:t xml:space="preserve">Peters </w:t>
      </w:r>
      <w:r>
        <w:rPr>
          <w:rFonts w:cs="Arial"/>
          <w:szCs w:val="24"/>
        </w:rPr>
        <w:t xml:space="preserve">v. </w:t>
      </w:r>
      <w:r>
        <w:rPr>
          <w:rFonts w:cs="Arial"/>
          <w:i/>
          <w:iCs/>
          <w:szCs w:val="24"/>
        </w:rPr>
        <w:t>Silver</w:t>
      </w:r>
      <w:r w:rsidR="002018FD">
        <w:rPr>
          <w:rStyle w:val="FootnoteReference"/>
          <w:rFonts w:cs="Arial"/>
          <w:i/>
          <w:iCs/>
          <w:szCs w:val="24"/>
        </w:rPr>
        <w:footnoteReference w:id="28"/>
      </w:r>
      <w:r>
        <w:rPr>
          <w:rFonts w:cs="Arial"/>
          <w:szCs w:val="24"/>
        </w:rPr>
        <w:t xml:space="preserve">. There is no onus on the party holding the verdict to negative any substantial wrong or miscarriage; </w:t>
      </w:r>
      <w:r>
        <w:rPr>
          <w:rFonts w:cs="Arial"/>
          <w:i/>
          <w:iCs/>
          <w:szCs w:val="24"/>
        </w:rPr>
        <w:t xml:space="preserve">Shapcott </w:t>
      </w:r>
      <w:r>
        <w:rPr>
          <w:rFonts w:cs="Arial"/>
          <w:szCs w:val="24"/>
        </w:rPr>
        <w:t xml:space="preserve">v. </w:t>
      </w:r>
      <w:r>
        <w:rPr>
          <w:rFonts w:cs="Arial"/>
          <w:i/>
          <w:iCs/>
          <w:szCs w:val="24"/>
        </w:rPr>
        <w:t>Chappell</w:t>
      </w:r>
      <w:r w:rsidR="002018FD">
        <w:rPr>
          <w:rStyle w:val="FootnoteReference"/>
          <w:rFonts w:cs="Arial"/>
          <w:i/>
          <w:iCs/>
          <w:szCs w:val="24"/>
        </w:rPr>
        <w:footnoteReference w:id="29"/>
      </w:r>
      <w:r>
        <w:rPr>
          <w:rFonts w:cs="Arial"/>
          <w:szCs w:val="24"/>
        </w:rPr>
        <w:t xml:space="preserve">. The full court had full power to dispose of the case; </w:t>
      </w:r>
      <w:r>
        <w:rPr>
          <w:rFonts w:cs="Arial"/>
          <w:i/>
          <w:iCs/>
          <w:szCs w:val="24"/>
        </w:rPr>
        <w:t xml:space="preserve">Allcock </w:t>
      </w:r>
      <w:r>
        <w:rPr>
          <w:rFonts w:cs="Arial"/>
          <w:szCs w:val="24"/>
        </w:rPr>
        <w:t xml:space="preserve">v. </w:t>
      </w:r>
      <w:r>
        <w:rPr>
          <w:rFonts w:cs="Arial"/>
          <w:i/>
          <w:iCs/>
          <w:szCs w:val="24"/>
        </w:rPr>
        <w:t>Hall</w:t>
      </w:r>
      <w:r w:rsidR="002018FD">
        <w:rPr>
          <w:rStyle w:val="FootnoteReference"/>
          <w:rFonts w:cs="Arial"/>
          <w:i/>
          <w:iCs/>
          <w:szCs w:val="24"/>
        </w:rPr>
        <w:footnoteReference w:id="30"/>
      </w:r>
      <w:r>
        <w:rPr>
          <w:rFonts w:cs="Arial"/>
          <w:szCs w:val="24"/>
        </w:rPr>
        <w:t xml:space="preserve">; </w:t>
      </w:r>
      <w:r>
        <w:rPr>
          <w:rFonts w:cs="Arial"/>
          <w:i/>
          <w:iCs/>
          <w:szCs w:val="24"/>
        </w:rPr>
        <w:t>Peers</w:t>
      </w:r>
      <w:r>
        <w:rPr>
          <w:rFonts w:cs="Arial"/>
          <w:szCs w:val="24"/>
        </w:rPr>
        <w:t xml:space="preserve"> v. </w:t>
      </w:r>
      <w:r>
        <w:rPr>
          <w:rFonts w:cs="Arial"/>
          <w:i/>
          <w:iCs/>
          <w:szCs w:val="24"/>
        </w:rPr>
        <w:t>Elliott</w:t>
      </w:r>
      <w:r w:rsidR="002018FD">
        <w:rPr>
          <w:rStyle w:val="FootnoteReference"/>
          <w:rFonts w:cs="Arial"/>
          <w:i/>
          <w:iCs/>
          <w:szCs w:val="24"/>
        </w:rPr>
        <w:footnoteReference w:id="31"/>
      </w:r>
      <w:r>
        <w:rPr>
          <w:rFonts w:cs="Arial"/>
          <w:szCs w:val="24"/>
        </w:rPr>
        <w:t xml:space="preserve">; </w:t>
      </w:r>
      <w:r>
        <w:rPr>
          <w:rFonts w:cs="Arial"/>
          <w:i/>
          <w:iCs/>
          <w:szCs w:val="24"/>
        </w:rPr>
        <w:t xml:space="preserve">Rowan </w:t>
      </w:r>
      <w:r>
        <w:rPr>
          <w:rFonts w:cs="Arial"/>
          <w:szCs w:val="24"/>
        </w:rPr>
        <w:t xml:space="preserve">v. </w:t>
      </w:r>
      <w:r>
        <w:rPr>
          <w:rFonts w:cs="Arial"/>
          <w:i/>
          <w:iCs/>
          <w:szCs w:val="24"/>
        </w:rPr>
        <w:t>Toronto Railway Company</w:t>
      </w:r>
      <w:r w:rsidR="002018FD">
        <w:rPr>
          <w:rStyle w:val="FootnoteReference"/>
          <w:rFonts w:cs="Arial"/>
          <w:i/>
          <w:iCs/>
          <w:szCs w:val="24"/>
        </w:rPr>
        <w:footnoteReference w:id="32"/>
      </w:r>
      <w:r>
        <w:rPr>
          <w:rFonts w:cs="Arial"/>
          <w:szCs w:val="24"/>
        </w:rPr>
        <w:t xml:space="preserve">; </w:t>
      </w:r>
      <w:r>
        <w:rPr>
          <w:rFonts w:cs="Arial"/>
          <w:i/>
          <w:iCs/>
          <w:szCs w:val="24"/>
        </w:rPr>
        <w:t>Roach</w:t>
      </w:r>
      <w:r>
        <w:rPr>
          <w:rFonts w:cs="Arial"/>
          <w:szCs w:val="24"/>
        </w:rPr>
        <w:t xml:space="preserve"> v. </w:t>
      </w:r>
      <w:r>
        <w:rPr>
          <w:rFonts w:cs="Arial"/>
          <w:i/>
          <w:iCs/>
          <w:szCs w:val="24"/>
        </w:rPr>
        <w:t>Ware</w:t>
      </w:r>
      <w:r w:rsidR="002018FD">
        <w:rPr>
          <w:rStyle w:val="FootnoteReference"/>
          <w:rFonts w:cs="Arial"/>
          <w:i/>
          <w:iCs/>
          <w:szCs w:val="24"/>
        </w:rPr>
        <w:footnoteReference w:id="33"/>
      </w:r>
      <w:r>
        <w:rPr>
          <w:rFonts w:cs="Arial"/>
          <w:szCs w:val="24"/>
        </w:rPr>
        <w:t>.</w:t>
      </w:r>
    </w:p>
    <w:p w:rsidR="00CF2743" w:rsidRDefault="00CF2743" w:rsidP="00141957">
      <w:pPr>
        <w:pStyle w:val="History"/>
        <w:rPr>
          <w:rFonts w:cs="Arial"/>
          <w:szCs w:val="24"/>
        </w:rPr>
      </w:pPr>
      <w:r>
        <w:rPr>
          <w:rFonts w:cs="Arial"/>
          <w:i/>
          <w:iCs/>
          <w:szCs w:val="24"/>
        </w:rPr>
        <w:t xml:space="preserve">Roscoe K.C. </w:t>
      </w:r>
      <w:r>
        <w:rPr>
          <w:rFonts w:cs="Arial"/>
          <w:szCs w:val="24"/>
        </w:rPr>
        <w:t xml:space="preserve">for the respondent. The grounds for setting aside the verdict are mis-direction, non-direction, and that it is against weight of evidence. The libel is conspicuous in three places in the letter; that plaintiff had been discharged for inattention to business; that reports of collections were not made, and that he allowed the interests of the company to suffer. Starkie on Libel and Slander, p. 167; </w:t>
      </w:r>
      <w:r>
        <w:rPr>
          <w:rFonts w:cs="Arial"/>
          <w:i/>
          <w:iCs/>
          <w:szCs w:val="24"/>
        </w:rPr>
        <w:t xml:space="preserve">O'Brien </w:t>
      </w:r>
      <w:r>
        <w:rPr>
          <w:rFonts w:cs="Arial"/>
          <w:szCs w:val="24"/>
        </w:rPr>
        <w:t xml:space="preserve">v. </w:t>
      </w:r>
      <w:r>
        <w:rPr>
          <w:rFonts w:cs="Arial"/>
          <w:i/>
          <w:iCs/>
          <w:szCs w:val="24"/>
        </w:rPr>
        <w:t>Clement</w:t>
      </w:r>
      <w:r w:rsidR="002018FD">
        <w:rPr>
          <w:rStyle w:val="FootnoteReference"/>
          <w:rFonts w:cs="Arial"/>
          <w:i/>
          <w:iCs/>
          <w:szCs w:val="24"/>
        </w:rPr>
        <w:footnoteReference w:id="34"/>
      </w:r>
      <w:r>
        <w:rPr>
          <w:rFonts w:cs="Arial"/>
          <w:szCs w:val="24"/>
        </w:rPr>
        <w:t xml:space="preserve">; Odger on Slander and Libel (3 ed.) p. 2; </w:t>
      </w:r>
      <w:r>
        <w:rPr>
          <w:rFonts w:cs="Arial"/>
          <w:i/>
          <w:iCs/>
          <w:szCs w:val="24"/>
        </w:rPr>
        <w:t xml:space="preserve">Capital and Counties Bank </w:t>
      </w:r>
      <w:r>
        <w:rPr>
          <w:rFonts w:cs="Arial"/>
          <w:szCs w:val="24"/>
        </w:rPr>
        <w:t xml:space="preserve">v. </w:t>
      </w:r>
      <w:r>
        <w:rPr>
          <w:rFonts w:cs="Arial"/>
          <w:i/>
          <w:iCs/>
          <w:szCs w:val="24"/>
        </w:rPr>
        <w:t>Henty</w:t>
      </w:r>
      <w:r w:rsidR="002018FD">
        <w:rPr>
          <w:rStyle w:val="FootnoteReference"/>
          <w:rFonts w:cs="Arial"/>
          <w:i/>
          <w:iCs/>
          <w:szCs w:val="24"/>
        </w:rPr>
        <w:footnoteReference w:id="35"/>
      </w:r>
      <w:r>
        <w:rPr>
          <w:rFonts w:cs="Arial"/>
          <w:szCs w:val="24"/>
        </w:rPr>
        <w:t>. Direction should</w:t>
      </w:r>
    </w:p>
    <w:p w:rsidR="00CF2743" w:rsidRDefault="00003B31" w:rsidP="00003B31">
      <w:pPr>
        <w:pStyle w:val="Page"/>
      </w:pPr>
      <w:r>
        <w:rPr>
          <w:rFonts w:cs="Arial"/>
          <w:szCs w:val="24"/>
        </w:rPr>
        <w:t xml:space="preserve">[Page </w:t>
      </w:r>
      <w:r w:rsidR="00CF2743">
        <w:rPr>
          <w:rFonts w:cs="Arial"/>
          <w:szCs w:val="24"/>
        </w:rPr>
        <w:t>180]</w:t>
      </w:r>
    </w:p>
    <w:p w:rsidR="00CF2743" w:rsidRDefault="00CF2743" w:rsidP="00141957">
      <w:pPr>
        <w:pStyle w:val="History"/>
        <w:ind w:firstLine="0"/>
        <w:rPr>
          <w:rFonts w:cs="Arial"/>
          <w:szCs w:val="24"/>
        </w:rPr>
      </w:pPr>
      <w:r>
        <w:rPr>
          <w:rFonts w:cs="Arial"/>
          <w:szCs w:val="24"/>
        </w:rPr>
        <w:t>have been given that Green made statements he knew to be false, that malice could be inferred from this, and that proof of falsehood in part was</w:t>
      </w:r>
      <w:r>
        <w:rPr>
          <w:rFonts w:cs="Arial"/>
          <w:smallCaps/>
          <w:szCs w:val="24"/>
        </w:rPr>
        <w:t xml:space="preserve"> </w:t>
      </w:r>
      <w:r>
        <w:rPr>
          <w:rFonts w:cs="Arial"/>
          <w:szCs w:val="24"/>
        </w:rPr>
        <w:t xml:space="preserve">evidence for the jury to renew the presumption of malice which the privilege of the occasion might otherwise rebut. </w:t>
      </w:r>
      <w:r>
        <w:rPr>
          <w:rFonts w:cs="Arial"/>
          <w:i/>
          <w:iCs/>
          <w:szCs w:val="24"/>
        </w:rPr>
        <w:t xml:space="preserve">Nevill </w:t>
      </w:r>
      <w:r>
        <w:rPr>
          <w:rFonts w:cs="Arial"/>
          <w:szCs w:val="24"/>
        </w:rPr>
        <w:t xml:space="preserve">v. </w:t>
      </w:r>
      <w:r>
        <w:rPr>
          <w:rFonts w:cs="Arial"/>
          <w:i/>
          <w:iCs/>
          <w:szCs w:val="24"/>
        </w:rPr>
        <w:t>Fine Art etc. Ins. Co.</w:t>
      </w:r>
      <w:r w:rsidR="002018FD">
        <w:rPr>
          <w:rStyle w:val="FootnoteReference"/>
          <w:rFonts w:cs="Arial"/>
          <w:i/>
          <w:iCs/>
          <w:szCs w:val="24"/>
        </w:rPr>
        <w:footnoteReference w:id="36"/>
      </w:r>
      <w:r>
        <w:rPr>
          <w:rFonts w:cs="Arial"/>
          <w:szCs w:val="24"/>
        </w:rPr>
        <w:t xml:space="preserve">; </w:t>
      </w:r>
      <w:r>
        <w:rPr>
          <w:rFonts w:cs="Arial"/>
          <w:i/>
          <w:iCs/>
          <w:szCs w:val="24"/>
        </w:rPr>
        <w:t>Robinson v. Dun</w:t>
      </w:r>
      <w:r w:rsidR="002018FD">
        <w:rPr>
          <w:rStyle w:val="FootnoteReference"/>
          <w:rFonts w:cs="Arial"/>
          <w:i/>
          <w:iCs/>
          <w:szCs w:val="24"/>
        </w:rPr>
        <w:footnoteReference w:id="37"/>
      </w:r>
      <w:r>
        <w:rPr>
          <w:rFonts w:cs="Arial"/>
          <w:szCs w:val="24"/>
        </w:rPr>
        <w:t xml:space="preserve">; </w:t>
      </w:r>
      <w:r>
        <w:rPr>
          <w:rFonts w:cs="Arial"/>
          <w:i/>
          <w:iCs/>
          <w:szCs w:val="24"/>
        </w:rPr>
        <w:t xml:space="preserve">Blagg </w:t>
      </w:r>
      <w:r>
        <w:rPr>
          <w:rFonts w:cs="Arial"/>
          <w:szCs w:val="24"/>
        </w:rPr>
        <w:t xml:space="preserve">v. </w:t>
      </w:r>
      <w:r>
        <w:rPr>
          <w:rFonts w:cs="Arial"/>
          <w:i/>
          <w:iCs/>
          <w:szCs w:val="24"/>
        </w:rPr>
        <w:t>Sturt</w:t>
      </w:r>
      <w:r w:rsidR="002018FD">
        <w:rPr>
          <w:rStyle w:val="FootnoteReference"/>
          <w:rFonts w:cs="Arial"/>
          <w:i/>
          <w:iCs/>
          <w:szCs w:val="24"/>
        </w:rPr>
        <w:footnoteReference w:id="38"/>
      </w:r>
      <w:r>
        <w:rPr>
          <w:rFonts w:cs="Arial"/>
          <w:szCs w:val="24"/>
        </w:rPr>
        <w:t xml:space="preserve">; </w:t>
      </w:r>
      <w:r>
        <w:rPr>
          <w:rFonts w:cs="Arial"/>
          <w:i/>
          <w:iCs/>
          <w:szCs w:val="24"/>
        </w:rPr>
        <w:t xml:space="preserve">Royal Aquarium Society </w:t>
      </w:r>
      <w:r>
        <w:rPr>
          <w:rFonts w:cs="Arial"/>
          <w:szCs w:val="24"/>
        </w:rPr>
        <w:t xml:space="preserve">v. </w:t>
      </w:r>
      <w:r>
        <w:rPr>
          <w:rFonts w:cs="Arial"/>
          <w:i/>
          <w:iCs/>
          <w:szCs w:val="24"/>
        </w:rPr>
        <w:t>Parkinson</w:t>
      </w:r>
      <w:r w:rsidR="002018FD">
        <w:rPr>
          <w:rStyle w:val="FootnoteReference"/>
          <w:rFonts w:cs="Arial"/>
          <w:i/>
          <w:iCs/>
          <w:szCs w:val="24"/>
        </w:rPr>
        <w:footnoteReference w:id="39"/>
      </w:r>
      <w:r>
        <w:rPr>
          <w:rFonts w:cs="Arial"/>
          <w:szCs w:val="24"/>
        </w:rPr>
        <w:t>; Odger on Libel (3 ed.) 318; Newell on Slander and Libel (2 ed.) at pp. 325, 771</w:t>
      </w:r>
      <w:r>
        <w:rPr>
          <w:rFonts w:cs="Arial"/>
          <w:i/>
          <w:iCs/>
          <w:szCs w:val="24"/>
        </w:rPr>
        <w:t>; Smith v. Crocker</w:t>
      </w:r>
      <w:r w:rsidR="002018FD">
        <w:rPr>
          <w:rStyle w:val="FootnoteReference"/>
          <w:rFonts w:cs="Arial"/>
          <w:i/>
          <w:iCs/>
          <w:szCs w:val="24"/>
        </w:rPr>
        <w:footnoteReference w:id="40"/>
      </w:r>
      <w:r>
        <w:rPr>
          <w:rFonts w:cs="Arial"/>
          <w:szCs w:val="24"/>
        </w:rPr>
        <w:t>.</w:t>
      </w:r>
    </w:p>
    <w:p w:rsidR="00CF2743" w:rsidRDefault="00CF2743" w:rsidP="00141957">
      <w:pPr>
        <w:pStyle w:val="History"/>
        <w:rPr>
          <w:rFonts w:cs="Arial"/>
          <w:szCs w:val="24"/>
        </w:rPr>
      </w:pPr>
      <w:r>
        <w:rPr>
          <w:rFonts w:cs="Arial"/>
          <w:szCs w:val="24"/>
        </w:rPr>
        <w:t xml:space="preserve">What the jury might have regarded in the light of a quarrel might be taken as evidence of malice; the judge declined to state this as the law. He practically told the </w:t>
      </w:r>
      <w:r>
        <w:rPr>
          <w:rFonts w:cs="Arial"/>
          <w:szCs w:val="24"/>
        </w:rPr>
        <w:lastRenderedPageBreak/>
        <w:t xml:space="preserve">jury that there was nothing to shew that malice could exist. There was misdirection as to what was necessary in order to find for plaintiff and as to the privilege of the occasion. The improper motive shewed malice; </w:t>
      </w:r>
      <w:r>
        <w:rPr>
          <w:rFonts w:cs="Arial"/>
          <w:i/>
          <w:iCs/>
          <w:szCs w:val="24"/>
        </w:rPr>
        <w:t xml:space="preserve">Stuart </w:t>
      </w:r>
      <w:r>
        <w:rPr>
          <w:rFonts w:cs="Arial"/>
          <w:szCs w:val="24"/>
        </w:rPr>
        <w:t xml:space="preserve">v. </w:t>
      </w:r>
      <w:r>
        <w:rPr>
          <w:rFonts w:cs="Arial"/>
          <w:i/>
          <w:iCs/>
          <w:szCs w:val="24"/>
        </w:rPr>
        <w:t>Bell</w:t>
      </w:r>
      <w:r w:rsidR="002018FD">
        <w:rPr>
          <w:rStyle w:val="FootnoteReference"/>
          <w:rFonts w:cs="Arial"/>
          <w:i/>
          <w:iCs/>
          <w:szCs w:val="24"/>
        </w:rPr>
        <w:footnoteReference w:id="41"/>
      </w:r>
      <w:r>
        <w:rPr>
          <w:rFonts w:cs="Arial"/>
          <w:szCs w:val="24"/>
        </w:rPr>
        <w:t xml:space="preserve">; </w:t>
      </w:r>
      <w:r>
        <w:rPr>
          <w:rFonts w:cs="Arial"/>
          <w:i/>
          <w:iCs/>
          <w:szCs w:val="24"/>
        </w:rPr>
        <w:t xml:space="preserve">Hawkins </w:t>
      </w:r>
      <w:r>
        <w:rPr>
          <w:rFonts w:cs="Arial"/>
          <w:szCs w:val="24"/>
        </w:rPr>
        <w:t xml:space="preserve">v. </w:t>
      </w:r>
      <w:r>
        <w:rPr>
          <w:rFonts w:cs="Arial"/>
          <w:i/>
          <w:iCs/>
          <w:szCs w:val="24"/>
        </w:rPr>
        <w:t>Snow</w:t>
      </w:r>
      <w:r w:rsidR="002018FD">
        <w:rPr>
          <w:rStyle w:val="FootnoteReference"/>
          <w:rFonts w:cs="Arial"/>
          <w:i/>
          <w:iCs/>
          <w:szCs w:val="24"/>
        </w:rPr>
        <w:footnoteReference w:id="42"/>
      </w:r>
      <w:r>
        <w:rPr>
          <w:rFonts w:cs="Arial"/>
          <w:i/>
          <w:iCs/>
          <w:szCs w:val="24"/>
        </w:rPr>
        <w:t xml:space="preserve">. </w:t>
      </w:r>
      <w:r>
        <w:rPr>
          <w:rFonts w:cs="Arial"/>
          <w:szCs w:val="24"/>
        </w:rPr>
        <w:t xml:space="preserve">When the jury once found that the letter implied misconduct it should not have been left open to their mere pleasure or caprice to find it libellous; </w:t>
      </w:r>
      <w:r>
        <w:rPr>
          <w:rFonts w:cs="Arial"/>
          <w:i/>
          <w:iCs/>
          <w:szCs w:val="24"/>
        </w:rPr>
        <w:t xml:space="preserve">Weston </w:t>
      </w:r>
      <w:r>
        <w:rPr>
          <w:rFonts w:cs="Arial"/>
          <w:szCs w:val="24"/>
        </w:rPr>
        <w:t xml:space="preserve">v. </w:t>
      </w:r>
      <w:r>
        <w:rPr>
          <w:rFonts w:cs="Arial"/>
          <w:i/>
          <w:iCs/>
          <w:szCs w:val="24"/>
        </w:rPr>
        <w:t>Barnicoat</w:t>
      </w:r>
      <w:r w:rsidR="002018FD">
        <w:rPr>
          <w:rStyle w:val="FootnoteReference"/>
          <w:rFonts w:cs="Arial"/>
          <w:i/>
          <w:iCs/>
          <w:szCs w:val="24"/>
        </w:rPr>
        <w:footnoteReference w:id="43"/>
      </w:r>
      <w:r>
        <w:rPr>
          <w:rFonts w:cs="Arial"/>
          <w:szCs w:val="24"/>
        </w:rPr>
        <w:t>.</w:t>
      </w:r>
    </w:p>
    <w:p w:rsidR="00CF2743" w:rsidRDefault="00CF2743" w:rsidP="00141957">
      <w:pPr>
        <w:pStyle w:val="History"/>
        <w:rPr>
          <w:rFonts w:cs="Arial"/>
          <w:szCs w:val="24"/>
        </w:rPr>
      </w:pPr>
      <w:r>
        <w:rPr>
          <w:rFonts w:cs="Arial"/>
          <w:szCs w:val="24"/>
        </w:rPr>
        <w:t xml:space="preserve">The direction as to the word "report" being considered in the light of defendant's construction of its meaning was improper. The question is how the person to whom the letter was addressed understood it. Odgers on Libel and Slander (3 ed.) 100. All the misdirections were of the most substantial character; </w:t>
      </w:r>
      <w:r>
        <w:rPr>
          <w:rFonts w:cs="Arial"/>
          <w:i/>
          <w:iCs/>
          <w:szCs w:val="24"/>
        </w:rPr>
        <w:t>Anthony v. Halstead</w:t>
      </w:r>
      <w:r w:rsidR="002018FD">
        <w:rPr>
          <w:rStyle w:val="FootnoteReference"/>
          <w:rFonts w:cs="Arial"/>
          <w:i/>
          <w:iCs/>
          <w:szCs w:val="24"/>
        </w:rPr>
        <w:footnoteReference w:id="44"/>
      </w:r>
      <w:r>
        <w:rPr>
          <w:rFonts w:cs="Arial"/>
          <w:szCs w:val="24"/>
        </w:rPr>
        <w:t xml:space="preserve">; </w:t>
      </w:r>
      <w:r>
        <w:rPr>
          <w:rFonts w:cs="Arial"/>
          <w:i/>
          <w:iCs/>
          <w:szCs w:val="24"/>
        </w:rPr>
        <w:t xml:space="preserve">Ashmore </w:t>
      </w:r>
      <w:r>
        <w:rPr>
          <w:rFonts w:cs="Arial"/>
          <w:szCs w:val="24"/>
        </w:rPr>
        <w:t xml:space="preserve">v. </w:t>
      </w:r>
      <w:r>
        <w:rPr>
          <w:rFonts w:cs="Arial"/>
          <w:i/>
          <w:iCs/>
          <w:szCs w:val="24"/>
        </w:rPr>
        <w:t>Borthwick</w:t>
      </w:r>
      <w:r w:rsidR="002018FD">
        <w:rPr>
          <w:rStyle w:val="FootnoteReference"/>
          <w:rFonts w:cs="Arial"/>
          <w:i/>
          <w:iCs/>
          <w:szCs w:val="24"/>
        </w:rPr>
        <w:footnoteReference w:id="45"/>
      </w:r>
      <w:r>
        <w:rPr>
          <w:rFonts w:cs="Arial"/>
          <w:szCs w:val="24"/>
        </w:rPr>
        <w:t xml:space="preserve">; </w:t>
      </w:r>
      <w:r>
        <w:rPr>
          <w:rFonts w:cs="Arial"/>
          <w:i/>
          <w:iCs/>
          <w:szCs w:val="24"/>
        </w:rPr>
        <w:t xml:space="preserve">Nyburg </w:t>
      </w:r>
      <w:r>
        <w:rPr>
          <w:rFonts w:cs="Arial"/>
          <w:szCs w:val="24"/>
        </w:rPr>
        <w:t xml:space="preserve">v. </w:t>
      </w:r>
      <w:r>
        <w:rPr>
          <w:rFonts w:cs="Arial"/>
          <w:i/>
          <w:iCs/>
          <w:szCs w:val="24"/>
        </w:rPr>
        <w:t>Ullman</w:t>
      </w:r>
      <w:r w:rsidR="002018FD">
        <w:rPr>
          <w:rStyle w:val="FootnoteReference"/>
          <w:rFonts w:cs="Arial"/>
          <w:i/>
          <w:iCs/>
          <w:szCs w:val="24"/>
        </w:rPr>
        <w:footnoteReference w:id="46"/>
      </w:r>
      <w:r>
        <w:rPr>
          <w:rFonts w:cs="Arial"/>
          <w:szCs w:val="24"/>
        </w:rPr>
        <w:t xml:space="preserve">; </w:t>
      </w:r>
      <w:r>
        <w:rPr>
          <w:rFonts w:cs="Arial"/>
          <w:i/>
          <w:iCs/>
          <w:szCs w:val="24"/>
        </w:rPr>
        <w:t xml:space="preserve">Dunbar </w:t>
      </w:r>
      <w:r>
        <w:rPr>
          <w:rFonts w:cs="Arial"/>
          <w:szCs w:val="24"/>
        </w:rPr>
        <w:t xml:space="preserve">v. </w:t>
      </w:r>
      <w:r>
        <w:rPr>
          <w:rFonts w:cs="Arial"/>
          <w:i/>
          <w:iCs/>
          <w:szCs w:val="24"/>
        </w:rPr>
        <w:t>Cardiff Phil Music Hall Co.</w:t>
      </w:r>
      <w:r w:rsidR="002018FD">
        <w:rPr>
          <w:rStyle w:val="FootnoteReference"/>
          <w:rFonts w:cs="Arial"/>
          <w:i/>
          <w:iCs/>
          <w:szCs w:val="24"/>
        </w:rPr>
        <w:footnoteReference w:id="47"/>
      </w:r>
      <w:r>
        <w:rPr>
          <w:rFonts w:cs="Arial"/>
          <w:szCs w:val="24"/>
        </w:rPr>
        <w:t>.</w:t>
      </w:r>
    </w:p>
    <w:p w:rsidR="00CF2743" w:rsidRDefault="00003B31" w:rsidP="00003B31">
      <w:pPr>
        <w:pStyle w:val="Page"/>
      </w:pPr>
      <w:r>
        <w:rPr>
          <w:rFonts w:cs="Arial"/>
          <w:szCs w:val="24"/>
        </w:rPr>
        <w:t xml:space="preserve">[Page </w:t>
      </w:r>
      <w:r w:rsidR="00CF2743">
        <w:rPr>
          <w:rFonts w:cs="Arial"/>
          <w:szCs w:val="24"/>
        </w:rPr>
        <w:t>181]</w:t>
      </w:r>
    </w:p>
    <w:p w:rsidR="00CF2743" w:rsidRDefault="00CF2743" w:rsidP="00141957">
      <w:pPr>
        <w:pStyle w:val="History"/>
        <w:rPr>
          <w:rFonts w:cs="Arial"/>
          <w:szCs w:val="24"/>
        </w:rPr>
      </w:pPr>
      <w:r>
        <w:rPr>
          <w:rFonts w:cs="Arial"/>
          <w:szCs w:val="24"/>
        </w:rPr>
        <w:t xml:space="preserve">There was a publication of the libel to the defendant's stenographer; </w:t>
      </w:r>
      <w:r>
        <w:rPr>
          <w:rFonts w:cs="Arial"/>
          <w:i/>
          <w:iCs/>
          <w:szCs w:val="24"/>
        </w:rPr>
        <w:t xml:space="preserve">Pullman </w:t>
      </w:r>
      <w:r>
        <w:rPr>
          <w:rFonts w:cs="Arial"/>
          <w:szCs w:val="24"/>
        </w:rPr>
        <w:t xml:space="preserve">v. </w:t>
      </w:r>
      <w:r>
        <w:rPr>
          <w:rFonts w:cs="Arial"/>
          <w:i/>
          <w:iCs/>
          <w:szCs w:val="24"/>
        </w:rPr>
        <w:t>Hill &amp; Co.</w:t>
      </w:r>
      <w:r w:rsidR="002018FD">
        <w:rPr>
          <w:rStyle w:val="FootnoteReference"/>
          <w:rFonts w:cs="Arial"/>
          <w:i/>
          <w:iCs/>
          <w:szCs w:val="24"/>
        </w:rPr>
        <w:footnoteReference w:id="48"/>
      </w:r>
      <w:r>
        <w:rPr>
          <w:rFonts w:cs="Arial"/>
          <w:szCs w:val="24"/>
        </w:rPr>
        <w:t xml:space="preserve">, and no privilege attached to this publication, nor is justification proved. The case of </w:t>
      </w:r>
      <w:r>
        <w:rPr>
          <w:rFonts w:cs="Arial"/>
          <w:i/>
          <w:iCs/>
          <w:szCs w:val="24"/>
        </w:rPr>
        <w:t xml:space="preserve">Boxius </w:t>
      </w:r>
      <w:r>
        <w:rPr>
          <w:rFonts w:cs="Arial"/>
          <w:szCs w:val="24"/>
        </w:rPr>
        <w:t xml:space="preserve">v. </w:t>
      </w:r>
      <w:r>
        <w:rPr>
          <w:rFonts w:cs="Arial"/>
          <w:i/>
          <w:iCs/>
          <w:szCs w:val="24"/>
        </w:rPr>
        <w:t>Goblet Frères</w:t>
      </w:r>
      <w:r w:rsidR="002018FD">
        <w:rPr>
          <w:rStyle w:val="FootnoteReference"/>
          <w:rFonts w:cs="Arial"/>
          <w:i/>
          <w:iCs/>
          <w:szCs w:val="24"/>
        </w:rPr>
        <w:footnoteReference w:id="49"/>
      </w:r>
      <w:r>
        <w:rPr>
          <w:rFonts w:cs="Arial"/>
          <w:szCs w:val="24"/>
        </w:rPr>
        <w:t xml:space="preserve"> in no sense interferes with the doctrine of </w:t>
      </w:r>
      <w:r>
        <w:rPr>
          <w:rFonts w:cs="Arial"/>
          <w:i/>
          <w:iCs/>
          <w:szCs w:val="24"/>
        </w:rPr>
        <w:t xml:space="preserve">Pullman </w:t>
      </w:r>
      <w:r>
        <w:rPr>
          <w:rFonts w:cs="Arial"/>
          <w:szCs w:val="24"/>
        </w:rPr>
        <w:t xml:space="preserve">v. </w:t>
      </w:r>
      <w:r>
        <w:rPr>
          <w:rFonts w:cs="Arial"/>
          <w:i/>
          <w:iCs/>
          <w:szCs w:val="24"/>
        </w:rPr>
        <w:t xml:space="preserve">Hill &amp; Co. </w:t>
      </w:r>
      <w:r w:rsidRPr="002018FD">
        <w:rPr>
          <w:rFonts w:cs="Arial"/>
          <w:szCs w:val="24"/>
          <w:highlight w:val="yellow"/>
        </w:rPr>
        <w:t>(1)</w:t>
      </w:r>
      <w:r>
        <w:rPr>
          <w:rFonts w:cs="Arial"/>
          <w:szCs w:val="24"/>
        </w:rPr>
        <w:t xml:space="preserve">. The </w:t>
      </w:r>
      <w:r>
        <w:rPr>
          <w:rFonts w:cs="Arial"/>
          <w:i/>
          <w:iCs/>
          <w:szCs w:val="24"/>
        </w:rPr>
        <w:t xml:space="preserve">Bosxius Case </w:t>
      </w:r>
      <w:r w:rsidRPr="002018FD">
        <w:rPr>
          <w:rFonts w:cs="Arial"/>
          <w:szCs w:val="24"/>
          <w:highlight w:val="yellow"/>
        </w:rPr>
        <w:t>(2)</w:t>
      </w:r>
      <w:r>
        <w:rPr>
          <w:rFonts w:cs="Arial"/>
          <w:szCs w:val="24"/>
        </w:rPr>
        <w:t xml:space="preserve"> was one as to solicitors who might be required to write defamatory matter in the course of their business. It is not the business of the insurance companies more than of merchants to write anything defamatory.</w:t>
      </w:r>
    </w:p>
    <w:p w:rsidR="00CF2743" w:rsidRDefault="00CF2743" w:rsidP="00141957">
      <w:pPr>
        <w:pStyle w:val="Reasons"/>
      </w:pPr>
      <w:r>
        <w:t>The judgment of the majority of the court was delivered by:</w:t>
      </w:r>
    </w:p>
    <w:p w:rsidR="00CF2743" w:rsidRDefault="00141957" w:rsidP="00141957">
      <w:pPr>
        <w:pStyle w:val="Reasons"/>
      </w:pPr>
      <w:r w:rsidRPr="00141957">
        <w:t>KING</w:t>
      </w:r>
      <w:r>
        <w:rPr>
          <w:smallCaps/>
        </w:rPr>
        <w:t xml:space="preserve"> </w:t>
      </w:r>
      <w:r w:rsidR="00CF2743">
        <w:t>J.—This is an action of libel by a former agent at Bridgetown, N.S., of the Confederation Life Assurance Society, against the appellant, who was the general manager of the company at Halifax.</w:t>
      </w:r>
    </w:p>
    <w:p w:rsidR="00CF2743" w:rsidRDefault="00CF2743" w:rsidP="00141957">
      <w:pPr>
        <w:pStyle w:val="Reasons"/>
        <w:rPr>
          <w:rFonts w:cs="Arial"/>
          <w:szCs w:val="24"/>
        </w:rPr>
      </w:pPr>
      <w:r>
        <w:rPr>
          <w:rFonts w:cs="Arial"/>
          <w:szCs w:val="24"/>
        </w:rPr>
        <w:t>The plaintiff ceased to be agent of the company at Bridgetown on the twenty-seventh day of April, 1897, and the defendant on the seventh of July, 1897, wrote the following letter, which contains the libel sued in respect of, to one Mrs. Freeman, who had a policy in the company and was supposed to be desirous of continuing it:</w:t>
      </w:r>
    </w:p>
    <w:p w:rsidR="00CF2743" w:rsidRDefault="00CF2743" w:rsidP="00141957">
      <w:pPr>
        <w:pStyle w:val="Indent1"/>
      </w:pPr>
      <w:r w:rsidRPr="00141957">
        <w:t>Dear Mrs. Freeman</w:t>
      </w:r>
      <w:r>
        <w:t xml:space="preserve">,—I think you know that at the time of my recent visit to Bridgetown, I relieved Mr. O. S. Miller of our local agency. As you and your </w:t>
      </w:r>
      <w:r>
        <w:lastRenderedPageBreak/>
        <w:t>husband have evidently taken a kindly interest in Mr. Miller, I might say to you without entering into details as to the causes which compelled me to take this action, an explanation of which would hardly be appropriate here, that we have tried for a considerable time past to get Mr. Miller to attend properly to our business, and that it was only because it was clearly necessary that the change was made. In order to give Mr. Miller an opportunity to get the benefit of commissions on as much outstanding business as I could, I left the attention of certain matters in Mr. Miller's hands, on the understanding that he would attend to them and remit to me as our representative. I now find that he has collected money which, up to the present time, we have been unable to get him to report, and I am told that he is doing and saying all that he can against myself and the company. The receipt for your premium fell</w:t>
      </w:r>
    </w:p>
    <w:p w:rsidR="00CF2743" w:rsidRDefault="00003B31" w:rsidP="00003B31">
      <w:pPr>
        <w:pStyle w:val="Page"/>
      </w:pPr>
      <w:r>
        <w:rPr>
          <w:rFonts w:cs="Arial"/>
          <w:szCs w:val="24"/>
        </w:rPr>
        <w:t xml:space="preserve">[Page </w:t>
      </w:r>
      <w:r w:rsidR="00CF2743">
        <w:rPr>
          <w:rFonts w:cs="Arial"/>
          <w:szCs w:val="24"/>
        </w:rPr>
        <w:t>182]</w:t>
      </w:r>
    </w:p>
    <w:p w:rsidR="00CF2743" w:rsidRDefault="00CF2743" w:rsidP="00141957">
      <w:pPr>
        <w:pStyle w:val="Indent1"/>
      </w:pPr>
      <w:r>
        <w:t>due May 30th, days of grace, June 30th. If you have made settlement of the premium with Mr. Miller your policy will of course be maintained in force, but I have thought that it would be part of the plan Mr. Miller at one time declared to me he would follow, in order to cease as much of our business as possible, that he would allow your policy to lapse through inattention. As I have thought that you would not like to have it so, I am prompted to write you this letter, and shall be glad if you will advise us whether or not you have made settlement with Mr. Miller. If not, what is your wish in regard to continuing the policy?</w:t>
      </w:r>
      <w:r>
        <w:tab/>
        <w:t>Yours truly,</w:t>
      </w:r>
    </w:p>
    <w:p w:rsidR="00CF2743" w:rsidRDefault="00CF2743" w:rsidP="00141957">
      <w:pPr>
        <w:pStyle w:val="Indent1"/>
        <w:spacing w:before="120" w:beforeAutospacing="0"/>
        <w:ind w:left="6480"/>
      </w:pPr>
      <w:r>
        <w:t>F. W. GREEN,</w:t>
      </w:r>
    </w:p>
    <w:p w:rsidR="00CF2743" w:rsidRDefault="00CF2743" w:rsidP="00141957">
      <w:pPr>
        <w:pStyle w:val="Indent1"/>
        <w:spacing w:before="120" w:beforeAutospacing="0"/>
        <w:ind w:left="7200" w:firstLine="720"/>
      </w:pPr>
      <w:r>
        <w:t>Manager,</w:t>
      </w:r>
    </w:p>
    <w:p w:rsidR="00CF2743" w:rsidRDefault="00CF2743" w:rsidP="00141957">
      <w:pPr>
        <w:pStyle w:val="Reasons"/>
        <w:rPr>
          <w:rFonts w:cs="Arial"/>
          <w:szCs w:val="24"/>
        </w:rPr>
      </w:pPr>
      <w:r>
        <w:rPr>
          <w:rFonts w:cs="Arial"/>
          <w:szCs w:val="24"/>
        </w:rPr>
        <w:t>This letter is clearly capable of a libellous construction, but it is claimed that it was a privileged communication, and it cannot be denied that the occasion was privileged. The only question arises as to the existence of malice which would deprive the communication of its otherwise privileged character, and as to the learned judge's direction or misdirection in respect thereof.</w:t>
      </w:r>
    </w:p>
    <w:p w:rsidR="00CF2743" w:rsidRDefault="00CF2743" w:rsidP="00141957">
      <w:pPr>
        <w:pStyle w:val="Reasons"/>
        <w:rPr>
          <w:rFonts w:cs="Arial"/>
          <w:szCs w:val="24"/>
        </w:rPr>
      </w:pPr>
      <w:r>
        <w:rPr>
          <w:rFonts w:cs="Arial"/>
          <w:szCs w:val="24"/>
        </w:rPr>
        <w:t>The existence of malice rebutting the qualified privilege is an issue the affirmative of which is on the plaintiff in the action.</w:t>
      </w:r>
    </w:p>
    <w:p w:rsidR="00CF2743" w:rsidRDefault="00CF2743" w:rsidP="00141957">
      <w:pPr>
        <w:pStyle w:val="Reasons"/>
        <w:rPr>
          <w:rFonts w:cs="Arial"/>
          <w:szCs w:val="24"/>
        </w:rPr>
      </w:pPr>
      <w:r>
        <w:rPr>
          <w:rFonts w:cs="Arial"/>
          <w:szCs w:val="24"/>
        </w:rPr>
        <w:t>The case was tried before Chief Justice Macdonald, and the jury found in favour of the defendant. The Supreme Court of Nova Scotia directed a new trial on the ground of the insufficiency of the direction as to malice, (per Weatherbe, Ritchie and Graham JJ., Townshend J. dissenting), and this appeal is against the judgment for a new trial.</w:t>
      </w:r>
    </w:p>
    <w:p w:rsidR="00CF2743" w:rsidRDefault="00CF2743" w:rsidP="00141957">
      <w:pPr>
        <w:pStyle w:val="Reasons"/>
        <w:rPr>
          <w:rFonts w:cs="Arial"/>
          <w:szCs w:val="24"/>
        </w:rPr>
      </w:pPr>
      <w:r>
        <w:rPr>
          <w:rFonts w:cs="Arial"/>
          <w:szCs w:val="24"/>
        </w:rPr>
        <w:lastRenderedPageBreak/>
        <w:t>It is not to be expected that a judge in trying an action of libel shall attempt to define or specify all instances and tests of malice. To attempt to do so would be likely to confuse the jury. It is sufficient that he should explain the law to the extent required in dealing with the facts arising in the case.</w:t>
      </w:r>
    </w:p>
    <w:p w:rsidR="00CF2743" w:rsidRDefault="00CF2743" w:rsidP="00141957">
      <w:pPr>
        <w:pStyle w:val="Reasons"/>
        <w:rPr>
          <w:rFonts w:cs="Arial"/>
          <w:szCs w:val="24"/>
        </w:rPr>
      </w:pPr>
      <w:r>
        <w:rPr>
          <w:rFonts w:cs="Arial"/>
          <w:szCs w:val="24"/>
        </w:rPr>
        <w:t>One of the circumstances relied on by the plaintiff to prove malice was the alleged falsity, to the defendant's</w:t>
      </w:r>
    </w:p>
    <w:p w:rsidR="00CF2743" w:rsidRDefault="00003B31" w:rsidP="00003B31">
      <w:pPr>
        <w:pStyle w:val="Page"/>
      </w:pPr>
      <w:r>
        <w:rPr>
          <w:rFonts w:cs="Arial"/>
          <w:szCs w:val="24"/>
        </w:rPr>
        <w:t xml:space="preserve">[Page </w:t>
      </w:r>
      <w:r w:rsidR="00CF2743">
        <w:rPr>
          <w:rFonts w:cs="Arial"/>
          <w:szCs w:val="24"/>
        </w:rPr>
        <w:t>183]</w:t>
      </w:r>
    </w:p>
    <w:p w:rsidR="00CF2743" w:rsidRDefault="00CF2743" w:rsidP="00141957">
      <w:pPr>
        <w:pStyle w:val="Reasons"/>
        <w:rPr>
          <w:rFonts w:cs="Arial"/>
          <w:szCs w:val="24"/>
        </w:rPr>
      </w:pPr>
      <w:r>
        <w:rPr>
          <w:rFonts w:cs="Arial"/>
          <w:szCs w:val="24"/>
        </w:rPr>
        <w:t xml:space="preserve">own knowledge, of certain of the statements contained in the letter. It is clear that if a party speaking or writing on a privileged occasion states what is untrue to his knowledge, this is evidence of malice sufficient to destroy the privilege of the communication. </w:t>
      </w:r>
      <w:r>
        <w:rPr>
          <w:rFonts w:cs="Arial"/>
          <w:i/>
          <w:iCs/>
          <w:szCs w:val="24"/>
        </w:rPr>
        <w:t xml:space="preserve">Clark </w:t>
      </w:r>
      <w:r>
        <w:rPr>
          <w:rFonts w:cs="Arial"/>
          <w:szCs w:val="24"/>
        </w:rPr>
        <w:t xml:space="preserve">v. </w:t>
      </w:r>
      <w:r>
        <w:rPr>
          <w:rFonts w:cs="Arial"/>
          <w:i/>
          <w:iCs/>
          <w:szCs w:val="24"/>
        </w:rPr>
        <w:t>Molyneux</w:t>
      </w:r>
      <w:r w:rsidR="002018FD">
        <w:rPr>
          <w:rStyle w:val="FootnoteReference"/>
          <w:rFonts w:cs="Arial"/>
          <w:i/>
          <w:iCs/>
          <w:szCs w:val="24"/>
        </w:rPr>
        <w:footnoteReference w:id="50"/>
      </w:r>
      <w:r>
        <w:rPr>
          <w:rFonts w:cs="Arial"/>
          <w:szCs w:val="24"/>
        </w:rPr>
        <w:t xml:space="preserve">.; </w:t>
      </w:r>
      <w:r>
        <w:rPr>
          <w:rFonts w:cs="Arial"/>
          <w:i/>
          <w:iCs/>
          <w:szCs w:val="24"/>
        </w:rPr>
        <w:t xml:space="preserve">Fountain </w:t>
      </w:r>
      <w:r>
        <w:rPr>
          <w:rFonts w:cs="Arial"/>
          <w:szCs w:val="24"/>
        </w:rPr>
        <w:t xml:space="preserve">v. </w:t>
      </w:r>
      <w:r>
        <w:rPr>
          <w:rFonts w:cs="Arial"/>
          <w:i/>
          <w:iCs/>
          <w:szCs w:val="24"/>
        </w:rPr>
        <w:t>Boodle</w:t>
      </w:r>
      <w:r w:rsidR="002018FD">
        <w:rPr>
          <w:rStyle w:val="FootnoteReference"/>
          <w:rFonts w:cs="Arial"/>
          <w:i/>
          <w:iCs/>
          <w:szCs w:val="24"/>
        </w:rPr>
        <w:footnoteReference w:id="51"/>
      </w:r>
      <w:r>
        <w:rPr>
          <w:rFonts w:cs="Arial"/>
          <w:szCs w:val="24"/>
        </w:rPr>
        <w:t>.</w:t>
      </w:r>
    </w:p>
    <w:p w:rsidR="00CF2743" w:rsidRDefault="00CF2743" w:rsidP="00141957">
      <w:pPr>
        <w:pStyle w:val="Reasons"/>
        <w:rPr>
          <w:rFonts w:cs="Arial"/>
          <w:szCs w:val="24"/>
        </w:rPr>
      </w:pPr>
      <w:r>
        <w:rPr>
          <w:rFonts w:cs="Arial"/>
          <w:szCs w:val="24"/>
        </w:rPr>
        <w:t>Now the letter in its opening sentences speaks of the plaintiff as having been relieved of his agency by the defendant and of the defendant having been compelled to take this action, by reason of having tried for a considerable time, without success, to get the plaintiff to attend properly to the business. The fact, however, appears to be, that the defendant was willing that the plaintiff should continue the agency, but that the latter was not willing to continue it on the terms as to compensation offered him. And the facts, (such as they were,) were within the knowledge of the defendant.</w:t>
      </w:r>
    </w:p>
    <w:p w:rsidR="00CF2743" w:rsidRDefault="00CF2743" w:rsidP="00141957">
      <w:pPr>
        <w:pStyle w:val="Reasons"/>
        <w:rPr>
          <w:rFonts w:cs="Arial"/>
          <w:szCs w:val="24"/>
        </w:rPr>
      </w:pPr>
      <w:r>
        <w:rPr>
          <w:rFonts w:cs="Arial"/>
          <w:szCs w:val="24"/>
        </w:rPr>
        <w:t>The plaintiff's counsel ask the learned judge to direct the jury, that if the defendant stated what he knew to be false it would be evidence of malice. The learned judge declined to do so because he considered that he had already covered the ground in his charge.</w:t>
      </w:r>
    </w:p>
    <w:p w:rsidR="00CF2743" w:rsidRDefault="00CF2743" w:rsidP="00141957">
      <w:pPr>
        <w:pStyle w:val="Reasons"/>
        <w:rPr>
          <w:rFonts w:cs="Arial"/>
          <w:szCs w:val="24"/>
        </w:rPr>
      </w:pPr>
      <w:r>
        <w:rPr>
          <w:rFonts w:cs="Arial"/>
          <w:szCs w:val="24"/>
        </w:rPr>
        <w:t>The only references to the point that I can find are at page 93 of the "Case" lines 5 to 10, where, in dealing with the matter of privileged communications, the learned Chief Justice says:</w:t>
      </w:r>
    </w:p>
    <w:p w:rsidR="00CF2743" w:rsidRDefault="00CF2743" w:rsidP="00141957">
      <w:pPr>
        <w:pStyle w:val="Indent1"/>
      </w:pPr>
      <w:r>
        <w:lastRenderedPageBreak/>
        <w:t xml:space="preserve">I tell you as a matter law, that the relation was sufficient to constitute privilege in relation to the communication made in that letter by the defendant to Mrs. Freeman, provided the communication (was) made </w:t>
      </w:r>
      <w:r>
        <w:rPr>
          <w:i/>
          <w:iCs/>
        </w:rPr>
        <w:t xml:space="preserve">bonâ fide, </w:t>
      </w:r>
      <w:r>
        <w:t xml:space="preserve">believing it to be true, although in fact it was untrue and defamatory. If the defendant made the communication </w:t>
      </w:r>
      <w:r>
        <w:rPr>
          <w:i/>
          <w:iCs/>
        </w:rPr>
        <w:t xml:space="preserve">bonâ fide, </w:t>
      </w:r>
      <w:r>
        <w:t>believing it to be true, and the privilege existed that I have endeavoured to explain then there would be no action against him.</w:t>
      </w:r>
    </w:p>
    <w:p w:rsidR="00CF2743" w:rsidRDefault="00CF2743" w:rsidP="00141957">
      <w:pPr>
        <w:pStyle w:val="Reasons"/>
        <w:rPr>
          <w:rFonts w:cs="Arial"/>
          <w:szCs w:val="24"/>
        </w:rPr>
      </w:pPr>
      <w:r>
        <w:rPr>
          <w:rFonts w:cs="Arial"/>
          <w:szCs w:val="24"/>
        </w:rPr>
        <w:t>All this is very true and upon analysis the point in question may be involved, but with all respect to the</w:t>
      </w:r>
    </w:p>
    <w:p w:rsidR="00CF2743" w:rsidRDefault="00003B31" w:rsidP="00003B31">
      <w:pPr>
        <w:pStyle w:val="Page"/>
      </w:pPr>
      <w:r>
        <w:rPr>
          <w:rFonts w:cs="Arial"/>
          <w:szCs w:val="24"/>
        </w:rPr>
        <w:t xml:space="preserve">[Page </w:t>
      </w:r>
      <w:r w:rsidR="00CF2743">
        <w:rPr>
          <w:rFonts w:cs="Arial"/>
          <w:szCs w:val="24"/>
        </w:rPr>
        <w:t>184]</w:t>
      </w:r>
    </w:p>
    <w:p w:rsidR="00CF2743" w:rsidRDefault="00CF2743" w:rsidP="00141957">
      <w:pPr>
        <w:pStyle w:val="Reasons"/>
        <w:rPr>
          <w:rFonts w:cs="Arial"/>
          <w:szCs w:val="24"/>
        </w:rPr>
      </w:pPr>
      <w:r>
        <w:rPr>
          <w:rFonts w:cs="Arial"/>
          <w:szCs w:val="24"/>
        </w:rPr>
        <w:t>very learned Chief Justice, who may very naturally have supposed that by this he had covered the ground, it seems to fall short of an instruction to the jury as to the effect of falsity within the knowledge of the defendant as constituting a test of malice, and I think that the plaintiff was entitled, (if he so requested), to have the more explicit statement of the law on a point directly affecting the proof of an issue, the burden of which was upon him.</w:t>
      </w:r>
    </w:p>
    <w:p w:rsidR="00CF2743" w:rsidRDefault="00CF2743" w:rsidP="00141957">
      <w:pPr>
        <w:pStyle w:val="Reasons"/>
        <w:rPr>
          <w:rFonts w:cs="Arial"/>
          <w:szCs w:val="24"/>
        </w:rPr>
      </w:pPr>
      <w:r>
        <w:rPr>
          <w:rFonts w:cs="Arial"/>
          <w:szCs w:val="24"/>
        </w:rPr>
        <w:t>Considerable argument took place respecting the statements in the letter as to the plaintiffs failure to report as to moneys left for his collection On the one hand it is said that the charge was that of a failure to inform his principal of the receipt of the money. On the other, that it merely meant a failure to make the form of report required of an insurance agent by the company. If the inquiry were as to the bare meaning of the words, as for instance whether the words were susceptible of a defamatory construction, I should think that the ordinary and natural sense would govern, as being the sense in which the words would be understood by the person receiving the letter; but, if the question upon the statement related to the question of malice or not, then, inasmuch as the knowledge of the defendant of the falsity of the facts alleged is the material fact, the sense in which the defendant may have used the word becomes the governing consideration; and, notwithstanding that the receiver might suppose that a grave charge was made, the person using the language cannot be said to have knowingly stated a falsehood, if he honestly meant to use the word in any innocent sense.</w:t>
      </w:r>
    </w:p>
    <w:p w:rsidR="00CF2743" w:rsidRDefault="00CF2743" w:rsidP="00141957">
      <w:pPr>
        <w:pStyle w:val="Reasons"/>
        <w:rPr>
          <w:rFonts w:cs="Arial"/>
          <w:szCs w:val="24"/>
        </w:rPr>
      </w:pPr>
      <w:r>
        <w:rPr>
          <w:rFonts w:cs="Arial"/>
          <w:szCs w:val="24"/>
        </w:rPr>
        <w:lastRenderedPageBreak/>
        <w:t>As to the learned Chief Justice not charging more explicitly in reference to malice, evidenced by a preexisting unfriendliness, if indeed there were evidence of such on defendant's part, or of any quarrel shared</w:t>
      </w:r>
    </w:p>
    <w:p w:rsidR="00CF2743" w:rsidRDefault="00003B31" w:rsidP="00003B31">
      <w:pPr>
        <w:pStyle w:val="Page"/>
      </w:pPr>
      <w:r>
        <w:rPr>
          <w:rFonts w:cs="Arial"/>
          <w:szCs w:val="24"/>
        </w:rPr>
        <w:t xml:space="preserve">[Page </w:t>
      </w:r>
      <w:r w:rsidR="00CF2743">
        <w:rPr>
          <w:rFonts w:cs="Arial"/>
          <w:szCs w:val="24"/>
        </w:rPr>
        <w:t>185]</w:t>
      </w:r>
    </w:p>
    <w:p w:rsidR="00CF2743" w:rsidRDefault="00CF2743" w:rsidP="00141957">
      <w:pPr>
        <w:pStyle w:val="Reasons"/>
        <w:rPr>
          <w:rFonts w:cs="Arial"/>
          <w:szCs w:val="24"/>
        </w:rPr>
      </w:pPr>
      <w:r>
        <w:rPr>
          <w:rFonts w:cs="Arial"/>
          <w:szCs w:val="24"/>
        </w:rPr>
        <w:t>in by him, the charge would probably be inadequate; but looking at the facts, what is adduced was at most a scintilla of proof, consisting of hard things said by the plaintiff to and concerning the defendant, and not by the defendant to and concerning the plaintiff.</w:t>
      </w:r>
    </w:p>
    <w:p w:rsidR="00CF2743" w:rsidRDefault="00CF2743" w:rsidP="00141957">
      <w:pPr>
        <w:pStyle w:val="Reasons"/>
        <w:rPr>
          <w:rFonts w:cs="Arial"/>
          <w:szCs w:val="24"/>
        </w:rPr>
      </w:pPr>
      <w:r>
        <w:rPr>
          <w:rFonts w:cs="Arial"/>
          <w:szCs w:val="24"/>
        </w:rPr>
        <w:t>It is too strained and refined to argue that because plaintiffs conduct towards the defendant was improper and quarrelsome, therefore the defendant must have shared the feeling.</w:t>
      </w:r>
    </w:p>
    <w:p w:rsidR="00CF2743" w:rsidRDefault="00CF2743" w:rsidP="00141957">
      <w:pPr>
        <w:pStyle w:val="Reasons"/>
        <w:rPr>
          <w:rFonts w:cs="Arial"/>
          <w:szCs w:val="24"/>
        </w:rPr>
      </w:pPr>
      <w:r>
        <w:rPr>
          <w:rFonts w:cs="Arial"/>
          <w:szCs w:val="24"/>
        </w:rPr>
        <w:t>On the whole I think the only material ground of complaint adduced against the charge is that first alluded to.</w:t>
      </w:r>
    </w:p>
    <w:p w:rsidR="00CF2743" w:rsidRDefault="00CF2743" w:rsidP="00141957">
      <w:pPr>
        <w:pStyle w:val="Reasons"/>
        <w:rPr>
          <w:rFonts w:cs="Arial"/>
          <w:szCs w:val="24"/>
        </w:rPr>
      </w:pPr>
      <w:r>
        <w:rPr>
          <w:rFonts w:cs="Arial"/>
          <w:szCs w:val="24"/>
        </w:rPr>
        <w:t>It is not possible, I think, to say that the jury could not have been influenced by the non-direction and that no different verdict could reasonably or properly have been rendered had the charge been free from all objection.</w:t>
      </w:r>
    </w:p>
    <w:p w:rsidR="00CF2743" w:rsidRDefault="00CF2743" w:rsidP="00141957">
      <w:pPr>
        <w:pStyle w:val="Reasons"/>
        <w:rPr>
          <w:rFonts w:cs="Arial"/>
          <w:szCs w:val="24"/>
        </w:rPr>
      </w:pPr>
      <w:r>
        <w:rPr>
          <w:rFonts w:cs="Arial"/>
          <w:szCs w:val="24"/>
        </w:rPr>
        <w:t>I think that the case is still one for a jury suitably assisted and it would be improper to add a word which might affect the finding of another jury.</w:t>
      </w:r>
    </w:p>
    <w:p w:rsidR="00CF2743" w:rsidRDefault="00CF2743" w:rsidP="00141957">
      <w:pPr>
        <w:pStyle w:val="Reasons"/>
        <w:rPr>
          <w:rFonts w:cs="Arial"/>
          <w:szCs w:val="24"/>
        </w:rPr>
      </w:pPr>
      <w:r>
        <w:rPr>
          <w:rFonts w:cs="Arial"/>
          <w:szCs w:val="24"/>
        </w:rPr>
        <w:t>The appeal should, therefore, in my opinion, be dismissed, and chiefly for the reasons relied upon by Mr. Justice Ritchie, concurred in as it was by Mr. Justice Graham.</w:t>
      </w:r>
    </w:p>
    <w:p w:rsidR="00CF2743" w:rsidRDefault="00CF2743" w:rsidP="00141957">
      <w:pPr>
        <w:pStyle w:val="Reasons"/>
      </w:pPr>
      <w:r>
        <w:t>Appeal dismissed with costs.</w:t>
      </w:r>
    </w:p>
    <w:p w:rsidR="00CF2743" w:rsidRDefault="00CF2743" w:rsidP="00141957">
      <w:pPr>
        <w:pStyle w:val="Sollicitors"/>
        <w:rPr>
          <w:iCs/>
        </w:rPr>
      </w:pPr>
      <w:r>
        <w:t xml:space="preserve">Solicitor for the appellant: </w:t>
      </w:r>
      <w:r>
        <w:rPr>
          <w:iCs/>
        </w:rPr>
        <w:t>H. C. Borden.</w:t>
      </w:r>
    </w:p>
    <w:p w:rsidR="003824D9" w:rsidRDefault="00CF2743" w:rsidP="00141957">
      <w:pPr>
        <w:pStyle w:val="Sollicitors"/>
      </w:pPr>
      <w:r>
        <w:t>Solicitor for the respondent</w:t>
      </w:r>
      <w:r>
        <w:rPr>
          <w:iCs/>
        </w:rPr>
        <w:t>: F. L. Milner.</w:t>
      </w:r>
    </w:p>
    <w:sectPr w:rsidR="003824D9" w:rsidSect="00CF274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D76" w:rsidRDefault="00177D76" w:rsidP="00CF2743">
      <w:r>
        <w:separator/>
      </w:r>
    </w:p>
  </w:endnote>
  <w:endnote w:type="continuationSeparator" w:id="1">
    <w:p w:rsidR="00177D76" w:rsidRDefault="00177D76" w:rsidP="00CF27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3" w:rsidRDefault="00CF2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3" w:rsidRDefault="00CF27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3" w:rsidRDefault="00CF2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D76" w:rsidRDefault="00177D76" w:rsidP="00CF2743">
      <w:r>
        <w:separator/>
      </w:r>
    </w:p>
  </w:footnote>
  <w:footnote w:type="continuationSeparator" w:id="1">
    <w:p w:rsidR="00177D76" w:rsidRDefault="00177D76" w:rsidP="00CF2743">
      <w:r>
        <w:continuationSeparator/>
      </w:r>
    </w:p>
  </w:footnote>
  <w:footnote w:id="2">
    <w:p w:rsidR="002018FD" w:rsidRPr="002018FD" w:rsidRDefault="002018FD">
      <w:pPr>
        <w:pStyle w:val="FootnoteText"/>
        <w:rPr>
          <w:lang w:val="en-US"/>
        </w:rPr>
      </w:pPr>
      <w:r>
        <w:rPr>
          <w:rStyle w:val="FootnoteReference"/>
        </w:rPr>
        <w:footnoteRef/>
      </w:r>
      <w:r>
        <w:t xml:space="preserve"> </w:t>
      </w:r>
      <w:r>
        <w:rPr>
          <w:rFonts w:cs="Arial"/>
          <w:smallCaps/>
          <w:szCs w:val="24"/>
        </w:rPr>
        <w:t>32 N. S</w:t>
      </w:r>
      <w:r>
        <w:rPr>
          <w:rFonts w:cs="Arial"/>
          <w:szCs w:val="24"/>
        </w:rPr>
        <w:t xml:space="preserve">. Rep. </w:t>
      </w:r>
      <w:r>
        <w:rPr>
          <w:rFonts w:cs="Arial"/>
          <w:smallCaps/>
          <w:szCs w:val="24"/>
        </w:rPr>
        <w:t>129.</w:t>
      </w:r>
    </w:p>
  </w:footnote>
  <w:footnote w:id="3">
    <w:p w:rsidR="002018FD" w:rsidRPr="002018FD" w:rsidRDefault="002018FD">
      <w:pPr>
        <w:pStyle w:val="FootnoteText"/>
        <w:rPr>
          <w:lang w:val="en-US"/>
        </w:rPr>
      </w:pPr>
      <w:r>
        <w:rPr>
          <w:rStyle w:val="FootnoteReference"/>
        </w:rPr>
        <w:footnoteRef/>
      </w:r>
      <w:r>
        <w:t xml:space="preserve"> </w:t>
      </w:r>
      <w:r>
        <w:rPr>
          <w:rFonts w:cs="Arial"/>
          <w:szCs w:val="24"/>
        </w:rPr>
        <w:t>1 C. M. &amp; R. 181.</w:t>
      </w:r>
    </w:p>
  </w:footnote>
  <w:footnote w:id="4">
    <w:p w:rsidR="002018FD" w:rsidRPr="002018FD" w:rsidRDefault="002018FD">
      <w:pPr>
        <w:pStyle w:val="FootnoteText"/>
        <w:rPr>
          <w:lang w:val="en-US"/>
        </w:rPr>
      </w:pPr>
      <w:r>
        <w:rPr>
          <w:rStyle w:val="FootnoteReference"/>
        </w:rPr>
        <w:footnoteRef/>
      </w:r>
      <w:r>
        <w:t xml:space="preserve"> </w:t>
      </w:r>
      <w:r>
        <w:rPr>
          <w:rFonts w:cs="Arial"/>
          <w:szCs w:val="24"/>
        </w:rPr>
        <w:t>10 C. B. 583.</w:t>
      </w:r>
    </w:p>
  </w:footnote>
  <w:footnote w:id="5">
    <w:p w:rsidR="002018FD" w:rsidRPr="002018FD" w:rsidRDefault="002018FD">
      <w:pPr>
        <w:pStyle w:val="FootnoteText"/>
        <w:rPr>
          <w:lang w:val="en-US"/>
        </w:rPr>
      </w:pPr>
      <w:r>
        <w:rPr>
          <w:rStyle w:val="FootnoteReference"/>
        </w:rPr>
        <w:footnoteRef/>
      </w:r>
      <w:r>
        <w:t xml:space="preserve"> </w:t>
      </w:r>
      <w:r>
        <w:rPr>
          <w:rFonts w:cs="Arial"/>
          <w:szCs w:val="24"/>
        </w:rPr>
        <w:t xml:space="preserve">5 </w:t>
      </w:r>
      <w:r>
        <w:rPr>
          <w:rFonts w:cs="Arial"/>
          <w:szCs w:val="24"/>
          <w:lang w:val="it-IT"/>
        </w:rPr>
        <w:t xml:space="preserve">E. </w:t>
      </w:r>
      <w:r>
        <w:rPr>
          <w:rFonts w:cs="Arial"/>
          <w:szCs w:val="24"/>
        </w:rPr>
        <w:t>&amp; B. 344.</w:t>
      </w:r>
    </w:p>
  </w:footnote>
  <w:footnote w:id="6">
    <w:p w:rsidR="002018FD" w:rsidRPr="002018FD" w:rsidRDefault="002018FD">
      <w:pPr>
        <w:pStyle w:val="FootnoteText"/>
        <w:rPr>
          <w:lang w:val="en-US"/>
        </w:rPr>
      </w:pPr>
      <w:r>
        <w:rPr>
          <w:rStyle w:val="FootnoteReference"/>
        </w:rPr>
        <w:footnoteRef/>
      </w:r>
      <w:r>
        <w:t xml:space="preserve"> </w:t>
      </w:r>
      <w:r>
        <w:rPr>
          <w:rFonts w:cs="Arial"/>
          <w:szCs w:val="24"/>
        </w:rPr>
        <w:t>[1891] A. C. 73.</w:t>
      </w:r>
    </w:p>
  </w:footnote>
  <w:footnote w:id="7">
    <w:p w:rsidR="002018FD" w:rsidRPr="002018FD" w:rsidRDefault="002018FD">
      <w:pPr>
        <w:pStyle w:val="FootnoteText"/>
        <w:rPr>
          <w:lang w:val="en-US"/>
        </w:rPr>
      </w:pPr>
      <w:r>
        <w:rPr>
          <w:rStyle w:val="FootnoteReference"/>
        </w:rPr>
        <w:footnoteRef/>
      </w:r>
      <w:r>
        <w:t xml:space="preserve"> </w:t>
      </w:r>
      <w:r>
        <w:rPr>
          <w:rFonts w:cs="Arial"/>
          <w:szCs w:val="24"/>
        </w:rPr>
        <w:t>[1895J 2 Q. B. 156; [1897] A. C. 68.</w:t>
      </w:r>
    </w:p>
  </w:footnote>
  <w:footnote w:id="8">
    <w:p w:rsidR="002018FD" w:rsidRPr="002018FD" w:rsidRDefault="002018FD">
      <w:pPr>
        <w:pStyle w:val="FootnoteText"/>
        <w:rPr>
          <w:lang w:val="en-US"/>
        </w:rPr>
      </w:pPr>
      <w:r>
        <w:rPr>
          <w:rStyle w:val="FootnoteReference"/>
        </w:rPr>
        <w:footnoteRef/>
      </w:r>
      <w:r>
        <w:t xml:space="preserve"> </w:t>
      </w:r>
      <w:r>
        <w:rPr>
          <w:rFonts w:cs="Arial"/>
          <w:szCs w:val="24"/>
        </w:rPr>
        <w:t>L. R. 4 Ex. 232.</w:t>
      </w:r>
    </w:p>
  </w:footnote>
  <w:footnote w:id="9">
    <w:p w:rsidR="002018FD" w:rsidRPr="002018FD" w:rsidRDefault="002018FD">
      <w:pPr>
        <w:pStyle w:val="FootnoteText"/>
        <w:rPr>
          <w:lang w:val="en-US"/>
        </w:rPr>
      </w:pPr>
      <w:r>
        <w:rPr>
          <w:rStyle w:val="FootnoteReference"/>
        </w:rPr>
        <w:footnoteRef/>
      </w:r>
      <w:r>
        <w:t xml:space="preserve"> </w:t>
      </w:r>
      <w:r>
        <w:rPr>
          <w:rFonts w:cs="Arial"/>
          <w:szCs w:val="24"/>
        </w:rPr>
        <w:t>6 Can. 8. C. R. 143.</w:t>
      </w:r>
    </w:p>
  </w:footnote>
  <w:footnote w:id="10">
    <w:p w:rsidR="002018FD" w:rsidRPr="002018FD" w:rsidRDefault="002018FD">
      <w:pPr>
        <w:pStyle w:val="FootnoteText"/>
        <w:rPr>
          <w:lang w:val="en-US"/>
        </w:rPr>
      </w:pPr>
      <w:r>
        <w:rPr>
          <w:rStyle w:val="FootnoteReference"/>
        </w:rPr>
        <w:footnoteRef/>
      </w:r>
      <w:r>
        <w:t xml:space="preserve"> </w:t>
      </w:r>
      <w:r>
        <w:rPr>
          <w:rFonts w:cs="Arial"/>
          <w:szCs w:val="24"/>
        </w:rPr>
        <w:t>32 O. R. 73.</w:t>
      </w:r>
    </w:p>
  </w:footnote>
  <w:footnote w:id="11">
    <w:p w:rsidR="002018FD" w:rsidRPr="002018FD" w:rsidRDefault="002018FD">
      <w:pPr>
        <w:pStyle w:val="FootnoteText"/>
        <w:rPr>
          <w:lang w:val="en-US"/>
        </w:rPr>
      </w:pPr>
      <w:r>
        <w:rPr>
          <w:rStyle w:val="FootnoteReference"/>
        </w:rPr>
        <w:footnoteRef/>
      </w:r>
      <w:r>
        <w:t xml:space="preserve"> </w:t>
      </w:r>
      <w:r>
        <w:rPr>
          <w:rFonts w:cs="Arial"/>
          <w:szCs w:val="24"/>
        </w:rPr>
        <w:t>McC. &amp; Y. 286.</w:t>
      </w:r>
    </w:p>
  </w:footnote>
  <w:footnote w:id="12">
    <w:p w:rsidR="002018FD" w:rsidRPr="002018FD" w:rsidRDefault="002018FD">
      <w:pPr>
        <w:pStyle w:val="FootnoteText"/>
        <w:rPr>
          <w:lang w:val="en-US"/>
        </w:rPr>
      </w:pPr>
      <w:r>
        <w:rPr>
          <w:rStyle w:val="FootnoteReference"/>
        </w:rPr>
        <w:footnoteRef/>
      </w:r>
      <w:r>
        <w:t xml:space="preserve"> </w:t>
      </w:r>
      <w:r>
        <w:rPr>
          <w:rFonts w:cs="Arial"/>
          <w:szCs w:val="24"/>
        </w:rPr>
        <w:t>L. R. 2 P. C. 317.</w:t>
      </w:r>
    </w:p>
  </w:footnote>
  <w:footnote w:id="13">
    <w:p w:rsidR="002018FD" w:rsidRPr="002018FD" w:rsidRDefault="002018FD">
      <w:pPr>
        <w:pStyle w:val="FootnoteText"/>
        <w:rPr>
          <w:lang w:val="en-US"/>
        </w:rPr>
      </w:pPr>
      <w:r>
        <w:rPr>
          <w:rStyle w:val="FootnoteReference"/>
        </w:rPr>
        <w:footnoteRef/>
      </w:r>
      <w:r>
        <w:t xml:space="preserve"> </w:t>
      </w:r>
      <w:r>
        <w:rPr>
          <w:rFonts w:cs="Arial"/>
          <w:szCs w:val="24"/>
        </w:rPr>
        <w:t xml:space="preserve">3 </w:t>
      </w:r>
      <w:r>
        <w:rPr>
          <w:rFonts w:cs="Arial"/>
          <w:szCs w:val="24"/>
          <w:lang w:val="de-DE"/>
        </w:rPr>
        <w:t xml:space="preserve">App. </w:t>
      </w:r>
      <w:r>
        <w:rPr>
          <w:rFonts w:cs="Arial"/>
          <w:szCs w:val="24"/>
        </w:rPr>
        <w:t>Cas. 193.</w:t>
      </w:r>
    </w:p>
  </w:footnote>
  <w:footnote w:id="14">
    <w:p w:rsidR="002018FD" w:rsidRPr="002018FD" w:rsidRDefault="002018FD">
      <w:pPr>
        <w:pStyle w:val="FootnoteText"/>
        <w:rPr>
          <w:lang w:val="en-US"/>
        </w:rPr>
      </w:pPr>
      <w:r>
        <w:rPr>
          <w:rStyle w:val="FootnoteReference"/>
        </w:rPr>
        <w:footnoteRef/>
      </w:r>
      <w:r>
        <w:t xml:space="preserve"> </w:t>
      </w:r>
      <w:r>
        <w:rPr>
          <w:rFonts w:cs="Arial"/>
          <w:szCs w:val="24"/>
        </w:rPr>
        <w:t>2 Salk. 646.</w:t>
      </w:r>
    </w:p>
  </w:footnote>
  <w:footnote w:id="15">
    <w:p w:rsidR="002018FD" w:rsidRPr="002018FD" w:rsidRDefault="002018FD">
      <w:pPr>
        <w:pStyle w:val="FootnoteText"/>
        <w:rPr>
          <w:lang w:val="en-US"/>
        </w:rPr>
      </w:pPr>
      <w:r>
        <w:rPr>
          <w:rStyle w:val="FootnoteReference"/>
        </w:rPr>
        <w:footnoteRef/>
      </w:r>
      <w:r>
        <w:t xml:space="preserve"> </w:t>
      </w:r>
      <w:r>
        <w:rPr>
          <w:rFonts w:cs="Arial"/>
          <w:szCs w:val="24"/>
        </w:rPr>
        <w:t>1 B. &amp; P. 338.</w:t>
      </w:r>
    </w:p>
  </w:footnote>
  <w:footnote w:id="16">
    <w:p w:rsidR="002018FD" w:rsidRPr="002018FD" w:rsidRDefault="002018FD">
      <w:pPr>
        <w:pStyle w:val="FootnoteText"/>
        <w:rPr>
          <w:lang w:val="en-US"/>
        </w:rPr>
      </w:pPr>
      <w:r>
        <w:rPr>
          <w:rStyle w:val="FootnoteReference"/>
        </w:rPr>
        <w:footnoteRef/>
      </w:r>
      <w:r>
        <w:t xml:space="preserve"> </w:t>
      </w:r>
      <w:r>
        <w:rPr>
          <w:rFonts w:cs="Arial"/>
          <w:szCs w:val="24"/>
        </w:rPr>
        <w:t>7 H. &amp; N. 151.</w:t>
      </w:r>
    </w:p>
  </w:footnote>
  <w:footnote w:id="17">
    <w:p w:rsidR="002018FD" w:rsidRPr="002018FD" w:rsidRDefault="002018FD">
      <w:pPr>
        <w:pStyle w:val="FootnoteText"/>
        <w:rPr>
          <w:lang w:val="en-US"/>
        </w:rPr>
      </w:pPr>
      <w:r>
        <w:rPr>
          <w:rStyle w:val="FootnoteReference"/>
        </w:rPr>
        <w:footnoteRef/>
      </w:r>
      <w:r>
        <w:t xml:space="preserve"> </w:t>
      </w:r>
      <w:r>
        <w:rPr>
          <w:rFonts w:cs="Arial"/>
          <w:szCs w:val="24"/>
        </w:rPr>
        <w:t>1 Moo. P. C. (N.S.)]01.</w:t>
      </w:r>
    </w:p>
  </w:footnote>
  <w:footnote w:id="18">
    <w:p w:rsidR="002018FD" w:rsidRPr="002018FD" w:rsidRDefault="002018FD">
      <w:pPr>
        <w:pStyle w:val="FootnoteText"/>
        <w:rPr>
          <w:lang w:val="en-US"/>
        </w:rPr>
      </w:pPr>
      <w:r>
        <w:rPr>
          <w:rStyle w:val="FootnoteReference"/>
        </w:rPr>
        <w:footnoteRef/>
      </w:r>
      <w:r>
        <w:t xml:space="preserve"> </w:t>
      </w:r>
      <w:r>
        <w:rPr>
          <w:rFonts w:cs="Arial"/>
          <w:szCs w:val="24"/>
        </w:rPr>
        <w:t>2 T. R. 4.</w:t>
      </w:r>
    </w:p>
  </w:footnote>
  <w:footnote w:id="19">
    <w:p w:rsidR="002018FD" w:rsidRPr="002018FD" w:rsidRDefault="002018FD">
      <w:pPr>
        <w:pStyle w:val="FootnoteText"/>
        <w:rPr>
          <w:lang w:val="en-US"/>
        </w:rPr>
      </w:pPr>
      <w:r>
        <w:rPr>
          <w:rStyle w:val="FootnoteReference"/>
        </w:rPr>
        <w:footnoteRef/>
      </w:r>
      <w:r>
        <w:t xml:space="preserve"> </w:t>
      </w:r>
      <w:r>
        <w:rPr>
          <w:rFonts w:cs="Arial"/>
          <w:szCs w:val="24"/>
        </w:rPr>
        <w:t>2 Bing. 483.</w:t>
      </w:r>
    </w:p>
  </w:footnote>
  <w:footnote w:id="20">
    <w:p w:rsidR="002018FD" w:rsidRPr="002018FD" w:rsidRDefault="002018FD">
      <w:pPr>
        <w:pStyle w:val="FootnoteText"/>
        <w:rPr>
          <w:lang w:val="en-US"/>
        </w:rPr>
      </w:pPr>
      <w:r>
        <w:rPr>
          <w:rStyle w:val="FootnoteReference"/>
        </w:rPr>
        <w:footnoteRef/>
      </w:r>
      <w:r>
        <w:t xml:space="preserve"> </w:t>
      </w:r>
      <w:r>
        <w:rPr>
          <w:rFonts w:cs="Arial"/>
          <w:szCs w:val="24"/>
        </w:rPr>
        <w:t>3 N. S. Dec. 521.</w:t>
      </w:r>
    </w:p>
  </w:footnote>
  <w:footnote w:id="21">
    <w:p w:rsidR="002018FD" w:rsidRPr="002018FD" w:rsidRDefault="002018FD">
      <w:pPr>
        <w:pStyle w:val="FootnoteText"/>
        <w:rPr>
          <w:lang w:val="en-US"/>
        </w:rPr>
      </w:pPr>
      <w:r>
        <w:rPr>
          <w:rStyle w:val="FootnoteReference"/>
        </w:rPr>
        <w:footnoteRef/>
      </w:r>
      <w:r>
        <w:t xml:space="preserve"> </w:t>
      </w:r>
      <w:r>
        <w:rPr>
          <w:rFonts w:cs="Arial"/>
          <w:szCs w:val="24"/>
        </w:rPr>
        <w:t>29 N. B. Rep. 670.</w:t>
      </w:r>
    </w:p>
  </w:footnote>
  <w:footnote w:id="22">
    <w:p w:rsidR="002018FD" w:rsidRPr="002018FD" w:rsidRDefault="002018FD">
      <w:pPr>
        <w:pStyle w:val="FootnoteText"/>
        <w:rPr>
          <w:lang w:val="en-US"/>
        </w:rPr>
      </w:pPr>
      <w:r>
        <w:rPr>
          <w:rStyle w:val="FootnoteReference"/>
        </w:rPr>
        <w:footnoteRef/>
      </w:r>
      <w:r>
        <w:t xml:space="preserve"> </w:t>
      </w:r>
      <w:r>
        <w:rPr>
          <w:rFonts w:cs="Arial"/>
          <w:szCs w:val="24"/>
        </w:rPr>
        <w:t>14 Ch. D. 674.</w:t>
      </w:r>
    </w:p>
  </w:footnote>
  <w:footnote w:id="23">
    <w:p w:rsidR="002018FD" w:rsidRPr="002018FD" w:rsidRDefault="002018FD">
      <w:pPr>
        <w:pStyle w:val="FootnoteText"/>
        <w:rPr>
          <w:lang w:val="en-US"/>
        </w:rPr>
      </w:pPr>
      <w:r>
        <w:rPr>
          <w:rStyle w:val="FootnoteReference"/>
        </w:rPr>
        <w:footnoteRef/>
      </w:r>
      <w:r>
        <w:t xml:space="preserve"> </w:t>
      </w:r>
      <w:r>
        <w:rPr>
          <w:rFonts w:cs="Arial"/>
          <w:szCs w:val="24"/>
        </w:rPr>
        <w:t>15 Ont. App. R. 695.</w:t>
      </w:r>
    </w:p>
  </w:footnote>
  <w:footnote w:id="24">
    <w:p w:rsidR="002018FD" w:rsidRPr="002018FD" w:rsidRDefault="002018FD">
      <w:pPr>
        <w:pStyle w:val="FootnoteText"/>
        <w:rPr>
          <w:lang w:val="en-US"/>
        </w:rPr>
      </w:pPr>
      <w:r>
        <w:rPr>
          <w:rStyle w:val="FootnoteReference"/>
        </w:rPr>
        <w:footnoteRef/>
      </w:r>
      <w:r>
        <w:t xml:space="preserve"> </w:t>
      </w:r>
      <w:r>
        <w:rPr>
          <w:rFonts w:cs="Arial"/>
          <w:szCs w:val="24"/>
        </w:rPr>
        <w:t>[1896] A. C. 44.</w:t>
      </w:r>
    </w:p>
  </w:footnote>
  <w:footnote w:id="25">
    <w:p w:rsidR="002018FD" w:rsidRPr="002018FD" w:rsidRDefault="002018FD">
      <w:pPr>
        <w:pStyle w:val="FootnoteText"/>
        <w:rPr>
          <w:lang w:val="en-US"/>
        </w:rPr>
      </w:pPr>
      <w:r>
        <w:rPr>
          <w:rStyle w:val="FootnoteReference"/>
        </w:rPr>
        <w:footnoteRef/>
      </w:r>
      <w:r>
        <w:t xml:space="preserve"> </w:t>
      </w:r>
      <w:r>
        <w:rPr>
          <w:rFonts w:cs="Arial"/>
          <w:szCs w:val="24"/>
        </w:rPr>
        <w:t xml:space="preserve">11 </w:t>
      </w:r>
      <w:r>
        <w:rPr>
          <w:rFonts w:cs="Arial"/>
          <w:smallCaps/>
          <w:szCs w:val="24"/>
        </w:rPr>
        <w:t xml:space="preserve">M. </w:t>
      </w:r>
      <w:r>
        <w:rPr>
          <w:rFonts w:cs="Arial"/>
          <w:szCs w:val="24"/>
        </w:rPr>
        <w:t>&amp; W. 401.</w:t>
      </w:r>
    </w:p>
  </w:footnote>
  <w:footnote w:id="26">
    <w:p w:rsidR="002018FD" w:rsidRPr="002018FD" w:rsidRDefault="002018FD">
      <w:pPr>
        <w:pStyle w:val="FootnoteText"/>
        <w:rPr>
          <w:lang w:val="en-US"/>
        </w:rPr>
      </w:pPr>
      <w:r>
        <w:rPr>
          <w:rStyle w:val="FootnoteReference"/>
        </w:rPr>
        <w:footnoteRef/>
      </w:r>
      <w:r>
        <w:t xml:space="preserve"> </w:t>
      </w:r>
      <w:r>
        <w:rPr>
          <w:rFonts w:cs="Arial"/>
          <w:szCs w:val="24"/>
        </w:rPr>
        <w:t>1 H. &amp; N. 1.</w:t>
      </w:r>
    </w:p>
  </w:footnote>
  <w:footnote w:id="27">
    <w:p w:rsidR="002018FD" w:rsidRPr="002018FD" w:rsidRDefault="002018FD">
      <w:pPr>
        <w:pStyle w:val="FootnoteText"/>
        <w:rPr>
          <w:lang w:val="en-US"/>
        </w:rPr>
      </w:pPr>
      <w:r>
        <w:rPr>
          <w:rStyle w:val="FootnoteReference"/>
        </w:rPr>
        <w:footnoteRef/>
      </w:r>
      <w:r>
        <w:t xml:space="preserve"> </w:t>
      </w:r>
      <w:r>
        <w:rPr>
          <w:rFonts w:cs="Arial"/>
          <w:szCs w:val="24"/>
        </w:rPr>
        <w:t>29 N. S. Rep. 444.</w:t>
      </w:r>
    </w:p>
  </w:footnote>
  <w:footnote w:id="28">
    <w:p w:rsidR="002018FD" w:rsidRPr="002018FD" w:rsidRDefault="002018FD">
      <w:pPr>
        <w:pStyle w:val="FootnoteText"/>
        <w:rPr>
          <w:lang w:val="en-US"/>
        </w:rPr>
      </w:pPr>
      <w:r>
        <w:rPr>
          <w:rStyle w:val="FootnoteReference"/>
        </w:rPr>
        <w:footnoteRef/>
      </w:r>
      <w:r>
        <w:t xml:space="preserve"> </w:t>
      </w:r>
      <w:r>
        <w:rPr>
          <w:rFonts w:cs="Arial"/>
          <w:szCs w:val="24"/>
        </w:rPr>
        <w:t>1 N. S. Dec. 75.</w:t>
      </w:r>
    </w:p>
  </w:footnote>
  <w:footnote w:id="29">
    <w:p w:rsidR="002018FD" w:rsidRPr="002018FD" w:rsidRDefault="002018FD">
      <w:pPr>
        <w:pStyle w:val="FootnoteText"/>
        <w:rPr>
          <w:lang w:val="en-US"/>
        </w:rPr>
      </w:pPr>
      <w:r>
        <w:rPr>
          <w:rStyle w:val="FootnoteReference"/>
        </w:rPr>
        <w:footnoteRef/>
      </w:r>
      <w:r>
        <w:t xml:space="preserve"> </w:t>
      </w:r>
      <w:r>
        <w:rPr>
          <w:rFonts w:cs="Arial"/>
          <w:szCs w:val="24"/>
        </w:rPr>
        <w:t>12 Q. B. D. 58.</w:t>
      </w:r>
    </w:p>
  </w:footnote>
  <w:footnote w:id="30">
    <w:p w:rsidR="002018FD" w:rsidRPr="002018FD" w:rsidRDefault="002018FD">
      <w:pPr>
        <w:pStyle w:val="FootnoteText"/>
        <w:rPr>
          <w:lang w:val="en-US"/>
        </w:rPr>
      </w:pPr>
      <w:r>
        <w:rPr>
          <w:rStyle w:val="FootnoteReference"/>
        </w:rPr>
        <w:footnoteRef/>
      </w:r>
      <w:r>
        <w:t xml:space="preserve"> </w:t>
      </w:r>
      <w:r>
        <w:rPr>
          <w:rFonts w:cs="Arial"/>
          <w:szCs w:val="24"/>
        </w:rPr>
        <w:t>[1891] 1 Q. B. 444.</w:t>
      </w:r>
    </w:p>
  </w:footnote>
  <w:footnote w:id="31">
    <w:p w:rsidR="002018FD" w:rsidRPr="002018FD" w:rsidRDefault="002018FD">
      <w:pPr>
        <w:pStyle w:val="FootnoteText"/>
        <w:rPr>
          <w:lang w:val="en-US"/>
        </w:rPr>
      </w:pPr>
      <w:r>
        <w:rPr>
          <w:rStyle w:val="FootnoteReference"/>
        </w:rPr>
        <w:footnoteRef/>
      </w:r>
      <w:r>
        <w:t xml:space="preserve"> </w:t>
      </w:r>
      <w:r>
        <w:rPr>
          <w:rFonts w:cs="Arial"/>
          <w:szCs w:val="24"/>
        </w:rPr>
        <w:t>21 Can. S. C. R. 19.</w:t>
      </w:r>
    </w:p>
  </w:footnote>
  <w:footnote w:id="32">
    <w:p w:rsidR="002018FD" w:rsidRPr="002018FD" w:rsidRDefault="002018FD">
      <w:pPr>
        <w:pStyle w:val="FootnoteText"/>
        <w:rPr>
          <w:lang w:val="en-US"/>
        </w:rPr>
      </w:pPr>
      <w:r>
        <w:rPr>
          <w:rStyle w:val="FootnoteReference"/>
        </w:rPr>
        <w:footnoteRef/>
      </w:r>
      <w:r>
        <w:t xml:space="preserve"> </w:t>
      </w:r>
      <w:r>
        <w:rPr>
          <w:rFonts w:cs="Arial"/>
          <w:szCs w:val="24"/>
        </w:rPr>
        <w:t>29 Can. S. C. R. 717.</w:t>
      </w:r>
    </w:p>
  </w:footnote>
  <w:footnote w:id="33">
    <w:p w:rsidR="002018FD" w:rsidRPr="002018FD" w:rsidRDefault="002018FD">
      <w:pPr>
        <w:pStyle w:val="FootnoteText"/>
        <w:rPr>
          <w:lang w:val="en-US"/>
        </w:rPr>
      </w:pPr>
      <w:r>
        <w:rPr>
          <w:rStyle w:val="FootnoteReference"/>
        </w:rPr>
        <w:footnoteRef/>
      </w:r>
      <w:r>
        <w:t xml:space="preserve"> </w:t>
      </w:r>
      <w:r>
        <w:rPr>
          <w:rFonts w:cs="Arial"/>
          <w:szCs w:val="24"/>
        </w:rPr>
        <w:t>19 N. S. Rep. 330.</w:t>
      </w:r>
    </w:p>
  </w:footnote>
  <w:footnote w:id="34">
    <w:p w:rsidR="002018FD" w:rsidRPr="002018FD" w:rsidRDefault="002018FD">
      <w:pPr>
        <w:pStyle w:val="FootnoteText"/>
        <w:rPr>
          <w:lang w:val="en-US"/>
        </w:rPr>
      </w:pPr>
      <w:r>
        <w:rPr>
          <w:rStyle w:val="FootnoteReference"/>
        </w:rPr>
        <w:footnoteRef/>
      </w:r>
      <w:r>
        <w:t xml:space="preserve"> </w:t>
      </w:r>
      <w:r>
        <w:rPr>
          <w:rFonts w:cs="Arial"/>
          <w:szCs w:val="24"/>
        </w:rPr>
        <w:t>15 M. &amp; W. 435.</w:t>
      </w:r>
    </w:p>
  </w:footnote>
  <w:footnote w:id="35">
    <w:p w:rsidR="002018FD" w:rsidRPr="002018FD" w:rsidRDefault="002018FD">
      <w:pPr>
        <w:pStyle w:val="FootnoteText"/>
        <w:rPr>
          <w:lang w:val="en-US"/>
        </w:rPr>
      </w:pPr>
      <w:r>
        <w:rPr>
          <w:rStyle w:val="FootnoteReference"/>
        </w:rPr>
        <w:footnoteRef/>
      </w:r>
      <w:r>
        <w:t xml:space="preserve"> </w:t>
      </w:r>
      <w:r>
        <w:rPr>
          <w:rFonts w:cs="Arial"/>
          <w:szCs w:val="24"/>
        </w:rPr>
        <w:t>5 C. P. D. 514; 7 App. Cas. 764.</w:t>
      </w:r>
    </w:p>
  </w:footnote>
  <w:footnote w:id="36">
    <w:p w:rsidR="002018FD" w:rsidRPr="002018FD" w:rsidRDefault="002018FD">
      <w:pPr>
        <w:pStyle w:val="FootnoteText"/>
        <w:rPr>
          <w:lang w:val="en-US"/>
        </w:rPr>
      </w:pPr>
      <w:r>
        <w:rPr>
          <w:rStyle w:val="FootnoteReference"/>
        </w:rPr>
        <w:footnoteRef/>
      </w:r>
      <w:r>
        <w:t xml:space="preserve"> </w:t>
      </w:r>
      <w:r>
        <w:rPr>
          <w:rFonts w:cs="Arial"/>
          <w:szCs w:val="24"/>
        </w:rPr>
        <w:t>[1897] A. C. 68.</w:t>
      </w:r>
    </w:p>
  </w:footnote>
  <w:footnote w:id="37">
    <w:p w:rsidR="002018FD" w:rsidRPr="002018FD" w:rsidRDefault="002018FD">
      <w:pPr>
        <w:pStyle w:val="FootnoteText"/>
        <w:rPr>
          <w:lang w:val="en-US"/>
        </w:rPr>
      </w:pPr>
      <w:r>
        <w:rPr>
          <w:rStyle w:val="FootnoteReference"/>
        </w:rPr>
        <w:footnoteRef/>
      </w:r>
      <w:r>
        <w:t xml:space="preserve"> </w:t>
      </w:r>
      <w:r>
        <w:rPr>
          <w:rFonts w:cs="Arial"/>
          <w:szCs w:val="24"/>
        </w:rPr>
        <w:t>24 Ont. App. R. 287.</w:t>
      </w:r>
    </w:p>
  </w:footnote>
  <w:footnote w:id="38">
    <w:p w:rsidR="002018FD" w:rsidRPr="002018FD" w:rsidRDefault="002018FD">
      <w:pPr>
        <w:pStyle w:val="FootnoteText"/>
        <w:rPr>
          <w:lang w:val="en-US"/>
        </w:rPr>
      </w:pPr>
      <w:r>
        <w:rPr>
          <w:rStyle w:val="FootnoteReference"/>
        </w:rPr>
        <w:footnoteRef/>
      </w:r>
      <w:r>
        <w:t xml:space="preserve"> </w:t>
      </w:r>
      <w:r>
        <w:rPr>
          <w:rFonts w:cs="Arial"/>
          <w:szCs w:val="24"/>
        </w:rPr>
        <w:t>10 Q. B. 899.</w:t>
      </w:r>
    </w:p>
  </w:footnote>
  <w:footnote w:id="39">
    <w:p w:rsidR="002018FD" w:rsidRPr="002018FD" w:rsidRDefault="002018FD">
      <w:pPr>
        <w:pStyle w:val="FootnoteText"/>
        <w:rPr>
          <w:lang w:val="en-US"/>
        </w:rPr>
      </w:pPr>
      <w:r>
        <w:rPr>
          <w:rStyle w:val="FootnoteReference"/>
        </w:rPr>
        <w:footnoteRef/>
      </w:r>
      <w:r>
        <w:t xml:space="preserve"> </w:t>
      </w:r>
      <w:r>
        <w:rPr>
          <w:rFonts w:cs="Arial"/>
          <w:szCs w:val="24"/>
        </w:rPr>
        <w:t>[1892] 1 Q. B. 431.</w:t>
      </w:r>
    </w:p>
  </w:footnote>
  <w:footnote w:id="40">
    <w:p w:rsidR="002018FD" w:rsidRPr="002018FD" w:rsidRDefault="002018FD">
      <w:pPr>
        <w:pStyle w:val="FootnoteText"/>
        <w:rPr>
          <w:lang w:val="en-US"/>
        </w:rPr>
      </w:pPr>
      <w:r>
        <w:rPr>
          <w:rStyle w:val="FootnoteReference"/>
        </w:rPr>
        <w:footnoteRef/>
      </w:r>
      <w:r>
        <w:t xml:space="preserve"> </w:t>
      </w:r>
      <w:r>
        <w:rPr>
          <w:rFonts w:cs="Arial"/>
          <w:szCs w:val="24"/>
        </w:rPr>
        <w:t>5 Times L. R. 441.</w:t>
      </w:r>
    </w:p>
  </w:footnote>
  <w:footnote w:id="41">
    <w:p w:rsidR="002018FD" w:rsidRPr="002018FD" w:rsidRDefault="002018FD">
      <w:pPr>
        <w:pStyle w:val="FootnoteText"/>
        <w:rPr>
          <w:lang w:val="en-US"/>
        </w:rPr>
      </w:pPr>
      <w:r>
        <w:rPr>
          <w:rStyle w:val="FootnoteReference"/>
        </w:rPr>
        <w:footnoteRef/>
      </w:r>
      <w:r>
        <w:t xml:space="preserve"> </w:t>
      </w:r>
      <w:r>
        <w:rPr>
          <w:rFonts w:cs="Arial"/>
          <w:szCs w:val="24"/>
        </w:rPr>
        <w:t>[1891] 2 Q. B. 341.</w:t>
      </w:r>
    </w:p>
  </w:footnote>
  <w:footnote w:id="42">
    <w:p w:rsidR="002018FD" w:rsidRPr="002018FD" w:rsidRDefault="002018FD">
      <w:pPr>
        <w:pStyle w:val="FootnoteText"/>
        <w:rPr>
          <w:lang w:val="en-US"/>
        </w:rPr>
      </w:pPr>
      <w:r>
        <w:rPr>
          <w:rStyle w:val="FootnoteReference"/>
        </w:rPr>
        <w:footnoteRef/>
      </w:r>
      <w:r>
        <w:t xml:space="preserve"> </w:t>
      </w:r>
      <w:r>
        <w:rPr>
          <w:rFonts w:cs="Arial"/>
          <w:szCs w:val="24"/>
        </w:rPr>
        <w:t>27 N. S. Rep. 408.</w:t>
      </w:r>
    </w:p>
  </w:footnote>
  <w:footnote w:id="43">
    <w:p w:rsidR="002018FD" w:rsidRPr="002018FD" w:rsidRDefault="002018FD">
      <w:pPr>
        <w:pStyle w:val="FootnoteText"/>
        <w:rPr>
          <w:lang w:val="en-US"/>
        </w:rPr>
      </w:pPr>
      <w:r>
        <w:rPr>
          <w:rStyle w:val="FootnoteReference"/>
        </w:rPr>
        <w:footnoteRef/>
      </w:r>
      <w:r>
        <w:t xml:space="preserve"> </w:t>
      </w:r>
      <w:r>
        <w:rPr>
          <w:rFonts w:cs="Arial"/>
          <w:szCs w:val="24"/>
        </w:rPr>
        <w:t>56 N. E. Rep. 619.</w:t>
      </w:r>
    </w:p>
  </w:footnote>
  <w:footnote w:id="44">
    <w:p w:rsidR="002018FD" w:rsidRPr="002018FD" w:rsidRDefault="002018FD">
      <w:pPr>
        <w:pStyle w:val="FootnoteText"/>
        <w:rPr>
          <w:lang w:val="en-US"/>
        </w:rPr>
      </w:pPr>
      <w:r>
        <w:rPr>
          <w:rStyle w:val="FootnoteReference"/>
        </w:rPr>
        <w:footnoteRef/>
      </w:r>
      <w:r>
        <w:t xml:space="preserve"> </w:t>
      </w:r>
      <w:r>
        <w:rPr>
          <w:rFonts w:cs="Arial"/>
          <w:szCs w:val="24"/>
        </w:rPr>
        <w:t>37 L. T. 433.</w:t>
      </w:r>
    </w:p>
  </w:footnote>
  <w:footnote w:id="45">
    <w:p w:rsidR="002018FD" w:rsidRPr="002018FD" w:rsidRDefault="002018FD">
      <w:pPr>
        <w:pStyle w:val="FootnoteText"/>
        <w:rPr>
          <w:lang w:val="en-US"/>
        </w:rPr>
      </w:pPr>
      <w:r>
        <w:rPr>
          <w:rStyle w:val="FootnoteReference"/>
        </w:rPr>
        <w:footnoteRef/>
      </w:r>
      <w:r>
        <w:t xml:space="preserve"> </w:t>
      </w:r>
      <w:r>
        <w:rPr>
          <w:rFonts w:cs="Arial"/>
          <w:szCs w:val="24"/>
        </w:rPr>
        <w:t>2 Times L. R. 113, 209.</w:t>
      </w:r>
    </w:p>
  </w:footnote>
  <w:footnote w:id="46">
    <w:p w:rsidR="002018FD" w:rsidRPr="002018FD" w:rsidRDefault="002018FD">
      <w:pPr>
        <w:pStyle w:val="FootnoteText"/>
        <w:rPr>
          <w:lang w:val="en-US"/>
        </w:rPr>
      </w:pPr>
      <w:r>
        <w:rPr>
          <w:rStyle w:val="FootnoteReference"/>
        </w:rPr>
        <w:footnoteRef/>
      </w:r>
      <w:r>
        <w:t xml:space="preserve"> </w:t>
      </w:r>
      <w:r>
        <w:rPr>
          <w:rFonts w:cs="Arial"/>
          <w:szCs w:val="24"/>
        </w:rPr>
        <w:t>8 Times L. R. 440.</w:t>
      </w:r>
    </w:p>
  </w:footnote>
  <w:footnote w:id="47">
    <w:p w:rsidR="002018FD" w:rsidRPr="002018FD" w:rsidRDefault="002018FD">
      <w:pPr>
        <w:pStyle w:val="FootnoteText"/>
        <w:rPr>
          <w:lang w:val="en-US"/>
        </w:rPr>
      </w:pPr>
      <w:r>
        <w:rPr>
          <w:rStyle w:val="FootnoteReference"/>
        </w:rPr>
        <w:footnoteRef/>
      </w:r>
      <w:r>
        <w:t xml:space="preserve"> </w:t>
      </w:r>
      <w:r>
        <w:rPr>
          <w:rFonts w:cs="Arial"/>
          <w:szCs w:val="24"/>
        </w:rPr>
        <w:t>9 Times L. R. 461.</w:t>
      </w:r>
    </w:p>
  </w:footnote>
  <w:footnote w:id="48">
    <w:p w:rsidR="002018FD" w:rsidRPr="002018FD" w:rsidRDefault="002018FD">
      <w:pPr>
        <w:pStyle w:val="FootnoteText"/>
        <w:rPr>
          <w:lang w:val="en-US"/>
        </w:rPr>
      </w:pPr>
      <w:r>
        <w:rPr>
          <w:rStyle w:val="FootnoteReference"/>
        </w:rPr>
        <w:footnoteRef/>
      </w:r>
      <w:r>
        <w:t xml:space="preserve"> </w:t>
      </w:r>
      <w:r>
        <w:rPr>
          <w:rFonts w:cs="Arial"/>
          <w:szCs w:val="24"/>
        </w:rPr>
        <w:t>[18911 1 Q. B. 594.</w:t>
      </w:r>
    </w:p>
  </w:footnote>
  <w:footnote w:id="49">
    <w:p w:rsidR="002018FD" w:rsidRPr="002018FD" w:rsidRDefault="002018FD">
      <w:pPr>
        <w:pStyle w:val="FootnoteText"/>
        <w:rPr>
          <w:lang w:val="en-US"/>
        </w:rPr>
      </w:pPr>
      <w:r>
        <w:rPr>
          <w:rStyle w:val="FootnoteReference"/>
        </w:rPr>
        <w:footnoteRef/>
      </w:r>
      <w:r>
        <w:t xml:space="preserve"> </w:t>
      </w:r>
      <w:r>
        <w:rPr>
          <w:rFonts w:cs="Arial"/>
          <w:szCs w:val="24"/>
        </w:rPr>
        <w:t>[1894] 1 Q. B. 842.</w:t>
      </w:r>
    </w:p>
  </w:footnote>
  <w:footnote w:id="50">
    <w:p w:rsidR="002018FD" w:rsidRPr="002018FD" w:rsidRDefault="002018FD">
      <w:pPr>
        <w:pStyle w:val="FootnoteText"/>
        <w:rPr>
          <w:lang w:val="en-US"/>
        </w:rPr>
      </w:pPr>
      <w:r>
        <w:rPr>
          <w:rStyle w:val="FootnoteReference"/>
        </w:rPr>
        <w:footnoteRef/>
      </w:r>
      <w:r>
        <w:t xml:space="preserve"> </w:t>
      </w:r>
      <w:r>
        <w:rPr>
          <w:rFonts w:cs="Arial"/>
          <w:szCs w:val="24"/>
        </w:rPr>
        <w:t>3 Q. B. D. 237.</w:t>
      </w:r>
    </w:p>
  </w:footnote>
  <w:footnote w:id="51">
    <w:p w:rsidR="002018FD" w:rsidRPr="002018FD" w:rsidRDefault="002018FD">
      <w:pPr>
        <w:pStyle w:val="FootnoteText"/>
        <w:rPr>
          <w:lang w:val="en-US"/>
        </w:rPr>
      </w:pPr>
      <w:r>
        <w:rPr>
          <w:rStyle w:val="FootnoteReference"/>
        </w:rPr>
        <w:footnoteRef/>
      </w:r>
      <w:r>
        <w:t xml:space="preserve"> </w:t>
      </w:r>
      <w:r>
        <w:rPr>
          <w:rFonts w:cs="Arial"/>
          <w:szCs w:val="24"/>
        </w:rPr>
        <w:t>2 Q. B.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3" w:rsidRDefault="00CF27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3" w:rsidRDefault="00CF27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43" w:rsidRDefault="00CF2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228CAF2">
      <w:start w:val="1"/>
      <w:numFmt w:val="decimal"/>
      <w:pStyle w:val="ParagNum"/>
      <w:lvlText w:val="[%1]"/>
      <w:lvlJc w:val="left"/>
      <w:pPr>
        <w:tabs>
          <w:tab w:val="num" w:pos="369"/>
        </w:tabs>
        <w:ind w:left="369" w:hanging="369"/>
      </w:pPr>
    </w:lvl>
    <w:lvl w:ilvl="1" w:tplc="4EFCB2AC" w:tentative="1">
      <w:start w:val="1"/>
      <w:numFmt w:val="lowerLetter"/>
      <w:lvlText w:val="%2."/>
      <w:lvlJc w:val="left"/>
      <w:pPr>
        <w:tabs>
          <w:tab w:val="num" w:pos="1440"/>
        </w:tabs>
        <w:ind w:left="1440" w:hanging="360"/>
      </w:pPr>
    </w:lvl>
    <w:lvl w:ilvl="2" w:tplc="11149084" w:tentative="1">
      <w:start w:val="1"/>
      <w:numFmt w:val="lowerRoman"/>
      <w:lvlText w:val="%3."/>
      <w:lvlJc w:val="right"/>
      <w:pPr>
        <w:tabs>
          <w:tab w:val="num" w:pos="2160"/>
        </w:tabs>
        <w:ind w:left="2160" w:hanging="180"/>
      </w:pPr>
    </w:lvl>
    <w:lvl w:ilvl="3" w:tplc="9D429648" w:tentative="1">
      <w:start w:val="1"/>
      <w:numFmt w:val="decimal"/>
      <w:lvlText w:val="%4."/>
      <w:lvlJc w:val="left"/>
      <w:pPr>
        <w:tabs>
          <w:tab w:val="num" w:pos="2880"/>
        </w:tabs>
        <w:ind w:left="2880" w:hanging="360"/>
      </w:pPr>
    </w:lvl>
    <w:lvl w:ilvl="4" w:tplc="D500E48C" w:tentative="1">
      <w:start w:val="1"/>
      <w:numFmt w:val="lowerLetter"/>
      <w:lvlText w:val="%5."/>
      <w:lvlJc w:val="left"/>
      <w:pPr>
        <w:tabs>
          <w:tab w:val="num" w:pos="3600"/>
        </w:tabs>
        <w:ind w:left="3600" w:hanging="360"/>
      </w:pPr>
    </w:lvl>
    <w:lvl w:ilvl="5" w:tplc="5CC67226" w:tentative="1">
      <w:start w:val="1"/>
      <w:numFmt w:val="lowerRoman"/>
      <w:lvlText w:val="%6."/>
      <w:lvlJc w:val="right"/>
      <w:pPr>
        <w:tabs>
          <w:tab w:val="num" w:pos="4320"/>
        </w:tabs>
        <w:ind w:left="4320" w:hanging="180"/>
      </w:pPr>
    </w:lvl>
    <w:lvl w:ilvl="6" w:tplc="BA7CBBCE" w:tentative="1">
      <w:start w:val="1"/>
      <w:numFmt w:val="decimal"/>
      <w:lvlText w:val="%7."/>
      <w:lvlJc w:val="left"/>
      <w:pPr>
        <w:tabs>
          <w:tab w:val="num" w:pos="5040"/>
        </w:tabs>
        <w:ind w:left="5040" w:hanging="360"/>
      </w:pPr>
    </w:lvl>
    <w:lvl w:ilvl="7" w:tplc="5EDC7356" w:tentative="1">
      <w:start w:val="1"/>
      <w:numFmt w:val="lowerLetter"/>
      <w:lvlText w:val="%8."/>
      <w:lvlJc w:val="left"/>
      <w:pPr>
        <w:tabs>
          <w:tab w:val="num" w:pos="5760"/>
        </w:tabs>
        <w:ind w:left="5760" w:hanging="360"/>
      </w:pPr>
    </w:lvl>
    <w:lvl w:ilvl="8" w:tplc="4BBCFA3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2743"/>
    <w:rsid w:val="00003B31"/>
    <w:rsid w:val="000061DF"/>
    <w:rsid w:val="00013FDA"/>
    <w:rsid w:val="000173FB"/>
    <w:rsid w:val="000655EC"/>
    <w:rsid w:val="00077D2F"/>
    <w:rsid w:val="0008547A"/>
    <w:rsid w:val="000B11B2"/>
    <w:rsid w:val="000B6688"/>
    <w:rsid w:val="000C3415"/>
    <w:rsid w:val="00121409"/>
    <w:rsid w:val="00125F0C"/>
    <w:rsid w:val="00126A8E"/>
    <w:rsid w:val="00141957"/>
    <w:rsid w:val="00177D76"/>
    <w:rsid w:val="001837F3"/>
    <w:rsid w:val="001D0D42"/>
    <w:rsid w:val="001D5C4A"/>
    <w:rsid w:val="001F6A76"/>
    <w:rsid w:val="002018FD"/>
    <w:rsid w:val="002209AC"/>
    <w:rsid w:val="002428EB"/>
    <w:rsid w:val="002A74DD"/>
    <w:rsid w:val="002B30C5"/>
    <w:rsid w:val="002C186C"/>
    <w:rsid w:val="002D5E01"/>
    <w:rsid w:val="002F1810"/>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20615"/>
    <w:rsid w:val="00537980"/>
    <w:rsid w:val="00563767"/>
    <w:rsid w:val="005667DA"/>
    <w:rsid w:val="00593C8B"/>
    <w:rsid w:val="006330E7"/>
    <w:rsid w:val="00641D8A"/>
    <w:rsid w:val="00644967"/>
    <w:rsid w:val="0066207D"/>
    <w:rsid w:val="0068068E"/>
    <w:rsid w:val="006D2BED"/>
    <w:rsid w:val="006D6F42"/>
    <w:rsid w:val="006E5FEA"/>
    <w:rsid w:val="007322EF"/>
    <w:rsid w:val="00747F2C"/>
    <w:rsid w:val="00751F7D"/>
    <w:rsid w:val="007969C4"/>
    <w:rsid w:val="007B3A90"/>
    <w:rsid w:val="007D6DD5"/>
    <w:rsid w:val="008027F3"/>
    <w:rsid w:val="008433A9"/>
    <w:rsid w:val="008550EF"/>
    <w:rsid w:val="00872F75"/>
    <w:rsid w:val="00880FBB"/>
    <w:rsid w:val="008B0B7A"/>
    <w:rsid w:val="00926406"/>
    <w:rsid w:val="009557FE"/>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E06EB"/>
    <w:rsid w:val="00C372DF"/>
    <w:rsid w:val="00C45FBD"/>
    <w:rsid w:val="00C54EB9"/>
    <w:rsid w:val="00C7016B"/>
    <w:rsid w:val="00C93FA5"/>
    <w:rsid w:val="00CB726B"/>
    <w:rsid w:val="00CC50DD"/>
    <w:rsid w:val="00CD1289"/>
    <w:rsid w:val="00CD1F09"/>
    <w:rsid w:val="00CD50FC"/>
    <w:rsid w:val="00CE2A11"/>
    <w:rsid w:val="00CF1E48"/>
    <w:rsid w:val="00CF2743"/>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1808"/>
    <w:rsid w:val="00F13669"/>
    <w:rsid w:val="00F177D8"/>
    <w:rsid w:val="00F35E8A"/>
    <w:rsid w:val="00F43F20"/>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B3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03B3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03B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03B31"/>
  </w:style>
  <w:style w:type="paragraph" w:styleId="Header">
    <w:name w:val="header"/>
    <w:basedOn w:val="Normal"/>
    <w:link w:val="HeaderChar"/>
    <w:uiPriority w:val="99"/>
    <w:unhideWhenUsed/>
    <w:rsid w:val="00003B31"/>
    <w:pPr>
      <w:tabs>
        <w:tab w:val="center" w:pos="4680"/>
        <w:tab w:val="right" w:pos="9360"/>
      </w:tabs>
    </w:pPr>
    <w:rPr>
      <w:rFonts w:ascii="Times New Roman" w:hAnsi="Times New Roman"/>
    </w:rPr>
  </w:style>
  <w:style w:type="character" w:customStyle="1" w:styleId="HeaderChar">
    <w:name w:val="Header Char"/>
    <w:link w:val="Header"/>
    <w:uiPriority w:val="99"/>
    <w:rsid w:val="00003B3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03B31"/>
    <w:pPr>
      <w:tabs>
        <w:tab w:val="center" w:pos="4680"/>
        <w:tab w:val="right" w:pos="9360"/>
      </w:tabs>
    </w:pPr>
    <w:rPr>
      <w:rFonts w:ascii="Times New Roman" w:hAnsi="Times New Roman"/>
    </w:rPr>
  </w:style>
  <w:style w:type="character" w:customStyle="1" w:styleId="FooterChar">
    <w:name w:val="Footer Char"/>
    <w:link w:val="Footer"/>
    <w:uiPriority w:val="99"/>
    <w:rsid w:val="00003B3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6207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03B31"/>
    <w:pPr>
      <w:spacing w:before="100" w:beforeAutospacing="1"/>
      <w:ind w:left="567"/>
      <w:jc w:val="both"/>
    </w:pPr>
  </w:style>
  <w:style w:type="paragraph" w:customStyle="1" w:styleId="Metadata">
    <w:name w:val="Metadata"/>
    <w:basedOn w:val="Normal"/>
    <w:rsid w:val="00003B31"/>
    <w:pPr>
      <w:spacing w:before="100" w:beforeAutospacing="1" w:after="100" w:afterAutospacing="1"/>
    </w:pPr>
    <w:rPr>
      <w:rFonts w:cs="Arial"/>
      <w:szCs w:val="24"/>
    </w:rPr>
  </w:style>
  <w:style w:type="paragraph" w:customStyle="1" w:styleId="Page">
    <w:name w:val="Page"/>
    <w:basedOn w:val="Normal"/>
    <w:link w:val="PageChar"/>
    <w:rsid w:val="00003B31"/>
    <w:pPr>
      <w:spacing w:before="100" w:beforeAutospacing="1" w:after="100" w:afterAutospacing="1"/>
    </w:pPr>
    <w:rPr>
      <w:i/>
    </w:rPr>
  </w:style>
  <w:style w:type="paragraph" w:styleId="FootnoteText">
    <w:name w:val="footnote text"/>
    <w:basedOn w:val="Normal"/>
    <w:link w:val="FootnoteTextChar"/>
    <w:autoRedefine/>
    <w:semiHidden/>
    <w:rsid w:val="00003B31"/>
    <w:rPr>
      <w:sz w:val="16"/>
      <w:szCs w:val="20"/>
    </w:rPr>
  </w:style>
  <w:style w:type="character" w:customStyle="1" w:styleId="FootnoteTextChar">
    <w:name w:val="Footnote Text Char"/>
    <w:link w:val="FootnoteText"/>
    <w:semiHidden/>
    <w:rsid w:val="00003B31"/>
    <w:rPr>
      <w:rFonts w:ascii="Arial" w:eastAsia="MS Mincho" w:hAnsi="Arial" w:cs="Times New Roman"/>
      <w:sz w:val="16"/>
      <w:szCs w:val="20"/>
      <w:lang w:val="en-CA" w:eastAsia="ja-JP"/>
    </w:rPr>
  </w:style>
  <w:style w:type="character" w:styleId="FootnoteReference">
    <w:name w:val="footnote reference"/>
    <w:semiHidden/>
    <w:rsid w:val="00003B31"/>
    <w:rPr>
      <w:vertAlign w:val="superscript"/>
    </w:rPr>
  </w:style>
  <w:style w:type="paragraph" w:customStyle="1" w:styleId="ParagNum">
    <w:name w:val="ParagNum"/>
    <w:basedOn w:val="Normal"/>
    <w:rsid w:val="00003B3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03B31"/>
    <w:pPr>
      <w:spacing w:before="100" w:beforeAutospacing="1" w:after="100" w:afterAutospacing="1" w:line="360" w:lineRule="auto"/>
    </w:pPr>
  </w:style>
  <w:style w:type="paragraph" w:customStyle="1" w:styleId="Indent2">
    <w:name w:val="Indent 2"/>
    <w:basedOn w:val="Indent1"/>
    <w:rsid w:val="00003B31"/>
    <w:pPr>
      <w:ind w:left="1134"/>
    </w:pPr>
  </w:style>
  <w:style w:type="paragraph" w:customStyle="1" w:styleId="Indent3">
    <w:name w:val="Indent 3"/>
    <w:basedOn w:val="Indent1"/>
    <w:rsid w:val="00003B31"/>
    <w:pPr>
      <w:ind w:left="1701"/>
    </w:pPr>
  </w:style>
  <w:style w:type="paragraph" w:customStyle="1" w:styleId="Indent4">
    <w:name w:val="Indent 4"/>
    <w:basedOn w:val="Indent1"/>
    <w:rsid w:val="00003B31"/>
    <w:pPr>
      <w:ind w:left="2268"/>
    </w:pPr>
  </w:style>
  <w:style w:type="paragraph" w:customStyle="1" w:styleId="Indent10">
    <w:name w:val="Indent1"/>
    <w:basedOn w:val="Reasons"/>
    <w:rsid w:val="00003B31"/>
    <w:pPr>
      <w:ind w:left="567"/>
    </w:pPr>
  </w:style>
  <w:style w:type="paragraph" w:customStyle="1" w:styleId="Indent20">
    <w:name w:val="Indent2"/>
    <w:basedOn w:val="Indent10"/>
    <w:rsid w:val="00003B31"/>
    <w:pPr>
      <w:ind w:left="1134"/>
    </w:pPr>
  </w:style>
  <w:style w:type="paragraph" w:customStyle="1" w:styleId="Indent30">
    <w:name w:val="Indent3"/>
    <w:basedOn w:val="Indent10"/>
    <w:rsid w:val="00003B31"/>
    <w:pPr>
      <w:ind w:left="1701"/>
    </w:pPr>
  </w:style>
  <w:style w:type="paragraph" w:customStyle="1" w:styleId="Indent40">
    <w:name w:val="Indent4"/>
    <w:basedOn w:val="Indent10"/>
    <w:rsid w:val="00003B31"/>
    <w:pPr>
      <w:ind w:left="2268"/>
    </w:pPr>
  </w:style>
  <w:style w:type="paragraph" w:customStyle="1" w:styleId="Keywords">
    <w:name w:val="Keywords"/>
    <w:basedOn w:val="Normal"/>
    <w:rsid w:val="00003B31"/>
    <w:pPr>
      <w:spacing w:before="100" w:beforeAutospacing="1" w:after="100" w:afterAutospacing="1"/>
    </w:pPr>
    <w:rPr>
      <w:rFonts w:cs="Arial"/>
      <w:i/>
      <w:szCs w:val="24"/>
    </w:rPr>
  </w:style>
  <w:style w:type="paragraph" w:customStyle="1" w:styleId="Summary">
    <w:name w:val="Summary"/>
    <w:basedOn w:val="Normal"/>
    <w:autoRedefine/>
    <w:rsid w:val="00003B31"/>
    <w:pPr>
      <w:spacing w:before="100" w:beforeAutospacing="1" w:after="100" w:afterAutospacing="1"/>
      <w:ind w:left="562" w:hanging="562"/>
    </w:pPr>
    <w:rPr>
      <w:rFonts w:cs="Arial"/>
    </w:rPr>
  </w:style>
  <w:style w:type="paragraph" w:customStyle="1" w:styleId="History">
    <w:name w:val="History"/>
    <w:basedOn w:val="Normal"/>
    <w:rsid w:val="00003B31"/>
    <w:pPr>
      <w:spacing w:before="100" w:beforeAutospacing="1" w:after="100" w:afterAutospacing="1"/>
      <w:ind w:firstLine="567"/>
    </w:pPr>
  </w:style>
  <w:style w:type="paragraph" w:customStyle="1" w:styleId="T1">
    <w:name w:val="T1"/>
    <w:basedOn w:val="Normal"/>
    <w:rsid w:val="00003B31"/>
    <w:pPr>
      <w:spacing w:before="240" w:after="100" w:afterAutospacing="1"/>
    </w:pPr>
    <w:rPr>
      <w:b/>
    </w:rPr>
  </w:style>
  <w:style w:type="paragraph" w:customStyle="1" w:styleId="T2">
    <w:name w:val="T2"/>
    <w:basedOn w:val="Normal"/>
    <w:rsid w:val="00003B31"/>
    <w:pPr>
      <w:spacing w:before="240" w:after="100" w:afterAutospacing="1"/>
    </w:pPr>
  </w:style>
  <w:style w:type="paragraph" w:customStyle="1" w:styleId="Sollicitors">
    <w:name w:val="Sollicitors"/>
    <w:basedOn w:val="Normal"/>
    <w:rsid w:val="00003B31"/>
    <w:pPr>
      <w:spacing w:before="100" w:beforeAutospacing="1" w:after="100" w:afterAutospacing="1"/>
    </w:pPr>
    <w:rPr>
      <w:i/>
    </w:rPr>
  </w:style>
  <w:style w:type="paragraph" w:customStyle="1" w:styleId="Court">
    <w:name w:val="Court"/>
    <w:basedOn w:val="Normal"/>
    <w:rsid w:val="00003B31"/>
    <w:rPr>
      <w:rFonts w:cs="Arial"/>
      <w:b/>
      <w:szCs w:val="24"/>
    </w:rPr>
  </w:style>
  <w:style w:type="character" w:customStyle="1" w:styleId="PageChar">
    <w:name w:val="Page Char"/>
    <w:link w:val="Page"/>
    <w:rsid w:val="00003B31"/>
    <w:rPr>
      <w:rFonts w:ascii="Arial" w:eastAsia="MS Mincho" w:hAnsi="Arial" w:cs="Times New Roman"/>
      <w:i/>
      <w:sz w:val="24"/>
      <w:szCs w:val="28"/>
      <w:lang w:val="en-CA" w:eastAsia="ja-JP"/>
    </w:rPr>
  </w:style>
  <w:style w:type="character" w:customStyle="1" w:styleId="ReasonsCar">
    <w:name w:val="Reasons Car"/>
    <w:link w:val="Reasons"/>
    <w:rsid w:val="00003B31"/>
    <w:rPr>
      <w:rFonts w:ascii="Arial" w:eastAsia="MS Mincho" w:hAnsi="Arial" w:cs="Times New Roman"/>
      <w:sz w:val="24"/>
      <w:szCs w:val="28"/>
      <w:lang w:val="en-CA" w:eastAsia="ja-JP"/>
    </w:rPr>
  </w:style>
  <w:style w:type="paragraph" w:customStyle="1" w:styleId="CitationLine">
    <w:name w:val="CitationLine"/>
    <w:basedOn w:val="Court"/>
    <w:rsid w:val="00003B31"/>
  </w:style>
  <w:style w:type="paragraph" w:customStyle="1" w:styleId="DateISO">
    <w:name w:val="DateISO"/>
    <w:basedOn w:val="Court"/>
    <w:rsid w:val="00003B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8</TotalTime>
  <Pages>8</Pages>
  <Words>2290</Words>
  <Characters>13056</Characters>
  <Application>Microsoft Office Word</Application>
  <DocSecurity>0</DocSecurity>
  <Lines>108</Lines>
  <Paragraphs>30</Paragraphs>
  <ScaleCrop>false</ScaleCrop>
  <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2015-03-19T12:57:00Z</dcterms:created>
  <dcterms:modified xsi:type="dcterms:W3CDTF">2015-03-23T10:27:00Z</dcterms:modified>
</cp:coreProperties>
</file>