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C6" w:rsidRDefault="001558C6" w:rsidP="001558C6">
      <w:pPr>
        <w:pStyle w:val="Court"/>
      </w:pPr>
      <w:r>
        <w:t>Supreme Court of Canada</w:t>
      </w:r>
    </w:p>
    <w:p w:rsidR="001558C6" w:rsidRDefault="001558C6" w:rsidP="001558C6">
      <w:pPr>
        <w:pStyle w:val="CitationLine"/>
      </w:pPr>
      <w:r w:rsidRPr="001558C6">
        <w:t xml:space="preserve">The Ottawa Electric Company </w:t>
      </w:r>
      <w:r w:rsidRPr="001558C6">
        <w:rPr>
          <w:i/>
          <w:iCs/>
        </w:rPr>
        <w:t xml:space="preserve">v. </w:t>
      </w:r>
      <w:r w:rsidRPr="001558C6">
        <w:t>Brennan</w:t>
      </w:r>
      <w:r>
        <w:t xml:space="preserve"> (1901) 31 SCR 311</w:t>
      </w:r>
    </w:p>
    <w:p w:rsidR="001558C6" w:rsidRDefault="001558C6" w:rsidP="001558C6">
      <w:pPr>
        <w:pStyle w:val="DateISO"/>
      </w:pPr>
      <w:r>
        <w:t>Date: 1901-05-07</w:t>
      </w:r>
    </w:p>
    <w:p w:rsidR="006376FC" w:rsidRPr="001558C6" w:rsidRDefault="001558C6" w:rsidP="001558C6">
      <w:pPr>
        <w:pStyle w:val="Metadata"/>
      </w:pPr>
      <w:r w:rsidRPr="001558C6">
        <w:t>Ottawa Electric Company (Defendant)</w:t>
      </w:r>
    </w:p>
    <w:p w:rsidR="006376FC" w:rsidRPr="001558C6" w:rsidRDefault="001558C6" w:rsidP="001558C6">
      <w:pPr>
        <w:pStyle w:val="Metadata"/>
      </w:pPr>
      <w:r w:rsidRPr="001558C6">
        <w:t>Appellant</w:t>
      </w:r>
    </w:p>
    <w:p w:rsidR="006376FC" w:rsidRPr="001558C6" w:rsidRDefault="001558C6" w:rsidP="001558C6">
      <w:pPr>
        <w:pStyle w:val="Metadata"/>
      </w:pPr>
      <w:r w:rsidRPr="001558C6">
        <w:t>And</w:t>
      </w:r>
    </w:p>
    <w:p w:rsidR="006376FC" w:rsidRPr="001558C6" w:rsidRDefault="001558C6" w:rsidP="001558C6">
      <w:pPr>
        <w:pStyle w:val="Metadata"/>
      </w:pPr>
      <w:r w:rsidRPr="001558C6">
        <w:t xml:space="preserve">John Charles Brennan </w:t>
      </w:r>
      <w:r>
        <w:t>a</w:t>
      </w:r>
      <w:r w:rsidRPr="001558C6">
        <w:t>nd Others (Plaintiffs)</w:t>
      </w:r>
    </w:p>
    <w:p w:rsidR="006376FC" w:rsidRPr="001558C6" w:rsidRDefault="001558C6" w:rsidP="001558C6">
      <w:pPr>
        <w:pStyle w:val="Metadata"/>
      </w:pPr>
      <w:r w:rsidRPr="001558C6">
        <w:t>Respondents</w:t>
      </w:r>
    </w:p>
    <w:p w:rsidR="001558C6" w:rsidRDefault="001558C6" w:rsidP="001558C6">
      <w:pPr>
        <w:pStyle w:val="Metadata"/>
      </w:pPr>
      <w:r>
        <w:t>1901: May 7.</w:t>
      </w:r>
    </w:p>
    <w:p w:rsidR="001558C6" w:rsidRDefault="001558C6" w:rsidP="001558C6">
      <w:pPr>
        <w:pStyle w:val="Metadata"/>
      </w:pPr>
      <w:r w:rsidRPr="001558C6">
        <w:t>Present</w:t>
      </w:r>
      <w:r>
        <w:rPr>
          <w:smallCaps/>
        </w:rPr>
        <w:t>:</w:t>
      </w:r>
      <w:r>
        <w:t>—Sir Henry Strong C.J. and Taschereau, Gwynne, Sedgewick and Girouard JJ.</w:t>
      </w:r>
    </w:p>
    <w:p w:rsidR="006376FC" w:rsidRDefault="006376FC" w:rsidP="001558C6">
      <w:pPr>
        <w:pStyle w:val="Metadata"/>
      </w:pPr>
      <w:r>
        <w:t>ON APPEAL FROM A DIVISIONAL COURT OF THE HIGH COURT OF JUSTICE FOR ONTARIO.</w:t>
      </w:r>
    </w:p>
    <w:p w:rsidR="006376FC" w:rsidRDefault="006376FC" w:rsidP="001558C6">
      <w:pPr>
        <w:pStyle w:val="Keywords"/>
      </w:pPr>
      <w:r>
        <w:t>Appeal per saltum—Jurisdiction—R. S. C. c. 135 s. 26 (3).</w:t>
      </w:r>
    </w:p>
    <w:p w:rsidR="006376FC" w:rsidRDefault="006376FC" w:rsidP="001558C6">
      <w:pPr>
        <w:pStyle w:val="Summary"/>
      </w:pPr>
      <w:r>
        <w:t>Leave to appeal direct to the Supreme Court from a judgment of a Divisional Court of the High Court of Justice under sec. 26, sub-sec. 3 of the Supreme and Exchequer Courts Act, cannot be granted unless it is clear that there is a right of appeal from such judgment to the Court of Appeal for Ontario.</w:t>
      </w:r>
    </w:p>
    <w:p w:rsidR="006376FC" w:rsidRDefault="00137375" w:rsidP="00137375">
      <w:pPr>
        <w:pStyle w:val="Page"/>
      </w:pPr>
      <w:r>
        <w:rPr>
          <w:rFonts w:cs="Arial"/>
          <w:szCs w:val="24"/>
        </w:rPr>
        <w:t xml:space="preserve">[Page </w:t>
      </w:r>
      <w:r w:rsidR="006376FC">
        <w:rPr>
          <w:rFonts w:cs="Arial"/>
          <w:szCs w:val="24"/>
        </w:rPr>
        <w:t>312]</w:t>
      </w:r>
    </w:p>
    <w:p w:rsidR="006376FC" w:rsidRDefault="006376FC" w:rsidP="001558C6">
      <w:pPr>
        <w:pStyle w:val="History"/>
      </w:pPr>
      <w:r w:rsidRPr="001558C6">
        <w:t>Motion</w:t>
      </w:r>
      <w:r>
        <w:rPr>
          <w:smallCaps/>
        </w:rPr>
        <w:t xml:space="preserve"> </w:t>
      </w:r>
      <w:r>
        <w:t>for leave to appeal direct from the judgment of Mr. Justice MacMahon increasing the amount awarded to plaintiffs by arbitrators appointed to determine the value of lands expropriated by the defendant company.</w:t>
      </w:r>
    </w:p>
    <w:p w:rsidR="006376FC" w:rsidRDefault="006376FC" w:rsidP="00B31805">
      <w:pPr>
        <w:pStyle w:val="History"/>
        <w:rPr>
          <w:rFonts w:cs="Arial"/>
          <w:szCs w:val="24"/>
        </w:rPr>
      </w:pPr>
      <w:r>
        <w:rPr>
          <w:rFonts w:cs="Arial"/>
          <w:szCs w:val="24"/>
        </w:rPr>
        <w:t>The motion was first made to the registrar of the court sitting as a judge in chambers, who refused the application, and an appeal from his decision to Mr. Justice Taschereau in chambers was referred by him to the full court.</w:t>
      </w:r>
    </w:p>
    <w:p w:rsidR="006376FC" w:rsidRDefault="006376FC" w:rsidP="00B31805">
      <w:pPr>
        <w:pStyle w:val="History"/>
        <w:rPr>
          <w:rFonts w:cs="Arial"/>
          <w:szCs w:val="24"/>
        </w:rPr>
      </w:pPr>
      <w:r>
        <w:rPr>
          <w:rFonts w:cs="Arial"/>
          <w:szCs w:val="24"/>
        </w:rPr>
        <w:t xml:space="preserve">The appellant company is a corporation to which the Railway Act of Canada applies. In 1900 notice was given to the plaintiffs of the company's intention to expropriate their land in the township of Nepean offering to pay $2,124.60 therefor which offer was refused. Arbitrators were then appointed under the provisions of the Railway Act to determine the value of the land and they awarded the plaintiffs $2,865, which being deemed insufficient an appeal was taken to the High Court of Justice from the award and heard before Mr. Justice MacMahon, who increased the amount to </w:t>
      </w:r>
      <w:r>
        <w:rPr>
          <w:rFonts w:cs="Arial"/>
          <w:szCs w:val="24"/>
        </w:rPr>
        <w:lastRenderedPageBreak/>
        <w:t>$5,861. The company applies for leave to appeal direct from the judgment of MacMahon J. to the Supreme Court.</w:t>
      </w:r>
    </w:p>
    <w:p w:rsidR="006376FC" w:rsidRDefault="006376FC" w:rsidP="00B31805">
      <w:pPr>
        <w:pStyle w:val="History"/>
        <w:rPr>
          <w:rFonts w:cs="Arial"/>
          <w:szCs w:val="24"/>
        </w:rPr>
      </w:pPr>
      <w:r>
        <w:rPr>
          <w:rFonts w:cs="Arial"/>
          <w:szCs w:val="24"/>
        </w:rPr>
        <w:t xml:space="preserve">In the case of </w:t>
      </w:r>
      <w:r>
        <w:rPr>
          <w:rFonts w:cs="Arial"/>
          <w:i/>
          <w:iCs/>
          <w:szCs w:val="24"/>
        </w:rPr>
        <w:t xml:space="preserve">Birely </w:t>
      </w:r>
      <w:r>
        <w:rPr>
          <w:rFonts w:cs="Arial"/>
          <w:szCs w:val="24"/>
        </w:rPr>
        <w:t xml:space="preserve">v. </w:t>
      </w:r>
      <w:r>
        <w:rPr>
          <w:rFonts w:cs="Arial"/>
          <w:i/>
          <w:iCs/>
          <w:szCs w:val="24"/>
        </w:rPr>
        <w:t>Toronto, Hamilton &amp; Buffalo Railway Co.</w:t>
      </w:r>
      <w:r w:rsidR="001D3C15">
        <w:rPr>
          <w:rStyle w:val="FootnoteReference"/>
          <w:rFonts w:cs="Arial"/>
          <w:i/>
          <w:iCs/>
          <w:szCs w:val="24"/>
        </w:rPr>
        <w:footnoteReference w:id="2"/>
      </w:r>
      <w:r>
        <w:rPr>
          <w:rFonts w:cs="Arial"/>
          <w:szCs w:val="24"/>
        </w:rPr>
        <w:t>, on appeal from the decision of Armour C.J.</w:t>
      </w:r>
      <w:r w:rsidR="001D3C15">
        <w:rPr>
          <w:rStyle w:val="FootnoteReference"/>
          <w:rFonts w:cs="Arial"/>
          <w:szCs w:val="24"/>
        </w:rPr>
        <w:footnoteReference w:id="3"/>
      </w:r>
      <w:r>
        <w:rPr>
          <w:rFonts w:cs="Arial"/>
          <w:szCs w:val="24"/>
        </w:rPr>
        <w:t xml:space="preserve"> affirming an award by arbitrators under the Railway Act, the Court of Appeal held that a party dissatisfied with such an award might appeal either to a Divisional Court or to the Court of Appeal, but if he elected to go to the former there was no further appeal to any provincial court.</w:t>
      </w:r>
    </w:p>
    <w:p w:rsidR="006376FC" w:rsidRDefault="006376FC" w:rsidP="00B31805">
      <w:pPr>
        <w:pStyle w:val="Sollicitors"/>
      </w:pPr>
      <w:r>
        <w:rPr>
          <w:iCs/>
        </w:rPr>
        <w:t xml:space="preserve">Glyn Osier </w:t>
      </w:r>
      <w:r>
        <w:t>in support of the motion.</w:t>
      </w:r>
    </w:p>
    <w:p w:rsidR="006376FC" w:rsidRDefault="006376FC" w:rsidP="00B31805">
      <w:pPr>
        <w:pStyle w:val="History"/>
        <w:rPr>
          <w:rFonts w:cs="Arial"/>
          <w:szCs w:val="24"/>
        </w:rPr>
      </w:pPr>
      <w:r>
        <w:rPr>
          <w:rFonts w:cs="Arial"/>
          <w:szCs w:val="24"/>
        </w:rPr>
        <w:t xml:space="preserve">In </w:t>
      </w:r>
      <w:r>
        <w:rPr>
          <w:rFonts w:cs="Arial"/>
          <w:i/>
          <w:iCs/>
          <w:szCs w:val="24"/>
        </w:rPr>
        <w:t xml:space="preserve">Farquharson </w:t>
      </w:r>
      <w:r>
        <w:rPr>
          <w:rFonts w:cs="Arial"/>
          <w:szCs w:val="24"/>
        </w:rPr>
        <w:t xml:space="preserve">v. </w:t>
      </w:r>
      <w:r>
        <w:rPr>
          <w:rFonts w:cs="Arial"/>
          <w:i/>
          <w:iCs/>
          <w:szCs w:val="24"/>
        </w:rPr>
        <w:t>Imperial Oil Co.</w:t>
      </w:r>
      <w:r w:rsidR="001D3C15">
        <w:rPr>
          <w:rStyle w:val="FootnoteReference"/>
          <w:rFonts w:cs="Arial"/>
          <w:i/>
          <w:iCs/>
          <w:szCs w:val="24"/>
        </w:rPr>
        <w:footnoteReference w:id="4"/>
      </w:r>
      <w:r>
        <w:rPr>
          <w:rFonts w:cs="Arial"/>
          <w:i/>
          <w:iCs/>
          <w:szCs w:val="24"/>
        </w:rPr>
        <w:t xml:space="preserve"> </w:t>
      </w:r>
      <w:r>
        <w:rPr>
          <w:rFonts w:cs="Arial"/>
          <w:szCs w:val="24"/>
        </w:rPr>
        <w:t xml:space="preserve">leave to appeal </w:t>
      </w:r>
      <w:r>
        <w:rPr>
          <w:rFonts w:cs="Arial"/>
          <w:i/>
          <w:iCs/>
          <w:szCs w:val="24"/>
        </w:rPr>
        <w:t xml:space="preserve">per saltum </w:t>
      </w:r>
      <w:r>
        <w:rPr>
          <w:rFonts w:cs="Arial"/>
          <w:szCs w:val="24"/>
        </w:rPr>
        <w:t>was granted, although there was no appeal</w:t>
      </w:r>
    </w:p>
    <w:p w:rsidR="006376FC" w:rsidRDefault="00137375" w:rsidP="00137375">
      <w:pPr>
        <w:pStyle w:val="Page"/>
      </w:pPr>
      <w:r>
        <w:rPr>
          <w:rFonts w:cs="Arial"/>
          <w:szCs w:val="24"/>
        </w:rPr>
        <w:t xml:space="preserve">[Page </w:t>
      </w:r>
      <w:r w:rsidR="006376FC">
        <w:rPr>
          <w:rFonts w:cs="Arial"/>
          <w:szCs w:val="24"/>
        </w:rPr>
        <w:t>313]</w:t>
      </w:r>
    </w:p>
    <w:p w:rsidR="006376FC" w:rsidRDefault="006376FC" w:rsidP="00B31805">
      <w:pPr>
        <w:pStyle w:val="History"/>
        <w:ind w:firstLine="0"/>
        <w:rPr>
          <w:rFonts w:cs="Arial"/>
          <w:szCs w:val="24"/>
        </w:rPr>
      </w:pPr>
      <w:r>
        <w:rPr>
          <w:rFonts w:cs="Arial"/>
          <w:szCs w:val="24"/>
        </w:rPr>
        <w:t>as of right to the Court of Appeal, and leave to appeal to that court had been refused.</w:t>
      </w:r>
    </w:p>
    <w:p w:rsidR="006376FC" w:rsidRDefault="006376FC" w:rsidP="00B31805">
      <w:pPr>
        <w:pStyle w:val="History"/>
        <w:rPr>
          <w:rFonts w:cs="Arial"/>
          <w:szCs w:val="24"/>
        </w:rPr>
      </w:pPr>
      <w:r>
        <w:rPr>
          <w:rFonts w:cs="Arial"/>
          <w:szCs w:val="24"/>
        </w:rPr>
        <w:t xml:space="preserve">The Court of Appeal by its decision in </w:t>
      </w:r>
      <w:r>
        <w:rPr>
          <w:rFonts w:cs="Arial"/>
          <w:i/>
          <w:iCs/>
          <w:szCs w:val="24"/>
        </w:rPr>
        <w:t xml:space="preserve">Birely </w:t>
      </w:r>
      <w:r>
        <w:rPr>
          <w:rFonts w:cs="Arial"/>
          <w:szCs w:val="24"/>
        </w:rPr>
        <w:t xml:space="preserve">v. </w:t>
      </w:r>
      <w:r>
        <w:rPr>
          <w:rFonts w:cs="Arial"/>
          <w:i/>
          <w:iCs/>
          <w:szCs w:val="24"/>
        </w:rPr>
        <w:t>Toronto, &amp;c., Railway Co.</w:t>
      </w:r>
      <w:r w:rsidR="001D3C15">
        <w:rPr>
          <w:rStyle w:val="FootnoteReference"/>
          <w:rFonts w:cs="Arial"/>
          <w:i/>
          <w:iCs/>
          <w:szCs w:val="24"/>
        </w:rPr>
        <w:footnoteReference w:id="5"/>
      </w:r>
      <w:r>
        <w:rPr>
          <w:rFonts w:cs="Arial"/>
          <w:i/>
          <w:iCs/>
          <w:szCs w:val="24"/>
        </w:rPr>
        <w:t xml:space="preserve"> </w:t>
      </w:r>
      <w:r>
        <w:rPr>
          <w:rFonts w:cs="Arial"/>
          <w:szCs w:val="24"/>
        </w:rPr>
        <w:t>has held that we have no right to go to that court. It is submitted that that decision was wrong, and if our motion cannot be granted because of it we ask that it be overruled.</w:t>
      </w:r>
    </w:p>
    <w:p w:rsidR="006376FC" w:rsidRDefault="006376FC" w:rsidP="00B31805">
      <w:pPr>
        <w:pStyle w:val="Sollicitors"/>
      </w:pPr>
      <w:r>
        <w:rPr>
          <w:iCs/>
        </w:rPr>
        <w:t xml:space="preserve">Henderson, contra, </w:t>
      </w:r>
      <w:r>
        <w:t>was not called upon.</w:t>
      </w:r>
    </w:p>
    <w:p w:rsidR="006376FC" w:rsidRDefault="006376FC" w:rsidP="00B31805">
      <w:pPr>
        <w:pStyle w:val="Reasons"/>
      </w:pPr>
      <w:r>
        <w:t>The judgment of the court was delivered by:</w:t>
      </w:r>
    </w:p>
    <w:p w:rsidR="006376FC" w:rsidRDefault="00B31805" w:rsidP="00B31805">
      <w:pPr>
        <w:pStyle w:val="Reasons"/>
        <w:rPr>
          <w:rFonts w:cs="Arial"/>
          <w:szCs w:val="24"/>
        </w:rPr>
      </w:pPr>
      <w:r w:rsidRPr="00B31805">
        <w:rPr>
          <w:rFonts w:cs="Arial"/>
          <w:szCs w:val="24"/>
        </w:rPr>
        <w:t>THE CHIEF JUSTICE</w:t>
      </w:r>
      <w:r>
        <w:rPr>
          <w:rFonts w:cs="Arial"/>
          <w:smallCaps/>
          <w:szCs w:val="24"/>
        </w:rPr>
        <w:t xml:space="preserve"> </w:t>
      </w:r>
      <w:r w:rsidR="006376FC">
        <w:rPr>
          <w:rFonts w:cs="Arial"/>
          <w:szCs w:val="24"/>
        </w:rPr>
        <w:t xml:space="preserve">(oral).—We are all of opinion that this application must be refused. It is not a case in which leave to appeal </w:t>
      </w:r>
      <w:r w:rsidR="006376FC">
        <w:rPr>
          <w:rFonts w:cs="Arial"/>
          <w:i/>
          <w:iCs/>
          <w:szCs w:val="24"/>
        </w:rPr>
        <w:t xml:space="preserve">per saltum </w:t>
      </w:r>
      <w:r w:rsidR="006376FC">
        <w:rPr>
          <w:rFonts w:cs="Arial"/>
          <w:szCs w:val="24"/>
        </w:rPr>
        <w:t>can be granted. It has not been shown that there was any right of appeal to the Court of Appeal which is necessary to give us jurisdiction; on the contrary it appears that there is no such right of appeal.</w:t>
      </w:r>
    </w:p>
    <w:p w:rsidR="006376FC" w:rsidRDefault="006376FC" w:rsidP="00B31805">
      <w:pPr>
        <w:pStyle w:val="Reasons"/>
        <w:rPr>
          <w:rFonts w:cs="Arial"/>
          <w:szCs w:val="24"/>
        </w:rPr>
      </w:pPr>
      <w:r>
        <w:rPr>
          <w:rFonts w:cs="Arial"/>
          <w:szCs w:val="24"/>
        </w:rPr>
        <w:t>The motion is refused with costs.</w:t>
      </w:r>
    </w:p>
    <w:p w:rsidR="006376FC" w:rsidRPr="00B31805" w:rsidRDefault="006376FC" w:rsidP="00B31805">
      <w:pPr>
        <w:pStyle w:val="Reasons"/>
      </w:pPr>
      <w:r w:rsidRPr="00B31805">
        <w:t>Motion refused with costs.</w:t>
      </w:r>
    </w:p>
    <w:p w:rsidR="006376FC" w:rsidRDefault="006376FC" w:rsidP="00B31805">
      <w:pPr>
        <w:pStyle w:val="Sollicitors"/>
        <w:rPr>
          <w:iCs/>
        </w:rPr>
      </w:pPr>
      <w:r>
        <w:t xml:space="preserve">Solicitors for the appellant: </w:t>
      </w:r>
      <w:r>
        <w:rPr>
          <w:iCs/>
        </w:rPr>
        <w:t>Wyld &amp; Osier.</w:t>
      </w:r>
    </w:p>
    <w:p w:rsidR="006376FC" w:rsidRDefault="006376FC" w:rsidP="00B31805">
      <w:pPr>
        <w:pStyle w:val="Sollicitors"/>
        <w:rPr>
          <w:iCs/>
        </w:rPr>
      </w:pPr>
      <w:r>
        <w:lastRenderedPageBreak/>
        <w:t xml:space="preserve">Solicitors for the respondents: </w:t>
      </w:r>
      <w:r>
        <w:rPr>
          <w:iCs/>
        </w:rPr>
        <w:t>McCracken, Henderson &amp; Macdougall.</w:t>
      </w:r>
    </w:p>
    <w:sectPr w:rsidR="006376FC" w:rsidSect="004B3FF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9B" w:rsidRDefault="00AC629B" w:rsidP="004B3FFE">
      <w:r>
        <w:separator/>
      </w:r>
    </w:p>
  </w:endnote>
  <w:endnote w:type="continuationSeparator" w:id="1">
    <w:p w:rsidR="00AC629B" w:rsidRDefault="00AC629B" w:rsidP="004B3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E" w:rsidRDefault="004B3F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E" w:rsidRDefault="004B3F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E" w:rsidRDefault="004B3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9B" w:rsidRDefault="00AC629B" w:rsidP="004B3FFE">
      <w:r>
        <w:separator/>
      </w:r>
    </w:p>
  </w:footnote>
  <w:footnote w:type="continuationSeparator" w:id="1">
    <w:p w:rsidR="00AC629B" w:rsidRDefault="00AC629B" w:rsidP="004B3FFE">
      <w:r>
        <w:continuationSeparator/>
      </w:r>
    </w:p>
  </w:footnote>
  <w:footnote w:id="2">
    <w:p w:rsidR="001D3C15" w:rsidRPr="001D3C15" w:rsidRDefault="001D3C15">
      <w:pPr>
        <w:pStyle w:val="FootnoteText"/>
        <w:rPr>
          <w:lang w:val="en-US"/>
        </w:rPr>
      </w:pPr>
      <w:r>
        <w:rPr>
          <w:rStyle w:val="FootnoteReference"/>
        </w:rPr>
        <w:footnoteRef/>
      </w:r>
      <w:r>
        <w:t xml:space="preserve"> </w:t>
      </w:r>
      <w:r>
        <w:rPr>
          <w:rFonts w:cs="Arial"/>
          <w:szCs w:val="24"/>
        </w:rPr>
        <w:t>25 Ont. App. R. 88.</w:t>
      </w:r>
    </w:p>
  </w:footnote>
  <w:footnote w:id="3">
    <w:p w:rsidR="001D3C15" w:rsidRPr="001D3C15" w:rsidRDefault="001D3C15">
      <w:pPr>
        <w:pStyle w:val="FootnoteText"/>
        <w:rPr>
          <w:lang w:val="en-US"/>
        </w:rPr>
      </w:pPr>
      <w:r>
        <w:rPr>
          <w:rStyle w:val="FootnoteReference"/>
        </w:rPr>
        <w:footnoteRef/>
      </w:r>
      <w:r>
        <w:t xml:space="preserve"> </w:t>
      </w:r>
      <w:r>
        <w:rPr>
          <w:rFonts w:cs="Arial"/>
          <w:szCs w:val="24"/>
        </w:rPr>
        <w:t>28 O. R. 468.</w:t>
      </w:r>
    </w:p>
  </w:footnote>
  <w:footnote w:id="4">
    <w:p w:rsidR="001D3C15" w:rsidRPr="001D3C15" w:rsidRDefault="001D3C15">
      <w:pPr>
        <w:pStyle w:val="FootnoteText"/>
        <w:rPr>
          <w:lang w:val="en-US"/>
        </w:rPr>
      </w:pPr>
      <w:r>
        <w:rPr>
          <w:rStyle w:val="FootnoteReference"/>
        </w:rPr>
        <w:footnoteRef/>
      </w:r>
      <w:r>
        <w:t xml:space="preserve"> </w:t>
      </w:r>
      <w:r>
        <w:rPr>
          <w:rFonts w:cs="Arial"/>
          <w:szCs w:val="24"/>
        </w:rPr>
        <w:t>30 Can. S. C. R. 188.</w:t>
      </w:r>
    </w:p>
  </w:footnote>
  <w:footnote w:id="5">
    <w:p w:rsidR="001D3C15" w:rsidRPr="001D3C15" w:rsidRDefault="001D3C15">
      <w:pPr>
        <w:pStyle w:val="FootnoteText"/>
        <w:rPr>
          <w:lang w:val="en-US"/>
        </w:rPr>
      </w:pPr>
      <w:r>
        <w:rPr>
          <w:rStyle w:val="FootnoteReference"/>
        </w:rPr>
        <w:footnoteRef/>
      </w:r>
      <w:r>
        <w:t xml:space="preserve"> </w:t>
      </w:r>
      <w:r>
        <w:rPr>
          <w:rFonts w:cs="Arial"/>
          <w:szCs w:val="24"/>
        </w:rPr>
        <w:t>25 Ont App. R.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E" w:rsidRDefault="004B3F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E" w:rsidRDefault="004B3F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E" w:rsidRDefault="004B3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228CAF2">
      <w:start w:val="1"/>
      <w:numFmt w:val="decimal"/>
      <w:pStyle w:val="ParagNum"/>
      <w:lvlText w:val="[%1]"/>
      <w:lvlJc w:val="left"/>
      <w:pPr>
        <w:tabs>
          <w:tab w:val="num" w:pos="369"/>
        </w:tabs>
        <w:ind w:left="369" w:hanging="369"/>
      </w:pPr>
    </w:lvl>
    <w:lvl w:ilvl="1" w:tplc="4EFCB2AC" w:tentative="1">
      <w:start w:val="1"/>
      <w:numFmt w:val="lowerLetter"/>
      <w:lvlText w:val="%2."/>
      <w:lvlJc w:val="left"/>
      <w:pPr>
        <w:tabs>
          <w:tab w:val="num" w:pos="1440"/>
        </w:tabs>
        <w:ind w:left="1440" w:hanging="360"/>
      </w:pPr>
    </w:lvl>
    <w:lvl w:ilvl="2" w:tplc="11149084" w:tentative="1">
      <w:start w:val="1"/>
      <w:numFmt w:val="lowerRoman"/>
      <w:lvlText w:val="%3."/>
      <w:lvlJc w:val="right"/>
      <w:pPr>
        <w:tabs>
          <w:tab w:val="num" w:pos="2160"/>
        </w:tabs>
        <w:ind w:left="2160" w:hanging="180"/>
      </w:pPr>
    </w:lvl>
    <w:lvl w:ilvl="3" w:tplc="9D429648" w:tentative="1">
      <w:start w:val="1"/>
      <w:numFmt w:val="decimal"/>
      <w:lvlText w:val="%4."/>
      <w:lvlJc w:val="left"/>
      <w:pPr>
        <w:tabs>
          <w:tab w:val="num" w:pos="2880"/>
        </w:tabs>
        <w:ind w:left="2880" w:hanging="360"/>
      </w:pPr>
    </w:lvl>
    <w:lvl w:ilvl="4" w:tplc="D500E48C" w:tentative="1">
      <w:start w:val="1"/>
      <w:numFmt w:val="lowerLetter"/>
      <w:lvlText w:val="%5."/>
      <w:lvlJc w:val="left"/>
      <w:pPr>
        <w:tabs>
          <w:tab w:val="num" w:pos="3600"/>
        </w:tabs>
        <w:ind w:left="3600" w:hanging="360"/>
      </w:pPr>
    </w:lvl>
    <w:lvl w:ilvl="5" w:tplc="5CC67226" w:tentative="1">
      <w:start w:val="1"/>
      <w:numFmt w:val="lowerRoman"/>
      <w:lvlText w:val="%6."/>
      <w:lvlJc w:val="right"/>
      <w:pPr>
        <w:tabs>
          <w:tab w:val="num" w:pos="4320"/>
        </w:tabs>
        <w:ind w:left="4320" w:hanging="180"/>
      </w:pPr>
    </w:lvl>
    <w:lvl w:ilvl="6" w:tplc="BA7CBBCE" w:tentative="1">
      <w:start w:val="1"/>
      <w:numFmt w:val="decimal"/>
      <w:lvlText w:val="%7."/>
      <w:lvlJc w:val="left"/>
      <w:pPr>
        <w:tabs>
          <w:tab w:val="num" w:pos="5040"/>
        </w:tabs>
        <w:ind w:left="5040" w:hanging="360"/>
      </w:pPr>
    </w:lvl>
    <w:lvl w:ilvl="7" w:tplc="5EDC7356" w:tentative="1">
      <w:start w:val="1"/>
      <w:numFmt w:val="lowerLetter"/>
      <w:lvlText w:val="%8."/>
      <w:lvlJc w:val="left"/>
      <w:pPr>
        <w:tabs>
          <w:tab w:val="num" w:pos="5760"/>
        </w:tabs>
        <w:ind w:left="5760" w:hanging="360"/>
      </w:pPr>
    </w:lvl>
    <w:lvl w:ilvl="8" w:tplc="4BBCFA3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76FC"/>
    <w:rsid w:val="00013FDA"/>
    <w:rsid w:val="000173FB"/>
    <w:rsid w:val="000541F3"/>
    <w:rsid w:val="000655EC"/>
    <w:rsid w:val="00077D2F"/>
    <w:rsid w:val="0008547A"/>
    <w:rsid w:val="000B6688"/>
    <w:rsid w:val="000C3415"/>
    <w:rsid w:val="000E7BF4"/>
    <w:rsid w:val="00121409"/>
    <w:rsid w:val="00125F0C"/>
    <w:rsid w:val="00126A8E"/>
    <w:rsid w:val="00137375"/>
    <w:rsid w:val="001558C6"/>
    <w:rsid w:val="001837F3"/>
    <w:rsid w:val="001D0D42"/>
    <w:rsid w:val="001D3C15"/>
    <w:rsid w:val="001D5C4A"/>
    <w:rsid w:val="001F6A76"/>
    <w:rsid w:val="002209AC"/>
    <w:rsid w:val="002428EB"/>
    <w:rsid w:val="002A74DD"/>
    <w:rsid w:val="002B30C5"/>
    <w:rsid w:val="002C186C"/>
    <w:rsid w:val="002D5E01"/>
    <w:rsid w:val="002F4F64"/>
    <w:rsid w:val="002F7D00"/>
    <w:rsid w:val="0034642A"/>
    <w:rsid w:val="00361108"/>
    <w:rsid w:val="003824D9"/>
    <w:rsid w:val="003E5AF5"/>
    <w:rsid w:val="003F602F"/>
    <w:rsid w:val="00400CCB"/>
    <w:rsid w:val="004277EE"/>
    <w:rsid w:val="0043543D"/>
    <w:rsid w:val="00442713"/>
    <w:rsid w:val="00457BC5"/>
    <w:rsid w:val="00463F5F"/>
    <w:rsid w:val="00482CDC"/>
    <w:rsid w:val="004B3FFE"/>
    <w:rsid w:val="004C7ED4"/>
    <w:rsid w:val="00511D93"/>
    <w:rsid w:val="00514003"/>
    <w:rsid w:val="00537980"/>
    <w:rsid w:val="00563767"/>
    <w:rsid w:val="005667DA"/>
    <w:rsid w:val="00593C8B"/>
    <w:rsid w:val="006330E7"/>
    <w:rsid w:val="006376FC"/>
    <w:rsid w:val="00644967"/>
    <w:rsid w:val="006D2BED"/>
    <w:rsid w:val="006D6F42"/>
    <w:rsid w:val="006E5FEA"/>
    <w:rsid w:val="006E6EF9"/>
    <w:rsid w:val="00747F2C"/>
    <w:rsid w:val="00751F7D"/>
    <w:rsid w:val="007969C4"/>
    <w:rsid w:val="007B3A90"/>
    <w:rsid w:val="007D6DD5"/>
    <w:rsid w:val="008027F3"/>
    <w:rsid w:val="008433A9"/>
    <w:rsid w:val="008550EF"/>
    <w:rsid w:val="00872F75"/>
    <w:rsid w:val="00880FBB"/>
    <w:rsid w:val="008B0B7A"/>
    <w:rsid w:val="00926406"/>
    <w:rsid w:val="009A7712"/>
    <w:rsid w:val="009A7B1B"/>
    <w:rsid w:val="009D37B6"/>
    <w:rsid w:val="009E64DC"/>
    <w:rsid w:val="00A42830"/>
    <w:rsid w:val="00A4371F"/>
    <w:rsid w:val="00A54E5B"/>
    <w:rsid w:val="00A56FBD"/>
    <w:rsid w:val="00A61128"/>
    <w:rsid w:val="00A94C52"/>
    <w:rsid w:val="00AB09B8"/>
    <w:rsid w:val="00AC629B"/>
    <w:rsid w:val="00AF6800"/>
    <w:rsid w:val="00B007EC"/>
    <w:rsid w:val="00B177F7"/>
    <w:rsid w:val="00B31805"/>
    <w:rsid w:val="00B41B49"/>
    <w:rsid w:val="00B532F0"/>
    <w:rsid w:val="00B639A4"/>
    <w:rsid w:val="00B772A6"/>
    <w:rsid w:val="00BA27B3"/>
    <w:rsid w:val="00BC4595"/>
    <w:rsid w:val="00BF1CD0"/>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112"/>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37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3737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3737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37375"/>
  </w:style>
  <w:style w:type="paragraph" w:styleId="Header">
    <w:name w:val="header"/>
    <w:basedOn w:val="Normal"/>
    <w:link w:val="HeaderChar"/>
    <w:uiPriority w:val="99"/>
    <w:unhideWhenUsed/>
    <w:rsid w:val="00137375"/>
    <w:pPr>
      <w:tabs>
        <w:tab w:val="center" w:pos="4680"/>
        <w:tab w:val="right" w:pos="9360"/>
      </w:tabs>
    </w:pPr>
    <w:rPr>
      <w:rFonts w:ascii="Times New Roman" w:hAnsi="Times New Roman"/>
    </w:rPr>
  </w:style>
  <w:style w:type="character" w:customStyle="1" w:styleId="HeaderChar">
    <w:name w:val="Header Char"/>
    <w:link w:val="Header"/>
    <w:uiPriority w:val="99"/>
    <w:rsid w:val="0013737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37375"/>
    <w:pPr>
      <w:tabs>
        <w:tab w:val="center" w:pos="4680"/>
        <w:tab w:val="right" w:pos="9360"/>
      </w:tabs>
    </w:pPr>
    <w:rPr>
      <w:rFonts w:ascii="Times New Roman" w:hAnsi="Times New Roman"/>
    </w:rPr>
  </w:style>
  <w:style w:type="character" w:customStyle="1" w:styleId="FooterChar">
    <w:name w:val="Footer Char"/>
    <w:link w:val="Footer"/>
    <w:uiPriority w:val="99"/>
    <w:rsid w:val="0013737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00CC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37375"/>
    <w:pPr>
      <w:spacing w:before="100" w:beforeAutospacing="1"/>
      <w:ind w:left="567"/>
      <w:jc w:val="both"/>
    </w:pPr>
  </w:style>
  <w:style w:type="paragraph" w:customStyle="1" w:styleId="Metadata">
    <w:name w:val="Metadata"/>
    <w:basedOn w:val="Normal"/>
    <w:rsid w:val="00137375"/>
    <w:pPr>
      <w:spacing w:before="100" w:beforeAutospacing="1" w:after="100" w:afterAutospacing="1"/>
    </w:pPr>
    <w:rPr>
      <w:rFonts w:cs="Arial"/>
      <w:szCs w:val="24"/>
    </w:rPr>
  </w:style>
  <w:style w:type="paragraph" w:customStyle="1" w:styleId="Page">
    <w:name w:val="Page"/>
    <w:basedOn w:val="Normal"/>
    <w:link w:val="PageChar"/>
    <w:rsid w:val="00137375"/>
    <w:pPr>
      <w:spacing w:before="100" w:beforeAutospacing="1" w:after="100" w:afterAutospacing="1"/>
    </w:pPr>
    <w:rPr>
      <w:i/>
    </w:rPr>
  </w:style>
  <w:style w:type="paragraph" w:styleId="FootnoteText">
    <w:name w:val="footnote text"/>
    <w:basedOn w:val="Normal"/>
    <w:link w:val="FootnoteTextChar"/>
    <w:autoRedefine/>
    <w:semiHidden/>
    <w:rsid w:val="00137375"/>
    <w:rPr>
      <w:sz w:val="16"/>
      <w:szCs w:val="20"/>
    </w:rPr>
  </w:style>
  <w:style w:type="character" w:customStyle="1" w:styleId="FootnoteTextChar">
    <w:name w:val="Footnote Text Char"/>
    <w:link w:val="FootnoteText"/>
    <w:semiHidden/>
    <w:rsid w:val="00137375"/>
    <w:rPr>
      <w:rFonts w:ascii="Arial" w:eastAsia="MS Mincho" w:hAnsi="Arial" w:cs="Times New Roman"/>
      <w:sz w:val="16"/>
      <w:szCs w:val="20"/>
      <w:lang w:val="en-CA" w:eastAsia="ja-JP"/>
    </w:rPr>
  </w:style>
  <w:style w:type="character" w:styleId="FootnoteReference">
    <w:name w:val="footnote reference"/>
    <w:semiHidden/>
    <w:rsid w:val="00137375"/>
    <w:rPr>
      <w:vertAlign w:val="superscript"/>
    </w:rPr>
  </w:style>
  <w:style w:type="paragraph" w:customStyle="1" w:styleId="ParagNum">
    <w:name w:val="ParagNum"/>
    <w:basedOn w:val="Normal"/>
    <w:rsid w:val="0013737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37375"/>
    <w:pPr>
      <w:spacing w:before="100" w:beforeAutospacing="1" w:after="100" w:afterAutospacing="1" w:line="360" w:lineRule="auto"/>
    </w:pPr>
  </w:style>
  <w:style w:type="paragraph" w:customStyle="1" w:styleId="Indent2">
    <w:name w:val="Indent 2"/>
    <w:basedOn w:val="Indent1"/>
    <w:rsid w:val="00137375"/>
    <w:pPr>
      <w:ind w:left="1134"/>
    </w:pPr>
  </w:style>
  <w:style w:type="paragraph" w:customStyle="1" w:styleId="Indent3">
    <w:name w:val="Indent 3"/>
    <w:basedOn w:val="Indent1"/>
    <w:rsid w:val="00137375"/>
    <w:pPr>
      <w:ind w:left="1701"/>
    </w:pPr>
  </w:style>
  <w:style w:type="paragraph" w:customStyle="1" w:styleId="Indent4">
    <w:name w:val="Indent 4"/>
    <w:basedOn w:val="Indent1"/>
    <w:rsid w:val="00137375"/>
    <w:pPr>
      <w:ind w:left="2268"/>
    </w:pPr>
  </w:style>
  <w:style w:type="paragraph" w:customStyle="1" w:styleId="Indent10">
    <w:name w:val="Indent1"/>
    <w:basedOn w:val="Reasons"/>
    <w:rsid w:val="00137375"/>
    <w:pPr>
      <w:ind w:left="567"/>
    </w:pPr>
  </w:style>
  <w:style w:type="paragraph" w:customStyle="1" w:styleId="Indent20">
    <w:name w:val="Indent2"/>
    <w:basedOn w:val="Indent10"/>
    <w:rsid w:val="00137375"/>
    <w:pPr>
      <w:ind w:left="1134"/>
    </w:pPr>
  </w:style>
  <w:style w:type="paragraph" w:customStyle="1" w:styleId="Indent30">
    <w:name w:val="Indent3"/>
    <w:basedOn w:val="Indent10"/>
    <w:rsid w:val="00137375"/>
    <w:pPr>
      <w:ind w:left="1701"/>
    </w:pPr>
  </w:style>
  <w:style w:type="paragraph" w:customStyle="1" w:styleId="Indent40">
    <w:name w:val="Indent4"/>
    <w:basedOn w:val="Indent10"/>
    <w:rsid w:val="00137375"/>
    <w:pPr>
      <w:ind w:left="2268"/>
    </w:pPr>
  </w:style>
  <w:style w:type="paragraph" w:customStyle="1" w:styleId="Keywords">
    <w:name w:val="Keywords"/>
    <w:basedOn w:val="Normal"/>
    <w:rsid w:val="00137375"/>
    <w:pPr>
      <w:spacing w:before="100" w:beforeAutospacing="1" w:after="100" w:afterAutospacing="1"/>
    </w:pPr>
    <w:rPr>
      <w:rFonts w:cs="Arial"/>
      <w:i/>
      <w:szCs w:val="24"/>
    </w:rPr>
  </w:style>
  <w:style w:type="paragraph" w:customStyle="1" w:styleId="Summary">
    <w:name w:val="Summary"/>
    <w:basedOn w:val="Normal"/>
    <w:autoRedefine/>
    <w:rsid w:val="00137375"/>
    <w:pPr>
      <w:spacing w:before="100" w:beforeAutospacing="1" w:after="100" w:afterAutospacing="1"/>
      <w:ind w:left="562" w:hanging="562"/>
    </w:pPr>
    <w:rPr>
      <w:rFonts w:cs="Arial"/>
    </w:rPr>
  </w:style>
  <w:style w:type="paragraph" w:customStyle="1" w:styleId="History">
    <w:name w:val="History"/>
    <w:basedOn w:val="Normal"/>
    <w:rsid w:val="00137375"/>
    <w:pPr>
      <w:spacing w:before="100" w:beforeAutospacing="1" w:after="100" w:afterAutospacing="1"/>
      <w:ind w:firstLine="567"/>
    </w:pPr>
  </w:style>
  <w:style w:type="paragraph" w:customStyle="1" w:styleId="T1">
    <w:name w:val="T1"/>
    <w:basedOn w:val="Normal"/>
    <w:rsid w:val="00137375"/>
    <w:pPr>
      <w:spacing w:before="240" w:after="100" w:afterAutospacing="1"/>
    </w:pPr>
    <w:rPr>
      <w:b/>
    </w:rPr>
  </w:style>
  <w:style w:type="paragraph" w:customStyle="1" w:styleId="T2">
    <w:name w:val="T2"/>
    <w:basedOn w:val="Normal"/>
    <w:rsid w:val="00137375"/>
    <w:pPr>
      <w:spacing w:before="240" w:after="100" w:afterAutospacing="1"/>
    </w:pPr>
  </w:style>
  <w:style w:type="paragraph" w:customStyle="1" w:styleId="Sollicitors">
    <w:name w:val="Sollicitors"/>
    <w:basedOn w:val="Normal"/>
    <w:rsid w:val="00137375"/>
    <w:pPr>
      <w:spacing w:before="100" w:beforeAutospacing="1" w:after="100" w:afterAutospacing="1"/>
    </w:pPr>
    <w:rPr>
      <w:i/>
    </w:rPr>
  </w:style>
  <w:style w:type="paragraph" w:customStyle="1" w:styleId="Court">
    <w:name w:val="Court"/>
    <w:basedOn w:val="Normal"/>
    <w:rsid w:val="00137375"/>
    <w:rPr>
      <w:rFonts w:cs="Arial"/>
      <w:b/>
      <w:szCs w:val="24"/>
    </w:rPr>
  </w:style>
  <w:style w:type="character" w:customStyle="1" w:styleId="PageChar">
    <w:name w:val="Page Char"/>
    <w:link w:val="Page"/>
    <w:rsid w:val="00137375"/>
    <w:rPr>
      <w:rFonts w:ascii="Arial" w:eastAsia="MS Mincho" w:hAnsi="Arial" w:cs="Times New Roman"/>
      <w:i/>
      <w:sz w:val="24"/>
      <w:szCs w:val="28"/>
      <w:lang w:val="en-CA" w:eastAsia="ja-JP"/>
    </w:rPr>
  </w:style>
  <w:style w:type="character" w:customStyle="1" w:styleId="ReasonsCar">
    <w:name w:val="Reasons Car"/>
    <w:link w:val="Reasons"/>
    <w:rsid w:val="00137375"/>
    <w:rPr>
      <w:rFonts w:ascii="Arial" w:eastAsia="MS Mincho" w:hAnsi="Arial" w:cs="Times New Roman"/>
      <w:sz w:val="24"/>
      <w:szCs w:val="28"/>
      <w:lang w:val="en-CA" w:eastAsia="ja-JP"/>
    </w:rPr>
  </w:style>
  <w:style w:type="paragraph" w:customStyle="1" w:styleId="CitationLine">
    <w:name w:val="CitationLine"/>
    <w:basedOn w:val="Court"/>
    <w:rsid w:val="00137375"/>
  </w:style>
  <w:style w:type="paragraph" w:customStyle="1" w:styleId="DateISO">
    <w:name w:val="DateISO"/>
    <w:basedOn w:val="Court"/>
    <w:rsid w:val="00137375"/>
  </w:style>
  <w:style w:type="paragraph" w:styleId="ListBullet">
    <w:name w:val="List Bullet"/>
    <w:basedOn w:val="Normal"/>
    <w:uiPriority w:val="99"/>
    <w:unhideWhenUsed/>
    <w:rsid w:val="001558C6"/>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3</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2015-03-19T12:56:00Z</dcterms:created>
  <dcterms:modified xsi:type="dcterms:W3CDTF">2015-03-23T10:27:00Z</dcterms:modified>
</cp:coreProperties>
</file>