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F5" w:rsidRDefault="00FC50F5" w:rsidP="00FC50F5">
      <w:pPr>
        <w:pStyle w:val="Court"/>
      </w:pPr>
      <w:r>
        <w:t>Supreme Court of Canada</w:t>
      </w:r>
    </w:p>
    <w:p w:rsidR="00FC50F5" w:rsidRDefault="00FC50F5" w:rsidP="00FC50F5">
      <w:pPr>
        <w:pStyle w:val="CitationLine"/>
      </w:pPr>
      <w:r w:rsidRPr="00FC50F5">
        <w:t xml:space="preserve">The King </w:t>
      </w:r>
      <w:r w:rsidRPr="00FC50F5">
        <w:rPr>
          <w:i/>
          <w:iCs/>
        </w:rPr>
        <w:t xml:space="preserve">v. </w:t>
      </w:r>
      <w:r w:rsidRPr="00FC50F5">
        <w:t>Likely</w:t>
      </w:r>
      <w:r>
        <w:t xml:space="preserve"> (1902) 32 SCR 47</w:t>
      </w:r>
    </w:p>
    <w:p w:rsidR="00FC50F5" w:rsidRDefault="00FC50F5" w:rsidP="00FC50F5">
      <w:pPr>
        <w:pStyle w:val="DateISO"/>
      </w:pPr>
      <w:r>
        <w:t xml:space="preserve">Date: </w:t>
      </w:r>
      <w:r w:rsidR="00DE7FFC">
        <w:t>1902-02-20</w:t>
      </w:r>
    </w:p>
    <w:p w:rsidR="00815E50" w:rsidRPr="00FC50F5" w:rsidRDefault="00FC50F5" w:rsidP="00FC50F5">
      <w:pPr>
        <w:pStyle w:val="Metadata"/>
      </w:pPr>
      <w:r w:rsidRPr="00FC50F5">
        <w:t>His Majesty The King (Respondent)</w:t>
      </w:r>
    </w:p>
    <w:p w:rsidR="00815E50" w:rsidRPr="00FC50F5" w:rsidRDefault="00FC50F5" w:rsidP="00FC50F5">
      <w:pPr>
        <w:pStyle w:val="Metadata"/>
      </w:pPr>
      <w:r w:rsidRPr="00FC50F5">
        <w:t>Appellant</w:t>
      </w:r>
    </w:p>
    <w:p w:rsidR="00815E50" w:rsidRPr="00FC50F5" w:rsidRDefault="00FC50F5" w:rsidP="00FC50F5">
      <w:pPr>
        <w:pStyle w:val="Metadata"/>
      </w:pPr>
      <w:r w:rsidRPr="00FC50F5">
        <w:t>And</w:t>
      </w:r>
    </w:p>
    <w:p w:rsidR="00815E50" w:rsidRPr="00FC50F5" w:rsidRDefault="00FC50F5" w:rsidP="00FC50F5">
      <w:pPr>
        <w:pStyle w:val="Metadata"/>
      </w:pPr>
      <w:r w:rsidRPr="00FC50F5">
        <w:t>Joseph A. Likely (Suppliant)</w:t>
      </w:r>
    </w:p>
    <w:p w:rsidR="00815E50" w:rsidRPr="00FC50F5" w:rsidRDefault="00FC50F5" w:rsidP="00FC50F5">
      <w:pPr>
        <w:pStyle w:val="Metadata"/>
      </w:pPr>
      <w:r w:rsidRPr="00FC50F5">
        <w:t>Respondent</w:t>
      </w:r>
    </w:p>
    <w:p w:rsidR="00FC50F5" w:rsidRDefault="00FC50F5" w:rsidP="00FC50F5">
      <w:pPr>
        <w:pStyle w:val="Metadata"/>
      </w:pPr>
      <w:r>
        <w:t>1901: Nov. 27; 1902: Feb. 20.</w:t>
      </w:r>
    </w:p>
    <w:p w:rsidR="00FC50F5" w:rsidRDefault="00FC50F5" w:rsidP="00FC50F5">
      <w:pPr>
        <w:pStyle w:val="Metadata"/>
      </w:pPr>
      <w:r w:rsidRPr="00FC50F5">
        <w:t>Present</w:t>
      </w:r>
      <w:r>
        <w:rPr>
          <w:smallCaps/>
        </w:rPr>
        <w:t>:</w:t>
      </w:r>
      <w:r>
        <w:t>—Taschereau, Sedgewick, Girouard and Davies JJ.</w:t>
      </w:r>
    </w:p>
    <w:p w:rsidR="00220257" w:rsidRDefault="00220257" w:rsidP="00220257">
      <w:pPr>
        <w:pStyle w:val="Metadata"/>
      </w:pPr>
      <w:r>
        <w:t>(Mr. Justice Gwynne was present at the argument but died before judgment was given).</w:t>
      </w:r>
    </w:p>
    <w:p w:rsidR="00815E50" w:rsidRDefault="00815E50" w:rsidP="00FC50F5">
      <w:pPr>
        <w:pStyle w:val="Metadata"/>
      </w:pPr>
      <w:r>
        <w:t>ON APPEAL FROM THE EXCHEQUER COURT OF CANADA.</w:t>
      </w:r>
    </w:p>
    <w:p w:rsidR="00815E50" w:rsidRDefault="00815E50" w:rsidP="00FC50F5">
      <w:pPr>
        <w:pStyle w:val="Keywords"/>
      </w:pPr>
      <w:r>
        <w:t>Expropriation of land—Damages—Valuation—Evidence.</w:t>
      </w:r>
    </w:p>
    <w:p w:rsidR="00815E50" w:rsidRDefault="00815E50" w:rsidP="00FC50F5">
      <w:pPr>
        <w:pStyle w:val="Summary"/>
      </w:pPr>
      <w:r>
        <w:t>The Crown expropriated land of L. and had it appraised by valuators who assessed it at $11,400 which sum was tendered to L. who refused it and brought suit by Petition of Right for a larger sum as compensation. The Exchequer Court awarded him $17,000. On appeal by the Crown.</w:t>
      </w:r>
    </w:p>
    <w:p w:rsidR="00815E50" w:rsidRDefault="00815E50" w:rsidP="00FC50F5">
      <w:pPr>
        <w:pStyle w:val="Summary"/>
        <w:rPr>
          <w:szCs w:val="24"/>
        </w:rPr>
      </w:pPr>
      <w:r>
        <w:rPr>
          <w:i/>
          <w:iCs/>
          <w:szCs w:val="24"/>
        </w:rPr>
        <w:t xml:space="preserve">Held, </w:t>
      </w:r>
      <w:r>
        <w:rPr>
          <w:szCs w:val="24"/>
        </w:rPr>
        <w:t>Girouard J. dissenting, that the evidence given on the trial of the petition showed that the sum assessed by the valuators was a very generous compensation to L. for the loss of his land and the increase by the judgment appealed from was not justified.</w:t>
      </w:r>
    </w:p>
    <w:p w:rsidR="00815E50" w:rsidRDefault="00815E50" w:rsidP="00FC50F5">
      <w:pPr>
        <w:pStyle w:val="Summary"/>
        <w:rPr>
          <w:szCs w:val="24"/>
        </w:rPr>
      </w:pPr>
      <w:r>
        <w:rPr>
          <w:szCs w:val="24"/>
        </w:rPr>
        <w:t>The court, which considering that a less sum than that fixed by the valuators should not be given in this case expressly stated that the same course would not necessarily be followed in future cases of the kind.</w:t>
      </w:r>
    </w:p>
    <w:p w:rsidR="00815E50" w:rsidRDefault="005D4AB3" w:rsidP="005D4AB3">
      <w:pPr>
        <w:pStyle w:val="Page"/>
      </w:pPr>
      <w:r>
        <w:rPr>
          <w:rFonts w:cs="Arial"/>
          <w:szCs w:val="24"/>
        </w:rPr>
        <w:t xml:space="preserve">[Page </w:t>
      </w:r>
      <w:r w:rsidR="00815E50">
        <w:rPr>
          <w:rFonts w:cs="Arial"/>
          <w:szCs w:val="24"/>
        </w:rPr>
        <w:t>48]</w:t>
      </w:r>
    </w:p>
    <w:p w:rsidR="00815E50" w:rsidRDefault="00815E50" w:rsidP="00220257">
      <w:pPr>
        <w:pStyle w:val="History"/>
      </w:pPr>
      <w:r w:rsidRPr="00220257">
        <w:t>Appeal</w:t>
      </w:r>
      <w:r>
        <w:rPr>
          <w:smallCaps/>
        </w:rPr>
        <w:t xml:space="preserve"> </w:t>
      </w:r>
      <w:r>
        <w:t>from a judgment of the Exchequer Court of Canada awarding the suppliant $17,000 for land expropriated by the Crown.</w:t>
      </w:r>
    </w:p>
    <w:p w:rsidR="00815E50" w:rsidRDefault="00815E50" w:rsidP="00220257">
      <w:pPr>
        <w:pStyle w:val="History"/>
        <w:rPr>
          <w:rFonts w:cs="Arial"/>
          <w:szCs w:val="24"/>
        </w:rPr>
      </w:pPr>
      <w:r>
        <w:rPr>
          <w:rFonts w:cs="Arial"/>
          <w:szCs w:val="24"/>
        </w:rPr>
        <w:t xml:space="preserve">The land expropriated was situate in the City of St. John, N.B., and was taken for wharf accommodation and other purposes in connection with the construction of </w:t>
      </w:r>
      <w:r>
        <w:rPr>
          <w:rFonts w:cs="Arial"/>
          <w:szCs w:val="24"/>
        </w:rPr>
        <w:lastRenderedPageBreak/>
        <w:t>elevators in the city. It consisted of water lots and other real estate used by the suppliant as a mill site for sawing lumber, a pond for storing logs and other purposes connected with the business of a saw mill.</w:t>
      </w:r>
    </w:p>
    <w:p w:rsidR="00815E50" w:rsidRDefault="00815E50" w:rsidP="00220257">
      <w:pPr>
        <w:pStyle w:val="History"/>
        <w:rPr>
          <w:rFonts w:cs="Arial"/>
          <w:szCs w:val="24"/>
        </w:rPr>
      </w:pPr>
      <w:r>
        <w:rPr>
          <w:rFonts w:cs="Arial"/>
          <w:szCs w:val="24"/>
        </w:rPr>
        <w:t>The Crown had valuators appointed to determine the value of the land which they estimated at $11,400. This amount the suppliant considered too small and refused to accept it when tendered to him. He proceeded by Petition of Eight to claim greater compensation and was successful in obtaining $17,000 or nearly $6,000 more than was tendered. The Crown appealed.</w:t>
      </w:r>
    </w:p>
    <w:p w:rsidR="00815E50" w:rsidRDefault="00815E50" w:rsidP="00220257">
      <w:pPr>
        <w:pStyle w:val="History"/>
        <w:rPr>
          <w:rFonts w:cs="Arial"/>
          <w:szCs w:val="24"/>
        </w:rPr>
      </w:pPr>
      <w:r>
        <w:rPr>
          <w:rFonts w:cs="Arial"/>
          <w:i/>
          <w:iCs/>
          <w:szCs w:val="24"/>
        </w:rPr>
        <w:t xml:space="preserve">McAlpine K.C. </w:t>
      </w:r>
      <w:r>
        <w:rPr>
          <w:rFonts w:cs="Arial"/>
          <w:szCs w:val="24"/>
        </w:rPr>
        <w:t xml:space="preserve">for the appellant. In cases tried by a judge without a jury, the Appellate Court may deal with questions of fact as fully as the trial judge. </w:t>
      </w:r>
      <w:r>
        <w:rPr>
          <w:rFonts w:cs="Arial"/>
          <w:i/>
          <w:iCs/>
          <w:szCs w:val="24"/>
        </w:rPr>
        <w:t xml:space="preserve">Phœnix Insurance Co. </w:t>
      </w:r>
      <w:r>
        <w:rPr>
          <w:rFonts w:cs="Arial"/>
          <w:szCs w:val="24"/>
        </w:rPr>
        <w:t xml:space="preserve">v. </w:t>
      </w:r>
      <w:r>
        <w:rPr>
          <w:rFonts w:cs="Arial"/>
          <w:i/>
          <w:iCs/>
          <w:szCs w:val="24"/>
        </w:rPr>
        <w:t>McGhee</w:t>
      </w:r>
      <w:r w:rsidR="0018648C">
        <w:rPr>
          <w:rStyle w:val="FootnoteReference"/>
          <w:rFonts w:cs="Arial"/>
          <w:i/>
          <w:iCs/>
          <w:szCs w:val="24"/>
        </w:rPr>
        <w:footnoteReference w:id="2"/>
      </w:r>
      <w:r>
        <w:rPr>
          <w:rFonts w:cs="Arial"/>
          <w:szCs w:val="24"/>
        </w:rPr>
        <w:t xml:space="preserve">. The loss of profits derivable from the prosecution of a certain business is of a personal character, and cannot be construed as a direct or consequent damage to property. </w:t>
      </w:r>
      <w:r>
        <w:rPr>
          <w:rFonts w:cs="Arial"/>
          <w:i/>
          <w:iCs/>
          <w:szCs w:val="24"/>
        </w:rPr>
        <w:t xml:space="preserve">Lefebvre </w:t>
      </w:r>
      <w:r>
        <w:rPr>
          <w:rFonts w:cs="Arial"/>
          <w:szCs w:val="24"/>
        </w:rPr>
        <w:t xml:space="preserve">v. </w:t>
      </w:r>
      <w:r>
        <w:rPr>
          <w:rFonts w:cs="Arial"/>
          <w:i/>
          <w:iCs/>
          <w:szCs w:val="24"/>
        </w:rPr>
        <w:t>The Queen</w:t>
      </w:r>
      <w:r w:rsidR="0018648C">
        <w:rPr>
          <w:rStyle w:val="FootnoteReference"/>
          <w:rFonts w:cs="Arial"/>
          <w:i/>
          <w:iCs/>
          <w:szCs w:val="24"/>
        </w:rPr>
        <w:footnoteReference w:id="3"/>
      </w:r>
      <w:r>
        <w:rPr>
          <w:rFonts w:cs="Arial"/>
          <w:szCs w:val="24"/>
        </w:rPr>
        <w:t xml:space="preserve">. See also </w:t>
      </w:r>
      <w:r>
        <w:rPr>
          <w:rFonts w:cs="Arial"/>
          <w:i/>
          <w:iCs/>
          <w:szCs w:val="24"/>
        </w:rPr>
        <w:t xml:space="preserve">Jones </w:t>
      </w:r>
      <w:r>
        <w:rPr>
          <w:rFonts w:cs="Arial"/>
          <w:szCs w:val="24"/>
        </w:rPr>
        <w:t xml:space="preserve">v. </w:t>
      </w:r>
      <w:r>
        <w:rPr>
          <w:rFonts w:cs="Arial"/>
          <w:i/>
          <w:iCs/>
          <w:szCs w:val="24"/>
        </w:rPr>
        <w:t>Hough</w:t>
      </w:r>
      <w:r w:rsidR="0018648C">
        <w:rPr>
          <w:rStyle w:val="FootnoteReference"/>
          <w:rFonts w:cs="Arial"/>
          <w:i/>
          <w:iCs/>
          <w:szCs w:val="24"/>
        </w:rPr>
        <w:footnoteReference w:id="4"/>
      </w:r>
      <w:r>
        <w:rPr>
          <w:rFonts w:cs="Arial"/>
          <w:szCs w:val="24"/>
        </w:rPr>
        <w:t>.</w:t>
      </w:r>
    </w:p>
    <w:p w:rsidR="00815E50" w:rsidRDefault="00815E50" w:rsidP="00220257">
      <w:pPr>
        <w:pStyle w:val="History"/>
        <w:rPr>
          <w:rFonts w:cs="Arial"/>
          <w:szCs w:val="24"/>
        </w:rPr>
      </w:pPr>
      <w:r>
        <w:rPr>
          <w:rFonts w:cs="Arial"/>
          <w:i/>
          <w:iCs/>
          <w:szCs w:val="24"/>
        </w:rPr>
        <w:t xml:space="preserve">Stockton K C. </w:t>
      </w:r>
      <w:r>
        <w:rPr>
          <w:rFonts w:cs="Arial"/>
          <w:szCs w:val="24"/>
        </w:rPr>
        <w:t>for the respondent. The Exchequer Court judge heard the witnesses, saw the manner in which they gave their evidence and was fully informed as to all the circumstances of the case. His judgment is as to a question of value, as if found by a jury, and and in that respect must be treated as a finding of fact not to be interfered with on appeal. There is</w:t>
      </w:r>
    </w:p>
    <w:p w:rsidR="00815E50" w:rsidRDefault="005D4AB3" w:rsidP="005D4AB3">
      <w:pPr>
        <w:pStyle w:val="Page"/>
      </w:pPr>
      <w:r>
        <w:rPr>
          <w:rFonts w:cs="Arial"/>
          <w:szCs w:val="24"/>
        </w:rPr>
        <w:t xml:space="preserve">[Page </w:t>
      </w:r>
      <w:r w:rsidR="00815E50">
        <w:rPr>
          <w:rFonts w:cs="Arial"/>
          <w:szCs w:val="24"/>
        </w:rPr>
        <w:t>49]</w:t>
      </w:r>
    </w:p>
    <w:p w:rsidR="00815E50" w:rsidRDefault="00815E50" w:rsidP="00220257">
      <w:pPr>
        <w:pStyle w:val="History"/>
        <w:ind w:firstLine="0"/>
        <w:rPr>
          <w:rFonts w:cs="Arial"/>
          <w:szCs w:val="24"/>
        </w:rPr>
      </w:pPr>
      <w:r>
        <w:rPr>
          <w:rFonts w:cs="Arial"/>
          <w:szCs w:val="24"/>
        </w:rPr>
        <w:t xml:space="preserve">ample evidence to sustain the award. </w:t>
      </w:r>
      <w:r>
        <w:rPr>
          <w:rFonts w:cs="Arial"/>
          <w:i/>
          <w:iCs/>
          <w:szCs w:val="24"/>
        </w:rPr>
        <w:t xml:space="preserve">The Queen </w:t>
      </w:r>
      <w:r>
        <w:rPr>
          <w:rFonts w:cs="Arial"/>
          <w:szCs w:val="24"/>
        </w:rPr>
        <w:t xml:space="preserve">v. </w:t>
      </w:r>
      <w:r>
        <w:rPr>
          <w:rFonts w:cs="Arial"/>
          <w:i/>
          <w:iCs/>
          <w:szCs w:val="24"/>
        </w:rPr>
        <w:t>Murphy</w:t>
      </w:r>
      <w:r w:rsidR="0018648C">
        <w:rPr>
          <w:rStyle w:val="FootnoteReference"/>
          <w:rFonts w:cs="Arial"/>
          <w:i/>
          <w:iCs/>
          <w:szCs w:val="24"/>
        </w:rPr>
        <w:footnoteReference w:id="5"/>
      </w:r>
      <w:r>
        <w:rPr>
          <w:rFonts w:cs="Arial"/>
          <w:szCs w:val="24"/>
        </w:rPr>
        <w:t xml:space="preserve">. This court should not reverse merely upon a balance of testimony. </w:t>
      </w:r>
      <w:r>
        <w:rPr>
          <w:rFonts w:cs="Arial"/>
          <w:i/>
          <w:iCs/>
          <w:szCs w:val="24"/>
        </w:rPr>
        <w:t>The Picton</w:t>
      </w:r>
      <w:r w:rsidR="0018648C">
        <w:rPr>
          <w:rStyle w:val="FootnoteReference"/>
          <w:rFonts w:cs="Arial"/>
          <w:i/>
          <w:iCs/>
          <w:szCs w:val="24"/>
        </w:rPr>
        <w:footnoteReference w:id="6"/>
      </w:r>
      <w:r>
        <w:rPr>
          <w:rFonts w:cs="Arial"/>
          <w:szCs w:val="24"/>
        </w:rPr>
        <w:t xml:space="preserve">; </w:t>
      </w:r>
      <w:r>
        <w:rPr>
          <w:rFonts w:cs="Arial"/>
          <w:i/>
          <w:iCs/>
          <w:szCs w:val="24"/>
        </w:rPr>
        <w:t xml:space="preserve">Ryan </w:t>
      </w:r>
      <w:r>
        <w:rPr>
          <w:rFonts w:cs="Arial"/>
          <w:szCs w:val="24"/>
        </w:rPr>
        <w:t xml:space="preserve">v. </w:t>
      </w:r>
      <w:r>
        <w:rPr>
          <w:rFonts w:cs="Arial"/>
          <w:i/>
          <w:iCs/>
          <w:szCs w:val="24"/>
        </w:rPr>
        <w:t>Ryan</w:t>
      </w:r>
      <w:r w:rsidR="0018648C">
        <w:rPr>
          <w:rStyle w:val="FootnoteReference"/>
          <w:rFonts w:cs="Arial"/>
          <w:i/>
          <w:iCs/>
          <w:szCs w:val="24"/>
        </w:rPr>
        <w:footnoteReference w:id="7"/>
      </w:r>
      <w:r>
        <w:rPr>
          <w:rFonts w:cs="Arial"/>
          <w:szCs w:val="24"/>
        </w:rPr>
        <w:t xml:space="preserve">; </w:t>
      </w:r>
      <w:r>
        <w:rPr>
          <w:rFonts w:cs="Arial"/>
          <w:i/>
          <w:iCs/>
          <w:szCs w:val="24"/>
        </w:rPr>
        <w:t xml:space="preserve">Grasett </w:t>
      </w:r>
      <w:r>
        <w:rPr>
          <w:rFonts w:cs="Arial"/>
          <w:szCs w:val="24"/>
        </w:rPr>
        <w:t xml:space="preserve">v. </w:t>
      </w:r>
      <w:r>
        <w:rPr>
          <w:rFonts w:cs="Arial"/>
          <w:i/>
          <w:iCs/>
          <w:szCs w:val="24"/>
        </w:rPr>
        <w:t>Carter</w:t>
      </w:r>
      <w:r w:rsidR="0018648C">
        <w:rPr>
          <w:rStyle w:val="FootnoteReference"/>
          <w:rFonts w:cs="Arial"/>
          <w:i/>
          <w:iCs/>
          <w:szCs w:val="24"/>
        </w:rPr>
        <w:footnoteReference w:id="8"/>
      </w:r>
      <w:r>
        <w:rPr>
          <w:rFonts w:cs="Arial"/>
          <w:szCs w:val="24"/>
        </w:rPr>
        <w:t xml:space="preserve">; </w:t>
      </w:r>
      <w:r>
        <w:rPr>
          <w:rFonts w:cs="Arial"/>
          <w:i/>
          <w:iCs/>
          <w:szCs w:val="24"/>
        </w:rPr>
        <w:t xml:space="preserve">Jones </w:t>
      </w:r>
      <w:r>
        <w:rPr>
          <w:rFonts w:cs="Arial"/>
          <w:szCs w:val="24"/>
        </w:rPr>
        <w:t xml:space="preserve">v. </w:t>
      </w:r>
      <w:r>
        <w:rPr>
          <w:rFonts w:cs="Arial"/>
          <w:i/>
          <w:iCs/>
          <w:szCs w:val="24"/>
        </w:rPr>
        <w:t>Tuck</w:t>
      </w:r>
      <w:r w:rsidR="0018648C">
        <w:rPr>
          <w:rStyle w:val="FootnoteReference"/>
          <w:rFonts w:cs="Arial"/>
          <w:i/>
          <w:iCs/>
          <w:szCs w:val="24"/>
        </w:rPr>
        <w:footnoteReference w:id="9"/>
      </w:r>
      <w:r>
        <w:rPr>
          <w:rFonts w:cs="Arial"/>
          <w:szCs w:val="24"/>
        </w:rPr>
        <w:t xml:space="preserve">; </w:t>
      </w:r>
      <w:r>
        <w:rPr>
          <w:rFonts w:cs="Arial"/>
          <w:i/>
          <w:iCs/>
          <w:szCs w:val="24"/>
        </w:rPr>
        <w:t xml:space="preserve">Arpin </w:t>
      </w:r>
      <w:r>
        <w:rPr>
          <w:rFonts w:cs="Arial"/>
          <w:szCs w:val="24"/>
        </w:rPr>
        <w:t xml:space="preserve">v. </w:t>
      </w:r>
      <w:r>
        <w:rPr>
          <w:rFonts w:cs="Arial"/>
          <w:i/>
          <w:iCs/>
          <w:szCs w:val="24"/>
        </w:rPr>
        <w:t>The</w:t>
      </w:r>
      <w:r>
        <w:rPr>
          <w:rFonts w:cs="Arial"/>
          <w:szCs w:val="24"/>
        </w:rPr>
        <w:t xml:space="preserve"> </w:t>
      </w:r>
      <w:r>
        <w:rPr>
          <w:rFonts w:cs="Arial"/>
          <w:i/>
          <w:iCs/>
          <w:szCs w:val="24"/>
        </w:rPr>
        <w:t>Queen</w:t>
      </w:r>
      <w:r w:rsidR="0018648C">
        <w:rPr>
          <w:rStyle w:val="FootnoteReference"/>
          <w:rFonts w:cs="Arial"/>
          <w:i/>
          <w:iCs/>
          <w:szCs w:val="24"/>
        </w:rPr>
        <w:footnoteReference w:id="10"/>
      </w:r>
      <w:r>
        <w:rPr>
          <w:rFonts w:cs="Arial"/>
          <w:szCs w:val="24"/>
        </w:rPr>
        <w:t xml:space="preserve">; </w:t>
      </w:r>
      <w:r>
        <w:rPr>
          <w:rFonts w:cs="Arial"/>
          <w:i/>
          <w:iCs/>
          <w:szCs w:val="24"/>
        </w:rPr>
        <w:t xml:space="preserve">Bickford </w:t>
      </w:r>
      <w:r>
        <w:rPr>
          <w:rFonts w:cs="Arial"/>
          <w:szCs w:val="24"/>
        </w:rPr>
        <w:t xml:space="preserve">v. </w:t>
      </w:r>
      <w:r>
        <w:rPr>
          <w:rFonts w:cs="Arial"/>
          <w:i/>
          <w:iCs/>
          <w:szCs w:val="24"/>
        </w:rPr>
        <w:t>Hawkins</w:t>
      </w:r>
      <w:r w:rsidR="0018648C">
        <w:rPr>
          <w:rStyle w:val="FootnoteReference"/>
          <w:rFonts w:cs="Arial"/>
          <w:i/>
          <w:iCs/>
          <w:szCs w:val="24"/>
        </w:rPr>
        <w:footnoteReference w:id="11"/>
      </w:r>
      <w:r>
        <w:rPr>
          <w:rFonts w:cs="Arial"/>
          <w:i/>
          <w:iCs/>
          <w:szCs w:val="24"/>
        </w:rPr>
        <w:t xml:space="preserve">; Solomon </w:t>
      </w:r>
      <w:r>
        <w:rPr>
          <w:rFonts w:cs="Arial"/>
          <w:szCs w:val="24"/>
        </w:rPr>
        <w:t xml:space="preserve">v. </w:t>
      </w:r>
      <w:r>
        <w:rPr>
          <w:rFonts w:cs="Arial"/>
          <w:i/>
          <w:iCs/>
          <w:szCs w:val="24"/>
        </w:rPr>
        <w:t>Bitton</w:t>
      </w:r>
      <w:r w:rsidR="0018648C">
        <w:rPr>
          <w:rStyle w:val="FootnoteReference"/>
          <w:rFonts w:cs="Arial"/>
          <w:i/>
          <w:iCs/>
          <w:szCs w:val="24"/>
        </w:rPr>
        <w:footnoteReference w:id="12"/>
      </w:r>
      <w:r>
        <w:rPr>
          <w:rFonts w:cs="Arial"/>
          <w:szCs w:val="24"/>
        </w:rPr>
        <w:t xml:space="preserve">; </w:t>
      </w:r>
      <w:r>
        <w:rPr>
          <w:rFonts w:cs="Arial"/>
          <w:i/>
          <w:iCs/>
          <w:szCs w:val="24"/>
        </w:rPr>
        <w:t>The</w:t>
      </w:r>
      <w:r>
        <w:rPr>
          <w:rFonts w:cs="Arial"/>
          <w:szCs w:val="24"/>
        </w:rPr>
        <w:t xml:space="preserve"> </w:t>
      </w:r>
      <w:r>
        <w:rPr>
          <w:rFonts w:cs="Arial"/>
          <w:i/>
          <w:iCs/>
          <w:szCs w:val="24"/>
        </w:rPr>
        <w:t xml:space="preserve">Metropolitan Railway Co </w:t>
      </w:r>
      <w:r>
        <w:rPr>
          <w:rFonts w:cs="Arial"/>
          <w:szCs w:val="24"/>
        </w:rPr>
        <w:t xml:space="preserve">v. </w:t>
      </w:r>
      <w:r>
        <w:rPr>
          <w:rFonts w:cs="Arial"/>
          <w:i/>
          <w:iCs/>
          <w:szCs w:val="24"/>
        </w:rPr>
        <w:t>Wright</w:t>
      </w:r>
      <w:r w:rsidR="0018648C">
        <w:rPr>
          <w:rStyle w:val="FootnoteReference"/>
          <w:rFonts w:cs="Arial"/>
          <w:i/>
          <w:iCs/>
          <w:szCs w:val="24"/>
        </w:rPr>
        <w:footnoteReference w:id="13"/>
      </w:r>
      <w:r>
        <w:rPr>
          <w:rFonts w:cs="Arial"/>
          <w:szCs w:val="24"/>
        </w:rPr>
        <w:t xml:space="preserve">; </w:t>
      </w:r>
      <w:r>
        <w:rPr>
          <w:rFonts w:cs="Arial"/>
          <w:i/>
          <w:iCs/>
          <w:szCs w:val="24"/>
        </w:rPr>
        <w:t xml:space="preserve">Webster </w:t>
      </w:r>
      <w:r>
        <w:rPr>
          <w:rFonts w:cs="Arial"/>
          <w:szCs w:val="24"/>
        </w:rPr>
        <w:t xml:space="preserve">v. </w:t>
      </w:r>
      <w:r>
        <w:rPr>
          <w:rFonts w:cs="Arial"/>
          <w:i/>
          <w:iCs/>
          <w:szCs w:val="24"/>
        </w:rPr>
        <w:t>Friedeberg</w:t>
      </w:r>
      <w:r w:rsidR="0018648C">
        <w:rPr>
          <w:rStyle w:val="FootnoteReference"/>
          <w:rFonts w:cs="Arial"/>
          <w:i/>
          <w:iCs/>
          <w:szCs w:val="24"/>
        </w:rPr>
        <w:footnoteReference w:id="14"/>
      </w:r>
      <w:r>
        <w:rPr>
          <w:rFonts w:cs="Arial"/>
          <w:szCs w:val="24"/>
        </w:rPr>
        <w:t xml:space="preserve">; </w:t>
      </w:r>
      <w:r>
        <w:rPr>
          <w:rFonts w:cs="Arial"/>
          <w:i/>
          <w:iCs/>
          <w:szCs w:val="24"/>
        </w:rPr>
        <w:t>Gray</w:t>
      </w:r>
      <w:r>
        <w:rPr>
          <w:rFonts w:cs="Arial"/>
          <w:szCs w:val="24"/>
        </w:rPr>
        <w:t xml:space="preserve"> v. </w:t>
      </w:r>
      <w:r>
        <w:rPr>
          <w:rFonts w:cs="Arial"/>
          <w:i/>
          <w:iCs/>
          <w:szCs w:val="24"/>
        </w:rPr>
        <w:t>Turnbull</w:t>
      </w:r>
      <w:r w:rsidR="0018648C">
        <w:rPr>
          <w:rStyle w:val="FootnoteReference"/>
          <w:rFonts w:cs="Arial"/>
          <w:i/>
          <w:iCs/>
          <w:szCs w:val="24"/>
        </w:rPr>
        <w:footnoteReference w:id="15"/>
      </w:r>
      <w:r>
        <w:rPr>
          <w:rFonts w:cs="Arial"/>
          <w:szCs w:val="24"/>
        </w:rPr>
        <w:t>; S. S. "</w:t>
      </w:r>
      <w:r>
        <w:rPr>
          <w:rFonts w:cs="Arial"/>
          <w:i/>
          <w:iCs/>
          <w:szCs w:val="24"/>
        </w:rPr>
        <w:t>Baku</w:t>
      </w:r>
      <w:r>
        <w:rPr>
          <w:rFonts w:cs="Arial"/>
          <w:szCs w:val="24"/>
        </w:rPr>
        <w:t xml:space="preserve"> </w:t>
      </w:r>
      <w:r>
        <w:rPr>
          <w:rFonts w:cs="Arial"/>
          <w:i/>
          <w:iCs/>
          <w:szCs w:val="24"/>
        </w:rPr>
        <w:t>Standard</w:t>
      </w:r>
      <w:r>
        <w:rPr>
          <w:rFonts w:cs="Arial"/>
          <w:szCs w:val="24"/>
        </w:rPr>
        <w:t>" v. S. S. "</w:t>
      </w:r>
      <w:r>
        <w:rPr>
          <w:rFonts w:cs="Arial"/>
          <w:i/>
          <w:iCs/>
          <w:szCs w:val="24"/>
        </w:rPr>
        <w:t>Angèle</w:t>
      </w:r>
      <w:r>
        <w:rPr>
          <w:rFonts w:cs="Arial"/>
          <w:szCs w:val="24"/>
        </w:rPr>
        <w:t>"</w:t>
      </w:r>
      <w:r w:rsidR="0018648C">
        <w:rPr>
          <w:rStyle w:val="FootnoteReference"/>
          <w:rFonts w:cs="Arial"/>
          <w:szCs w:val="24"/>
        </w:rPr>
        <w:footnoteReference w:id="16"/>
      </w:r>
      <w:r>
        <w:rPr>
          <w:rFonts w:cs="Arial"/>
          <w:szCs w:val="24"/>
        </w:rPr>
        <w:t>.</w:t>
      </w:r>
    </w:p>
    <w:p w:rsidR="00815E50" w:rsidRDefault="00815E50" w:rsidP="00220257">
      <w:pPr>
        <w:pStyle w:val="Reasons"/>
      </w:pPr>
      <w:r>
        <w:t>The judgment of the majority of the court was delivered by:</w:t>
      </w:r>
    </w:p>
    <w:p w:rsidR="00815E50" w:rsidRDefault="00220257" w:rsidP="00220257">
      <w:pPr>
        <w:pStyle w:val="Reasons"/>
        <w:rPr>
          <w:rFonts w:cs="Arial"/>
          <w:szCs w:val="24"/>
        </w:rPr>
      </w:pPr>
      <w:r w:rsidRPr="00220257">
        <w:t>DAVIES</w:t>
      </w:r>
      <w:r>
        <w:rPr>
          <w:rFonts w:cs="Arial"/>
          <w:smallCaps/>
          <w:szCs w:val="24"/>
        </w:rPr>
        <w:t xml:space="preserve"> </w:t>
      </w:r>
      <w:r w:rsidR="00815E50">
        <w:rPr>
          <w:rFonts w:cs="Arial"/>
          <w:szCs w:val="24"/>
        </w:rPr>
        <w:t xml:space="preserve">J.—In August, 1898, the Minister of Railways and Canals expropriated 28,100 </w:t>
      </w:r>
      <w:r w:rsidR="00815E50">
        <w:rPr>
          <w:rFonts w:cs="Arial"/>
          <w:szCs w:val="24"/>
        </w:rPr>
        <w:lastRenderedPageBreak/>
        <w:t>feet of the respondent's land in the City of Saint John, N.B. The parcel expropriated was part of a lot of 80,000 square feet of land used by respondent as a timber pond.</w:t>
      </w:r>
    </w:p>
    <w:p w:rsidR="00815E50" w:rsidRDefault="00815E50" w:rsidP="00220257">
      <w:pPr>
        <w:pStyle w:val="Reasons"/>
        <w:rPr>
          <w:rFonts w:cs="Arial"/>
          <w:szCs w:val="24"/>
        </w:rPr>
      </w:pPr>
      <w:r>
        <w:rPr>
          <w:rFonts w:cs="Arial"/>
          <w:szCs w:val="24"/>
        </w:rPr>
        <w:t>The Minister of Railways appointed three valuators of experience and repute to value the lands expropriated, and they, after inquiring into all the facts necessary to enable them to form a judgment, awarded the owner, the present respondent, $11,410. The minister accepted this valuation and tendered the respondent the amount. He refused to accept and filed a Petition of Right in the Exchequer Court claiming the valuation to have been "greatly inadequate."</w:t>
      </w:r>
    </w:p>
    <w:p w:rsidR="00815E50" w:rsidRDefault="00815E50" w:rsidP="00220257">
      <w:pPr>
        <w:pStyle w:val="Reasons"/>
        <w:rPr>
          <w:rFonts w:cs="Arial"/>
          <w:szCs w:val="24"/>
        </w:rPr>
      </w:pPr>
      <w:r>
        <w:rPr>
          <w:rFonts w:cs="Arial"/>
          <w:szCs w:val="24"/>
        </w:rPr>
        <w:t>The Court of Exchequer, after hearing many witnesses, awarded the suppliant $17,000 for the 28,000 square feet taken and for all damages resulting therefrom and interest at six per cent from the 20th of August, 1898, the date of the expropriation.</w:t>
      </w:r>
    </w:p>
    <w:p w:rsidR="00815E50" w:rsidRDefault="005D4AB3" w:rsidP="005D4AB3">
      <w:pPr>
        <w:pStyle w:val="Page"/>
      </w:pPr>
      <w:r>
        <w:rPr>
          <w:rFonts w:cs="Arial"/>
          <w:szCs w:val="24"/>
        </w:rPr>
        <w:t xml:space="preserve">[Page </w:t>
      </w:r>
      <w:r w:rsidR="00815E50">
        <w:rPr>
          <w:rFonts w:cs="Arial"/>
          <w:szCs w:val="24"/>
        </w:rPr>
        <w:t>50]</w:t>
      </w:r>
    </w:p>
    <w:p w:rsidR="00815E50" w:rsidRDefault="00815E50" w:rsidP="00220257">
      <w:pPr>
        <w:pStyle w:val="Reasons"/>
        <w:rPr>
          <w:rFonts w:cs="Arial"/>
          <w:szCs w:val="24"/>
        </w:rPr>
      </w:pPr>
      <w:r>
        <w:rPr>
          <w:rFonts w:cs="Arial"/>
          <w:szCs w:val="24"/>
        </w:rPr>
        <w:t>We have not the advantage of knowing on what grounds the learned judge of the Exchequer Court increased the valuators' award, as no written judgment was given by him. This amount awarded by him is at the rate of about 60½ cents per square foot. From the evidence it appears that the suppliant was at one time the owner of the whole lot, embracing 80,000 square feet, as trustee for one Fisher, the beneficial owner. As such trustee after duly advertising the lands he caused them to be sold at public auction in 1894 for $2,100 being himself the purchaser. No evidence of any special appreciation in the value of these lands between 1894 and 1898 was given but a large mass of testimony was taken by the Exchequer Court with respect to such value. The Crown, having accepted the valuation of the valuators appointed by the Minister of Railways and tendered the amount to the respondent, we do not feel under all the circumstances of this case and the somewhat conflicting evidence, justified in awarding a less sum, though we wish to he distinctly understood as not laying down any rule which would prevent us going into similar valuations and awarding less.</w:t>
      </w:r>
    </w:p>
    <w:p w:rsidR="00815E50" w:rsidRDefault="00815E50" w:rsidP="00220257">
      <w:pPr>
        <w:pStyle w:val="Reasons"/>
        <w:rPr>
          <w:rFonts w:cs="Arial"/>
          <w:szCs w:val="24"/>
        </w:rPr>
      </w:pPr>
      <w:r>
        <w:rPr>
          <w:rFonts w:cs="Arial"/>
          <w:szCs w:val="24"/>
        </w:rPr>
        <w:t xml:space="preserve">After carefully weighing the evidence and the arguments submitted to us we have </w:t>
      </w:r>
      <w:r>
        <w:rPr>
          <w:rFonts w:cs="Arial"/>
          <w:szCs w:val="24"/>
        </w:rPr>
        <w:lastRenderedPageBreak/>
        <w:t>reached the conclusion that the amount given by the valuators was exceedingly generous.</w:t>
      </w:r>
    </w:p>
    <w:p w:rsidR="00815E50" w:rsidRDefault="00815E50" w:rsidP="00220257">
      <w:pPr>
        <w:pStyle w:val="Reasons"/>
        <w:rPr>
          <w:rFonts w:cs="Arial"/>
          <w:szCs w:val="24"/>
        </w:rPr>
      </w:pPr>
      <w:r>
        <w:rPr>
          <w:rFonts w:cs="Arial"/>
          <w:szCs w:val="24"/>
        </w:rPr>
        <w:t>The appeal will be allowed with costs and the judgment of the Exchequer Court reduced to the sum of $11,410, without interest from the time the amount was tendered by the Crown, the suppliant to pay all costs in the Exchequer Court and the costs of this appeal.</w:t>
      </w:r>
    </w:p>
    <w:p w:rsidR="00815E50" w:rsidRDefault="00220257" w:rsidP="00220257">
      <w:pPr>
        <w:pStyle w:val="Reasons"/>
        <w:rPr>
          <w:rFonts w:cs="Arial"/>
          <w:szCs w:val="24"/>
        </w:rPr>
      </w:pPr>
      <w:r w:rsidRPr="00220257">
        <w:t>GIROUARD</w:t>
      </w:r>
      <w:r>
        <w:rPr>
          <w:rFonts w:cs="Arial"/>
          <w:smallCaps/>
          <w:szCs w:val="24"/>
        </w:rPr>
        <w:t xml:space="preserve"> </w:t>
      </w:r>
      <w:r w:rsidR="00815E50">
        <w:rPr>
          <w:rFonts w:cs="Arial"/>
          <w:szCs w:val="24"/>
        </w:rPr>
        <w:t>J. (dissenting.)—The Crown valuators valued the land expropriated and all damages at $11, 400, which the Crown offered with interest, altogether</w:t>
      </w:r>
    </w:p>
    <w:p w:rsidR="00815E50" w:rsidRDefault="005D4AB3" w:rsidP="005D4AB3">
      <w:pPr>
        <w:pStyle w:val="Page"/>
      </w:pPr>
      <w:r>
        <w:rPr>
          <w:rFonts w:cs="Arial"/>
          <w:szCs w:val="24"/>
        </w:rPr>
        <w:t xml:space="preserve">[Page </w:t>
      </w:r>
      <w:r w:rsidR="00815E50">
        <w:rPr>
          <w:rFonts w:cs="Arial"/>
          <w:szCs w:val="24"/>
        </w:rPr>
        <w:t>51]</w:t>
      </w:r>
    </w:p>
    <w:p w:rsidR="00815E50" w:rsidRDefault="00815E50" w:rsidP="00220257">
      <w:pPr>
        <w:pStyle w:val="Reasons"/>
        <w:rPr>
          <w:rFonts w:cs="Arial"/>
          <w:szCs w:val="24"/>
        </w:rPr>
      </w:pPr>
      <w:r>
        <w:rPr>
          <w:rFonts w:cs="Arial"/>
          <w:szCs w:val="24"/>
        </w:rPr>
        <w:t>$12,000. The proprietor, not being satisfied with this tender, brought his Petition of Eight, and the Exchequer Court judge, after hearing twelve or fifteen witnesses on each side, allowed $17,000.</w:t>
      </w:r>
    </w:p>
    <w:p w:rsidR="00815E50" w:rsidRDefault="00815E50" w:rsidP="00220257">
      <w:pPr>
        <w:pStyle w:val="Reasons"/>
        <w:rPr>
          <w:rFonts w:cs="Arial"/>
          <w:szCs w:val="24"/>
        </w:rPr>
      </w:pPr>
      <w:r>
        <w:rPr>
          <w:rFonts w:cs="Arial"/>
          <w:szCs w:val="24"/>
        </w:rPr>
        <w:t xml:space="preserve">As is usual in similar cases, there is great diversity of opinion. As I read the evidence, I think the weight of it is in favour of the respondent. The learned trial judge saw and heard the witnesses. In </w:t>
      </w:r>
      <w:r>
        <w:rPr>
          <w:rFonts w:cs="Arial"/>
          <w:i/>
          <w:iCs/>
          <w:szCs w:val="24"/>
        </w:rPr>
        <w:t xml:space="preserve">The Queen </w:t>
      </w:r>
      <w:r>
        <w:rPr>
          <w:rFonts w:cs="Arial"/>
          <w:szCs w:val="24"/>
        </w:rPr>
        <w:t xml:space="preserve">v. </w:t>
      </w:r>
      <w:r>
        <w:rPr>
          <w:rFonts w:cs="Arial"/>
          <w:i/>
          <w:iCs/>
          <w:szCs w:val="24"/>
        </w:rPr>
        <w:t>Armour</w:t>
      </w:r>
      <w:r w:rsidR="0018648C">
        <w:rPr>
          <w:rStyle w:val="FootnoteReference"/>
          <w:rFonts w:cs="Arial"/>
          <w:i/>
          <w:iCs/>
          <w:szCs w:val="24"/>
        </w:rPr>
        <w:footnoteReference w:id="17"/>
      </w:r>
      <w:r>
        <w:rPr>
          <w:rFonts w:cs="Arial"/>
          <w:szCs w:val="24"/>
        </w:rPr>
        <w:t>, we decided that in a case where the Crown valuators valued the land and damages at $6,860, and the Exchequer Court judge increased the amount to $14,658,</w:t>
      </w:r>
    </w:p>
    <w:p w:rsidR="00815E50" w:rsidRDefault="00815E50" w:rsidP="00220257">
      <w:pPr>
        <w:pStyle w:val="Indent1"/>
      </w:pPr>
      <w:r>
        <w:t>it would be necessary to demonstrate in the clearest possible way, by reference to the evidence in the case, that there was error in his judgment.</w:t>
      </w:r>
    </w:p>
    <w:p w:rsidR="00815E50" w:rsidRDefault="00815E50" w:rsidP="00220257">
      <w:pPr>
        <w:pStyle w:val="Reasons"/>
        <w:rPr>
          <w:rFonts w:cs="Arial"/>
          <w:szCs w:val="24"/>
        </w:rPr>
      </w:pPr>
      <w:r>
        <w:rPr>
          <w:rFonts w:cs="Arial"/>
          <w:szCs w:val="24"/>
        </w:rPr>
        <w:t>A recent decision in the Privy Council in SS. "</w:t>
      </w:r>
      <w:r>
        <w:rPr>
          <w:rFonts w:cs="Arial"/>
          <w:i/>
          <w:iCs/>
          <w:szCs w:val="24"/>
        </w:rPr>
        <w:t xml:space="preserve">Baku Standard" </w:t>
      </w:r>
      <w:r>
        <w:rPr>
          <w:rFonts w:cs="Arial"/>
          <w:szCs w:val="24"/>
        </w:rPr>
        <w:t xml:space="preserve">v. SS. </w:t>
      </w:r>
      <w:r>
        <w:rPr>
          <w:rFonts w:cs="Arial"/>
          <w:i/>
          <w:iCs/>
          <w:szCs w:val="24"/>
        </w:rPr>
        <w:t>"Angèle"</w:t>
      </w:r>
      <w:r w:rsidR="0018648C">
        <w:rPr>
          <w:rStyle w:val="FootnoteReference"/>
          <w:rFonts w:cs="Arial"/>
          <w:i/>
          <w:iCs/>
          <w:szCs w:val="24"/>
        </w:rPr>
        <w:footnoteReference w:id="18"/>
      </w:r>
      <w:r>
        <w:rPr>
          <w:rFonts w:cs="Arial"/>
          <w:i/>
          <w:iCs/>
          <w:szCs w:val="24"/>
        </w:rPr>
        <w:t xml:space="preserve"> </w:t>
      </w:r>
      <w:r>
        <w:rPr>
          <w:rFonts w:cs="Arial"/>
          <w:szCs w:val="24"/>
        </w:rPr>
        <w:t xml:space="preserve"> is in point. Sir Ford North said:</w:t>
      </w:r>
    </w:p>
    <w:p w:rsidR="00815E50" w:rsidRDefault="00815E50" w:rsidP="00220257">
      <w:pPr>
        <w:pStyle w:val="Indent1"/>
      </w:pPr>
      <w:r>
        <w:t xml:space="preserve">Their Lordships are of opinion that, considering the evidence, and that the compensation for damage is dealt with separately, full justice would have been done by an award of less than £1,000 for salvage. But this is a question of amount only, and it is not the custom of this committee to vary the decision of a court below on a question of amount, merely because, they are of opinion that, if the </w:t>
      </w:r>
      <w:r>
        <w:lastRenderedPageBreak/>
        <w:t>case had come before them in the first instance, they might have awarded a smaller sum. It has been laid down in "</w:t>
      </w:r>
      <w:r>
        <w:rPr>
          <w:i/>
          <w:iCs/>
        </w:rPr>
        <w:t>The Be Bay"</w:t>
      </w:r>
      <w:r w:rsidR="0018648C">
        <w:rPr>
          <w:rStyle w:val="FootnoteReference"/>
          <w:i/>
          <w:iCs/>
        </w:rPr>
        <w:footnoteReference w:id="19"/>
      </w:r>
      <w:r>
        <w:t xml:space="preserve"> (mentioned above) and other cases that they will only do so if the amount awarded appears to them to be grossly in excess of what is right, which is not the case here.</w:t>
      </w:r>
    </w:p>
    <w:p w:rsidR="00815E50" w:rsidRDefault="00815E50" w:rsidP="00220257">
      <w:pPr>
        <w:pStyle w:val="Reasons"/>
        <w:rPr>
          <w:rFonts w:cs="Arial"/>
          <w:szCs w:val="24"/>
        </w:rPr>
      </w:pPr>
      <w:r>
        <w:rPr>
          <w:rFonts w:cs="Arial"/>
          <w:szCs w:val="24"/>
        </w:rPr>
        <w:t>I would dismiss this appeal.</w:t>
      </w:r>
    </w:p>
    <w:p w:rsidR="00815E50" w:rsidRPr="00220257" w:rsidRDefault="00815E50" w:rsidP="00220257">
      <w:pPr>
        <w:pStyle w:val="Reasons"/>
      </w:pPr>
      <w:r w:rsidRPr="00220257">
        <w:t>Appeal allowed with costs.</w:t>
      </w:r>
    </w:p>
    <w:p w:rsidR="00815E50" w:rsidRDefault="00815E50" w:rsidP="00220257">
      <w:pPr>
        <w:pStyle w:val="Sollicitors"/>
        <w:rPr>
          <w:iCs/>
        </w:rPr>
      </w:pPr>
      <w:r>
        <w:t xml:space="preserve">Solicitor for the appellant: </w:t>
      </w:r>
      <w:r>
        <w:rPr>
          <w:iCs/>
        </w:rPr>
        <w:t>E. H. McAlpine.</w:t>
      </w:r>
    </w:p>
    <w:p w:rsidR="00815E50" w:rsidRDefault="00815E50" w:rsidP="00220257">
      <w:pPr>
        <w:pStyle w:val="Sollicitors"/>
        <w:rPr>
          <w:iCs/>
        </w:rPr>
      </w:pPr>
      <w:r>
        <w:t xml:space="preserve">Solicitor for the respondent: </w:t>
      </w:r>
      <w:r>
        <w:rPr>
          <w:iCs/>
        </w:rPr>
        <w:t>A. A. Stocton.</w:t>
      </w:r>
    </w:p>
    <w:sectPr w:rsidR="00815E50" w:rsidSect="00815E50">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DE9" w:rsidRDefault="003F6DE9" w:rsidP="00815E50">
      <w:r>
        <w:separator/>
      </w:r>
    </w:p>
  </w:endnote>
  <w:endnote w:type="continuationSeparator" w:id="1">
    <w:p w:rsidR="003F6DE9" w:rsidRDefault="003F6DE9" w:rsidP="00815E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50" w:rsidRDefault="00815E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50" w:rsidRDefault="00815E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50" w:rsidRDefault="00815E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DE9" w:rsidRDefault="003F6DE9" w:rsidP="00815E50">
      <w:r>
        <w:separator/>
      </w:r>
    </w:p>
  </w:footnote>
  <w:footnote w:type="continuationSeparator" w:id="1">
    <w:p w:rsidR="003F6DE9" w:rsidRDefault="003F6DE9" w:rsidP="00815E50">
      <w:r>
        <w:continuationSeparator/>
      </w:r>
    </w:p>
  </w:footnote>
  <w:footnote w:id="2">
    <w:p w:rsidR="0018648C" w:rsidRPr="0018648C" w:rsidRDefault="0018648C">
      <w:pPr>
        <w:pStyle w:val="FootnoteText"/>
        <w:rPr>
          <w:lang w:val="en-US"/>
        </w:rPr>
      </w:pPr>
      <w:r>
        <w:rPr>
          <w:rStyle w:val="FootnoteReference"/>
        </w:rPr>
        <w:footnoteRef/>
      </w:r>
      <w:r>
        <w:t xml:space="preserve"> </w:t>
      </w:r>
      <w:r>
        <w:rPr>
          <w:rFonts w:cs="Arial"/>
          <w:szCs w:val="24"/>
        </w:rPr>
        <w:t>18 Can. S. C. R. 61.</w:t>
      </w:r>
    </w:p>
  </w:footnote>
  <w:footnote w:id="3">
    <w:p w:rsidR="0018648C" w:rsidRPr="0018648C" w:rsidRDefault="0018648C">
      <w:pPr>
        <w:pStyle w:val="FootnoteText"/>
        <w:rPr>
          <w:lang w:val="en-US"/>
        </w:rPr>
      </w:pPr>
      <w:r>
        <w:rPr>
          <w:rStyle w:val="FootnoteReference"/>
        </w:rPr>
        <w:footnoteRef/>
      </w:r>
      <w:r>
        <w:t xml:space="preserve"> </w:t>
      </w:r>
      <w:r>
        <w:rPr>
          <w:rFonts w:cs="Arial"/>
          <w:szCs w:val="24"/>
        </w:rPr>
        <w:t>1 Ex. C. R. 121.</w:t>
      </w:r>
    </w:p>
  </w:footnote>
  <w:footnote w:id="4">
    <w:p w:rsidR="0018648C" w:rsidRPr="0018648C" w:rsidRDefault="0018648C">
      <w:pPr>
        <w:pStyle w:val="FootnoteText"/>
        <w:rPr>
          <w:lang w:val="en-US"/>
        </w:rPr>
      </w:pPr>
      <w:r>
        <w:rPr>
          <w:rStyle w:val="FootnoteReference"/>
        </w:rPr>
        <w:footnoteRef/>
      </w:r>
      <w:r>
        <w:t xml:space="preserve"> </w:t>
      </w:r>
      <w:r>
        <w:rPr>
          <w:rFonts w:cs="Arial"/>
          <w:szCs w:val="24"/>
        </w:rPr>
        <w:t>5 Ex. D. 115.</w:t>
      </w:r>
    </w:p>
  </w:footnote>
  <w:footnote w:id="5">
    <w:p w:rsidR="0018648C" w:rsidRPr="0018648C" w:rsidRDefault="0018648C">
      <w:pPr>
        <w:pStyle w:val="FootnoteText"/>
        <w:rPr>
          <w:lang w:val="en-US"/>
        </w:rPr>
      </w:pPr>
      <w:r>
        <w:rPr>
          <w:rStyle w:val="FootnoteReference"/>
        </w:rPr>
        <w:footnoteRef/>
      </w:r>
      <w:r>
        <w:t xml:space="preserve"> </w:t>
      </w:r>
      <w:r>
        <w:rPr>
          <w:rFonts w:cs="Arial"/>
          <w:szCs w:val="24"/>
        </w:rPr>
        <w:t>Cass. Dig. (2 ed.) 314.</w:t>
      </w:r>
    </w:p>
  </w:footnote>
  <w:footnote w:id="6">
    <w:p w:rsidR="0018648C" w:rsidRPr="0018648C" w:rsidRDefault="0018648C">
      <w:pPr>
        <w:pStyle w:val="FootnoteText"/>
        <w:rPr>
          <w:lang w:val="en-US"/>
        </w:rPr>
      </w:pPr>
      <w:r>
        <w:rPr>
          <w:rStyle w:val="FootnoteReference"/>
        </w:rPr>
        <w:footnoteRef/>
      </w:r>
      <w:r>
        <w:t xml:space="preserve"> </w:t>
      </w:r>
      <w:r>
        <w:rPr>
          <w:rFonts w:cs="Arial"/>
          <w:szCs w:val="24"/>
        </w:rPr>
        <w:t>4 Can. S. C. R. 648.</w:t>
      </w:r>
    </w:p>
  </w:footnote>
  <w:footnote w:id="7">
    <w:p w:rsidR="0018648C" w:rsidRPr="0018648C" w:rsidRDefault="0018648C">
      <w:pPr>
        <w:pStyle w:val="FootnoteText"/>
        <w:rPr>
          <w:lang w:val="en-US"/>
        </w:rPr>
      </w:pPr>
      <w:r>
        <w:rPr>
          <w:rStyle w:val="FootnoteReference"/>
        </w:rPr>
        <w:footnoteRef/>
      </w:r>
      <w:r>
        <w:t xml:space="preserve"> </w:t>
      </w:r>
      <w:r>
        <w:rPr>
          <w:rFonts w:cs="Arial"/>
          <w:szCs w:val="24"/>
        </w:rPr>
        <w:t>5 Can. S. C. R. 387.</w:t>
      </w:r>
    </w:p>
  </w:footnote>
  <w:footnote w:id="8">
    <w:p w:rsidR="0018648C" w:rsidRPr="0018648C" w:rsidRDefault="0018648C">
      <w:pPr>
        <w:pStyle w:val="FootnoteText"/>
        <w:rPr>
          <w:lang w:val="en-US"/>
        </w:rPr>
      </w:pPr>
      <w:r>
        <w:rPr>
          <w:rStyle w:val="FootnoteReference"/>
        </w:rPr>
        <w:footnoteRef/>
      </w:r>
      <w:r>
        <w:t xml:space="preserve"> </w:t>
      </w:r>
      <w:r>
        <w:rPr>
          <w:rFonts w:cs="Arial"/>
          <w:szCs w:val="24"/>
        </w:rPr>
        <w:t>10 Can. S. C. R. 105.</w:t>
      </w:r>
    </w:p>
  </w:footnote>
  <w:footnote w:id="9">
    <w:p w:rsidR="0018648C" w:rsidRPr="0018648C" w:rsidRDefault="0018648C">
      <w:pPr>
        <w:pStyle w:val="FootnoteText"/>
        <w:rPr>
          <w:lang w:val="en-US"/>
        </w:rPr>
      </w:pPr>
      <w:r>
        <w:rPr>
          <w:rStyle w:val="FootnoteReference"/>
        </w:rPr>
        <w:footnoteRef/>
      </w:r>
      <w:r>
        <w:t xml:space="preserve"> </w:t>
      </w:r>
      <w:r>
        <w:rPr>
          <w:rFonts w:cs="Arial"/>
          <w:szCs w:val="24"/>
        </w:rPr>
        <w:t>11 Can. S. C. R. 197.</w:t>
      </w:r>
    </w:p>
  </w:footnote>
  <w:footnote w:id="10">
    <w:p w:rsidR="0018648C" w:rsidRPr="0018648C" w:rsidRDefault="0018648C">
      <w:pPr>
        <w:pStyle w:val="FootnoteText"/>
        <w:rPr>
          <w:lang w:val="en-US"/>
        </w:rPr>
      </w:pPr>
      <w:r>
        <w:rPr>
          <w:rStyle w:val="FootnoteReference"/>
        </w:rPr>
        <w:footnoteRef/>
      </w:r>
      <w:r>
        <w:t xml:space="preserve"> </w:t>
      </w:r>
      <w:r>
        <w:rPr>
          <w:rFonts w:cs="Arial"/>
          <w:szCs w:val="24"/>
        </w:rPr>
        <w:t>14 Can. S. C. R. 736; Cass. Dig. (2 ed.) 21.</w:t>
      </w:r>
    </w:p>
  </w:footnote>
  <w:footnote w:id="11">
    <w:p w:rsidR="0018648C" w:rsidRPr="0018648C" w:rsidRDefault="0018648C">
      <w:pPr>
        <w:pStyle w:val="FootnoteText"/>
        <w:rPr>
          <w:lang w:val="en-US"/>
        </w:rPr>
      </w:pPr>
      <w:r>
        <w:rPr>
          <w:rStyle w:val="FootnoteReference"/>
        </w:rPr>
        <w:footnoteRef/>
      </w:r>
      <w:r>
        <w:t xml:space="preserve"> </w:t>
      </w:r>
      <w:r>
        <w:rPr>
          <w:rFonts w:cs="Arial"/>
          <w:szCs w:val="24"/>
        </w:rPr>
        <w:t>19 Can. S. C. R. 362.</w:t>
      </w:r>
    </w:p>
  </w:footnote>
  <w:footnote w:id="12">
    <w:p w:rsidR="0018648C" w:rsidRPr="0018648C" w:rsidRDefault="0018648C">
      <w:pPr>
        <w:pStyle w:val="FootnoteText"/>
        <w:rPr>
          <w:lang w:val="en-US"/>
        </w:rPr>
      </w:pPr>
      <w:r>
        <w:rPr>
          <w:rStyle w:val="FootnoteReference"/>
        </w:rPr>
        <w:footnoteRef/>
      </w:r>
      <w:r>
        <w:t xml:space="preserve"> </w:t>
      </w:r>
      <w:r>
        <w:rPr>
          <w:rFonts w:cs="Arial"/>
          <w:szCs w:val="24"/>
        </w:rPr>
        <w:t>8 Q. B. D. 176.</w:t>
      </w:r>
    </w:p>
  </w:footnote>
  <w:footnote w:id="13">
    <w:p w:rsidR="0018648C" w:rsidRPr="0018648C" w:rsidRDefault="0018648C">
      <w:pPr>
        <w:pStyle w:val="FootnoteText"/>
        <w:rPr>
          <w:lang w:val="en-US"/>
        </w:rPr>
      </w:pPr>
      <w:r>
        <w:rPr>
          <w:rStyle w:val="FootnoteReference"/>
        </w:rPr>
        <w:footnoteRef/>
      </w:r>
      <w:r>
        <w:t xml:space="preserve"> </w:t>
      </w:r>
      <w:r>
        <w:rPr>
          <w:rFonts w:cs="Arial"/>
          <w:szCs w:val="24"/>
        </w:rPr>
        <w:t>11 App. Cas. 152.</w:t>
      </w:r>
    </w:p>
  </w:footnote>
  <w:footnote w:id="14">
    <w:p w:rsidR="0018648C" w:rsidRPr="0018648C" w:rsidRDefault="0018648C">
      <w:pPr>
        <w:pStyle w:val="FootnoteText"/>
        <w:rPr>
          <w:lang w:val="en-US"/>
        </w:rPr>
      </w:pPr>
      <w:r>
        <w:rPr>
          <w:rStyle w:val="FootnoteReference"/>
        </w:rPr>
        <w:footnoteRef/>
      </w:r>
      <w:r>
        <w:t xml:space="preserve"> </w:t>
      </w:r>
      <w:r>
        <w:rPr>
          <w:rFonts w:cs="Arial"/>
          <w:szCs w:val="24"/>
        </w:rPr>
        <w:t>17 Q. B. D. 736.</w:t>
      </w:r>
    </w:p>
  </w:footnote>
  <w:footnote w:id="15">
    <w:p w:rsidR="0018648C" w:rsidRPr="0018648C" w:rsidRDefault="0018648C">
      <w:pPr>
        <w:pStyle w:val="FootnoteText"/>
        <w:rPr>
          <w:lang w:val="en-US"/>
        </w:rPr>
      </w:pPr>
      <w:r>
        <w:rPr>
          <w:rStyle w:val="FootnoteReference"/>
        </w:rPr>
        <w:footnoteRef/>
      </w:r>
      <w:r>
        <w:t xml:space="preserve"> </w:t>
      </w:r>
      <w:r>
        <w:rPr>
          <w:rFonts w:cs="Arial"/>
          <w:szCs w:val="24"/>
        </w:rPr>
        <w:t>L. R. 2 H. L. Sc. 53.</w:t>
      </w:r>
    </w:p>
  </w:footnote>
  <w:footnote w:id="16">
    <w:p w:rsidR="0018648C" w:rsidRPr="0018648C" w:rsidRDefault="0018648C">
      <w:pPr>
        <w:pStyle w:val="FootnoteText"/>
        <w:rPr>
          <w:lang w:val="en-US"/>
        </w:rPr>
      </w:pPr>
      <w:r>
        <w:rPr>
          <w:rStyle w:val="FootnoteReference"/>
        </w:rPr>
        <w:footnoteRef/>
      </w:r>
      <w:r>
        <w:t xml:space="preserve"> </w:t>
      </w:r>
      <w:r>
        <w:rPr>
          <w:rFonts w:cs="Arial"/>
          <w:szCs w:val="24"/>
        </w:rPr>
        <w:t>[1901] A. C. 549.</w:t>
      </w:r>
    </w:p>
  </w:footnote>
  <w:footnote w:id="17">
    <w:p w:rsidR="0018648C" w:rsidRPr="0018648C" w:rsidRDefault="0018648C">
      <w:pPr>
        <w:pStyle w:val="FootnoteText"/>
        <w:rPr>
          <w:lang w:val="en-US"/>
        </w:rPr>
      </w:pPr>
      <w:r>
        <w:rPr>
          <w:rStyle w:val="FootnoteReference"/>
        </w:rPr>
        <w:footnoteRef/>
      </w:r>
      <w:r>
        <w:t xml:space="preserve"> </w:t>
      </w:r>
      <w:r>
        <w:rPr>
          <w:rFonts w:cs="Arial"/>
          <w:szCs w:val="24"/>
        </w:rPr>
        <w:t>31 Can. S. C. R. 499.</w:t>
      </w:r>
    </w:p>
  </w:footnote>
  <w:footnote w:id="18">
    <w:p w:rsidR="0018648C" w:rsidRPr="0018648C" w:rsidRDefault="0018648C">
      <w:pPr>
        <w:pStyle w:val="FootnoteText"/>
        <w:rPr>
          <w:lang w:val="en-US"/>
        </w:rPr>
      </w:pPr>
      <w:r>
        <w:rPr>
          <w:rStyle w:val="FootnoteReference"/>
        </w:rPr>
        <w:footnoteRef/>
      </w:r>
      <w:r>
        <w:t xml:space="preserve"> </w:t>
      </w:r>
      <w:r>
        <w:rPr>
          <w:rFonts w:cs="Arial"/>
          <w:szCs w:val="24"/>
        </w:rPr>
        <w:t>[1901] A. C. 549.</w:t>
      </w:r>
    </w:p>
  </w:footnote>
  <w:footnote w:id="19">
    <w:p w:rsidR="0018648C" w:rsidRPr="0018648C" w:rsidRDefault="0018648C">
      <w:pPr>
        <w:pStyle w:val="FootnoteText"/>
        <w:rPr>
          <w:lang w:val="en-US"/>
        </w:rPr>
      </w:pPr>
      <w:r>
        <w:rPr>
          <w:rStyle w:val="FootnoteReference"/>
        </w:rPr>
        <w:footnoteRef/>
      </w:r>
      <w:r>
        <w:t xml:space="preserve"> </w:t>
      </w:r>
      <w:r>
        <w:rPr>
          <w:rFonts w:cs="Arial"/>
          <w:szCs w:val="24"/>
        </w:rPr>
        <w:t>8 App. Cas. 559.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50" w:rsidRDefault="00815E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50" w:rsidRDefault="00815E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50" w:rsidRDefault="00815E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E24617C">
      <w:start w:val="1"/>
      <w:numFmt w:val="decimal"/>
      <w:pStyle w:val="ParagNum"/>
      <w:lvlText w:val="[%1]"/>
      <w:lvlJc w:val="left"/>
      <w:pPr>
        <w:tabs>
          <w:tab w:val="num" w:pos="369"/>
        </w:tabs>
        <w:ind w:left="369" w:hanging="369"/>
      </w:pPr>
    </w:lvl>
    <w:lvl w:ilvl="1" w:tplc="395C0930" w:tentative="1">
      <w:start w:val="1"/>
      <w:numFmt w:val="lowerLetter"/>
      <w:lvlText w:val="%2."/>
      <w:lvlJc w:val="left"/>
      <w:pPr>
        <w:tabs>
          <w:tab w:val="num" w:pos="1440"/>
        </w:tabs>
        <w:ind w:left="1440" w:hanging="360"/>
      </w:pPr>
    </w:lvl>
    <w:lvl w:ilvl="2" w:tplc="AF82B264" w:tentative="1">
      <w:start w:val="1"/>
      <w:numFmt w:val="lowerRoman"/>
      <w:lvlText w:val="%3."/>
      <w:lvlJc w:val="right"/>
      <w:pPr>
        <w:tabs>
          <w:tab w:val="num" w:pos="2160"/>
        </w:tabs>
        <w:ind w:left="2160" w:hanging="180"/>
      </w:pPr>
    </w:lvl>
    <w:lvl w:ilvl="3" w:tplc="469403F6" w:tentative="1">
      <w:start w:val="1"/>
      <w:numFmt w:val="decimal"/>
      <w:lvlText w:val="%4."/>
      <w:lvlJc w:val="left"/>
      <w:pPr>
        <w:tabs>
          <w:tab w:val="num" w:pos="2880"/>
        </w:tabs>
        <w:ind w:left="2880" w:hanging="360"/>
      </w:pPr>
    </w:lvl>
    <w:lvl w:ilvl="4" w:tplc="3E9C6F74" w:tentative="1">
      <w:start w:val="1"/>
      <w:numFmt w:val="lowerLetter"/>
      <w:lvlText w:val="%5."/>
      <w:lvlJc w:val="left"/>
      <w:pPr>
        <w:tabs>
          <w:tab w:val="num" w:pos="3600"/>
        </w:tabs>
        <w:ind w:left="3600" w:hanging="360"/>
      </w:pPr>
    </w:lvl>
    <w:lvl w:ilvl="5" w:tplc="25B29B0E" w:tentative="1">
      <w:start w:val="1"/>
      <w:numFmt w:val="lowerRoman"/>
      <w:lvlText w:val="%6."/>
      <w:lvlJc w:val="right"/>
      <w:pPr>
        <w:tabs>
          <w:tab w:val="num" w:pos="4320"/>
        </w:tabs>
        <w:ind w:left="4320" w:hanging="180"/>
      </w:pPr>
    </w:lvl>
    <w:lvl w:ilvl="6" w:tplc="F3802738" w:tentative="1">
      <w:start w:val="1"/>
      <w:numFmt w:val="decimal"/>
      <w:lvlText w:val="%7."/>
      <w:lvlJc w:val="left"/>
      <w:pPr>
        <w:tabs>
          <w:tab w:val="num" w:pos="5040"/>
        </w:tabs>
        <w:ind w:left="5040" w:hanging="360"/>
      </w:pPr>
    </w:lvl>
    <w:lvl w:ilvl="7" w:tplc="FC26DA30" w:tentative="1">
      <w:start w:val="1"/>
      <w:numFmt w:val="lowerLetter"/>
      <w:lvlText w:val="%8."/>
      <w:lvlJc w:val="left"/>
      <w:pPr>
        <w:tabs>
          <w:tab w:val="num" w:pos="5760"/>
        </w:tabs>
        <w:ind w:left="5760" w:hanging="360"/>
      </w:pPr>
    </w:lvl>
    <w:lvl w:ilvl="8" w:tplc="0462880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15E50"/>
    <w:rsid w:val="00012067"/>
    <w:rsid w:val="00013FDA"/>
    <w:rsid w:val="000173FB"/>
    <w:rsid w:val="000655EC"/>
    <w:rsid w:val="00077D2F"/>
    <w:rsid w:val="0008547A"/>
    <w:rsid w:val="000B6688"/>
    <w:rsid w:val="000C3415"/>
    <w:rsid w:val="00121409"/>
    <w:rsid w:val="00125F0C"/>
    <w:rsid w:val="00126A8E"/>
    <w:rsid w:val="001837F3"/>
    <w:rsid w:val="0018648C"/>
    <w:rsid w:val="001D0D42"/>
    <w:rsid w:val="001D5C4A"/>
    <w:rsid w:val="001F6A76"/>
    <w:rsid w:val="00220257"/>
    <w:rsid w:val="002209AC"/>
    <w:rsid w:val="00232D48"/>
    <w:rsid w:val="002428EB"/>
    <w:rsid w:val="002A74DD"/>
    <w:rsid w:val="002B30C5"/>
    <w:rsid w:val="002C186C"/>
    <w:rsid w:val="002D5E01"/>
    <w:rsid w:val="002F4F64"/>
    <w:rsid w:val="002F7D00"/>
    <w:rsid w:val="00336E77"/>
    <w:rsid w:val="00361108"/>
    <w:rsid w:val="003824D9"/>
    <w:rsid w:val="003E5AF5"/>
    <w:rsid w:val="003F602F"/>
    <w:rsid w:val="003F6DE9"/>
    <w:rsid w:val="004277EE"/>
    <w:rsid w:val="0043543D"/>
    <w:rsid w:val="00442713"/>
    <w:rsid w:val="00457BC5"/>
    <w:rsid w:val="00463F5F"/>
    <w:rsid w:val="00482CDC"/>
    <w:rsid w:val="004B66F1"/>
    <w:rsid w:val="004C7ED4"/>
    <w:rsid w:val="00511D93"/>
    <w:rsid w:val="00514003"/>
    <w:rsid w:val="00537980"/>
    <w:rsid w:val="0054148B"/>
    <w:rsid w:val="00563767"/>
    <w:rsid w:val="005667DA"/>
    <w:rsid w:val="00593C8B"/>
    <w:rsid w:val="005D4AB3"/>
    <w:rsid w:val="006330E7"/>
    <w:rsid w:val="00644967"/>
    <w:rsid w:val="0066589C"/>
    <w:rsid w:val="006D2BED"/>
    <w:rsid w:val="006D6F42"/>
    <w:rsid w:val="006E5FEA"/>
    <w:rsid w:val="00717B0E"/>
    <w:rsid w:val="00747F2C"/>
    <w:rsid w:val="00751F7D"/>
    <w:rsid w:val="007969C4"/>
    <w:rsid w:val="007B3A90"/>
    <w:rsid w:val="007D5AC4"/>
    <w:rsid w:val="007D6DD5"/>
    <w:rsid w:val="008027F3"/>
    <w:rsid w:val="00802E04"/>
    <w:rsid w:val="00815E50"/>
    <w:rsid w:val="008433A9"/>
    <w:rsid w:val="008550EF"/>
    <w:rsid w:val="00872F75"/>
    <w:rsid w:val="00880FBB"/>
    <w:rsid w:val="008B0B7A"/>
    <w:rsid w:val="00926406"/>
    <w:rsid w:val="009A7B1B"/>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962AD"/>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52F4D"/>
    <w:rsid w:val="00D9036C"/>
    <w:rsid w:val="00DC4119"/>
    <w:rsid w:val="00DE30DC"/>
    <w:rsid w:val="00DE7FFC"/>
    <w:rsid w:val="00E1124B"/>
    <w:rsid w:val="00E114A9"/>
    <w:rsid w:val="00E117BD"/>
    <w:rsid w:val="00E30F5A"/>
    <w:rsid w:val="00E40016"/>
    <w:rsid w:val="00E407E4"/>
    <w:rsid w:val="00E43349"/>
    <w:rsid w:val="00E51D18"/>
    <w:rsid w:val="00E86DF4"/>
    <w:rsid w:val="00EB3437"/>
    <w:rsid w:val="00EF2358"/>
    <w:rsid w:val="00F13669"/>
    <w:rsid w:val="00F177D8"/>
    <w:rsid w:val="00F35E8A"/>
    <w:rsid w:val="00F60320"/>
    <w:rsid w:val="00F64D86"/>
    <w:rsid w:val="00FA66A7"/>
    <w:rsid w:val="00FC50F5"/>
    <w:rsid w:val="00FD64A4"/>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7FFC"/>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DE7FFC"/>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DE7FF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E7FFC"/>
  </w:style>
  <w:style w:type="paragraph" w:styleId="Header">
    <w:name w:val="header"/>
    <w:basedOn w:val="Normal"/>
    <w:link w:val="HeaderChar"/>
    <w:uiPriority w:val="99"/>
    <w:unhideWhenUsed/>
    <w:rsid w:val="00DE7FFC"/>
    <w:pPr>
      <w:tabs>
        <w:tab w:val="center" w:pos="4680"/>
        <w:tab w:val="right" w:pos="9360"/>
      </w:tabs>
    </w:pPr>
    <w:rPr>
      <w:rFonts w:ascii="Times New Roman" w:hAnsi="Times New Roman"/>
    </w:rPr>
  </w:style>
  <w:style w:type="character" w:customStyle="1" w:styleId="HeaderChar">
    <w:name w:val="Header Char"/>
    <w:link w:val="Header"/>
    <w:uiPriority w:val="99"/>
    <w:rsid w:val="00DE7FFC"/>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DE7FFC"/>
    <w:pPr>
      <w:tabs>
        <w:tab w:val="center" w:pos="4680"/>
        <w:tab w:val="right" w:pos="9360"/>
      </w:tabs>
    </w:pPr>
    <w:rPr>
      <w:rFonts w:ascii="Times New Roman" w:hAnsi="Times New Roman"/>
    </w:rPr>
  </w:style>
  <w:style w:type="character" w:customStyle="1" w:styleId="FooterChar">
    <w:name w:val="Footer Char"/>
    <w:link w:val="Footer"/>
    <w:uiPriority w:val="99"/>
    <w:rsid w:val="00DE7FFC"/>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B962AD"/>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DE7FFC"/>
    <w:pPr>
      <w:spacing w:before="100" w:beforeAutospacing="1"/>
      <w:ind w:left="567"/>
      <w:jc w:val="both"/>
    </w:pPr>
  </w:style>
  <w:style w:type="paragraph" w:customStyle="1" w:styleId="Metadata">
    <w:name w:val="Metadata"/>
    <w:basedOn w:val="Normal"/>
    <w:rsid w:val="00DE7FFC"/>
    <w:pPr>
      <w:spacing w:before="100" w:beforeAutospacing="1" w:after="100" w:afterAutospacing="1"/>
    </w:pPr>
    <w:rPr>
      <w:rFonts w:cs="Arial"/>
      <w:szCs w:val="24"/>
    </w:rPr>
  </w:style>
  <w:style w:type="paragraph" w:customStyle="1" w:styleId="Page">
    <w:name w:val="Page"/>
    <w:basedOn w:val="Normal"/>
    <w:link w:val="PageChar"/>
    <w:rsid w:val="00DE7FFC"/>
    <w:pPr>
      <w:spacing w:before="100" w:beforeAutospacing="1" w:after="100" w:afterAutospacing="1"/>
    </w:pPr>
    <w:rPr>
      <w:i/>
    </w:rPr>
  </w:style>
  <w:style w:type="paragraph" w:styleId="FootnoteText">
    <w:name w:val="footnote text"/>
    <w:basedOn w:val="Normal"/>
    <w:link w:val="FootnoteTextChar"/>
    <w:autoRedefine/>
    <w:semiHidden/>
    <w:rsid w:val="00DE7FFC"/>
    <w:rPr>
      <w:sz w:val="16"/>
      <w:szCs w:val="20"/>
    </w:rPr>
  </w:style>
  <w:style w:type="character" w:customStyle="1" w:styleId="FootnoteTextChar">
    <w:name w:val="Footnote Text Char"/>
    <w:link w:val="FootnoteText"/>
    <w:semiHidden/>
    <w:rsid w:val="00DE7FFC"/>
    <w:rPr>
      <w:rFonts w:ascii="Arial" w:eastAsia="MS Mincho" w:hAnsi="Arial" w:cs="Times New Roman"/>
      <w:sz w:val="16"/>
      <w:szCs w:val="20"/>
      <w:lang w:val="en-CA" w:eastAsia="ja-JP"/>
    </w:rPr>
  </w:style>
  <w:style w:type="character" w:styleId="FootnoteReference">
    <w:name w:val="footnote reference"/>
    <w:semiHidden/>
    <w:rsid w:val="00DE7FFC"/>
    <w:rPr>
      <w:vertAlign w:val="superscript"/>
    </w:rPr>
  </w:style>
  <w:style w:type="paragraph" w:customStyle="1" w:styleId="ParagNum">
    <w:name w:val="ParagNum"/>
    <w:basedOn w:val="Normal"/>
    <w:rsid w:val="00DE7FFC"/>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DE7FFC"/>
    <w:pPr>
      <w:spacing w:before="100" w:beforeAutospacing="1" w:after="100" w:afterAutospacing="1" w:line="360" w:lineRule="auto"/>
    </w:pPr>
  </w:style>
  <w:style w:type="paragraph" w:customStyle="1" w:styleId="Indent2">
    <w:name w:val="Indent 2"/>
    <w:basedOn w:val="Indent1"/>
    <w:rsid w:val="00DE7FFC"/>
    <w:pPr>
      <w:ind w:left="1134"/>
    </w:pPr>
  </w:style>
  <w:style w:type="paragraph" w:customStyle="1" w:styleId="Indent3">
    <w:name w:val="Indent 3"/>
    <w:basedOn w:val="Indent1"/>
    <w:rsid w:val="00DE7FFC"/>
    <w:pPr>
      <w:ind w:left="1701"/>
    </w:pPr>
  </w:style>
  <w:style w:type="paragraph" w:customStyle="1" w:styleId="Indent4">
    <w:name w:val="Indent 4"/>
    <w:basedOn w:val="Indent1"/>
    <w:rsid w:val="00DE7FFC"/>
    <w:pPr>
      <w:ind w:left="2268"/>
    </w:pPr>
  </w:style>
  <w:style w:type="paragraph" w:customStyle="1" w:styleId="Indent10">
    <w:name w:val="Indent1"/>
    <w:basedOn w:val="Reasons"/>
    <w:rsid w:val="00DE7FFC"/>
    <w:pPr>
      <w:ind w:left="567"/>
    </w:pPr>
  </w:style>
  <w:style w:type="paragraph" w:customStyle="1" w:styleId="Indent20">
    <w:name w:val="Indent2"/>
    <w:basedOn w:val="Indent10"/>
    <w:rsid w:val="00DE7FFC"/>
    <w:pPr>
      <w:ind w:left="1134"/>
    </w:pPr>
  </w:style>
  <w:style w:type="paragraph" w:customStyle="1" w:styleId="Indent30">
    <w:name w:val="Indent3"/>
    <w:basedOn w:val="Indent10"/>
    <w:rsid w:val="00DE7FFC"/>
    <w:pPr>
      <w:ind w:left="1701"/>
    </w:pPr>
  </w:style>
  <w:style w:type="paragraph" w:customStyle="1" w:styleId="Indent40">
    <w:name w:val="Indent4"/>
    <w:basedOn w:val="Indent10"/>
    <w:rsid w:val="00DE7FFC"/>
    <w:pPr>
      <w:ind w:left="2268"/>
    </w:pPr>
  </w:style>
  <w:style w:type="paragraph" w:customStyle="1" w:styleId="Keywords">
    <w:name w:val="Keywords"/>
    <w:basedOn w:val="Normal"/>
    <w:rsid w:val="00DE7FFC"/>
    <w:pPr>
      <w:spacing w:before="100" w:beforeAutospacing="1" w:after="100" w:afterAutospacing="1"/>
    </w:pPr>
    <w:rPr>
      <w:rFonts w:cs="Arial"/>
      <w:i/>
      <w:szCs w:val="24"/>
    </w:rPr>
  </w:style>
  <w:style w:type="paragraph" w:customStyle="1" w:styleId="Summary">
    <w:name w:val="Summary"/>
    <w:basedOn w:val="Normal"/>
    <w:autoRedefine/>
    <w:rsid w:val="00DE7FFC"/>
    <w:pPr>
      <w:spacing w:before="100" w:beforeAutospacing="1" w:after="100" w:afterAutospacing="1"/>
      <w:ind w:left="562" w:hanging="562"/>
    </w:pPr>
    <w:rPr>
      <w:rFonts w:cs="Arial"/>
    </w:rPr>
  </w:style>
  <w:style w:type="paragraph" w:customStyle="1" w:styleId="History">
    <w:name w:val="History"/>
    <w:basedOn w:val="Normal"/>
    <w:rsid w:val="00DE7FFC"/>
    <w:pPr>
      <w:spacing w:before="100" w:beforeAutospacing="1" w:after="100" w:afterAutospacing="1"/>
      <w:ind w:firstLine="567"/>
    </w:pPr>
  </w:style>
  <w:style w:type="paragraph" w:customStyle="1" w:styleId="T1">
    <w:name w:val="T1"/>
    <w:basedOn w:val="Normal"/>
    <w:rsid w:val="00DE7FFC"/>
    <w:pPr>
      <w:spacing w:before="240" w:after="100" w:afterAutospacing="1"/>
    </w:pPr>
    <w:rPr>
      <w:b/>
    </w:rPr>
  </w:style>
  <w:style w:type="paragraph" w:customStyle="1" w:styleId="T2">
    <w:name w:val="T2"/>
    <w:basedOn w:val="Normal"/>
    <w:rsid w:val="00DE7FFC"/>
    <w:pPr>
      <w:spacing w:before="240" w:after="100" w:afterAutospacing="1"/>
    </w:pPr>
  </w:style>
  <w:style w:type="paragraph" w:customStyle="1" w:styleId="Sollicitors">
    <w:name w:val="Sollicitors"/>
    <w:basedOn w:val="Normal"/>
    <w:rsid w:val="00DE7FFC"/>
    <w:pPr>
      <w:spacing w:before="100" w:beforeAutospacing="1" w:after="100" w:afterAutospacing="1"/>
    </w:pPr>
    <w:rPr>
      <w:i/>
    </w:rPr>
  </w:style>
  <w:style w:type="paragraph" w:customStyle="1" w:styleId="Court">
    <w:name w:val="Court"/>
    <w:basedOn w:val="Normal"/>
    <w:rsid w:val="00DE7FFC"/>
    <w:rPr>
      <w:rFonts w:cs="Arial"/>
      <w:b/>
      <w:szCs w:val="24"/>
    </w:rPr>
  </w:style>
  <w:style w:type="character" w:customStyle="1" w:styleId="PageChar">
    <w:name w:val="Page Char"/>
    <w:link w:val="Page"/>
    <w:rsid w:val="00DE7FFC"/>
    <w:rPr>
      <w:rFonts w:ascii="Arial" w:eastAsia="MS Mincho" w:hAnsi="Arial" w:cs="Times New Roman"/>
      <w:i/>
      <w:sz w:val="24"/>
      <w:szCs w:val="28"/>
      <w:lang w:val="en-CA" w:eastAsia="ja-JP"/>
    </w:rPr>
  </w:style>
  <w:style w:type="character" w:customStyle="1" w:styleId="ReasonsCar">
    <w:name w:val="Reasons Car"/>
    <w:link w:val="Reasons"/>
    <w:rsid w:val="00DE7FFC"/>
    <w:rPr>
      <w:rFonts w:ascii="Arial" w:eastAsia="MS Mincho" w:hAnsi="Arial" w:cs="Times New Roman"/>
      <w:sz w:val="24"/>
      <w:szCs w:val="28"/>
      <w:lang w:val="en-CA" w:eastAsia="ja-JP"/>
    </w:rPr>
  </w:style>
  <w:style w:type="paragraph" w:customStyle="1" w:styleId="CitationLine">
    <w:name w:val="CitationLine"/>
    <w:basedOn w:val="Court"/>
    <w:rsid w:val="00DE7FFC"/>
  </w:style>
  <w:style w:type="paragraph" w:customStyle="1" w:styleId="DateISO">
    <w:name w:val="DateISO"/>
    <w:basedOn w:val="Court"/>
    <w:rsid w:val="00DE7F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TotalTime>
  <Pages>5</Pages>
  <Words>1145</Words>
  <Characters>6531</Characters>
  <Application>Microsoft Office Word</Application>
  <DocSecurity>0</DocSecurity>
  <Lines>54</Lines>
  <Paragraphs>15</Paragraphs>
  <ScaleCrop>false</ScaleCrop>
  <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2015-03-19T12:52:00Z</dcterms:created>
  <dcterms:modified xsi:type="dcterms:W3CDTF">2015-03-23T03:56:00Z</dcterms:modified>
</cp:coreProperties>
</file>