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B7" w:rsidRPr="00343231" w:rsidRDefault="00070AB7" w:rsidP="00070AB7">
      <w:pPr>
        <w:pStyle w:val="Court"/>
      </w:pPr>
      <w:r w:rsidRPr="00343231">
        <w:t>Supreme Court of Canada</w:t>
      </w:r>
    </w:p>
    <w:p w:rsidR="00070AB7" w:rsidRPr="00343231" w:rsidRDefault="00070AB7" w:rsidP="00070AB7">
      <w:pPr>
        <w:pStyle w:val="CitationLine"/>
      </w:pPr>
      <w:r w:rsidRPr="00343231">
        <w:rPr>
          <w:lang w:val="de-DE"/>
        </w:rPr>
        <w:t>Brown</w:t>
      </w:r>
      <w:r w:rsidRPr="00343231">
        <w:t xml:space="preserve"> </w:t>
      </w:r>
      <w:r w:rsidRPr="00343231">
        <w:rPr>
          <w:i/>
          <w:iCs/>
        </w:rPr>
        <w:t>v.</w:t>
      </w:r>
      <w:r w:rsidRPr="00343231">
        <w:t xml:space="preserve"> </w:t>
      </w:r>
      <w:r w:rsidRPr="00343231">
        <w:rPr>
          <w:lang w:val="de-DE"/>
        </w:rPr>
        <w:t>Moore</w:t>
      </w:r>
      <w:r w:rsidRPr="00343231">
        <w:t xml:space="preserve"> (190</w:t>
      </w:r>
      <w:r w:rsidR="006918A9">
        <w:t>2</w:t>
      </w:r>
      <w:r w:rsidRPr="00343231">
        <w:t>) 32 SCR 93</w:t>
      </w:r>
    </w:p>
    <w:p w:rsidR="00070AB7" w:rsidRPr="00343231" w:rsidRDefault="00070AB7" w:rsidP="00070AB7">
      <w:pPr>
        <w:pStyle w:val="DateISO"/>
      </w:pPr>
      <w:r w:rsidRPr="00343231">
        <w:t>Date: 1902-02-18</w:t>
      </w:r>
    </w:p>
    <w:p w:rsidR="00DC42A3" w:rsidRPr="00343231" w:rsidRDefault="00070AB7" w:rsidP="00070AB7">
      <w:pPr>
        <w:pStyle w:val="Metadata"/>
      </w:pPr>
      <w:r w:rsidRPr="00343231">
        <w:t>William Brown (Plaintiff)</w:t>
      </w:r>
    </w:p>
    <w:p w:rsidR="00DC42A3" w:rsidRPr="00343231" w:rsidRDefault="00070AB7" w:rsidP="00070AB7">
      <w:pPr>
        <w:pStyle w:val="Metadata"/>
      </w:pPr>
      <w:r w:rsidRPr="00343231">
        <w:t>Appellant</w:t>
      </w:r>
    </w:p>
    <w:p w:rsidR="00DC42A3" w:rsidRPr="00343231" w:rsidRDefault="00070AB7" w:rsidP="00070AB7">
      <w:pPr>
        <w:pStyle w:val="Metadata"/>
      </w:pPr>
      <w:r w:rsidRPr="00343231">
        <w:t>And</w:t>
      </w:r>
    </w:p>
    <w:p w:rsidR="00DC42A3" w:rsidRPr="00343231" w:rsidRDefault="00070AB7" w:rsidP="00070AB7">
      <w:pPr>
        <w:pStyle w:val="Metadata"/>
      </w:pPr>
      <w:r w:rsidRPr="00343231">
        <w:t>John R. Moore (Defendant)</w:t>
      </w:r>
    </w:p>
    <w:p w:rsidR="00DC42A3" w:rsidRPr="00343231" w:rsidRDefault="00070AB7" w:rsidP="00070AB7">
      <w:pPr>
        <w:pStyle w:val="Metadata"/>
      </w:pPr>
      <w:r w:rsidRPr="00343231">
        <w:t>Respondent</w:t>
      </w:r>
    </w:p>
    <w:p w:rsidR="00070AB7" w:rsidRPr="00343231" w:rsidRDefault="00070AB7" w:rsidP="00070AB7">
      <w:pPr>
        <w:pStyle w:val="Metadata"/>
      </w:pPr>
      <w:r w:rsidRPr="00343231">
        <w:t>1902: Feb. 18.</w:t>
      </w:r>
    </w:p>
    <w:p w:rsidR="00070AB7" w:rsidRPr="00343231" w:rsidRDefault="00070AB7" w:rsidP="00070AB7">
      <w:pPr>
        <w:pStyle w:val="Metadata"/>
        <w:rPr>
          <w:smallCaps/>
        </w:rPr>
      </w:pPr>
      <w:r w:rsidRPr="00343231">
        <w:t>Present</w:t>
      </w:r>
      <w:r w:rsidRPr="00343231">
        <w:rPr>
          <w:smallCaps/>
        </w:rPr>
        <w:t>:</w:t>
      </w:r>
      <w:r w:rsidRPr="00343231">
        <w:t xml:space="preserve">—Sir Henry Strong </w:t>
      </w:r>
      <w:r w:rsidRPr="00343231">
        <w:rPr>
          <w:smallCaps/>
        </w:rPr>
        <w:t xml:space="preserve">C.J. </w:t>
      </w:r>
      <w:r w:rsidRPr="00343231">
        <w:t xml:space="preserve">and Sedgewick, Girouard, Davies and Mills, </w:t>
      </w:r>
      <w:r w:rsidRPr="00343231">
        <w:rPr>
          <w:smallCaps/>
        </w:rPr>
        <w:t>JJ.</w:t>
      </w:r>
    </w:p>
    <w:p w:rsidR="00DC42A3" w:rsidRPr="00343231" w:rsidRDefault="00070AB7" w:rsidP="00070AB7">
      <w:pPr>
        <w:pStyle w:val="Metadata"/>
      </w:pPr>
      <w:r w:rsidRPr="00343231">
        <w:t>ON APPEAL FROM THE SUPREME COURT OF NOVA SCOTIA.</w:t>
      </w:r>
    </w:p>
    <w:p w:rsidR="00DC42A3" w:rsidRPr="00343231" w:rsidRDefault="00DC42A3" w:rsidP="00070AB7">
      <w:pPr>
        <w:pStyle w:val="Keywords"/>
      </w:pPr>
      <w:r w:rsidRPr="00343231">
        <w:t>Statutory prohibition—Penal statute—Wholesale purchase——Guarantee—Validity of contract—Forfeiture – Nova Scotia Liquor License Act—Practice.</w:t>
      </w:r>
    </w:p>
    <w:p w:rsidR="00DC42A3" w:rsidRPr="00343231" w:rsidRDefault="00DC42A3" w:rsidP="00070AB7">
      <w:pPr>
        <w:pStyle w:val="Summary"/>
      </w:pPr>
      <w:r w:rsidRPr="00343231">
        <w:t>An agreement guaranteeing payment of the price of intoxicating liquors sold contrary to statutory prohibition is of no effect.</w:t>
      </w:r>
    </w:p>
    <w:p w:rsidR="00DC42A3" w:rsidRPr="00343231" w:rsidRDefault="00DC42A3" w:rsidP="00070AB7">
      <w:pPr>
        <w:pStyle w:val="Summary"/>
        <w:rPr>
          <w:szCs w:val="24"/>
        </w:rPr>
      </w:pPr>
      <w:r w:rsidRPr="00343231">
        <w:rPr>
          <w:szCs w:val="24"/>
        </w:rPr>
        <w:t>The imposition of a penalty for the contravention of a statute avoids a contract entered into against the provisions of the statute.</w:t>
      </w:r>
    </w:p>
    <w:p w:rsidR="00DC42A3" w:rsidRPr="00343231" w:rsidRDefault="00DC42A3" w:rsidP="00070AB7">
      <w:pPr>
        <w:pStyle w:val="History"/>
      </w:pPr>
      <w:r w:rsidRPr="00343231">
        <w:t xml:space="preserve">Appeal from the judgment of the Supreme Court of Nova Scotia </w:t>
      </w:r>
      <w:r w:rsidRPr="00343231">
        <w:rPr>
          <w:i/>
          <w:iCs/>
        </w:rPr>
        <w:t>en banc</w:t>
      </w:r>
      <w:r w:rsidR="00343231" w:rsidRPr="00343231">
        <w:rPr>
          <w:rStyle w:val="FootnoteReference"/>
          <w:i/>
          <w:iCs/>
        </w:rPr>
        <w:footnoteReference w:id="2"/>
      </w:r>
      <w:r w:rsidRPr="00343231">
        <w:t xml:space="preserve"> reversing the judgment by Graham J., at the trial, and dismissing the plaintiff's action against the defendant Moore, with costs.</w:t>
      </w:r>
    </w:p>
    <w:p w:rsidR="00DC42A3" w:rsidRPr="00343231" w:rsidRDefault="00DC42A3" w:rsidP="00070AB7">
      <w:pPr>
        <w:pStyle w:val="History"/>
        <w:rPr>
          <w:rFonts w:cs="Arial"/>
          <w:szCs w:val="24"/>
        </w:rPr>
      </w:pPr>
      <w:r w:rsidRPr="00343231">
        <w:rPr>
          <w:rFonts w:cs="Arial"/>
          <w:szCs w:val="24"/>
        </w:rPr>
        <w:t>The action was against one Jenkins, as principal debtor and the respondent Moore, as surety, under a written agreement to guarantee payment of the price</w:t>
      </w:r>
    </w:p>
    <w:p w:rsidR="00DC42A3" w:rsidRPr="00343231" w:rsidRDefault="00DF281F" w:rsidP="00DF281F">
      <w:pPr>
        <w:pStyle w:val="Page"/>
      </w:pPr>
      <w:r>
        <w:rPr>
          <w:rFonts w:cs="Arial"/>
          <w:szCs w:val="24"/>
        </w:rPr>
        <w:t xml:space="preserve">[Page </w:t>
      </w:r>
      <w:r w:rsidR="00DC42A3" w:rsidRPr="00343231">
        <w:rPr>
          <w:rFonts w:cs="Arial"/>
          <w:szCs w:val="24"/>
        </w:rPr>
        <w:t>94]</w:t>
      </w:r>
    </w:p>
    <w:p w:rsidR="00DC42A3" w:rsidRPr="00343231" w:rsidRDefault="00DC42A3" w:rsidP="00286185">
      <w:pPr>
        <w:pStyle w:val="History"/>
        <w:ind w:firstLine="0"/>
        <w:rPr>
          <w:rFonts w:cs="Arial"/>
          <w:szCs w:val="24"/>
        </w:rPr>
      </w:pPr>
      <w:r w:rsidRPr="00343231">
        <w:rPr>
          <w:rFonts w:cs="Arial"/>
          <w:szCs w:val="24"/>
        </w:rPr>
        <w:t xml:space="preserve">of intoxicating liquors sold by wholesale to Jenkins who carried on business as a hotel-keeper and kept a bar where he sold liquors by retail at Truro, in the county of Colchester, Nova Scotia, without the license required by the Nova Scotia Liquor License Act of 1895, in force in the county of Colchester, at the time of the sale. The trial court entered judgment in favour of the plaintiff for the amount guaranteed, but on appeal by Moore, this decision was reversed by the full court which held that, as the sale had been </w:t>
      </w:r>
      <w:r w:rsidRPr="00343231">
        <w:rPr>
          <w:rFonts w:cs="Arial"/>
          <w:szCs w:val="24"/>
        </w:rPr>
        <w:lastRenderedPageBreak/>
        <w:t>illegally made without a license, there could be no recovery.</w:t>
      </w:r>
    </w:p>
    <w:p w:rsidR="00DC42A3" w:rsidRPr="00343231" w:rsidRDefault="00DC42A3" w:rsidP="00286185">
      <w:pPr>
        <w:pStyle w:val="History"/>
        <w:rPr>
          <w:rFonts w:cs="Arial"/>
          <w:szCs w:val="24"/>
        </w:rPr>
      </w:pPr>
      <w:r w:rsidRPr="00343231">
        <w:rPr>
          <w:rFonts w:cs="Arial"/>
          <w:szCs w:val="24"/>
        </w:rPr>
        <w:t xml:space="preserve">The appeal came on for hearing before the Supreme Court of Canada on the 25th day of February, 1901, but after some arguments on behalf of the appellant, it became apparent that constitutional questions were involved similar to those raised in the appeal then pending before the Judicial Committee of the Privy Council in the case of the </w:t>
      </w:r>
      <w:r w:rsidRPr="00343231">
        <w:rPr>
          <w:rFonts w:cs="Arial"/>
          <w:i/>
          <w:iCs/>
          <w:szCs w:val="24"/>
        </w:rPr>
        <w:t xml:space="preserve">Attorney-General of Manitoba </w:t>
      </w:r>
      <w:r w:rsidRPr="00343231">
        <w:rPr>
          <w:rFonts w:cs="Arial"/>
          <w:szCs w:val="24"/>
        </w:rPr>
        <w:t xml:space="preserve">v. </w:t>
      </w:r>
      <w:r w:rsidRPr="00343231">
        <w:rPr>
          <w:rFonts w:cs="Arial"/>
          <w:i/>
          <w:iCs/>
          <w:szCs w:val="24"/>
        </w:rPr>
        <w:t>The Manitoba License Holders' Association</w:t>
      </w:r>
      <w:r w:rsidR="00343231" w:rsidRPr="00343231">
        <w:rPr>
          <w:rStyle w:val="FootnoteReference"/>
          <w:rFonts w:cs="Arial"/>
          <w:i/>
          <w:iCs/>
          <w:szCs w:val="24"/>
        </w:rPr>
        <w:footnoteReference w:id="3"/>
      </w:r>
      <w:r w:rsidRPr="00343231">
        <w:rPr>
          <w:rFonts w:cs="Arial"/>
          <w:szCs w:val="24"/>
        </w:rPr>
        <w:t>, and the court accordingly ordered that further hearing of the present appeal should stand over until the decision of the Manitoba case in the Privy Council. On the final hearing of this appeal, the constitutional questions raised by the appellant were abandoned, the point having been settled by the decision of the Privy Council in the case above mentioned.</w:t>
      </w:r>
    </w:p>
    <w:p w:rsidR="00DC42A3" w:rsidRPr="00343231" w:rsidRDefault="00DC42A3" w:rsidP="00286185">
      <w:pPr>
        <w:pStyle w:val="History"/>
        <w:rPr>
          <w:rFonts w:cs="Arial"/>
          <w:szCs w:val="24"/>
        </w:rPr>
      </w:pPr>
      <w:r w:rsidRPr="00343231">
        <w:rPr>
          <w:rFonts w:cs="Arial"/>
          <w:i/>
          <w:iCs/>
          <w:szCs w:val="24"/>
        </w:rPr>
        <w:t xml:space="preserve">J. J. Ritchie K.C. </w:t>
      </w:r>
      <w:r w:rsidRPr="00343231">
        <w:rPr>
          <w:rFonts w:cs="Arial"/>
          <w:szCs w:val="24"/>
        </w:rPr>
        <w:t xml:space="preserve">for the appellant. Unless, reading the whole statute, the intention was to strike down the contract altogether, the plaintiff is entitled to recover. Roscoe, </w:t>
      </w:r>
      <w:r w:rsidRPr="00343231">
        <w:rPr>
          <w:rFonts w:cs="Arial"/>
          <w:i/>
          <w:iCs/>
          <w:szCs w:val="24"/>
        </w:rPr>
        <w:t xml:space="preserve">Nisi Prius </w:t>
      </w:r>
      <w:r w:rsidRPr="00343231">
        <w:rPr>
          <w:rFonts w:cs="Arial"/>
          <w:szCs w:val="24"/>
        </w:rPr>
        <w:t>(16 ed.) p. 638; Maxwell on Statutes p. 490; Endlich an Statutes, secs. 276, 458; Hardcastle on Construction of Statutes (2 ed.) p. 267. The courts will not be astute to construe an Act so as to avoid a contract or so as to bring it within the prohibition of the statute. The legislature</w:t>
      </w:r>
    </w:p>
    <w:p w:rsidR="00DC42A3" w:rsidRPr="00343231" w:rsidRDefault="00DF281F" w:rsidP="00DF281F">
      <w:pPr>
        <w:pStyle w:val="Page"/>
      </w:pPr>
      <w:r>
        <w:rPr>
          <w:rFonts w:cs="Arial"/>
          <w:szCs w:val="24"/>
        </w:rPr>
        <w:t xml:space="preserve">[Page </w:t>
      </w:r>
      <w:r w:rsidR="00DC42A3" w:rsidRPr="00343231">
        <w:rPr>
          <w:rFonts w:cs="Arial"/>
          <w:szCs w:val="24"/>
        </w:rPr>
        <w:t>95]</w:t>
      </w:r>
    </w:p>
    <w:p w:rsidR="00DC42A3" w:rsidRPr="00343231" w:rsidRDefault="00DC42A3" w:rsidP="00286185">
      <w:pPr>
        <w:pStyle w:val="History"/>
        <w:ind w:firstLine="0"/>
        <w:rPr>
          <w:rFonts w:cs="Arial"/>
          <w:szCs w:val="24"/>
        </w:rPr>
      </w:pPr>
      <w:r w:rsidRPr="00343231">
        <w:rPr>
          <w:rFonts w:cs="Arial"/>
          <w:szCs w:val="24"/>
        </w:rPr>
        <w:t>provided penalties for sale without license but has not declared the purchase to be illegal. The provisions as to license are primarily for the regulation of the venders' trade and the security of the license fee. The sales guaranteed were not within the provisions of the statute, each sale being of a large amount—thirty gallons or more.</w:t>
      </w:r>
    </w:p>
    <w:p w:rsidR="00DC42A3" w:rsidRPr="00343231" w:rsidRDefault="00DC42A3" w:rsidP="00286185">
      <w:pPr>
        <w:pStyle w:val="History"/>
        <w:rPr>
          <w:rFonts w:cs="Arial"/>
          <w:szCs w:val="24"/>
        </w:rPr>
      </w:pPr>
      <w:r w:rsidRPr="00343231">
        <w:rPr>
          <w:rFonts w:cs="Arial"/>
          <w:szCs w:val="24"/>
        </w:rPr>
        <w:t xml:space="preserve">The object of sections 56 and 74 of the statute is to inflict penalties for the doing of the Act in an unauthorized manner and not for the purpose of prohibiting the sale itself. The purchase is not illegal and the purchaser is not subject to penalties. The statute singles out as the object one particular person, or class of persons, and does not declare that contracts involving disregard or breach of its provisions shall be affected with illegality, especially where the effect would be to prejudice honest claims and permit dishonest defences. </w:t>
      </w:r>
      <w:r w:rsidRPr="00343231">
        <w:rPr>
          <w:rFonts w:cs="Arial"/>
          <w:i/>
          <w:iCs/>
          <w:szCs w:val="24"/>
        </w:rPr>
        <w:t xml:space="preserve">Bailey </w:t>
      </w:r>
      <w:r w:rsidRPr="00343231">
        <w:rPr>
          <w:rFonts w:cs="Arial"/>
          <w:szCs w:val="24"/>
        </w:rPr>
        <w:t xml:space="preserve">v. </w:t>
      </w:r>
      <w:r w:rsidRPr="00343231">
        <w:rPr>
          <w:rFonts w:cs="Arial"/>
          <w:i/>
          <w:iCs/>
          <w:szCs w:val="24"/>
        </w:rPr>
        <w:t>Harris</w:t>
      </w:r>
      <w:r w:rsidR="00343231" w:rsidRPr="00343231">
        <w:rPr>
          <w:rStyle w:val="FootnoteReference"/>
          <w:rFonts w:cs="Arial"/>
          <w:i/>
          <w:iCs/>
          <w:szCs w:val="24"/>
        </w:rPr>
        <w:footnoteReference w:id="4"/>
      </w:r>
      <w:r w:rsidRPr="00343231">
        <w:rPr>
          <w:rFonts w:cs="Arial"/>
          <w:szCs w:val="24"/>
        </w:rPr>
        <w:t xml:space="preserve">; </w:t>
      </w:r>
      <w:r w:rsidRPr="00343231">
        <w:rPr>
          <w:rFonts w:cs="Arial"/>
          <w:i/>
          <w:iCs/>
          <w:szCs w:val="24"/>
        </w:rPr>
        <w:t xml:space="preserve">Smith </w:t>
      </w:r>
      <w:r w:rsidRPr="00343231">
        <w:rPr>
          <w:rFonts w:cs="Arial"/>
          <w:szCs w:val="24"/>
        </w:rPr>
        <w:t xml:space="preserve">v. </w:t>
      </w:r>
      <w:r w:rsidRPr="00343231">
        <w:rPr>
          <w:rFonts w:cs="Arial"/>
          <w:i/>
          <w:iCs/>
          <w:szCs w:val="24"/>
        </w:rPr>
        <w:t>Mawhood</w:t>
      </w:r>
      <w:r w:rsidR="00343231" w:rsidRPr="00343231">
        <w:rPr>
          <w:rStyle w:val="FootnoteReference"/>
          <w:rFonts w:cs="Arial"/>
          <w:i/>
          <w:iCs/>
          <w:szCs w:val="24"/>
        </w:rPr>
        <w:footnoteReference w:id="5"/>
      </w:r>
      <w:r w:rsidRPr="00343231">
        <w:rPr>
          <w:rFonts w:cs="Arial"/>
          <w:szCs w:val="24"/>
        </w:rPr>
        <w:t xml:space="preserve">; </w:t>
      </w:r>
      <w:r w:rsidRPr="00343231">
        <w:rPr>
          <w:rFonts w:cs="Arial"/>
          <w:i/>
          <w:iCs/>
          <w:szCs w:val="24"/>
        </w:rPr>
        <w:t xml:space="preserve">Brown </w:t>
      </w:r>
      <w:r w:rsidRPr="00343231">
        <w:rPr>
          <w:rFonts w:cs="Arial"/>
          <w:szCs w:val="24"/>
        </w:rPr>
        <w:t xml:space="preserve">v. </w:t>
      </w:r>
      <w:r w:rsidRPr="00343231">
        <w:rPr>
          <w:rFonts w:cs="Arial"/>
          <w:i/>
          <w:iCs/>
          <w:szCs w:val="24"/>
        </w:rPr>
        <w:t>Duncan</w:t>
      </w:r>
      <w:r w:rsidR="00343231" w:rsidRPr="00343231">
        <w:rPr>
          <w:rStyle w:val="FootnoteReference"/>
          <w:rFonts w:cs="Arial"/>
          <w:i/>
          <w:iCs/>
          <w:szCs w:val="24"/>
        </w:rPr>
        <w:footnoteReference w:id="6"/>
      </w:r>
      <w:r w:rsidRPr="00343231">
        <w:rPr>
          <w:rFonts w:cs="Arial"/>
          <w:szCs w:val="24"/>
        </w:rPr>
        <w:t xml:space="preserve">; </w:t>
      </w:r>
      <w:r w:rsidRPr="00343231">
        <w:rPr>
          <w:rFonts w:cs="Arial"/>
          <w:i/>
          <w:iCs/>
          <w:szCs w:val="24"/>
        </w:rPr>
        <w:t xml:space="preserve">Gremare </w:t>
      </w:r>
      <w:r w:rsidRPr="00343231">
        <w:rPr>
          <w:rFonts w:cs="Arial"/>
          <w:szCs w:val="24"/>
        </w:rPr>
        <w:t xml:space="preserve">v. </w:t>
      </w:r>
      <w:r w:rsidRPr="00343231">
        <w:rPr>
          <w:rFonts w:cs="Arial"/>
          <w:i/>
          <w:iCs/>
          <w:szCs w:val="24"/>
        </w:rPr>
        <w:t>Le Olerc Bois Valon</w:t>
      </w:r>
      <w:r w:rsidR="00343231" w:rsidRPr="00343231">
        <w:rPr>
          <w:rStyle w:val="FootnoteReference"/>
          <w:rFonts w:cs="Arial"/>
          <w:i/>
          <w:iCs/>
          <w:szCs w:val="24"/>
        </w:rPr>
        <w:footnoteReference w:id="7"/>
      </w:r>
      <w:r w:rsidRPr="00343231">
        <w:rPr>
          <w:rFonts w:cs="Arial"/>
          <w:szCs w:val="24"/>
        </w:rPr>
        <w:t xml:space="preserve">; </w:t>
      </w:r>
      <w:r w:rsidRPr="00343231">
        <w:rPr>
          <w:rFonts w:cs="Arial"/>
          <w:i/>
          <w:iCs/>
          <w:szCs w:val="24"/>
        </w:rPr>
        <w:t xml:space="preserve">Wetherell </w:t>
      </w:r>
      <w:r w:rsidRPr="00343231">
        <w:rPr>
          <w:rFonts w:cs="Arial"/>
          <w:szCs w:val="24"/>
        </w:rPr>
        <w:t xml:space="preserve">v. </w:t>
      </w:r>
      <w:r w:rsidRPr="00343231">
        <w:rPr>
          <w:rFonts w:cs="Arial"/>
          <w:i/>
          <w:iCs/>
          <w:szCs w:val="24"/>
        </w:rPr>
        <w:t>Jones</w:t>
      </w:r>
      <w:r w:rsidR="00343231" w:rsidRPr="00343231">
        <w:rPr>
          <w:rStyle w:val="FootnoteReference"/>
          <w:rFonts w:cs="Arial"/>
          <w:i/>
          <w:iCs/>
          <w:szCs w:val="24"/>
        </w:rPr>
        <w:footnoteReference w:id="8"/>
      </w:r>
      <w:r w:rsidRPr="00343231">
        <w:rPr>
          <w:rFonts w:cs="Arial"/>
          <w:szCs w:val="24"/>
        </w:rPr>
        <w:t xml:space="preserve">; </w:t>
      </w:r>
      <w:r w:rsidRPr="00343231">
        <w:rPr>
          <w:rFonts w:cs="Arial"/>
          <w:i/>
          <w:iCs/>
          <w:szCs w:val="24"/>
        </w:rPr>
        <w:t xml:space="preserve">Johnson </w:t>
      </w:r>
      <w:r w:rsidRPr="00343231">
        <w:rPr>
          <w:rFonts w:cs="Arial"/>
          <w:szCs w:val="24"/>
        </w:rPr>
        <w:t xml:space="preserve">v. </w:t>
      </w:r>
      <w:r w:rsidRPr="00343231">
        <w:rPr>
          <w:rFonts w:cs="Arial"/>
          <w:i/>
          <w:iCs/>
          <w:szCs w:val="24"/>
        </w:rPr>
        <w:t>Hudson</w:t>
      </w:r>
      <w:r w:rsidR="00343231" w:rsidRPr="00343231">
        <w:rPr>
          <w:rStyle w:val="FootnoteReference"/>
          <w:rFonts w:cs="Arial"/>
          <w:i/>
          <w:iCs/>
          <w:szCs w:val="24"/>
        </w:rPr>
        <w:footnoteReference w:id="9"/>
      </w:r>
      <w:r w:rsidRPr="00343231">
        <w:rPr>
          <w:rFonts w:cs="Arial"/>
          <w:szCs w:val="24"/>
        </w:rPr>
        <w:t xml:space="preserve">; Addison on Contracts, 99, and cases there cited This is not a statute to prohibit, it is a statute to regulate. </w:t>
      </w:r>
      <w:r w:rsidRPr="00343231">
        <w:rPr>
          <w:rFonts w:cs="Arial"/>
          <w:i/>
          <w:iCs/>
          <w:szCs w:val="24"/>
        </w:rPr>
        <w:t>Danaher v. Peters</w:t>
      </w:r>
      <w:r w:rsidR="00343231" w:rsidRPr="00343231">
        <w:rPr>
          <w:rStyle w:val="FootnoteReference"/>
          <w:rFonts w:cs="Arial"/>
          <w:i/>
          <w:iCs/>
          <w:szCs w:val="24"/>
        </w:rPr>
        <w:footnoteReference w:id="10"/>
      </w:r>
      <w:r w:rsidRPr="00343231">
        <w:rPr>
          <w:rFonts w:cs="Arial"/>
          <w:szCs w:val="24"/>
        </w:rPr>
        <w:t xml:space="preserve">. There was nothing illegal in the purchase of the goods and neither party knew that it was necessary to have a license. The court should not declare contracts not expressly dealt with to be avoided by implication. </w:t>
      </w:r>
      <w:r w:rsidRPr="00343231">
        <w:rPr>
          <w:rFonts w:cs="Arial"/>
          <w:i/>
          <w:iCs/>
          <w:szCs w:val="24"/>
        </w:rPr>
        <w:t xml:space="preserve">Waugh </w:t>
      </w:r>
      <w:r w:rsidRPr="00343231">
        <w:rPr>
          <w:rFonts w:cs="Arial"/>
          <w:szCs w:val="24"/>
        </w:rPr>
        <w:t xml:space="preserve">v. </w:t>
      </w:r>
      <w:r w:rsidRPr="00343231">
        <w:rPr>
          <w:rFonts w:cs="Arial"/>
          <w:i/>
          <w:iCs/>
          <w:szCs w:val="24"/>
        </w:rPr>
        <w:lastRenderedPageBreak/>
        <w:t>Morris</w:t>
      </w:r>
      <w:r w:rsidR="00343231" w:rsidRPr="00343231">
        <w:rPr>
          <w:rStyle w:val="FootnoteReference"/>
          <w:rFonts w:cs="Arial"/>
          <w:i/>
          <w:iCs/>
          <w:szCs w:val="24"/>
        </w:rPr>
        <w:footnoteReference w:id="11"/>
      </w:r>
      <w:r w:rsidRPr="00343231">
        <w:rPr>
          <w:rFonts w:cs="Arial"/>
          <w:szCs w:val="24"/>
        </w:rPr>
        <w:t>.</w:t>
      </w:r>
    </w:p>
    <w:p w:rsidR="00DC42A3" w:rsidRPr="00343231" w:rsidRDefault="00DC42A3" w:rsidP="00286185">
      <w:pPr>
        <w:pStyle w:val="History"/>
        <w:rPr>
          <w:rFonts w:cs="Arial"/>
          <w:szCs w:val="24"/>
        </w:rPr>
      </w:pPr>
      <w:r w:rsidRPr="00343231">
        <w:rPr>
          <w:rFonts w:cs="Arial"/>
          <w:szCs w:val="24"/>
        </w:rPr>
        <w:t xml:space="preserve">The court will not add to the penalties imposed by the statute, a forfeiture of the right to recover on the contract unless it is apparent on the face of the statute that the legislature so intended. </w:t>
      </w:r>
      <w:r w:rsidRPr="00343231">
        <w:rPr>
          <w:rFonts w:cs="Arial"/>
          <w:i/>
          <w:iCs/>
          <w:szCs w:val="24"/>
        </w:rPr>
        <w:t xml:space="preserve">Wright </w:t>
      </w:r>
      <w:r w:rsidRPr="00343231">
        <w:rPr>
          <w:rFonts w:cs="Arial"/>
          <w:szCs w:val="24"/>
        </w:rPr>
        <w:t xml:space="preserve">v. </w:t>
      </w:r>
      <w:r w:rsidRPr="00343231">
        <w:rPr>
          <w:rFonts w:cs="Arial"/>
          <w:i/>
          <w:iCs/>
          <w:szCs w:val="24"/>
        </w:rPr>
        <w:t>Horton</w:t>
      </w:r>
      <w:r w:rsidR="00343231" w:rsidRPr="00343231">
        <w:rPr>
          <w:rStyle w:val="FootnoteReference"/>
          <w:rFonts w:cs="Arial"/>
          <w:i/>
          <w:iCs/>
          <w:szCs w:val="24"/>
        </w:rPr>
        <w:footnoteReference w:id="12"/>
      </w:r>
      <w:r w:rsidRPr="00343231">
        <w:rPr>
          <w:rFonts w:cs="Arial"/>
          <w:szCs w:val="24"/>
        </w:rPr>
        <w:t xml:space="preserve">; </w:t>
      </w:r>
      <w:r w:rsidRPr="00343231">
        <w:rPr>
          <w:rFonts w:cs="Arial"/>
          <w:i/>
          <w:iCs/>
          <w:szCs w:val="24"/>
        </w:rPr>
        <w:t xml:space="preserve">Learoyd </w:t>
      </w:r>
      <w:r w:rsidRPr="00343231">
        <w:rPr>
          <w:rFonts w:cs="Arial"/>
          <w:szCs w:val="24"/>
        </w:rPr>
        <w:t xml:space="preserve">v. </w:t>
      </w:r>
      <w:r w:rsidRPr="00343231">
        <w:rPr>
          <w:rFonts w:cs="Arial"/>
          <w:i/>
          <w:iCs/>
          <w:szCs w:val="24"/>
        </w:rPr>
        <w:t>Bracken;</w:t>
      </w:r>
      <w:r w:rsidR="00343231" w:rsidRPr="00343231">
        <w:rPr>
          <w:rStyle w:val="FootnoteReference"/>
          <w:rFonts w:cs="Arial"/>
          <w:i/>
          <w:iCs/>
          <w:szCs w:val="24"/>
        </w:rPr>
        <w:footnoteReference w:id="13"/>
      </w:r>
      <w:r w:rsidRPr="00343231">
        <w:rPr>
          <w:rFonts w:cs="Arial"/>
          <w:szCs w:val="24"/>
        </w:rPr>
        <w:t>. A statute forbidding</w:t>
      </w:r>
    </w:p>
    <w:p w:rsidR="00DC42A3" w:rsidRPr="00343231" w:rsidRDefault="00DF281F" w:rsidP="00DF281F">
      <w:pPr>
        <w:pStyle w:val="Page"/>
      </w:pPr>
      <w:r>
        <w:rPr>
          <w:rFonts w:cs="Arial"/>
          <w:szCs w:val="24"/>
        </w:rPr>
        <w:t xml:space="preserve">[Page </w:t>
      </w:r>
      <w:r w:rsidR="00DC42A3" w:rsidRPr="00343231">
        <w:rPr>
          <w:rFonts w:cs="Arial"/>
          <w:szCs w:val="24"/>
        </w:rPr>
        <w:t>96]</w:t>
      </w:r>
    </w:p>
    <w:p w:rsidR="00DC42A3" w:rsidRPr="00343231" w:rsidRDefault="00DC42A3" w:rsidP="00286185">
      <w:pPr>
        <w:pStyle w:val="History"/>
        <w:ind w:firstLine="0"/>
        <w:rPr>
          <w:rFonts w:cs="Arial"/>
          <w:szCs w:val="24"/>
        </w:rPr>
      </w:pPr>
      <w:r w:rsidRPr="00343231">
        <w:rPr>
          <w:rFonts w:cs="Arial"/>
          <w:szCs w:val="24"/>
        </w:rPr>
        <w:t xml:space="preserve">sales without license and imposing recurring penalties on such sales does not necessarily render the contract of sale void. </w:t>
      </w:r>
      <w:r w:rsidRPr="00343231">
        <w:rPr>
          <w:rFonts w:cs="Arial"/>
          <w:i/>
          <w:iCs/>
          <w:szCs w:val="24"/>
        </w:rPr>
        <w:t xml:space="preserve">Foster </w:t>
      </w:r>
      <w:r w:rsidRPr="00343231">
        <w:rPr>
          <w:rFonts w:cs="Arial"/>
          <w:szCs w:val="24"/>
        </w:rPr>
        <w:t xml:space="preserve">v. </w:t>
      </w:r>
      <w:r w:rsidRPr="00343231">
        <w:rPr>
          <w:rFonts w:cs="Arial"/>
          <w:i/>
          <w:iCs/>
          <w:szCs w:val="24"/>
        </w:rPr>
        <w:t>Oxford, etc., Railway Co.</w:t>
      </w:r>
      <w:r w:rsidR="00343231" w:rsidRPr="00343231">
        <w:rPr>
          <w:rStyle w:val="FootnoteReference"/>
          <w:rFonts w:cs="Arial"/>
          <w:i/>
          <w:iCs/>
          <w:szCs w:val="24"/>
        </w:rPr>
        <w:footnoteReference w:id="14"/>
      </w:r>
      <w:r w:rsidRPr="00343231">
        <w:rPr>
          <w:rFonts w:cs="Arial"/>
          <w:szCs w:val="24"/>
        </w:rPr>
        <w:t>.</w:t>
      </w:r>
    </w:p>
    <w:p w:rsidR="00DC42A3" w:rsidRPr="00343231" w:rsidRDefault="00DC42A3" w:rsidP="00286185">
      <w:pPr>
        <w:pStyle w:val="History"/>
        <w:rPr>
          <w:rFonts w:cs="Arial"/>
          <w:szCs w:val="24"/>
        </w:rPr>
      </w:pPr>
      <w:r w:rsidRPr="00343231">
        <w:rPr>
          <w:rFonts w:cs="Arial"/>
          <w:szCs w:val="24"/>
        </w:rPr>
        <w:t xml:space="preserve">The Nova Scotia decisions shew that the limitation imposed by the statute is the only one ever recognized. </w:t>
      </w:r>
      <w:r w:rsidRPr="00343231">
        <w:rPr>
          <w:rFonts w:cs="Arial"/>
          <w:i/>
          <w:iCs/>
          <w:szCs w:val="24"/>
        </w:rPr>
        <w:t xml:space="preserve">McGowan </w:t>
      </w:r>
      <w:r w:rsidRPr="00343231">
        <w:rPr>
          <w:rFonts w:cs="Arial"/>
          <w:szCs w:val="24"/>
        </w:rPr>
        <w:t xml:space="preserve">v. </w:t>
      </w:r>
      <w:r w:rsidRPr="00343231">
        <w:rPr>
          <w:rFonts w:cs="Arial"/>
          <w:i/>
          <w:iCs/>
          <w:szCs w:val="24"/>
        </w:rPr>
        <w:t>Holden</w:t>
      </w:r>
      <w:r w:rsidR="00343231" w:rsidRPr="00343231">
        <w:rPr>
          <w:rStyle w:val="FootnoteReference"/>
          <w:rFonts w:cs="Arial"/>
          <w:i/>
          <w:iCs/>
          <w:szCs w:val="24"/>
        </w:rPr>
        <w:footnoteReference w:id="15"/>
      </w:r>
      <w:r w:rsidRPr="00343231">
        <w:rPr>
          <w:rFonts w:cs="Arial"/>
          <w:szCs w:val="24"/>
        </w:rPr>
        <w:t xml:space="preserve">; </w:t>
      </w:r>
      <w:r w:rsidRPr="00343231">
        <w:rPr>
          <w:rFonts w:cs="Arial"/>
          <w:i/>
          <w:iCs/>
          <w:szCs w:val="24"/>
        </w:rPr>
        <w:t>Smith v. McEachren</w:t>
      </w:r>
      <w:r w:rsidR="00343231" w:rsidRPr="00343231">
        <w:rPr>
          <w:rStyle w:val="FootnoteReference"/>
          <w:rFonts w:cs="Arial"/>
          <w:i/>
          <w:iCs/>
          <w:szCs w:val="24"/>
        </w:rPr>
        <w:footnoteReference w:id="16"/>
      </w:r>
      <w:r w:rsidRPr="00343231">
        <w:rPr>
          <w:rFonts w:cs="Arial"/>
          <w:szCs w:val="24"/>
        </w:rPr>
        <w:t xml:space="preserve">; </w:t>
      </w:r>
      <w:r w:rsidRPr="00343231">
        <w:rPr>
          <w:rFonts w:cs="Arial"/>
          <w:i/>
          <w:iCs/>
          <w:szCs w:val="24"/>
        </w:rPr>
        <w:t xml:space="preserve">Smyth </w:t>
      </w:r>
      <w:r w:rsidRPr="00343231">
        <w:rPr>
          <w:rFonts w:cs="Arial"/>
          <w:szCs w:val="24"/>
        </w:rPr>
        <w:t>v. O</w:t>
      </w:r>
      <w:r w:rsidRPr="00343231">
        <w:rPr>
          <w:rFonts w:cs="Arial"/>
          <w:i/>
          <w:iCs/>
          <w:szCs w:val="24"/>
        </w:rPr>
        <w:t>'Neil</w:t>
      </w:r>
      <w:r w:rsidR="00343231" w:rsidRPr="00343231">
        <w:rPr>
          <w:rStyle w:val="FootnoteReference"/>
          <w:rFonts w:cs="Arial"/>
          <w:i/>
          <w:iCs/>
          <w:szCs w:val="24"/>
        </w:rPr>
        <w:footnoteReference w:id="17"/>
      </w:r>
      <w:r w:rsidRPr="00343231">
        <w:rPr>
          <w:rFonts w:cs="Arial"/>
          <w:szCs w:val="24"/>
        </w:rPr>
        <w:t>.</w:t>
      </w:r>
    </w:p>
    <w:p w:rsidR="00DC42A3" w:rsidRPr="00343231" w:rsidRDefault="00DC42A3" w:rsidP="00286185">
      <w:pPr>
        <w:pStyle w:val="History"/>
        <w:rPr>
          <w:rFonts w:cs="Arial"/>
          <w:szCs w:val="24"/>
        </w:rPr>
      </w:pPr>
      <w:r w:rsidRPr="00343231">
        <w:rPr>
          <w:rFonts w:cs="Arial"/>
          <w:i/>
          <w:iCs/>
          <w:szCs w:val="24"/>
        </w:rPr>
        <w:t xml:space="preserve">Borden K.C. </w:t>
      </w:r>
      <w:r w:rsidRPr="00343231">
        <w:rPr>
          <w:rFonts w:cs="Arial"/>
          <w:szCs w:val="24"/>
        </w:rPr>
        <w:t xml:space="preserve">for the respondent. The sales to Jenkins were illegal, because made in violation of the Act. </w:t>
      </w:r>
      <w:r w:rsidRPr="00343231">
        <w:rPr>
          <w:rFonts w:cs="Arial"/>
          <w:i/>
          <w:iCs/>
          <w:szCs w:val="24"/>
        </w:rPr>
        <w:t xml:space="preserve">Smith </w:t>
      </w:r>
      <w:r w:rsidRPr="00343231">
        <w:rPr>
          <w:rFonts w:cs="Arial"/>
          <w:szCs w:val="24"/>
        </w:rPr>
        <w:t xml:space="preserve">v. </w:t>
      </w:r>
      <w:r w:rsidRPr="00343231">
        <w:rPr>
          <w:rFonts w:cs="Arial"/>
          <w:i/>
          <w:iCs/>
          <w:szCs w:val="24"/>
        </w:rPr>
        <w:t>Mawhood</w:t>
      </w:r>
      <w:r w:rsidR="00343231" w:rsidRPr="00343231">
        <w:rPr>
          <w:rStyle w:val="FootnoteReference"/>
          <w:rFonts w:cs="Arial"/>
          <w:i/>
          <w:iCs/>
          <w:szCs w:val="24"/>
        </w:rPr>
        <w:footnoteReference w:id="18"/>
      </w:r>
      <w:r w:rsidRPr="00343231">
        <w:rPr>
          <w:rFonts w:cs="Arial"/>
          <w:smallCaps/>
          <w:szCs w:val="24"/>
        </w:rPr>
        <w:t xml:space="preserve">; </w:t>
      </w:r>
      <w:r w:rsidRPr="00343231">
        <w:rPr>
          <w:rFonts w:cs="Arial"/>
          <w:i/>
          <w:iCs/>
          <w:szCs w:val="24"/>
        </w:rPr>
        <w:t xml:space="preserve">Melliss </w:t>
      </w:r>
      <w:r w:rsidRPr="00343231">
        <w:rPr>
          <w:rFonts w:cs="Arial"/>
          <w:szCs w:val="24"/>
        </w:rPr>
        <w:t xml:space="preserve">v. </w:t>
      </w:r>
      <w:r w:rsidRPr="00343231">
        <w:rPr>
          <w:rFonts w:cs="Arial"/>
          <w:i/>
          <w:iCs/>
          <w:szCs w:val="24"/>
        </w:rPr>
        <w:t>Shirley Local Board</w:t>
      </w:r>
      <w:r w:rsidR="00343231" w:rsidRPr="00343231">
        <w:rPr>
          <w:rStyle w:val="FootnoteReference"/>
          <w:rFonts w:cs="Arial"/>
          <w:i/>
          <w:iCs/>
          <w:szCs w:val="24"/>
        </w:rPr>
        <w:footnoteReference w:id="19"/>
      </w:r>
      <w:r w:rsidRPr="00343231">
        <w:rPr>
          <w:rFonts w:cs="Arial"/>
          <w:szCs w:val="24"/>
        </w:rPr>
        <w:t>; per Bowen L.J. at page 454.</w:t>
      </w:r>
    </w:p>
    <w:p w:rsidR="00DC42A3" w:rsidRPr="00343231" w:rsidRDefault="00DC42A3" w:rsidP="00286185">
      <w:pPr>
        <w:pStyle w:val="History"/>
        <w:rPr>
          <w:rFonts w:cs="Arial"/>
          <w:szCs w:val="24"/>
        </w:rPr>
      </w:pPr>
      <w:r w:rsidRPr="00343231">
        <w:rPr>
          <w:rFonts w:cs="Arial"/>
          <w:szCs w:val="24"/>
        </w:rPr>
        <w:t xml:space="preserve">The said goods were sold to Jenkins for resale in the county of Pictou in violation of the provisions of the Canada Temperance Act. </w:t>
      </w:r>
      <w:r w:rsidRPr="00343231">
        <w:rPr>
          <w:rFonts w:cs="Arial"/>
          <w:i/>
          <w:iCs/>
          <w:szCs w:val="24"/>
        </w:rPr>
        <w:t xml:space="preserve">Bensley </w:t>
      </w:r>
      <w:r w:rsidRPr="00343231">
        <w:rPr>
          <w:rFonts w:cs="Arial"/>
          <w:szCs w:val="24"/>
        </w:rPr>
        <w:t xml:space="preserve">v. </w:t>
      </w:r>
      <w:r w:rsidRPr="00343231">
        <w:rPr>
          <w:rFonts w:cs="Arial"/>
          <w:i/>
          <w:iCs/>
          <w:szCs w:val="24"/>
        </w:rPr>
        <w:t>Bignold</w:t>
      </w:r>
      <w:r w:rsidR="00343231" w:rsidRPr="00343231">
        <w:rPr>
          <w:rStyle w:val="FootnoteReference"/>
          <w:rFonts w:cs="Arial"/>
          <w:i/>
          <w:iCs/>
          <w:szCs w:val="24"/>
        </w:rPr>
        <w:footnoteReference w:id="20"/>
      </w:r>
      <w:r w:rsidRPr="00343231">
        <w:rPr>
          <w:rFonts w:cs="Arial"/>
          <w:szCs w:val="24"/>
        </w:rPr>
        <w:t xml:space="preserve">; </w:t>
      </w:r>
      <w:r w:rsidRPr="00343231">
        <w:rPr>
          <w:rFonts w:cs="Arial"/>
          <w:i/>
          <w:iCs/>
          <w:szCs w:val="24"/>
        </w:rPr>
        <w:t xml:space="preserve">Fergusson </w:t>
      </w:r>
      <w:r w:rsidRPr="00343231">
        <w:rPr>
          <w:rFonts w:cs="Arial"/>
          <w:szCs w:val="24"/>
        </w:rPr>
        <w:t xml:space="preserve">v. </w:t>
      </w:r>
      <w:r w:rsidRPr="00343231">
        <w:rPr>
          <w:rFonts w:cs="Arial"/>
          <w:i/>
          <w:iCs/>
          <w:szCs w:val="24"/>
        </w:rPr>
        <w:t>Norman.</w:t>
      </w:r>
      <w:r w:rsidR="00343231" w:rsidRPr="00343231">
        <w:rPr>
          <w:rStyle w:val="FootnoteReference"/>
          <w:rFonts w:cs="Arial"/>
          <w:i/>
          <w:iCs/>
          <w:szCs w:val="24"/>
        </w:rPr>
        <w:footnoteReference w:id="21"/>
      </w:r>
      <w:r w:rsidRPr="00343231">
        <w:rPr>
          <w:rFonts w:cs="Arial"/>
          <w:szCs w:val="24"/>
        </w:rPr>
        <w:t xml:space="preserve">; </w:t>
      </w:r>
      <w:r w:rsidRPr="00343231">
        <w:rPr>
          <w:rFonts w:cs="Arial"/>
          <w:i/>
          <w:iCs/>
          <w:szCs w:val="24"/>
        </w:rPr>
        <w:t xml:space="preserve">Tyson </w:t>
      </w:r>
      <w:r w:rsidRPr="00343231">
        <w:rPr>
          <w:rFonts w:cs="Arial"/>
          <w:szCs w:val="24"/>
        </w:rPr>
        <w:t xml:space="preserve">v. </w:t>
      </w:r>
      <w:r w:rsidRPr="00343231">
        <w:rPr>
          <w:rFonts w:cs="Arial"/>
          <w:i/>
          <w:iCs/>
          <w:szCs w:val="24"/>
        </w:rPr>
        <w:t>Thomas</w:t>
      </w:r>
      <w:r w:rsidR="00343231" w:rsidRPr="00343231">
        <w:rPr>
          <w:rStyle w:val="FootnoteReference"/>
          <w:rFonts w:cs="Arial"/>
          <w:i/>
          <w:iCs/>
          <w:szCs w:val="24"/>
        </w:rPr>
        <w:footnoteReference w:id="22"/>
      </w:r>
      <w:r w:rsidRPr="00343231">
        <w:rPr>
          <w:rFonts w:cs="Arial"/>
          <w:szCs w:val="24"/>
        </w:rPr>
        <w:t xml:space="preserve">; </w:t>
      </w:r>
      <w:r w:rsidRPr="00343231">
        <w:rPr>
          <w:rFonts w:cs="Arial"/>
          <w:i/>
          <w:iCs/>
          <w:szCs w:val="24"/>
        </w:rPr>
        <w:t xml:space="preserve">McKinnell </w:t>
      </w:r>
      <w:r w:rsidRPr="00343231">
        <w:rPr>
          <w:rFonts w:cs="Arial"/>
          <w:szCs w:val="24"/>
        </w:rPr>
        <w:t xml:space="preserve">v. </w:t>
      </w:r>
      <w:r w:rsidRPr="00343231">
        <w:rPr>
          <w:rFonts w:cs="Arial"/>
          <w:i/>
          <w:iCs/>
          <w:szCs w:val="24"/>
        </w:rPr>
        <w:t>Robinson</w:t>
      </w:r>
      <w:r w:rsidR="00343231" w:rsidRPr="00343231">
        <w:rPr>
          <w:rStyle w:val="FootnoteReference"/>
          <w:rFonts w:cs="Arial"/>
          <w:i/>
          <w:iCs/>
          <w:szCs w:val="24"/>
        </w:rPr>
        <w:footnoteReference w:id="23"/>
      </w:r>
      <w:r w:rsidRPr="00343231">
        <w:rPr>
          <w:rFonts w:cs="Arial"/>
          <w:szCs w:val="24"/>
        </w:rPr>
        <w:t xml:space="preserve">; </w:t>
      </w:r>
      <w:r w:rsidRPr="00343231">
        <w:rPr>
          <w:rFonts w:cs="Arial"/>
          <w:i/>
          <w:iCs/>
          <w:szCs w:val="24"/>
        </w:rPr>
        <w:t xml:space="preserve">Buck </w:t>
      </w:r>
      <w:r w:rsidRPr="00343231">
        <w:rPr>
          <w:rFonts w:cs="Arial"/>
          <w:szCs w:val="24"/>
        </w:rPr>
        <w:t xml:space="preserve">v. </w:t>
      </w:r>
      <w:r w:rsidRPr="00343231">
        <w:rPr>
          <w:rFonts w:cs="Arial"/>
          <w:i/>
          <w:iCs/>
          <w:szCs w:val="24"/>
        </w:rPr>
        <w:t>Buck</w:t>
      </w:r>
      <w:r w:rsidR="00343231" w:rsidRPr="00343231">
        <w:rPr>
          <w:rStyle w:val="FootnoteReference"/>
          <w:rFonts w:cs="Arial"/>
          <w:i/>
          <w:iCs/>
          <w:szCs w:val="24"/>
        </w:rPr>
        <w:footnoteReference w:id="24"/>
      </w:r>
      <w:r w:rsidRPr="00343231">
        <w:rPr>
          <w:rFonts w:cs="Arial"/>
          <w:szCs w:val="24"/>
        </w:rPr>
        <w:t xml:space="preserve">; </w:t>
      </w:r>
      <w:r w:rsidRPr="00343231">
        <w:rPr>
          <w:rFonts w:cs="Arial"/>
          <w:i/>
          <w:iCs/>
          <w:szCs w:val="24"/>
        </w:rPr>
        <w:t xml:space="preserve">Langlon </w:t>
      </w:r>
      <w:r w:rsidRPr="00343231">
        <w:rPr>
          <w:rFonts w:cs="Arial"/>
          <w:szCs w:val="24"/>
        </w:rPr>
        <w:t xml:space="preserve">v. </w:t>
      </w:r>
      <w:r w:rsidRPr="00343231">
        <w:rPr>
          <w:rFonts w:cs="Arial"/>
          <w:i/>
          <w:iCs/>
          <w:szCs w:val="24"/>
        </w:rPr>
        <w:t>Hughes</w:t>
      </w:r>
      <w:r w:rsidR="00343231" w:rsidRPr="00343231">
        <w:rPr>
          <w:rStyle w:val="FootnoteReference"/>
          <w:rFonts w:cs="Arial"/>
          <w:i/>
          <w:iCs/>
          <w:szCs w:val="24"/>
        </w:rPr>
        <w:footnoteReference w:id="25"/>
      </w:r>
      <w:r w:rsidRPr="00343231">
        <w:rPr>
          <w:rFonts w:cs="Arial"/>
          <w:szCs w:val="24"/>
        </w:rPr>
        <w:t xml:space="preserve">; </w:t>
      </w:r>
      <w:r w:rsidRPr="00343231">
        <w:rPr>
          <w:rFonts w:cs="Arial"/>
          <w:i/>
          <w:iCs/>
          <w:szCs w:val="24"/>
        </w:rPr>
        <w:t xml:space="preserve">Cope </w:t>
      </w:r>
      <w:r w:rsidRPr="00343231">
        <w:rPr>
          <w:rFonts w:cs="Arial"/>
          <w:szCs w:val="24"/>
        </w:rPr>
        <w:t xml:space="preserve">v. </w:t>
      </w:r>
      <w:r w:rsidRPr="00343231">
        <w:rPr>
          <w:rFonts w:cs="Arial"/>
          <w:i/>
          <w:iCs/>
          <w:szCs w:val="24"/>
        </w:rPr>
        <w:t>Rowlands</w:t>
      </w:r>
      <w:r w:rsidR="00343231" w:rsidRPr="00343231">
        <w:rPr>
          <w:rStyle w:val="FootnoteReference"/>
          <w:rFonts w:cs="Arial"/>
          <w:i/>
          <w:iCs/>
          <w:szCs w:val="24"/>
        </w:rPr>
        <w:footnoteReference w:id="26"/>
      </w:r>
      <w:r w:rsidRPr="00343231">
        <w:rPr>
          <w:rFonts w:cs="Arial"/>
          <w:szCs w:val="24"/>
        </w:rPr>
        <w:t xml:space="preserve">; </w:t>
      </w:r>
      <w:r w:rsidRPr="00343231">
        <w:rPr>
          <w:rFonts w:cs="Arial"/>
          <w:i/>
          <w:iCs/>
          <w:szCs w:val="24"/>
        </w:rPr>
        <w:t xml:space="preserve">Gallini </w:t>
      </w:r>
      <w:r w:rsidRPr="00343231">
        <w:rPr>
          <w:rFonts w:cs="Arial"/>
          <w:szCs w:val="24"/>
        </w:rPr>
        <w:t xml:space="preserve">v. </w:t>
      </w:r>
      <w:r w:rsidRPr="00343231">
        <w:rPr>
          <w:rFonts w:cs="Arial"/>
          <w:i/>
          <w:iCs/>
          <w:szCs w:val="24"/>
        </w:rPr>
        <w:t>Laborie</w:t>
      </w:r>
      <w:r w:rsidR="00343231" w:rsidRPr="00343231">
        <w:rPr>
          <w:rStyle w:val="FootnoteReference"/>
          <w:rFonts w:cs="Arial"/>
          <w:i/>
          <w:iCs/>
          <w:szCs w:val="24"/>
        </w:rPr>
        <w:footnoteReference w:id="27"/>
      </w:r>
      <w:r w:rsidRPr="00343231">
        <w:rPr>
          <w:rFonts w:cs="Arial"/>
          <w:szCs w:val="24"/>
        </w:rPr>
        <w:t xml:space="preserve">; </w:t>
      </w:r>
      <w:r w:rsidRPr="00343231">
        <w:rPr>
          <w:rFonts w:cs="Arial"/>
          <w:i/>
          <w:iCs/>
          <w:szCs w:val="24"/>
        </w:rPr>
        <w:t>Barton v. Piggott</w:t>
      </w:r>
      <w:r w:rsidR="00343231" w:rsidRPr="00343231">
        <w:rPr>
          <w:rStyle w:val="FootnoteReference"/>
          <w:rFonts w:cs="Arial"/>
          <w:i/>
          <w:iCs/>
          <w:szCs w:val="24"/>
        </w:rPr>
        <w:footnoteReference w:id="28"/>
      </w:r>
      <w:r w:rsidRPr="00343231">
        <w:rPr>
          <w:rFonts w:cs="Arial"/>
          <w:i/>
          <w:iCs/>
          <w:szCs w:val="24"/>
        </w:rPr>
        <w:t xml:space="preserve">; Ritchie </w:t>
      </w:r>
      <w:r w:rsidRPr="00343231">
        <w:rPr>
          <w:rFonts w:cs="Arial"/>
          <w:szCs w:val="24"/>
        </w:rPr>
        <w:t xml:space="preserve">v. </w:t>
      </w:r>
      <w:r w:rsidRPr="00343231">
        <w:rPr>
          <w:rFonts w:cs="Arial"/>
          <w:i/>
          <w:iCs/>
          <w:szCs w:val="24"/>
        </w:rPr>
        <w:t>Smith</w:t>
      </w:r>
      <w:r w:rsidR="00343231" w:rsidRPr="00343231">
        <w:rPr>
          <w:rStyle w:val="FootnoteReference"/>
          <w:rFonts w:cs="Arial"/>
          <w:i/>
          <w:iCs/>
          <w:szCs w:val="24"/>
        </w:rPr>
        <w:footnoteReference w:id="29"/>
      </w:r>
      <w:r w:rsidRPr="00343231">
        <w:rPr>
          <w:rFonts w:cs="Arial"/>
          <w:szCs w:val="24"/>
        </w:rPr>
        <w:t xml:space="preserve">. If the sales were illegal, any guarantee in respect of them is also illegal. </w:t>
      </w:r>
      <w:r w:rsidRPr="00343231">
        <w:rPr>
          <w:rFonts w:cs="Arial"/>
          <w:i/>
          <w:iCs/>
          <w:szCs w:val="24"/>
        </w:rPr>
        <w:t xml:space="preserve">Morck </w:t>
      </w:r>
      <w:r w:rsidRPr="00343231">
        <w:rPr>
          <w:rFonts w:cs="Arial"/>
          <w:szCs w:val="24"/>
        </w:rPr>
        <w:t xml:space="preserve">v. </w:t>
      </w:r>
      <w:r w:rsidRPr="00343231">
        <w:rPr>
          <w:rFonts w:cs="Arial"/>
          <w:i/>
          <w:iCs/>
          <w:szCs w:val="24"/>
        </w:rPr>
        <w:t>Abel</w:t>
      </w:r>
      <w:r w:rsidR="00343231" w:rsidRPr="00343231">
        <w:rPr>
          <w:rStyle w:val="FootnoteReference"/>
          <w:rFonts w:cs="Arial"/>
          <w:i/>
          <w:iCs/>
          <w:szCs w:val="24"/>
        </w:rPr>
        <w:footnoteReference w:id="30"/>
      </w:r>
      <w:r w:rsidRPr="00343231">
        <w:rPr>
          <w:rFonts w:cs="Arial"/>
          <w:szCs w:val="24"/>
        </w:rPr>
        <w:t xml:space="preserve">, per Lord Alvanley C.J. at page 38. If the contract be illegal no action can arise out of it. </w:t>
      </w:r>
      <w:r w:rsidRPr="00343231">
        <w:rPr>
          <w:rFonts w:cs="Arial"/>
          <w:i/>
          <w:iCs/>
          <w:szCs w:val="24"/>
        </w:rPr>
        <w:t xml:space="preserve">Ribbans </w:t>
      </w:r>
      <w:r w:rsidRPr="00343231">
        <w:rPr>
          <w:rFonts w:cs="Arial"/>
          <w:szCs w:val="24"/>
        </w:rPr>
        <w:t xml:space="preserve">v. </w:t>
      </w:r>
      <w:r w:rsidRPr="00343231">
        <w:rPr>
          <w:rFonts w:cs="Arial"/>
          <w:i/>
          <w:iCs/>
          <w:szCs w:val="24"/>
        </w:rPr>
        <w:t>Crickett</w:t>
      </w:r>
      <w:r w:rsidR="00343231" w:rsidRPr="00343231">
        <w:rPr>
          <w:rStyle w:val="FootnoteReference"/>
          <w:rFonts w:cs="Arial"/>
          <w:i/>
          <w:iCs/>
          <w:szCs w:val="24"/>
        </w:rPr>
        <w:footnoteReference w:id="31"/>
      </w:r>
      <w:r w:rsidRPr="00343231">
        <w:rPr>
          <w:rFonts w:cs="Arial"/>
          <w:szCs w:val="24"/>
        </w:rPr>
        <w:t xml:space="preserve">; </w:t>
      </w:r>
      <w:r w:rsidRPr="00343231">
        <w:rPr>
          <w:rFonts w:cs="Arial"/>
          <w:i/>
          <w:iCs/>
          <w:szCs w:val="24"/>
        </w:rPr>
        <w:t xml:space="preserve">Duvergier </w:t>
      </w:r>
      <w:r w:rsidRPr="00343231">
        <w:rPr>
          <w:rFonts w:cs="Arial"/>
          <w:szCs w:val="24"/>
        </w:rPr>
        <w:t xml:space="preserve">v. </w:t>
      </w:r>
      <w:r w:rsidRPr="00343231">
        <w:rPr>
          <w:rFonts w:cs="Arial"/>
          <w:i/>
          <w:iCs/>
          <w:szCs w:val="24"/>
        </w:rPr>
        <w:t>Fellows</w:t>
      </w:r>
      <w:r w:rsidR="00343231" w:rsidRPr="00343231">
        <w:rPr>
          <w:rStyle w:val="FootnoteReference"/>
          <w:rFonts w:cs="Arial"/>
          <w:i/>
          <w:iCs/>
          <w:szCs w:val="24"/>
        </w:rPr>
        <w:footnoteReference w:id="32"/>
      </w:r>
      <w:r w:rsidRPr="00343231">
        <w:rPr>
          <w:rFonts w:cs="Arial"/>
          <w:szCs w:val="24"/>
        </w:rPr>
        <w:t xml:space="preserve">; Decolyar on Guarantees (3 ed.) pp. 34, 210; </w:t>
      </w:r>
      <w:r w:rsidRPr="00343231">
        <w:rPr>
          <w:rFonts w:cs="Arial"/>
          <w:i/>
          <w:iCs/>
          <w:szCs w:val="24"/>
        </w:rPr>
        <w:t xml:space="preserve">The Queen </w:t>
      </w:r>
      <w:r w:rsidRPr="00343231">
        <w:rPr>
          <w:rFonts w:cs="Arial"/>
          <w:szCs w:val="24"/>
        </w:rPr>
        <w:t xml:space="preserve">v. </w:t>
      </w:r>
      <w:r w:rsidRPr="00343231">
        <w:rPr>
          <w:rFonts w:cs="Arial"/>
          <w:i/>
          <w:iCs/>
          <w:szCs w:val="24"/>
        </w:rPr>
        <w:t>NcNutt</w:t>
      </w:r>
      <w:r w:rsidR="00343231" w:rsidRPr="00343231">
        <w:rPr>
          <w:rStyle w:val="FootnoteReference"/>
          <w:rFonts w:cs="Arial"/>
          <w:i/>
          <w:iCs/>
          <w:szCs w:val="24"/>
        </w:rPr>
        <w:footnoteReference w:id="33"/>
      </w:r>
      <w:r w:rsidRPr="00343231">
        <w:rPr>
          <w:rFonts w:cs="Arial"/>
          <w:szCs w:val="24"/>
        </w:rPr>
        <w:t>.</w:t>
      </w:r>
    </w:p>
    <w:p w:rsidR="00DC42A3" w:rsidRPr="00343231" w:rsidRDefault="00DC42A3" w:rsidP="00286185">
      <w:pPr>
        <w:pStyle w:val="Reasons"/>
      </w:pPr>
      <w:r w:rsidRPr="00343231">
        <w:t>The judgment of the court was delivered by:</w:t>
      </w:r>
    </w:p>
    <w:p w:rsidR="00DC42A3" w:rsidRPr="00343231" w:rsidRDefault="00286185" w:rsidP="00286185">
      <w:pPr>
        <w:pStyle w:val="Reasons"/>
        <w:rPr>
          <w:rFonts w:cs="Arial"/>
          <w:szCs w:val="24"/>
        </w:rPr>
      </w:pPr>
      <w:r w:rsidRPr="00343231">
        <w:rPr>
          <w:rFonts w:cs="Arial"/>
          <w:szCs w:val="24"/>
        </w:rPr>
        <w:lastRenderedPageBreak/>
        <w:t>THE CHIEF JUSTICE</w:t>
      </w:r>
      <w:r w:rsidRPr="00343231">
        <w:rPr>
          <w:rFonts w:cs="Arial"/>
          <w:smallCaps/>
          <w:szCs w:val="24"/>
        </w:rPr>
        <w:t xml:space="preserve"> </w:t>
      </w:r>
      <w:r w:rsidR="00DC42A3" w:rsidRPr="00343231">
        <w:rPr>
          <w:rFonts w:cs="Arial"/>
          <w:szCs w:val="24"/>
        </w:rPr>
        <w:t>(oral.)—This appeal as originally taken involved the decision of an important question</w:t>
      </w:r>
    </w:p>
    <w:p w:rsidR="00DC42A3" w:rsidRPr="00343231" w:rsidRDefault="00DF281F" w:rsidP="00DF281F">
      <w:pPr>
        <w:pStyle w:val="Page"/>
      </w:pPr>
      <w:r>
        <w:rPr>
          <w:rFonts w:cs="Arial"/>
          <w:szCs w:val="24"/>
        </w:rPr>
        <w:t xml:space="preserve">[Page </w:t>
      </w:r>
      <w:r w:rsidR="00DC42A3" w:rsidRPr="00343231">
        <w:rPr>
          <w:rFonts w:cs="Arial"/>
          <w:szCs w:val="24"/>
        </w:rPr>
        <w:t>97]</w:t>
      </w:r>
    </w:p>
    <w:p w:rsidR="00DC42A3" w:rsidRPr="00343231" w:rsidRDefault="00DC42A3" w:rsidP="00286185">
      <w:pPr>
        <w:pStyle w:val="Reasons"/>
        <w:rPr>
          <w:rFonts w:cs="Arial"/>
          <w:szCs w:val="24"/>
        </w:rPr>
      </w:pPr>
      <w:r w:rsidRPr="00343231">
        <w:rPr>
          <w:rFonts w:cs="Arial"/>
          <w:szCs w:val="24"/>
        </w:rPr>
        <w:t>of constitutional law but that has now been settled by authority of the court of last resort</w:t>
      </w:r>
      <w:r w:rsidR="00286185" w:rsidRPr="00343231">
        <w:rPr>
          <w:rStyle w:val="FootnoteReference"/>
          <w:rFonts w:cs="Arial"/>
          <w:szCs w:val="24"/>
        </w:rPr>
        <w:footnoteReference w:customMarkFollows="1" w:id="34"/>
        <w:t>*</w:t>
      </w:r>
      <w:r w:rsidRPr="00343231">
        <w:rPr>
          <w:rFonts w:cs="Arial"/>
          <w:szCs w:val="24"/>
        </w:rPr>
        <w:t xml:space="preserve"> and does not come before us upon this argument. The only question that remains for us to decide is as to the effect of the provisions of the statute upon the validity of the contract.</w:t>
      </w:r>
    </w:p>
    <w:p w:rsidR="00DC42A3" w:rsidRPr="00343231" w:rsidRDefault="00DC42A3" w:rsidP="00286185">
      <w:pPr>
        <w:pStyle w:val="Reasons"/>
        <w:rPr>
          <w:rFonts w:cs="Arial"/>
          <w:szCs w:val="24"/>
        </w:rPr>
      </w:pPr>
      <w:r w:rsidRPr="00343231">
        <w:rPr>
          <w:rFonts w:cs="Arial"/>
          <w:szCs w:val="24"/>
        </w:rPr>
        <w:t>It is settled law that contracts entered into in the face of statutory prohibition are void and the prohibition of sales of liquor without license provided by the statute in question has, therefore, the effect of rendering the contract here of no effect.</w:t>
      </w:r>
    </w:p>
    <w:p w:rsidR="00DC42A3" w:rsidRPr="00343231" w:rsidRDefault="00DC42A3" w:rsidP="00286185">
      <w:pPr>
        <w:pStyle w:val="Reasons"/>
        <w:rPr>
          <w:rFonts w:cs="Arial"/>
          <w:szCs w:val="24"/>
        </w:rPr>
      </w:pPr>
      <w:r w:rsidRPr="00343231">
        <w:rPr>
          <w:rFonts w:cs="Arial"/>
          <w:szCs w:val="24"/>
        </w:rPr>
        <w:t>It is also settled that the imposition of a penalty for the contravention of a statute avoids a contract against the statute.</w:t>
      </w:r>
    </w:p>
    <w:p w:rsidR="00DC42A3" w:rsidRPr="00343231" w:rsidRDefault="00DC42A3" w:rsidP="00286185">
      <w:pPr>
        <w:pStyle w:val="Reasons"/>
        <w:rPr>
          <w:rFonts w:cs="Arial"/>
          <w:szCs w:val="24"/>
        </w:rPr>
      </w:pPr>
      <w:r w:rsidRPr="00343231">
        <w:rPr>
          <w:rFonts w:cs="Arial"/>
          <w:szCs w:val="24"/>
        </w:rPr>
        <w:t>In the present case, we have both the prohibition in express terms and a penalty provided for. The appeal must be dismissed with costs.</w:t>
      </w:r>
    </w:p>
    <w:p w:rsidR="00DC42A3" w:rsidRPr="00343231" w:rsidRDefault="00DC42A3" w:rsidP="00286185">
      <w:pPr>
        <w:pStyle w:val="Reasons"/>
      </w:pPr>
      <w:r w:rsidRPr="00343231">
        <w:t>Appeal dismissed with costs.</w:t>
      </w:r>
    </w:p>
    <w:p w:rsidR="00DC42A3" w:rsidRPr="00343231" w:rsidRDefault="00DC42A3" w:rsidP="00286185">
      <w:pPr>
        <w:pStyle w:val="Sollicitors"/>
        <w:rPr>
          <w:iCs/>
        </w:rPr>
      </w:pPr>
      <w:r w:rsidRPr="00343231">
        <w:t xml:space="preserve">Solicitor for the appellant: </w:t>
      </w:r>
      <w:r w:rsidRPr="00343231">
        <w:rPr>
          <w:iCs/>
        </w:rPr>
        <w:t>H. A. Lovett.</w:t>
      </w:r>
    </w:p>
    <w:p w:rsidR="00DC42A3" w:rsidRPr="00791627" w:rsidRDefault="00DC42A3" w:rsidP="00286185">
      <w:pPr>
        <w:pStyle w:val="Sollicitors"/>
        <w:rPr>
          <w:iCs/>
        </w:rPr>
      </w:pPr>
      <w:r w:rsidRPr="00343231">
        <w:t xml:space="preserve">Solicitor for the respondent: </w:t>
      </w:r>
      <w:r w:rsidRPr="00343231">
        <w:rPr>
          <w:iCs/>
        </w:rPr>
        <w:t>Charles. E. Tanner.</w:t>
      </w:r>
    </w:p>
    <w:sectPr w:rsidR="00DC42A3" w:rsidRPr="00791627" w:rsidSect="0018593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950" w:rsidRDefault="006C0950" w:rsidP="00185939">
      <w:r>
        <w:separator/>
      </w:r>
    </w:p>
  </w:endnote>
  <w:endnote w:type="continuationSeparator" w:id="1">
    <w:p w:rsidR="006C0950" w:rsidRDefault="006C0950" w:rsidP="00185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39" w:rsidRDefault="00185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39" w:rsidRDefault="001859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39" w:rsidRDefault="00185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950" w:rsidRDefault="006C0950" w:rsidP="00185939">
      <w:r>
        <w:separator/>
      </w:r>
    </w:p>
  </w:footnote>
  <w:footnote w:type="continuationSeparator" w:id="1">
    <w:p w:rsidR="006C0950" w:rsidRDefault="006C0950" w:rsidP="00185939">
      <w:r>
        <w:continuationSeparator/>
      </w:r>
    </w:p>
  </w:footnote>
  <w:footnote w:id="2">
    <w:p w:rsidR="00343231" w:rsidRPr="00343231" w:rsidRDefault="00343231">
      <w:pPr>
        <w:pStyle w:val="FootnoteText"/>
        <w:rPr>
          <w:lang w:val="en-US"/>
        </w:rPr>
      </w:pPr>
      <w:r>
        <w:rPr>
          <w:rStyle w:val="FootnoteReference"/>
        </w:rPr>
        <w:footnoteRef/>
      </w:r>
      <w:r>
        <w:t xml:space="preserve"> </w:t>
      </w:r>
      <w:r w:rsidRPr="00791627">
        <w:rPr>
          <w:rFonts w:cs="Arial"/>
          <w:szCs w:val="24"/>
        </w:rPr>
        <w:t>33 N</w:t>
      </w:r>
      <w:r w:rsidRPr="00791627">
        <w:rPr>
          <w:rFonts w:cs="Arial"/>
          <w:smallCaps/>
          <w:szCs w:val="24"/>
        </w:rPr>
        <w:t>. S</w:t>
      </w:r>
      <w:r w:rsidRPr="00791627">
        <w:rPr>
          <w:rFonts w:cs="Arial"/>
          <w:szCs w:val="24"/>
        </w:rPr>
        <w:t>. Rep. 381.</w:t>
      </w:r>
    </w:p>
  </w:footnote>
  <w:footnote w:id="3">
    <w:p w:rsidR="00343231" w:rsidRPr="00343231" w:rsidRDefault="00343231">
      <w:pPr>
        <w:pStyle w:val="FootnoteText"/>
        <w:rPr>
          <w:lang w:val="en-US"/>
        </w:rPr>
      </w:pPr>
      <w:r>
        <w:rPr>
          <w:rStyle w:val="FootnoteReference"/>
        </w:rPr>
        <w:footnoteRef/>
      </w:r>
      <w:r>
        <w:t xml:space="preserve"> </w:t>
      </w:r>
      <w:r w:rsidRPr="00791627">
        <w:rPr>
          <w:rFonts w:cs="Arial"/>
          <w:szCs w:val="24"/>
        </w:rPr>
        <w:t>13 Van. L. R. 239; [1902] A. C. 73.</w:t>
      </w:r>
    </w:p>
  </w:footnote>
  <w:footnote w:id="4">
    <w:p w:rsidR="00343231" w:rsidRPr="00343231" w:rsidRDefault="00343231">
      <w:pPr>
        <w:pStyle w:val="FootnoteText"/>
        <w:rPr>
          <w:lang w:val="en-US"/>
        </w:rPr>
      </w:pPr>
      <w:r>
        <w:rPr>
          <w:rStyle w:val="FootnoteReference"/>
        </w:rPr>
        <w:footnoteRef/>
      </w:r>
      <w:r>
        <w:t xml:space="preserve"> </w:t>
      </w:r>
      <w:r w:rsidRPr="00791627">
        <w:rPr>
          <w:rFonts w:cs="Arial"/>
          <w:szCs w:val="24"/>
        </w:rPr>
        <w:t>12 Q. B. 905.</w:t>
      </w:r>
    </w:p>
  </w:footnote>
  <w:footnote w:id="5">
    <w:p w:rsidR="00343231" w:rsidRPr="00343231" w:rsidRDefault="00343231">
      <w:pPr>
        <w:pStyle w:val="FootnoteText"/>
        <w:rPr>
          <w:lang w:val="en-US"/>
        </w:rPr>
      </w:pPr>
      <w:r>
        <w:rPr>
          <w:rStyle w:val="FootnoteReference"/>
        </w:rPr>
        <w:footnoteRef/>
      </w:r>
      <w:r>
        <w:t xml:space="preserve"> </w:t>
      </w:r>
      <w:r w:rsidRPr="00791627">
        <w:rPr>
          <w:rFonts w:cs="Arial"/>
          <w:szCs w:val="24"/>
        </w:rPr>
        <w:t>14 M. &amp; W. 452.</w:t>
      </w:r>
    </w:p>
  </w:footnote>
  <w:footnote w:id="6">
    <w:p w:rsidR="00343231" w:rsidRPr="00343231" w:rsidRDefault="00343231">
      <w:pPr>
        <w:pStyle w:val="FootnoteText"/>
        <w:rPr>
          <w:lang w:val="en-US"/>
        </w:rPr>
      </w:pPr>
      <w:r>
        <w:rPr>
          <w:rStyle w:val="FootnoteReference"/>
        </w:rPr>
        <w:footnoteRef/>
      </w:r>
      <w:r>
        <w:t xml:space="preserve"> </w:t>
      </w:r>
      <w:r w:rsidRPr="00791627">
        <w:rPr>
          <w:rFonts w:cs="Arial"/>
          <w:szCs w:val="24"/>
        </w:rPr>
        <w:t xml:space="preserve">10 </w:t>
      </w:r>
      <w:r w:rsidRPr="00791627">
        <w:rPr>
          <w:rFonts w:ascii="Arial CYR" w:hAnsi="Arial CYR" w:cs="Arial CYR"/>
          <w:szCs w:val="24"/>
          <w:lang w:val="ru-RU"/>
        </w:rPr>
        <w:t xml:space="preserve">В. </w:t>
      </w:r>
      <w:r w:rsidRPr="00791627">
        <w:rPr>
          <w:rFonts w:cs="Arial"/>
          <w:szCs w:val="24"/>
        </w:rPr>
        <w:t>&amp; C. 93.</w:t>
      </w:r>
    </w:p>
  </w:footnote>
  <w:footnote w:id="7">
    <w:p w:rsidR="00343231" w:rsidRPr="00343231" w:rsidRDefault="00343231">
      <w:pPr>
        <w:pStyle w:val="FootnoteText"/>
        <w:rPr>
          <w:lang w:val="en-US"/>
        </w:rPr>
      </w:pPr>
      <w:r>
        <w:rPr>
          <w:rStyle w:val="FootnoteReference"/>
        </w:rPr>
        <w:footnoteRef/>
      </w:r>
      <w:r>
        <w:t xml:space="preserve"> </w:t>
      </w:r>
      <w:r w:rsidRPr="00791627">
        <w:rPr>
          <w:rFonts w:cs="Arial"/>
          <w:szCs w:val="24"/>
        </w:rPr>
        <w:t>2 Camp. 144.</w:t>
      </w:r>
    </w:p>
  </w:footnote>
  <w:footnote w:id="8">
    <w:p w:rsidR="00343231" w:rsidRPr="00343231" w:rsidRDefault="00343231">
      <w:pPr>
        <w:pStyle w:val="FootnoteText"/>
        <w:rPr>
          <w:lang w:val="en-US"/>
        </w:rPr>
      </w:pPr>
      <w:r>
        <w:rPr>
          <w:rStyle w:val="FootnoteReference"/>
        </w:rPr>
        <w:footnoteRef/>
      </w:r>
      <w:r>
        <w:t xml:space="preserve"> </w:t>
      </w:r>
      <w:r w:rsidRPr="00791627">
        <w:rPr>
          <w:rFonts w:cs="Arial"/>
          <w:szCs w:val="24"/>
        </w:rPr>
        <w:t>3 B. &amp; Ad. 221.</w:t>
      </w:r>
    </w:p>
  </w:footnote>
  <w:footnote w:id="9">
    <w:p w:rsidR="00343231" w:rsidRPr="00343231" w:rsidRDefault="00343231">
      <w:pPr>
        <w:pStyle w:val="FootnoteText"/>
        <w:rPr>
          <w:lang w:val="en-US"/>
        </w:rPr>
      </w:pPr>
      <w:r>
        <w:rPr>
          <w:rStyle w:val="FootnoteReference"/>
        </w:rPr>
        <w:footnoteRef/>
      </w:r>
      <w:r>
        <w:t xml:space="preserve"> </w:t>
      </w:r>
      <w:r w:rsidRPr="00791627">
        <w:rPr>
          <w:rFonts w:cs="Arial"/>
          <w:szCs w:val="24"/>
        </w:rPr>
        <w:t>11 East 180.</w:t>
      </w:r>
    </w:p>
  </w:footnote>
  <w:footnote w:id="10">
    <w:p w:rsidR="00343231" w:rsidRPr="00343231" w:rsidRDefault="00343231">
      <w:pPr>
        <w:pStyle w:val="FootnoteText"/>
        <w:rPr>
          <w:lang w:val="en-US"/>
        </w:rPr>
      </w:pPr>
      <w:r>
        <w:rPr>
          <w:rStyle w:val="FootnoteReference"/>
        </w:rPr>
        <w:footnoteRef/>
      </w:r>
      <w:r>
        <w:t xml:space="preserve"> </w:t>
      </w:r>
      <w:r w:rsidRPr="00791627">
        <w:rPr>
          <w:rFonts w:cs="Arial"/>
          <w:szCs w:val="24"/>
        </w:rPr>
        <w:t>17 Can. S. C. R. 44.</w:t>
      </w:r>
    </w:p>
  </w:footnote>
  <w:footnote w:id="11">
    <w:p w:rsidR="00343231" w:rsidRPr="00343231" w:rsidRDefault="00343231">
      <w:pPr>
        <w:pStyle w:val="FootnoteText"/>
        <w:rPr>
          <w:lang w:val="en-US"/>
        </w:rPr>
      </w:pPr>
      <w:r>
        <w:rPr>
          <w:rStyle w:val="FootnoteReference"/>
        </w:rPr>
        <w:footnoteRef/>
      </w:r>
      <w:r>
        <w:t xml:space="preserve"> </w:t>
      </w:r>
      <w:r w:rsidRPr="00791627">
        <w:rPr>
          <w:rFonts w:cs="Arial"/>
          <w:szCs w:val="24"/>
        </w:rPr>
        <w:t>L. R. 8 Q. B. 202.</w:t>
      </w:r>
    </w:p>
  </w:footnote>
  <w:footnote w:id="12">
    <w:p w:rsidR="00343231" w:rsidRPr="00343231" w:rsidRDefault="00343231">
      <w:pPr>
        <w:pStyle w:val="FootnoteText"/>
        <w:rPr>
          <w:lang w:val="en-US"/>
        </w:rPr>
      </w:pPr>
      <w:r>
        <w:rPr>
          <w:rStyle w:val="FootnoteReference"/>
        </w:rPr>
        <w:footnoteRef/>
      </w:r>
      <w:r>
        <w:t xml:space="preserve"> </w:t>
      </w:r>
      <w:r w:rsidRPr="00791627">
        <w:rPr>
          <w:rFonts w:cs="Arial"/>
          <w:szCs w:val="24"/>
        </w:rPr>
        <w:t>12 App. Cas. 371.</w:t>
      </w:r>
    </w:p>
  </w:footnote>
  <w:footnote w:id="13">
    <w:p w:rsidR="00343231" w:rsidRPr="00343231" w:rsidRDefault="00343231">
      <w:pPr>
        <w:pStyle w:val="FootnoteText"/>
        <w:rPr>
          <w:lang w:val="en-US"/>
        </w:rPr>
      </w:pPr>
      <w:r>
        <w:rPr>
          <w:rStyle w:val="FootnoteReference"/>
        </w:rPr>
        <w:footnoteRef/>
      </w:r>
      <w:r>
        <w:t xml:space="preserve"> </w:t>
      </w:r>
      <w:r w:rsidRPr="00791627">
        <w:rPr>
          <w:rFonts w:cs="Arial"/>
          <w:szCs w:val="24"/>
        </w:rPr>
        <w:t>[1694] 1 Q. B. 114.</w:t>
      </w:r>
    </w:p>
  </w:footnote>
  <w:footnote w:id="14">
    <w:p w:rsidR="00343231" w:rsidRPr="00343231" w:rsidRDefault="00343231">
      <w:pPr>
        <w:pStyle w:val="FootnoteText"/>
        <w:rPr>
          <w:lang w:val="en-US"/>
        </w:rPr>
      </w:pPr>
      <w:r>
        <w:rPr>
          <w:rStyle w:val="FootnoteReference"/>
        </w:rPr>
        <w:footnoteRef/>
      </w:r>
      <w:r>
        <w:t xml:space="preserve"> </w:t>
      </w:r>
      <w:r w:rsidRPr="00791627">
        <w:rPr>
          <w:rFonts w:cs="Arial"/>
          <w:szCs w:val="24"/>
        </w:rPr>
        <w:t>13 C. B. 200.</w:t>
      </w:r>
    </w:p>
  </w:footnote>
  <w:footnote w:id="15">
    <w:p w:rsidR="00343231" w:rsidRPr="00343231" w:rsidRDefault="00343231">
      <w:pPr>
        <w:pStyle w:val="FootnoteText"/>
        <w:rPr>
          <w:lang w:val="en-US"/>
        </w:rPr>
      </w:pPr>
      <w:r>
        <w:rPr>
          <w:rStyle w:val="FootnoteReference"/>
        </w:rPr>
        <w:footnoteRef/>
      </w:r>
      <w:r>
        <w:t xml:space="preserve"> </w:t>
      </w:r>
      <w:r w:rsidRPr="00791627">
        <w:rPr>
          <w:rFonts w:cs="Arial"/>
          <w:szCs w:val="24"/>
        </w:rPr>
        <w:t>15 N. S. Rep. 266.</w:t>
      </w:r>
    </w:p>
  </w:footnote>
  <w:footnote w:id="16">
    <w:p w:rsidR="00343231" w:rsidRPr="00343231" w:rsidRDefault="00343231">
      <w:pPr>
        <w:pStyle w:val="FootnoteText"/>
        <w:rPr>
          <w:lang w:val="en-US"/>
        </w:rPr>
      </w:pPr>
      <w:r>
        <w:rPr>
          <w:rStyle w:val="FootnoteReference"/>
        </w:rPr>
        <w:footnoteRef/>
      </w:r>
      <w:r>
        <w:t xml:space="preserve"> </w:t>
      </w:r>
      <w:r w:rsidRPr="00791627">
        <w:rPr>
          <w:rFonts w:cs="Arial"/>
          <w:szCs w:val="24"/>
        </w:rPr>
        <w:t>9 N. S. Rep. 279; 7 N. S. Rep. 299.</w:t>
      </w:r>
    </w:p>
  </w:footnote>
  <w:footnote w:id="17">
    <w:p w:rsidR="00343231" w:rsidRPr="00343231" w:rsidRDefault="00343231">
      <w:pPr>
        <w:pStyle w:val="FootnoteText"/>
        <w:rPr>
          <w:lang w:val="en-US"/>
        </w:rPr>
      </w:pPr>
      <w:r>
        <w:rPr>
          <w:rStyle w:val="FootnoteReference"/>
        </w:rPr>
        <w:footnoteRef/>
      </w:r>
      <w:r>
        <w:t xml:space="preserve"> </w:t>
      </w:r>
      <w:r w:rsidRPr="00791627">
        <w:rPr>
          <w:rFonts w:cs="Arial"/>
          <w:szCs w:val="24"/>
        </w:rPr>
        <w:t>6 N. S. Rep. 75.</w:t>
      </w:r>
    </w:p>
  </w:footnote>
  <w:footnote w:id="18">
    <w:p w:rsidR="00343231" w:rsidRPr="00343231" w:rsidRDefault="00343231">
      <w:pPr>
        <w:pStyle w:val="FootnoteText"/>
        <w:rPr>
          <w:lang w:val="en-US"/>
        </w:rPr>
      </w:pPr>
      <w:r>
        <w:rPr>
          <w:rStyle w:val="FootnoteReference"/>
        </w:rPr>
        <w:footnoteRef/>
      </w:r>
      <w:r>
        <w:t xml:space="preserve"> </w:t>
      </w:r>
      <w:r w:rsidRPr="00791627">
        <w:rPr>
          <w:rFonts w:cs="Arial"/>
          <w:szCs w:val="24"/>
        </w:rPr>
        <w:t>14 M. &amp; W. 452.</w:t>
      </w:r>
    </w:p>
  </w:footnote>
  <w:footnote w:id="19">
    <w:p w:rsidR="00343231" w:rsidRPr="00343231" w:rsidRDefault="00343231">
      <w:pPr>
        <w:pStyle w:val="FootnoteText"/>
        <w:rPr>
          <w:lang w:val="en-US"/>
        </w:rPr>
      </w:pPr>
      <w:r>
        <w:rPr>
          <w:rStyle w:val="FootnoteReference"/>
        </w:rPr>
        <w:footnoteRef/>
      </w:r>
      <w:r>
        <w:t xml:space="preserve"> </w:t>
      </w:r>
      <w:r w:rsidRPr="00791627">
        <w:rPr>
          <w:rFonts w:cs="Arial"/>
          <w:szCs w:val="24"/>
        </w:rPr>
        <w:t>16 Q. B. D. 446.</w:t>
      </w:r>
    </w:p>
  </w:footnote>
  <w:footnote w:id="20">
    <w:p w:rsidR="00343231" w:rsidRPr="00343231" w:rsidRDefault="00343231">
      <w:pPr>
        <w:pStyle w:val="FootnoteText"/>
        <w:rPr>
          <w:lang w:val="en-US"/>
        </w:rPr>
      </w:pPr>
      <w:r>
        <w:rPr>
          <w:rStyle w:val="FootnoteReference"/>
        </w:rPr>
        <w:footnoteRef/>
      </w:r>
      <w:r>
        <w:t xml:space="preserve"> </w:t>
      </w:r>
      <w:r w:rsidRPr="00791627">
        <w:rPr>
          <w:rFonts w:cs="Arial"/>
          <w:szCs w:val="24"/>
        </w:rPr>
        <w:t>5 B, &amp; Ald. 335.</w:t>
      </w:r>
    </w:p>
  </w:footnote>
  <w:footnote w:id="21">
    <w:p w:rsidR="00343231" w:rsidRPr="00343231" w:rsidRDefault="00343231">
      <w:pPr>
        <w:pStyle w:val="FootnoteText"/>
        <w:rPr>
          <w:lang w:val="en-US"/>
        </w:rPr>
      </w:pPr>
      <w:r>
        <w:rPr>
          <w:rStyle w:val="FootnoteReference"/>
        </w:rPr>
        <w:footnoteRef/>
      </w:r>
      <w:r>
        <w:t xml:space="preserve"> </w:t>
      </w:r>
      <w:r w:rsidRPr="00791627">
        <w:rPr>
          <w:rFonts w:cs="Arial"/>
          <w:szCs w:val="24"/>
        </w:rPr>
        <w:t>5 Bing. N. C. 76.</w:t>
      </w:r>
    </w:p>
  </w:footnote>
  <w:footnote w:id="22">
    <w:p w:rsidR="00343231" w:rsidRPr="00343231" w:rsidRDefault="00343231">
      <w:pPr>
        <w:pStyle w:val="FootnoteText"/>
        <w:rPr>
          <w:lang w:val="en-US"/>
        </w:rPr>
      </w:pPr>
      <w:r>
        <w:rPr>
          <w:rStyle w:val="FootnoteReference"/>
        </w:rPr>
        <w:footnoteRef/>
      </w:r>
      <w:r>
        <w:t xml:space="preserve"> </w:t>
      </w:r>
      <w:r w:rsidRPr="00791627">
        <w:rPr>
          <w:rFonts w:cs="Arial"/>
          <w:szCs w:val="24"/>
        </w:rPr>
        <w:t>McC. &amp; Y. 119.</w:t>
      </w:r>
    </w:p>
  </w:footnote>
  <w:footnote w:id="23">
    <w:p w:rsidR="00343231" w:rsidRPr="00343231" w:rsidRDefault="00343231">
      <w:pPr>
        <w:pStyle w:val="FootnoteText"/>
        <w:rPr>
          <w:lang w:val="en-US"/>
        </w:rPr>
      </w:pPr>
      <w:r>
        <w:rPr>
          <w:rStyle w:val="FootnoteReference"/>
        </w:rPr>
        <w:footnoteRef/>
      </w:r>
      <w:r>
        <w:t xml:space="preserve"> </w:t>
      </w:r>
      <w:r w:rsidRPr="00791627">
        <w:rPr>
          <w:rFonts w:cs="Arial"/>
          <w:szCs w:val="24"/>
        </w:rPr>
        <w:t>3 M. &amp; W. 434.</w:t>
      </w:r>
    </w:p>
  </w:footnote>
  <w:footnote w:id="24">
    <w:p w:rsidR="00343231" w:rsidRPr="00343231" w:rsidRDefault="00343231">
      <w:pPr>
        <w:pStyle w:val="FootnoteText"/>
        <w:rPr>
          <w:lang w:val="en-US"/>
        </w:rPr>
      </w:pPr>
      <w:r>
        <w:rPr>
          <w:rStyle w:val="FootnoteReference"/>
        </w:rPr>
        <w:footnoteRef/>
      </w:r>
      <w:r>
        <w:t xml:space="preserve"> </w:t>
      </w:r>
      <w:r w:rsidRPr="00791627">
        <w:rPr>
          <w:rFonts w:cs="Arial"/>
          <w:szCs w:val="24"/>
        </w:rPr>
        <w:t>1 Camp. 547.</w:t>
      </w:r>
    </w:p>
  </w:footnote>
  <w:footnote w:id="25">
    <w:p w:rsidR="00343231" w:rsidRPr="00343231" w:rsidRDefault="00343231">
      <w:pPr>
        <w:pStyle w:val="FootnoteText"/>
        <w:rPr>
          <w:lang w:val="en-US"/>
        </w:rPr>
      </w:pPr>
      <w:r>
        <w:rPr>
          <w:rStyle w:val="FootnoteReference"/>
        </w:rPr>
        <w:footnoteRef/>
      </w:r>
      <w:r>
        <w:t xml:space="preserve"> </w:t>
      </w:r>
      <w:r w:rsidRPr="00791627">
        <w:rPr>
          <w:rFonts w:cs="Arial"/>
          <w:szCs w:val="24"/>
        </w:rPr>
        <w:t>1 M. &amp; S. 593.</w:t>
      </w:r>
    </w:p>
  </w:footnote>
  <w:footnote w:id="26">
    <w:p w:rsidR="00343231" w:rsidRPr="00343231" w:rsidRDefault="00343231">
      <w:pPr>
        <w:pStyle w:val="FootnoteText"/>
        <w:rPr>
          <w:lang w:val="en-US"/>
        </w:rPr>
      </w:pPr>
      <w:r>
        <w:rPr>
          <w:rStyle w:val="FootnoteReference"/>
        </w:rPr>
        <w:footnoteRef/>
      </w:r>
      <w:r>
        <w:t xml:space="preserve"> </w:t>
      </w:r>
      <w:r w:rsidRPr="00791627">
        <w:rPr>
          <w:rFonts w:cs="Arial"/>
          <w:szCs w:val="24"/>
        </w:rPr>
        <w:t>2 M. &amp; W. 149.</w:t>
      </w:r>
    </w:p>
  </w:footnote>
  <w:footnote w:id="27">
    <w:p w:rsidR="00343231" w:rsidRPr="00343231" w:rsidRDefault="00343231">
      <w:pPr>
        <w:pStyle w:val="FootnoteText"/>
        <w:rPr>
          <w:lang w:val="en-US"/>
        </w:rPr>
      </w:pPr>
      <w:r>
        <w:rPr>
          <w:rStyle w:val="FootnoteReference"/>
        </w:rPr>
        <w:footnoteRef/>
      </w:r>
      <w:r>
        <w:t xml:space="preserve"> </w:t>
      </w:r>
      <w:r w:rsidRPr="00791627">
        <w:rPr>
          <w:rFonts w:cs="Arial"/>
          <w:szCs w:val="24"/>
        </w:rPr>
        <w:t>5 T. R. 242.</w:t>
      </w:r>
    </w:p>
  </w:footnote>
  <w:footnote w:id="28">
    <w:p w:rsidR="00343231" w:rsidRPr="00343231" w:rsidRDefault="00343231">
      <w:pPr>
        <w:pStyle w:val="FootnoteText"/>
        <w:rPr>
          <w:lang w:val="en-US"/>
        </w:rPr>
      </w:pPr>
      <w:r>
        <w:rPr>
          <w:rStyle w:val="FootnoteReference"/>
        </w:rPr>
        <w:footnoteRef/>
      </w:r>
      <w:r>
        <w:t xml:space="preserve"> </w:t>
      </w:r>
      <w:r w:rsidRPr="00791627">
        <w:rPr>
          <w:rFonts w:cs="Arial"/>
          <w:szCs w:val="24"/>
        </w:rPr>
        <w:t>L. R. 10 Q. B. 86.</w:t>
      </w:r>
    </w:p>
  </w:footnote>
  <w:footnote w:id="29">
    <w:p w:rsidR="00343231" w:rsidRPr="00343231" w:rsidRDefault="00343231">
      <w:pPr>
        <w:pStyle w:val="FootnoteText"/>
        <w:rPr>
          <w:lang w:val="en-US"/>
        </w:rPr>
      </w:pPr>
      <w:r>
        <w:rPr>
          <w:rStyle w:val="FootnoteReference"/>
        </w:rPr>
        <w:footnoteRef/>
      </w:r>
      <w:r>
        <w:t xml:space="preserve"> </w:t>
      </w:r>
      <w:r w:rsidRPr="00791627">
        <w:rPr>
          <w:rFonts w:cs="Arial"/>
          <w:szCs w:val="24"/>
        </w:rPr>
        <w:t>6 C. B. 462.</w:t>
      </w:r>
    </w:p>
  </w:footnote>
  <w:footnote w:id="30">
    <w:p w:rsidR="00343231" w:rsidRPr="00343231" w:rsidRDefault="00343231">
      <w:pPr>
        <w:pStyle w:val="FootnoteText"/>
        <w:rPr>
          <w:lang w:val="en-US"/>
        </w:rPr>
      </w:pPr>
      <w:r>
        <w:rPr>
          <w:rStyle w:val="FootnoteReference"/>
        </w:rPr>
        <w:footnoteRef/>
      </w:r>
      <w:r>
        <w:t xml:space="preserve"> </w:t>
      </w:r>
      <w:r w:rsidRPr="00791627">
        <w:rPr>
          <w:rFonts w:cs="Arial"/>
          <w:szCs w:val="24"/>
        </w:rPr>
        <w:t>3 B. &amp; P. 35.</w:t>
      </w:r>
    </w:p>
  </w:footnote>
  <w:footnote w:id="31">
    <w:p w:rsidR="00343231" w:rsidRPr="00343231" w:rsidRDefault="00343231">
      <w:pPr>
        <w:pStyle w:val="FootnoteText"/>
        <w:rPr>
          <w:lang w:val="en-US"/>
        </w:rPr>
      </w:pPr>
      <w:r>
        <w:rPr>
          <w:rStyle w:val="FootnoteReference"/>
        </w:rPr>
        <w:footnoteRef/>
      </w:r>
      <w:r>
        <w:t xml:space="preserve"> </w:t>
      </w:r>
      <w:r w:rsidRPr="00791627">
        <w:rPr>
          <w:rFonts w:cs="Arial"/>
          <w:szCs w:val="24"/>
        </w:rPr>
        <w:t>1 B. &amp; P. 264.</w:t>
      </w:r>
    </w:p>
  </w:footnote>
  <w:footnote w:id="32">
    <w:p w:rsidR="00343231" w:rsidRPr="00343231" w:rsidRDefault="00343231">
      <w:pPr>
        <w:pStyle w:val="FootnoteText"/>
        <w:rPr>
          <w:lang w:val="en-US"/>
        </w:rPr>
      </w:pPr>
      <w:r>
        <w:rPr>
          <w:rStyle w:val="FootnoteReference"/>
        </w:rPr>
        <w:footnoteRef/>
      </w:r>
      <w:r>
        <w:t xml:space="preserve"> </w:t>
      </w:r>
      <w:r w:rsidRPr="00791627">
        <w:rPr>
          <w:rFonts w:cs="Arial"/>
          <w:szCs w:val="24"/>
        </w:rPr>
        <w:t>10 B. &amp; C. 826.</w:t>
      </w:r>
    </w:p>
  </w:footnote>
  <w:footnote w:id="33">
    <w:p w:rsidR="00343231" w:rsidRPr="00343231" w:rsidRDefault="00343231">
      <w:pPr>
        <w:pStyle w:val="FootnoteText"/>
        <w:rPr>
          <w:lang w:val="en-US"/>
        </w:rPr>
      </w:pPr>
      <w:r>
        <w:rPr>
          <w:rStyle w:val="FootnoteReference"/>
        </w:rPr>
        <w:footnoteRef/>
      </w:r>
      <w:r>
        <w:t xml:space="preserve"> </w:t>
      </w:r>
      <w:r w:rsidRPr="00791627">
        <w:rPr>
          <w:rFonts w:cs="Arial"/>
          <w:szCs w:val="24"/>
        </w:rPr>
        <w:t>33 N. S. Rep 14.</w:t>
      </w:r>
    </w:p>
  </w:footnote>
  <w:footnote w:id="34">
    <w:p w:rsidR="00286185" w:rsidRPr="00286185" w:rsidRDefault="00286185">
      <w:pPr>
        <w:pStyle w:val="FootnoteText"/>
        <w:rPr>
          <w:lang w:val="en-US"/>
        </w:rPr>
      </w:pPr>
      <w:r>
        <w:rPr>
          <w:rStyle w:val="FootnoteReference"/>
        </w:rPr>
        <w:t>*</w:t>
      </w:r>
      <w:r>
        <w:t xml:space="preserve"> </w:t>
      </w:r>
      <w:r w:rsidRPr="00286185">
        <w:rPr>
          <w:rFonts w:cs="Arial"/>
          <w:szCs w:val="24"/>
        </w:rPr>
        <w:t>Reporters' Note</w:t>
      </w:r>
      <w:r w:rsidRPr="00791627">
        <w:rPr>
          <w:rFonts w:cs="Arial"/>
          <w:szCs w:val="24"/>
        </w:rPr>
        <w:t xml:space="preserve">.—See </w:t>
      </w:r>
      <w:r w:rsidRPr="00791627">
        <w:rPr>
          <w:rFonts w:cs="Arial"/>
          <w:i/>
          <w:iCs/>
          <w:szCs w:val="24"/>
        </w:rPr>
        <w:t xml:space="preserve">Attorney-General of Manitoba </w:t>
      </w:r>
      <w:r w:rsidRPr="00791627">
        <w:rPr>
          <w:rFonts w:cs="Arial"/>
          <w:szCs w:val="24"/>
        </w:rPr>
        <w:t xml:space="preserve">v. </w:t>
      </w:r>
      <w:r w:rsidRPr="00791627">
        <w:rPr>
          <w:rFonts w:cs="Arial"/>
          <w:i/>
          <w:iCs/>
          <w:szCs w:val="24"/>
        </w:rPr>
        <w:t xml:space="preserve">Manitoba License Holders' Association </w:t>
      </w:r>
      <w:r w:rsidRPr="00791627">
        <w:rPr>
          <w:rFonts w:cs="Arial"/>
          <w:smallCaps/>
          <w:szCs w:val="24"/>
        </w:rPr>
        <w:t xml:space="preserve">([1902] </w:t>
      </w:r>
      <w:r w:rsidRPr="00791627">
        <w:rPr>
          <w:rFonts w:cs="Arial"/>
          <w:szCs w:val="24"/>
        </w:rPr>
        <w:t xml:space="preserve">A. </w:t>
      </w:r>
      <w:r w:rsidRPr="00791627">
        <w:rPr>
          <w:rFonts w:cs="Arial"/>
          <w:smallCaps/>
          <w:szCs w:val="24"/>
        </w:rPr>
        <w:t>C. 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39" w:rsidRDefault="001859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39" w:rsidRDefault="001859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39" w:rsidRDefault="001859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42A3"/>
    <w:rsid w:val="00013FDA"/>
    <w:rsid w:val="000173FB"/>
    <w:rsid w:val="000655EC"/>
    <w:rsid w:val="00070AB7"/>
    <w:rsid w:val="00077D2F"/>
    <w:rsid w:val="0008547A"/>
    <w:rsid w:val="000B6688"/>
    <w:rsid w:val="000C3415"/>
    <w:rsid w:val="00103A8C"/>
    <w:rsid w:val="00121409"/>
    <w:rsid w:val="00125F0C"/>
    <w:rsid w:val="00126A8E"/>
    <w:rsid w:val="001837F3"/>
    <w:rsid w:val="00185939"/>
    <w:rsid w:val="001D0D42"/>
    <w:rsid w:val="001D5C4A"/>
    <w:rsid w:val="001F6A76"/>
    <w:rsid w:val="002209AC"/>
    <w:rsid w:val="002428EB"/>
    <w:rsid w:val="00286185"/>
    <w:rsid w:val="002A74DD"/>
    <w:rsid w:val="002B30C5"/>
    <w:rsid w:val="002B60A5"/>
    <w:rsid w:val="002C186C"/>
    <w:rsid w:val="002D5E01"/>
    <w:rsid w:val="002F4F64"/>
    <w:rsid w:val="002F7D00"/>
    <w:rsid w:val="00343231"/>
    <w:rsid w:val="00361108"/>
    <w:rsid w:val="003824D9"/>
    <w:rsid w:val="003E5AF5"/>
    <w:rsid w:val="003F602F"/>
    <w:rsid w:val="00403DAF"/>
    <w:rsid w:val="004277EE"/>
    <w:rsid w:val="0043543D"/>
    <w:rsid w:val="00442713"/>
    <w:rsid w:val="00457BC5"/>
    <w:rsid w:val="00463F5F"/>
    <w:rsid w:val="00482CDC"/>
    <w:rsid w:val="004C7ED4"/>
    <w:rsid w:val="00511D93"/>
    <w:rsid w:val="00514003"/>
    <w:rsid w:val="00537980"/>
    <w:rsid w:val="00543CB4"/>
    <w:rsid w:val="00563767"/>
    <w:rsid w:val="005667DA"/>
    <w:rsid w:val="00593C8B"/>
    <w:rsid w:val="005E2646"/>
    <w:rsid w:val="00644967"/>
    <w:rsid w:val="006918A9"/>
    <w:rsid w:val="006C0950"/>
    <w:rsid w:val="006D2BED"/>
    <w:rsid w:val="006D6F42"/>
    <w:rsid w:val="006E5FEA"/>
    <w:rsid w:val="007454FA"/>
    <w:rsid w:val="007471B8"/>
    <w:rsid w:val="00747F2C"/>
    <w:rsid w:val="00751F7D"/>
    <w:rsid w:val="007969C4"/>
    <w:rsid w:val="007B3A90"/>
    <w:rsid w:val="007D6DD5"/>
    <w:rsid w:val="008027F3"/>
    <w:rsid w:val="008433A9"/>
    <w:rsid w:val="008550EF"/>
    <w:rsid w:val="00872F75"/>
    <w:rsid w:val="00880FBB"/>
    <w:rsid w:val="008814DF"/>
    <w:rsid w:val="008B0B7A"/>
    <w:rsid w:val="008E24B9"/>
    <w:rsid w:val="00926406"/>
    <w:rsid w:val="009A7B1B"/>
    <w:rsid w:val="009D37B6"/>
    <w:rsid w:val="009E64DC"/>
    <w:rsid w:val="00A42830"/>
    <w:rsid w:val="00A4371F"/>
    <w:rsid w:val="00A54E5B"/>
    <w:rsid w:val="00A61128"/>
    <w:rsid w:val="00A94C52"/>
    <w:rsid w:val="00AA24E3"/>
    <w:rsid w:val="00AB09B8"/>
    <w:rsid w:val="00B007EC"/>
    <w:rsid w:val="00B177F7"/>
    <w:rsid w:val="00B41B49"/>
    <w:rsid w:val="00B532F0"/>
    <w:rsid w:val="00B639A4"/>
    <w:rsid w:val="00B772A6"/>
    <w:rsid w:val="00BC4595"/>
    <w:rsid w:val="00BD6B9C"/>
    <w:rsid w:val="00C372DF"/>
    <w:rsid w:val="00C45FBD"/>
    <w:rsid w:val="00C54EB9"/>
    <w:rsid w:val="00C7016B"/>
    <w:rsid w:val="00C90874"/>
    <w:rsid w:val="00C93FA5"/>
    <w:rsid w:val="00CB726B"/>
    <w:rsid w:val="00CC50DD"/>
    <w:rsid w:val="00CD1289"/>
    <w:rsid w:val="00CD1F09"/>
    <w:rsid w:val="00CD50FC"/>
    <w:rsid w:val="00CE2A11"/>
    <w:rsid w:val="00CF1E48"/>
    <w:rsid w:val="00D00550"/>
    <w:rsid w:val="00D306D2"/>
    <w:rsid w:val="00D45866"/>
    <w:rsid w:val="00D9036C"/>
    <w:rsid w:val="00DC4119"/>
    <w:rsid w:val="00DC42A3"/>
    <w:rsid w:val="00DE30DC"/>
    <w:rsid w:val="00DF281F"/>
    <w:rsid w:val="00E1124B"/>
    <w:rsid w:val="00E114A9"/>
    <w:rsid w:val="00E117BD"/>
    <w:rsid w:val="00E30F5A"/>
    <w:rsid w:val="00E40016"/>
    <w:rsid w:val="00E407E4"/>
    <w:rsid w:val="00E43349"/>
    <w:rsid w:val="00E45F07"/>
    <w:rsid w:val="00E51D18"/>
    <w:rsid w:val="00E86DF4"/>
    <w:rsid w:val="00EB3437"/>
    <w:rsid w:val="00EE2F34"/>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18A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918A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918A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918A9"/>
  </w:style>
  <w:style w:type="paragraph" w:styleId="Header">
    <w:name w:val="header"/>
    <w:basedOn w:val="Normal"/>
    <w:link w:val="HeaderChar"/>
    <w:uiPriority w:val="99"/>
    <w:unhideWhenUsed/>
    <w:rsid w:val="006918A9"/>
    <w:pPr>
      <w:tabs>
        <w:tab w:val="center" w:pos="4680"/>
        <w:tab w:val="right" w:pos="9360"/>
      </w:tabs>
    </w:pPr>
    <w:rPr>
      <w:rFonts w:ascii="Times New Roman" w:hAnsi="Times New Roman"/>
    </w:rPr>
  </w:style>
  <w:style w:type="character" w:customStyle="1" w:styleId="HeaderChar">
    <w:name w:val="Header Char"/>
    <w:link w:val="Header"/>
    <w:uiPriority w:val="99"/>
    <w:rsid w:val="006918A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918A9"/>
    <w:pPr>
      <w:tabs>
        <w:tab w:val="center" w:pos="4680"/>
        <w:tab w:val="right" w:pos="9360"/>
      </w:tabs>
    </w:pPr>
    <w:rPr>
      <w:rFonts w:ascii="Times New Roman" w:hAnsi="Times New Roman"/>
    </w:rPr>
  </w:style>
  <w:style w:type="character" w:customStyle="1" w:styleId="FooterChar">
    <w:name w:val="Footer Char"/>
    <w:link w:val="Footer"/>
    <w:uiPriority w:val="99"/>
    <w:rsid w:val="006918A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43CB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918A9"/>
    <w:pPr>
      <w:spacing w:before="100" w:beforeAutospacing="1"/>
      <w:ind w:left="567"/>
      <w:jc w:val="both"/>
    </w:pPr>
  </w:style>
  <w:style w:type="paragraph" w:customStyle="1" w:styleId="Metadata">
    <w:name w:val="Metadata"/>
    <w:basedOn w:val="Normal"/>
    <w:rsid w:val="006918A9"/>
    <w:pPr>
      <w:spacing w:before="100" w:beforeAutospacing="1" w:after="100" w:afterAutospacing="1"/>
    </w:pPr>
    <w:rPr>
      <w:rFonts w:cs="Arial"/>
      <w:szCs w:val="24"/>
    </w:rPr>
  </w:style>
  <w:style w:type="paragraph" w:customStyle="1" w:styleId="Page">
    <w:name w:val="Page"/>
    <w:basedOn w:val="Normal"/>
    <w:link w:val="PageChar"/>
    <w:rsid w:val="006918A9"/>
    <w:pPr>
      <w:spacing w:before="100" w:beforeAutospacing="1" w:after="100" w:afterAutospacing="1"/>
    </w:pPr>
    <w:rPr>
      <w:i/>
    </w:rPr>
  </w:style>
  <w:style w:type="paragraph" w:styleId="FootnoteText">
    <w:name w:val="footnote text"/>
    <w:basedOn w:val="Normal"/>
    <w:link w:val="FootnoteTextChar"/>
    <w:autoRedefine/>
    <w:semiHidden/>
    <w:rsid w:val="006918A9"/>
    <w:rPr>
      <w:sz w:val="16"/>
      <w:szCs w:val="20"/>
    </w:rPr>
  </w:style>
  <w:style w:type="character" w:customStyle="1" w:styleId="FootnoteTextChar">
    <w:name w:val="Footnote Text Char"/>
    <w:link w:val="FootnoteText"/>
    <w:semiHidden/>
    <w:rsid w:val="006918A9"/>
    <w:rPr>
      <w:rFonts w:ascii="Arial" w:eastAsia="MS Mincho" w:hAnsi="Arial" w:cs="Times New Roman"/>
      <w:sz w:val="16"/>
      <w:szCs w:val="20"/>
      <w:lang w:val="en-CA" w:eastAsia="ja-JP"/>
    </w:rPr>
  </w:style>
  <w:style w:type="character" w:styleId="FootnoteReference">
    <w:name w:val="footnote reference"/>
    <w:semiHidden/>
    <w:rsid w:val="006918A9"/>
    <w:rPr>
      <w:vertAlign w:val="superscript"/>
    </w:rPr>
  </w:style>
  <w:style w:type="paragraph" w:customStyle="1" w:styleId="ParagNum">
    <w:name w:val="ParagNum"/>
    <w:basedOn w:val="Normal"/>
    <w:rsid w:val="006918A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918A9"/>
    <w:pPr>
      <w:spacing w:before="100" w:beforeAutospacing="1" w:after="100" w:afterAutospacing="1" w:line="360" w:lineRule="auto"/>
    </w:pPr>
  </w:style>
  <w:style w:type="paragraph" w:customStyle="1" w:styleId="Indent2">
    <w:name w:val="Indent 2"/>
    <w:basedOn w:val="Indent1"/>
    <w:rsid w:val="006918A9"/>
    <w:pPr>
      <w:ind w:left="1134"/>
    </w:pPr>
  </w:style>
  <w:style w:type="paragraph" w:customStyle="1" w:styleId="Indent3">
    <w:name w:val="Indent 3"/>
    <w:basedOn w:val="Indent1"/>
    <w:rsid w:val="006918A9"/>
    <w:pPr>
      <w:ind w:left="1701"/>
    </w:pPr>
  </w:style>
  <w:style w:type="paragraph" w:customStyle="1" w:styleId="Indent4">
    <w:name w:val="Indent 4"/>
    <w:basedOn w:val="Indent1"/>
    <w:rsid w:val="006918A9"/>
    <w:pPr>
      <w:ind w:left="2268"/>
    </w:pPr>
  </w:style>
  <w:style w:type="paragraph" w:customStyle="1" w:styleId="Indent10">
    <w:name w:val="Indent1"/>
    <w:basedOn w:val="Reasons"/>
    <w:rsid w:val="006918A9"/>
    <w:pPr>
      <w:ind w:left="567"/>
    </w:pPr>
  </w:style>
  <w:style w:type="paragraph" w:customStyle="1" w:styleId="Indent20">
    <w:name w:val="Indent2"/>
    <w:basedOn w:val="Indent10"/>
    <w:rsid w:val="006918A9"/>
    <w:pPr>
      <w:ind w:left="1134"/>
    </w:pPr>
  </w:style>
  <w:style w:type="paragraph" w:customStyle="1" w:styleId="Indent30">
    <w:name w:val="Indent3"/>
    <w:basedOn w:val="Indent10"/>
    <w:rsid w:val="006918A9"/>
    <w:pPr>
      <w:ind w:left="1701"/>
    </w:pPr>
  </w:style>
  <w:style w:type="paragraph" w:customStyle="1" w:styleId="Indent40">
    <w:name w:val="Indent4"/>
    <w:basedOn w:val="Indent10"/>
    <w:rsid w:val="006918A9"/>
    <w:pPr>
      <w:ind w:left="2268"/>
    </w:pPr>
  </w:style>
  <w:style w:type="paragraph" w:customStyle="1" w:styleId="Keywords">
    <w:name w:val="Keywords"/>
    <w:basedOn w:val="Normal"/>
    <w:rsid w:val="006918A9"/>
    <w:pPr>
      <w:spacing w:before="100" w:beforeAutospacing="1" w:after="100" w:afterAutospacing="1"/>
    </w:pPr>
    <w:rPr>
      <w:rFonts w:cs="Arial"/>
      <w:i/>
      <w:szCs w:val="24"/>
    </w:rPr>
  </w:style>
  <w:style w:type="paragraph" w:customStyle="1" w:styleId="Summary">
    <w:name w:val="Summary"/>
    <w:basedOn w:val="Normal"/>
    <w:autoRedefine/>
    <w:rsid w:val="006918A9"/>
    <w:pPr>
      <w:spacing w:before="100" w:beforeAutospacing="1" w:after="100" w:afterAutospacing="1"/>
      <w:ind w:left="562" w:hanging="562"/>
    </w:pPr>
    <w:rPr>
      <w:rFonts w:cs="Arial"/>
    </w:rPr>
  </w:style>
  <w:style w:type="paragraph" w:customStyle="1" w:styleId="History">
    <w:name w:val="History"/>
    <w:basedOn w:val="Normal"/>
    <w:rsid w:val="006918A9"/>
    <w:pPr>
      <w:spacing w:before="100" w:beforeAutospacing="1" w:after="100" w:afterAutospacing="1"/>
      <w:ind w:firstLine="567"/>
    </w:pPr>
  </w:style>
  <w:style w:type="paragraph" w:customStyle="1" w:styleId="T1">
    <w:name w:val="T1"/>
    <w:basedOn w:val="Normal"/>
    <w:rsid w:val="006918A9"/>
    <w:pPr>
      <w:spacing w:before="240" w:after="100" w:afterAutospacing="1"/>
    </w:pPr>
    <w:rPr>
      <w:b/>
    </w:rPr>
  </w:style>
  <w:style w:type="paragraph" w:customStyle="1" w:styleId="T2">
    <w:name w:val="T2"/>
    <w:basedOn w:val="Normal"/>
    <w:rsid w:val="006918A9"/>
    <w:pPr>
      <w:spacing w:before="240" w:after="100" w:afterAutospacing="1"/>
    </w:pPr>
  </w:style>
  <w:style w:type="paragraph" w:customStyle="1" w:styleId="Sollicitors">
    <w:name w:val="Sollicitors"/>
    <w:basedOn w:val="Normal"/>
    <w:rsid w:val="006918A9"/>
    <w:pPr>
      <w:spacing w:before="100" w:beforeAutospacing="1" w:after="100" w:afterAutospacing="1"/>
    </w:pPr>
    <w:rPr>
      <w:i/>
    </w:rPr>
  </w:style>
  <w:style w:type="paragraph" w:customStyle="1" w:styleId="Court">
    <w:name w:val="Court"/>
    <w:basedOn w:val="Normal"/>
    <w:rsid w:val="006918A9"/>
    <w:rPr>
      <w:rFonts w:cs="Arial"/>
      <w:b/>
      <w:szCs w:val="24"/>
    </w:rPr>
  </w:style>
  <w:style w:type="character" w:customStyle="1" w:styleId="PageChar">
    <w:name w:val="Page Char"/>
    <w:link w:val="Page"/>
    <w:rsid w:val="006918A9"/>
    <w:rPr>
      <w:rFonts w:ascii="Arial" w:eastAsia="MS Mincho" w:hAnsi="Arial" w:cs="Times New Roman"/>
      <w:i/>
      <w:sz w:val="24"/>
      <w:szCs w:val="28"/>
      <w:lang w:val="en-CA" w:eastAsia="ja-JP"/>
    </w:rPr>
  </w:style>
  <w:style w:type="character" w:customStyle="1" w:styleId="ReasonsCar">
    <w:name w:val="Reasons Car"/>
    <w:link w:val="Reasons"/>
    <w:rsid w:val="006918A9"/>
    <w:rPr>
      <w:rFonts w:ascii="Arial" w:eastAsia="MS Mincho" w:hAnsi="Arial" w:cs="Times New Roman"/>
      <w:sz w:val="24"/>
      <w:szCs w:val="28"/>
      <w:lang w:val="en-CA" w:eastAsia="ja-JP"/>
    </w:rPr>
  </w:style>
  <w:style w:type="paragraph" w:customStyle="1" w:styleId="CitationLine">
    <w:name w:val="CitationLine"/>
    <w:basedOn w:val="Court"/>
    <w:rsid w:val="006918A9"/>
  </w:style>
  <w:style w:type="paragraph" w:customStyle="1" w:styleId="DateISO">
    <w:name w:val="DateISO"/>
    <w:basedOn w:val="Court"/>
    <w:rsid w:val="006918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4</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2015-03-20T13:36:00Z</dcterms:created>
  <dcterms:modified xsi:type="dcterms:W3CDTF">2015-03-23T03:55:00Z</dcterms:modified>
</cp:coreProperties>
</file>