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4B" w:rsidRPr="000011AD" w:rsidRDefault="0098024B" w:rsidP="0098024B">
      <w:pPr>
        <w:pStyle w:val="Court"/>
      </w:pPr>
      <w:r w:rsidRPr="000011AD">
        <w:t>Supreme Court of Canada</w:t>
      </w:r>
    </w:p>
    <w:p w:rsidR="0098024B" w:rsidRPr="000011AD" w:rsidRDefault="0098024B" w:rsidP="0098024B">
      <w:pPr>
        <w:pStyle w:val="CitationLine"/>
      </w:pPr>
      <w:r w:rsidRPr="000011AD">
        <w:t xml:space="preserve">The Commercial Bank of Windsor </w:t>
      </w:r>
      <w:r w:rsidRPr="000011AD">
        <w:rPr>
          <w:i/>
          <w:iCs/>
        </w:rPr>
        <w:t xml:space="preserve">v. </w:t>
      </w:r>
      <w:r w:rsidRPr="000011AD">
        <w:t>Morrison (1902) 32 SCR 98</w:t>
      </w:r>
    </w:p>
    <w:p w:rsidR="0098024B" w:rsidRPr="000011AD" w:rsidRDefault="0098024B" w:rsidP="0098024B">
      <w:pPr>
        <w:pStyle w:val="DateISO"/>
      </w:pPr>
      <w:r w:rsidRPr="000011AD">
        <w:t xml:space="preserve">Date: </w:t>
      </w:r>
      <w:r w:rsidR="000011AD">
        <w:t>1902-02-19</w:t>
      </w:r>
    </w:p>
    <w:p w:rsidR="007B20F5" w:rsidRPr="000011AD" w:rsidRDefault="0098024B" w:rsidP="0098024B">
      <w:pPr>
        <w:pStyle w:val="Metadata"/>
      </w:pPr>
      <w:r w:rsidRPr="000011AD">
        <w:t>The Commercial Bank of Windsor (Plaintiff)</w:t>
      </w:r>
    </w:p>
    <w:p w:rsidR="007B20F5" w:rsidRPr="000011AD" w:rsidRDefault="0098024B" w:rsidP="0098024B">
      <w:pPr>
        <w:pStyle w:val="Metadata"/>
      </w:pPr>
      <w:r w:rsidRPr="000011AD">
        <w:t>Appellant</w:t>
      </w:r>
    </w:p>
    <w:p w:rsidR="007B20F5" w:rsidRPr="000011AD" w:rsidRDefault="0098024B" w:rsidP="0098024B">
      <w:pPr>
        <w:pStyle w:val="Metadata"/>
      </w:pPr>
      <w:r w:rsidRPr="000011AD">
        <w:t>And</w:t>
      </w:r>
    </w:p>
    <w:p w:rsidR="007B20F5" w:rsidRPr="000011AD" w:rsidRDefault="0098024B" w:rsidP="0098024B">
      <w:pPr>
        <w:pStyle w:val="Metadata"/>
      </w:pPr>
      <w:r w:rsidRPr="000011AD">
        <w:t>Angus J. Morrison (Defendant)</w:t>
      </w:r>
    </w:p>
    <w:p w:rsidR="007B20F5" w:rsidRPr="000011AD" w:rsidRDefault="0098024B" w:rsidP="0098024B">
      <w:pPr>
        <w:pStyle w:val="Metadata"/>
      </w:pPr>
      <w:r w:rsidRPr="000011AD">
        <w:t>Respondent</w:t>
      </w:r>
    </w:p>
    <w:p w:rsidR="0098024B" w:rsidRPr="000011AD" w:rsidRDefault="0098024B" w:rsidP="0098024B">
      <w:pPr>
        <w:pStyle w:val="Metadata"/>
      </w:pPr>
      <w:r w:rsidRPr="000011AD">
        <w:t>1902: Feb. 18, 19.</w:t>
      </w:r>
    </w:p>
    <w:p w:rsidR="0098024B" w:rsidRPr="000011AD" w:rsidRDefault="0098024B" w:rsidP="0098024B">
      <w:pPr>
        <w:pStyle w:val="Metadata"/>
      </w:pPr>
      <w:r w:rsidRPr="000011AD">
        <w:t>Present</w:t>
      </w:r>
      <w:r w:rsidRPr="000011AD">
        <w:rPr>
          <w:smallCaps/>
        </w:rPr>
        <w:t>:</w:t>
      </w:r>
      <w:r w:rsidRPr="000011AD">
        <w:t>—Sir Henry Strong C.J. and Sedgewick, Girouard, Davies and Mills JJ.</w:t>
      </w:r>
    </w:p>
    <w:p w:rsidR="007B20F5" w:rsidRPr="000011AD" w:rsidRDefault="007B20F5" w:rsidP="0098024B">
      <w:pPr>
        <w:pStyle w:val="Metadata"/>
      </w:pPr>
      <w:r w:rsidRPr="000011AD">
        <w:t>ON APPEAL FROM THE SUPREME COURT OF NOVA SCOTIA.</w:t>
      </w:r>
    </w:p>
    <w:p w:rsidR="007B20F5" w:rsidRPr="000011AD" w:rsidRDefault="007B20F5" w:rsidP="0098024B">
      <w:pPr>
        <w:pStyle w:val="Keywords"/>
      </w:pPr>
      <w:r w:rsidRPr="000011AD">
        <w:t>Banking—Bills and notes—Conditional indorsement—Principal and agent—Knowledge by agent—Constructive notice—Deceit.</w:t>
      </w:r>
    </w:p>
    <w:p w:rsidR="007B20F5" w:rsidRPr="000011AD" w:rsidRDefault="007B20F5" w:rsidP="0098024B">
      <w:pPr>
        <w:pStyle w:val="Summary"/>
      </w:pPr>
      <w:r w:rsidRPr="000011AD">
        <w:t xml:space="preserve">A promissory note indorsed on the express understanding that it should only be available upon the happening of a certain condition is not binding upon the indorser where the condition has not been fulfilled. </w:t>
      </w:r>
      <w:r w:rsidRPr="000011AD">
        <w:rPr>
          <w:i/>
          <w:iCs/>
        </w:rPr>
        <w:t xml:space="preserve">Pym </w:t>
      </w:r>
      <w:r w:rsidRPr="000011AD">
        <w:t xml:space="preserve">v. </w:t>
      </w:r>
      <w:r w:rsidRPr="000011AD">
        <w:rPr>
          <w:i/>
          <w:iCs/>
        </w:rPr>
        <w:t xml:space="preserve">Campbell </w:t>
      </w:r>
      <w:r w:rsidRPr="000011AD">
        <w:t>(6 E. &amp; B. 370) followed.</w:t>
      </w:r>
    </w:p>
    <w:p w:rsidR="007B20F5" w:rsidRPr="000011AD" w:rsidRDefault="007B20F5" w:rsidP="0098024B">
      <w:pPr>
        <w:pStyle w:val="Summary"/>
        <w:rPr>
          <w:szCs w:val="24"/>
        </w:rPr>
      </w:pPr>
      <w:r w:rsidRPr="000011AD">
        <w:rPr>
          <w:szCs w:val="24"/>
        </w:rPr>
        <w:t xml:space="preserve">The principal is affected by notice to the agent unless it appears that the agent was actually implicated in a fraud upon the principal, and it is not sufficient for the holder to shew that the agent had an interest in deceiving his principal. </w:t>
      </w:r>
      <w:r w:rsidRPr="000011AD">
        <w:rPr>
          <w:i/>
          <w:iCs/>
          <w:szCs w:val="24"/>
        </w:rPr>
        <w:t xml:space="preserve">Kettlewell </w:t>
      </w:r>
      <w:r w:rsidRPr="000011AD">
        <w:rPr>
          <w:szCs w:val="24"/>
        </w:rPr>
        <w:t xml:space="preserve">v. </w:t>
      </w:r>
      <w:r w:rsidRPr="000011AD">
        <w:rPr>
          <w:i/>
          <w:iCs/>
          <w:szCs w:val="24"/>
        </w:rPr>
        <w:t xml:space="preserve">Watson </w:t>
      </w:r>
      <w:r w:rsidRPr="000011AD">
        <w:rPr>
          <w:szCs w:val="24"/>
        </w:rPr>
        <w:t xml:space="preserve">(21 Ch. D. 685), and </w:t>
      </w:r>
      <w:r w:rsidRPr="000011AD">
        <w:rPr>
          <w:i/>
          <w:iCs/>
          <w:szCs w:val="24"/>
        </w:rPr>
        <w:t xml:space="preserve">Richards </w:t>
      </w:r>
      <w:r w:rsidRPr="000011AD">
        <w:rPr>
          <w:szCs w:val="24"/>
        </w:rPr>
        <w:t xml:space="preserve">v. </w:t>
      </w:r>
      <w:r w:rsidRPr="000011AD">
        <w:rPr>
          <w:i/>
          <w:iCs/>
          <w:szCs w:val="24"/>
        </w:rPr>
        <w:t xml:space="preserve">The Bank of Nova Scotia </w:t>
      </w:r>
      <w:r w:rsidRPr="000011AD">
        <w:rPr>
          <w:szCs w:val="24"/>
        </w:rPr>
        <w:t>(26 Can. S. C. R. 381) referred to.</w:t>
      </w:r>
    </w:p>
    <w:p w:rsidR="007B20F5" w:rsidRPr="000011AD" w:rsidRDefault="007B20F5" w:rsidP="0098024B">
      <w:pPr>
        <w:pStyle w:val="History"/>
      </w:pPr>
      <w:r w:rsidRPr="000011AD">
        <w:t>Appeal</w:t>
      </w:r>
      <w:r w:rsidRPr="000011AD">
        <w:rPr>
          <w:smallCaps/>
        </w:rPr>
        <w:t xml:space="preserve"> </w:t>
      </w:r>
      <w:r w:rsidRPr="000011AD">
        <w:t xml:space="preserve">from the judgment of the Supreme Court of Nova Scotia </w:t>
      </w:r>
      <w:r w:rsidRPr="000011AD">
        <w:rPr>
          <w:i/>
          <w:iCs/>
        </w:rPr>
        <w:t xml:space="preserve">en banc, </w:t>
      </w:r>
      <w:r w:rsidRPr="000011AD">
        <w:t>affirming the judgment of the trial court against the defendant, Morrison, present respondent, and ordering a new trial of issues submitted to the jury by the fourth question and by questions answered by their sixth and eleventh findings at the trial.</w:t>
      </w:r>
    </w:p>
    <w:p w:rsidR="007B20F5" w:rsidRPr="000011AD" w:rsidRDefault="007B20F5" w:rsidP="0098024B">
      <w:pPr>
        <w:pStyle w:val="History"/>
        <w:rPr>
          <w:rFonts w:cs="Arial"/>
          <w:szCs w:val="24"/>
        </w:rPr>
      </w:pPr>
      <w:r w:rsidRPr="000011AD">
        <w:rPr>
          <w:rFonts w:cs="Arial"/>
          <w:szCs w:val="24"/>
        </w:rPr>
        <w:t>The action was for the recovery of the amount of three promissory notes for $1,000, $4,000 and $4,000 respectively, given to the bank as collateral security for the debt of one Smith, and was defended by the respondent, Morrison, an indorser on one of the notes and joint maker with Smith on the others. On the answers to questions submitted to the jury the learned</w:t>
      </w:r>
    </w:p>
    <w:p w:rsidR="007B20F5" w:rsidRPr="000011AD" w:rsidRDefault="003207A6" w:rsidP="003207A6">
      <w:pPr>
        <w:pStyle w:val="Page"/>
      </w:pPr>
      <w:r>
        <w:rPr>
          <w:rFonts w:cs="Arial"/>
          <w:szCs w:val="24"/>
        </w:rPr>
        <w:lastRenderedPageBreak/>
        <w:t xml:space="preserve">[Page </w:t>
      </w:r>
      <w:r w:rsidR="007B20F5" w:rsidRPr="000011AD">
        <w:rPr>
          <w:rFonts w:cs="Arial"/>
          <w:szCs w:val="24"/>
        </w:rPr>
        <w:t>99]</w:t>
      </w:r>
    </w:p>
    <w:p w:rsidR="007B20F5" w:rsidRPr="000011AD" w:rsidRDefault="007B20F5" w:rsidP="00061521">
      <w:pPr>
        <w:pStyle w:val="History"/>
        <w:ind w:firstLine="0"/>
        <w:rPr>
          <w:rFonts w:cs="Arial"/>
          <w:szCs w:val="24"/>
        </w:rPr>
      </w:pPr>
      <w:r w:rsidRPr="000011AD">
        <w:rPr>
          <w:rFonts w:cs="Arial"/>
          <w:szCs w:val="24"/>
        </w:rPr>
        <w:t>trial judge (Graham J.), ordered judgment for the plaintiff to be entered for the amount with interest, of the two first notes, and for the defendant on the last note.</w:t>
      </w:r>
    </w:p>
    <w:p w:rsidR="007B20F5" w:rsidRPr="000011AD" w:rsidRDefault="007B20F5" w:rsidP="00061521">
      <w:pPr>
        <w:pStyle w:val="History"/>
        <w:rPr>
          <w:rFonts w:cs="Arial"/>
          <w:szCs w:val="24"/>
        </w:rPr>
      </w:pPr>
      <w:r w:rsidRPr="000011AD">
        <w:rPr>
          <w:rFonts w:cs="Arial"/>
          <w:szCs w:val="24"/>
        </w:rPr>
        <w:t>The questions involved on appeals by the plaintiff and by the defendant Morrison from the trial court judgment arose principally upon the findings of the jury on the 3rd, 4th, 5th, 6th, 9th, 10th, 11th, 14th, 15th and 16th questions submitted to them which, with the answers, were as follows:</w:t>
      </w:r>
    </w:p>
    <w:p w:rsidR="007B20F5" w:rsidRPr="000011AD" w:rsidRDefault="007B20F5" w:rsidP="00061521">
      <w:pPr>
        <w:pStyle w:val="History"/>
        <w:rPr>
          <w:rFonts w:cs="Arial"/>
          <w:szCs w:val="24"/>
        </w:rPr>
      </w:pPr>
      <w:r w:rsidRPr="000011AD">
        <w:rPr>
          <w:rFonts w:cs="Arial"/>
          <w:szCs w:val="24"/>
        </w:rPr>
        <w:t>3rd. Did A. E. Lawson, the agent of the plaintiff bank at Middleton present to George Smith for payment the note for $1,000 sued on herein on or about the 16th day of November, 1897, at the office of the Commercial Bank of Windsor, Middleton?—Ans. No.</w:t>
      </w:r>
    </w:p>
    <w:p w:rsidR="007B20F5" w:rsidRPr="000011AD" w:rsidRDefault="007B20F5" w:rsidP="00061521">
      <w:pPr>
        <w:pStyle w:val="History"/>
        <w:rPr>
          <w:rFonts w:cs="Arial"/>
          <w:szCs w:val="24"/>
        </w:rPr>
      </w:pPr>
      <w:r w:rsidRPr="000011AD">
        <w:rPr>
          <w:rFonts w:cs="Arial"/>
          <w:szCs w:val="24"/>
        </w:rPr>
        <w:t>4th. Did Morrison put his name on the $1,000 note upon the condition that before it was delivered to Marshall, the agent of the bank, Smith would obtain the additional signature thereon of Robert Smith and that it was not to be used until then?—Ans. Do not agree.</w:t>
      </w:r>
    </w:p>
    <w:p w:rsidR="007B20F5" w:rsidRPr="000011AD" w:rsidRDefault="007B20F5" w:rsidP="00061521">
      <w:pPr>
        <w:pStyle w:val="History"/>
        <w:rPr>
          <w:rFonts w:cs="Arial"/>
          <w:szCs w:val="24"/>
        </w:rPr>
      </w:pPr>
      <w:r w:rsidRPr="000011AD">
        <w:rPr>
          <w:rFonts w:cs="Arial"/>
          <w:szCs w:val="24"/>
        </w:rPr>
        <w:t>5th. If so, had Stuart Marshall, the agent of the plaintiff bank at Middleton, while he was such agent, knowledge and notice of the said condition?—Ans. Yes, according to evidence.</w:t>
      </w:r>
    </w:p>
    <w:p w:rsidR="007B20F5" w:rsidRPr="000011AD" w:rsidRDefault="007B20F5" w:rsidP="00061521">
      <w:pPr>
        <w:pStyle w:val="History"/>
        <w:rPr>
          <w:rFonts w:cs="Arial"/>
          <w:szCs w:val="24"/>
        </w:rPr>
      </w:pPr>
      <w:r w:rsidRPr="000011AD">
        <w:rPr>
          <w:rFonts w:cs="Arial"/>
          <w:szCs w:val="24"/>
        </w:rPr>
        <w:t>6th. If he had such knowledge and notice of the said conditions, was it in the course of the business of the said agency at Middleton and at the time or before the said note was delivered to him as such agent for the plaintiff?—Ans. Eight say no.</w:t>
      </w:r>
    </w:p>
    <w:p w:rsidR="007B20F5" w:rsidRPr="000011AD" w:rsidRDefault="007B20F5" w:rsidP="00061521">
      <w:pPr>
        <w:pStyle w:val="History"/>
        <w:rPr>
          <w:rFonts w:cs="Arial"/>
          <w:szCs w:val="24"/>
        </w:rPr>
      </w:pPr>
      <w:r w:rsidRPr="000011AD">
        <w:rPr>
          <w:rFonts w:cs="Arial"/>
          <w:szCs w:val="24"/>
        </w:rPr>
        <w:t>9th. Did Morrison put his name on the note for $4,000 of 20th February, 1896, upon the condition that before it was delivered to Marshall, the agent of the bank, Smith would obtain the additional signature thereon of C. S. Harrington and that it was not to be used until then?—Ans. Eight say yes.</w:t>
      </w:r>
    </w:p>
    <w:p w:rsidR="007B20F5" w:rsidRPr="000011AD" w:rsidRDefault="003207A6" w:rsidP="003207A6">
      <w:pPr>
        <w:pStyle w:val="Page"/>
      </w:pPr>
      <w:r>
        <w:rPr>
          <w:rFonts w:cs="Arial"/>
          <w:szCs w:val="24"/>
        </w:rPr>
        <w:t xml:space="preserve">[Page </w:t>
      </w:r>
      <w:r w:rsidR="007B20F5" w:rsidRPr="000011AD">
        <w:rPr>
          <w:rFonts w:cs="Arial"/>
          <w:szCs w:val="24"/>
        </w:rPr>
        <w:t>100]</w:t>
      </w:r>
    </w:p>
    <w:p w:rsidR="007B20F5" w:rsidRPr="000011AD" w:rsidRDefault="007B20F5" w:rsidP="00061521">
      <w:pPr>
        <w:pStyle w:val="History"/>
        <w:rPr>
          <w:rFonts w:cs="Arial"/>
          <w:szCs w:val="24"/>
        </w:rPr>
      </w:pPr>
      <w:r w:rsidRPr="000011AD">
        <w:rPr>
          <w:rFonts w:cs="Arial"/>
          <w:szCs w:val="24"/>
        </w:rPr>
        <w:t>10th. If so had Stuart Marshall, the agent of the plaintiff bank at Middleton, while he was such agent, knowledge and notice of said condition?—Ans. Yes, according to Andrew's evidence.</w:t>
      </w:r>
    </w:p>
    <w:p w:rsidR="007B20F5" w:rsidRPr="000011AD" w:rsidRDefault="007B20F5" w:rsidP="00061521">
      <w:pPr>
        <w:pStyle w:val="History"/>
        <w:rPr>
          <w:rFonts w:cs="Arial"/>
          <w:szCs w:val="24"/>
        </w:rPr>
      </w:pPr>
      <w:r w:rsidRPr="000011AD">
        <w:rPr>
          <w:rFonts w:cs="Arial"/>
          <w:szCs w:val="24"/>
        </w:rPr>
        <w:t>11th. If he had such knowledge and notice of the said condition, was it in the course of the business of the said agency at Middleton and at the time or before the said note was delivered to him as such agent for the plaintiff?—Ans. Eight say no.</w:t>
      </w:r>
    </w:p>
    <w:p w:rsidR="007B20F5" w:rsidRPr="000011AD" w:rsidRDefault="007B20F5" w:rsidP="00061521">
      <w:pPr>
        <w:pStyle w:val="History"/>
        <w:rPr>
          <w:rFonts w:cs="Arial"/>
          <w:szCs w:val="24"/>
        </w:rPr>
      </w:pPr>
      <w:r w:rsidRPr="000011AD">
        <w:rPr>
          <w:rFonts w:cs="Arial"/>
          <w:szCs w:val="24"/>
        </w:rPr>
        <w:t xml:space="preserve">14th. Did Morrison put his name on the note of $4,000 of 4th December, 1896, upon the condition that before it was delivered to Marshall, the agent of the bank, Smith </w:t>
      </w:r>
      <w:r w:rsidRPr="000011AD">
        <w:rPr>
          <w:rFonts w:cs="Arial"/>
          <w:szCs w:val="24"/>
        </w:rPr>
        <w:lastRenderedPageBreak/>
        <w:t>would obtain the additional signature thereon of C. S. Harrington and that it was not to be used until then?—Ans. Eight say yes.</w:t>
      </w:r>
    </w:p>
    <w:p w:rsidR="007B20F5" w:rsidRPr="000011AD" w:rsidRDefault="007B20F5" w:rsidP="00061521">
      <w:pPr>
        <w:pStyle w:val="History"/>
        <w:rPr>
          <w:rFonts w:cs="Arial"/>
          <w:szCs w:val="24"/>
        </w:rPr>
      </w:pPr>
      <w:r w:rsidRPr="000011AD">
        <w:rPr>
          <w:rFonts w:cs="Arial"/>
          <w:szCs w:val="24"/>
        </w:rPr>
        <w:t>15th. If so, had Stuart Marshall, the agent of the plaintiff bank at Middleton, while he was such agent, knowledge and notice of the said condition?—Ans. Yes, according to evidence.</w:t>
      </w:r>
    </w:p>
    <w:p w:rsidR="007B20F5" w:rsidRPr="000011AD" w:rsidRDefault="007B20F5" w:rsidP="00061521">
      <w:pPr>
        <w:pStyle w:val="History"/>
        <w:rPr>
          <w:rFonts w:cs="Arial"/>
          <w:szCs w:val="24"/>
        </w:rPr>
      </w:pPr>
      <w:r w:rsidRPr="000011AD">
        <w:rPr>
          <w:rFonts w:cs="Arial"/>
          <w:szCs w:val="24"/>
        </w:rPr>
        <w:t>16th. If he had such knowledge and notice of the said conditions, was it in the course of the. business of the agency at Middleton, and at the time or before the said note was delivered to him as such agent for the plaintiff?—Ans. Yes, according to the evidence.</w:t>
      </w:r>
    </w:p>
    <w:p w:rsidR="007B20F5" w:rsidRPr="000011AD" w:rsidRDefault="007B20F5" w:rsidP="00061521">
      <w:pPr>
        <w:pStyle w:val="History"/>
        <w:rPr>
          <w:rFonts w:cs="Arial"/>
          <w:szCs w:val="24"/>
        </w:rPr>
      </w:pPr>
      <w:r w:rsidRPr="000011AD">
        <w:rPr>
          <w:rFonts w:cs="Arial"/>
          <w:szCs w:val="24"/>
        </w:rPr>
        <w:t>The plaintiff's appeal was so far as the third note was concerned and to set aside the 5th, 9th, 10th, 14th, 15th and 16th findings; and that of the defendant, Morrison, as to the first two notes, and to set aside the 3rd, 6th and 11th findings.</w:t>
      </w:r>
    </w:p>
    <w:p w:rsidR="007B20F5" w:rsidRPr="000011AD" w:rsidRDefault="007B20F5" w:rsidP="00061521">
      <w:pPr>
        <w:pStyle w:val="History"/>
        <w:rPr>
          <w:rFonts w:cs="Arial"/>
          <w:szCs w:val="24"/>
        </w:rPr>
      </w:pPr>
      <w:r w:rsidRPr="000011AD">
        <w:rPr>
          <w:rFonts w:cs="Arial"/>
          <w:szCs w:val="24"/>
        </w:rPr>
        <w:t>On these appeals, the Supreme Court of Nova Scotia dismissed the application of the plaintiff to set aside the 5th, 9th, 10th, 14th, 15th and 16th findings, and confirmed the order as to the third note; it also dismissed the application of the defendant, Morrison, on appeal from the order for judgment of the first two notes and ordered that the 6th and 11th findings</w:t>
      </w:r>
    </w:p>
    <w:p w:rsidR="007B20F5" w:rsidRPr="000011AD" w:rsidRDefault="003207A6" w:rsidP="003207A6">
      <w:pPr>
        <w:pStyle w:val="Page"/>
      </w:pPr>
      <w:r>
        <w:rPr>
          <w:rFonts w:cs="Arial"/>
          <w:szCs w:val="24"/>
        </w:rPr>
        <w:t xml:space="preserve">[Page </w:t>
      </w:r>
      <w:r w:rsidR="007B20F5" w:rsidRPr="000011AD">
        <w:rPr>
          <w:rFonts w:cs="Arial"/>
          <w:szCs w:val="24"/>
        </w:rPr>
        <w:t>101]</w:t>
      </w:r>
    </w:p>
    <w:p w:rsidR="007B20F5" w:rsidRPr="000011AD" w:rsidRDefault="007B20F5" w:rsidP="00061521">
      <w:pPr>
        <w:pStyle w:val="History"/>
        <w:ind w:firstLine="0"/>
        <w:rPr>
          <w:rFonts w:cs="Arial"/>
          <w:szCs w:val="24"/>
        </w:rPr>
      </w:pPr>
      <w:r w:rsidRPr="000011AD">
        <w:rPr>
          <w:rFonts w:cs="Arial"/>
          <w:szCs w:val="24"/>
        </w:rPr>
        <w:t>should be set aside, the 3rd of the findings to stand and a new trial of the issues submitted to the jury by the questions answered in the said 6th and 11th findings, and by the 4th question, and that the judgment for the plaintiff for the two first notes should be set aside with costs.</w:t>
      </w:r>
    </w:p>
    <w:p w:rsidR="007B20F5" w:rsidRPr="000011AD" w:rsidRDefault="007B20F5" w:rsidP="00061521">
      <w:pPr>
        <w:pStyle w:val="History"/>
        <w:rPr>
          <w:rFonts w:cs="Arial"/>
          <w:szCs w:val="24"/>
        </w:rPr>
      </w:pPr>
      <w:r w:rsidRPr="000011AD">
        <w:rPr>
          <w:rFonts w:cs="Arial"/>
          <w:szCs w:val="24"/>
        </w:rPr>
        <w:t>The present appeal is asserted on behalf of the bank against the latter judgment.</w:t>
      </w:r>
    </w:p>
    <w:p w:rsidR="007B20F5" w:rsidRPr="000011AD" w:rsidRDefault="007B20F5" w:rsidP="00061521">
      <w:pPr>
        <w:pStyle w:val="History"/>
        <w:rPr>
          <w:rFonts w:cs="Arial"/>
          <w:i/>
          <w:iCs/>
          <w:szCs w:val="24"/>
        </w:rPr>
      </w:pPr>
      <w:r w:rsidRPr="000011AD">
        <w:rPr>
          <w:rFonts w:cs="Arial"/>
          <w:i/>
          <w:iCs/>
          <w:szCs w:val="24"/>
        </w:rPr>
        <w:t>J. J</w:t>
      </w:r>
      <w:r w:rsidRPr="000011AD">
        <w:rPr>
          <w:rFonts w:cs="Arial"/>
          <w:szCs w:val="24"/>
        </w:rPr>
        <w:t xml:space="preserve">. </w:t>
      </w:r>
      <w:r w:rsidRPr="000011AD">
        <w:rPr>
          <w:rFonts w:cs="Arial"/>
          <w:i/>
          <w:iCs/>
          <w:szCs w:val="24"/>
        </w:rPr>
        <w:t xml:space="preserve">Ritchie K.C. </w:t>
      </w:r>
      <w:r w:rsidRPr="000011AD">
        <w:rPr>
          <w:rFonts w:cs="Arial"/>
          <w:szCs w:val="24"/>
        </w:rPr>
        <w:t xml:space="preserve">for the appellant. The agent, in order to cover up his breach of duty to the bank in respect to the credit without adequate collateral security, took part in obtaining the note so that he could report to the head office that he held it, and did not disclose its date to the bank. If there was a condition attached, it is evident that the agent must have been a party to it to save himself with the bank for having given credit to such an extent without adequate security, and there is ground for the jury finding as they have done. </w:t>
      </w:r>
      <w:r w:rsidRPr="000011AD">
        <w:rPr>
          <w:rFonts w:cs="Arial"/>
          <w:i/>
          <w:iCs/>
          <w:szCs w:val="24"/>
        </w:rPr>
        <w:t xml:space="preserve">Richards </w:t>
      </w:r>
      <w:r w:rsidRPr="000011AD">
        <w:rPr>
          <w:rFonts w:cs="Arial"/>
          <w:szCs w:val="24"/>
        </w:rPr>
        <w:t xml:space="preserve">v. </w:t>
      </w:r>
      <w:r w:rsidRPr="000011AD">
        <w:rPr>
          <w:rFonts w:cs="Arial"/>
          <w:i/>
          <w:iCs/>
          <w:szCs w:val="24"/>
        </w:rPr>
        <w:t>Bank of Nova Scotia</w:t>
      </w:r>
      <w:r w:rsidR="000011AD" w:rsidRPr="000011AD">
        <w:rPr>
          <w:rStyle w:val="FootnoteReference"/>
          <w:rFonts w:cs="Arial"/>
          <w:i/>
          <w:iCs/>
          <w:szCs w:val="24"/>
        </w:rPr>
        <w:footnoteReference w:id="2"/>
      </w:r>
      <w:r w:rsidRPr="000011AD">
        <w:rPr>
          <w:rFonts w:cs="Arial"/>
          <w:szCs w:val="24"/>
        </w:rPr>
        <w:t xml:space="preserve">; </w:t>
      </w:r>
      <w:r w:rsidRPr="000011AD">
        <w:rPr>
          <w:rFonts w:cs="Arial"/>
          <w:i/>
          <w:iCs/>
          <w:szCs w:val="24"/>
        </w:rPr>
        <w:t>In re Hampshire Land Company</w:t>
      </w:r>
      <w:r w:rsidR="000011AD" w:rsidRPr="000011AD">
        <w:rPr>
          <w:rStyle w:val="FootnoteReference"/>
          <w:rFonts w:cs="Arial"/>
          <w:i/>
          <w:iCs/>
          <w:szCs w:val="24"/>
        </w:rPr>
        <w:footnoteReference w:id="3"/>
      </w:r>
      <w:r w:rsidRPr="000011AD">
        <w:rPr>
          <w:rFonts w:cs="Arial"/>
          <w:szCs w:val="24"/>
        </w:rPr>
        <w:t xml:space="preserve">; Bow-stead on Agency, p. 335. Under the circumstances the ordinary rule as to constructive or imputed notice, if applicable at all to commercial transactions, does not apply. This is a well recognized exception to the general rule. The agent is party or privy to the commission of a fraud or misfeasance, or irregularity upon or against his principal, and his knowledge of such fraud, misfeasance or irregularity, and of the facts </w:t>
      </w:r>
      <w:r w:rsidRPr="000011AD">
        <w:rPr>
          <w:rFonts w:cs="Arial"/>
          <w:szCs w:val="24"/>
        </w:rPr>
        <w:lastRenderedPageBreak/>
        <w:t xml:space="preserve">and circumstances connected therewith, are not to be imputed to the principal. It would be a presumption contrary to truth, and which the judge knows to be contrary to the truth. Notice to an agent is not notice to the principal, where it would be quite certain that the agent would not disclose the matter. </w:t>
      </w:r>
      <w:r w:rsidRPr="000011AD">
        <w:rPr>
          <w:rFonts w:cs="Arial"/>
          <w:i/>
          <w:iCs/>
          <w:szCs w:val="24"/>
        </w:rPr>
        <w:t>In re Fitzroy,</w:t>
      </w:r>
    </w:p>
    <w:p w:rsidR="007B20F5" w:rsidRPr="000011AD" w:rsidRDefault="003207A6" w:rsidP="003207A6">
      <w:pPr>
        <w:pStyle w:val="Page"/>
      </w:pPr>
      <w:r>
        <w:rPr>
          <w:rFonts w:cs="Arial"/>
          <w:szCs w:val="24"/>
        </w:rPr>
        <w:t xml:space="preserve">[Page </w:t>
      </w:r>
      <w:r w:rsidR="007B20F5" w:rsidRPr="000011AD">
        <w:rPr>
          <w:rFonts w:cs="Arial"/>
          <w:szCs w:val="24"/>
        </w:rPr>
        <w:t>102]</w:t>
      </w:r>
    </w:p>
    <w:p w:rsidR="007B20F5" w:rsidRPr="000011AD" w:rsidRDefault="007B20F5" w:rsidP="00061521">
      <w:pPr>
        <w:pStyle w:val="History"/>
        <w:ind w:firstLine="0"/>
        <w:rPr>
          <w:rFonts w:cs="Arial"/>
          <w:szCs w:val="24"/>
        </w:rPr>
      </w:pPr>
      <w:r w:rsidRPr="000011AD">
        <w:rPr>
          <w:rFonts w:cs="Arial"/>
          <w:i/>
          <w:iCs/>
          <w:szCs w:val="24"/>
        </w:rPr>
        <w:t>Bessemer Steel Co.</w:t>
      </w:r>
      <w:r w:rsidR="000011AD" w:rsidRPr="000011AD">
        <w:rPr>
          <w:rStyle w:val="FootnoteReference"/>
          <w:rFonts w:cs="Arial"/>
          <w:i/>
          <w:iCs/>
          <w:szCs w:val="24"/>
        </w:rPr>
        <w:footnoteReference w:id="4"/>
      </w:r>
      <w:r w:rsidRPr="000011AD">
        <w:rPr>
          <w:rFonts w:cs="Arial"/>
          <w:szCs w:val="24"/>
        </w:rPr>
        <w:t xml:space="preserve">; </w:t>
      </w:r>
      <w:r w:rsidRPr="000011AD">
        <w:rPr>
          <w:rFonts w:cs="Arial"/>
          <w:i/>
          <w:iCs/>
          <w:szCs w:val="24"/>
        </w:rPr>
        <w:t xml:space="preserve">Cave </w:t>
      </w:r>
      <w:r w:rsidRPr="000011AD">
        <w:rPr>
          <w:rFonts w:cs="Arial"/>
          <w:szCs w:val="24"/>
        </w:rPr>
        <w:t xml:space="preserve">v. </w:t>
      </w:r>
      <w:r w:rsidRPr="000011AD">
        <w:rPr>
          <w:rFonts w:cs="Arial"/>
          <w:i/>
          <w:iCs/>
          <w:szCs w:val="24"/>
        </w:rPr>
        <w:t>Cave</w:t>
      </w:r>
      <w:r w:rsidR="000011AD" w:rsidRPr="000011AD">
        <w:rPr>
          <w:rStyle w:val="FootnoteReference"/>
          <w:rFonts w:cs="Arial"/>
          <w:i/>
          <w:iCs/>
          <w:szCs w:val="24"/>
        </w:rPr>
        <w:footnoteReference w:id="5"/>
      </w:r>
      <w:r w:rsidRPr="000011AD">
        <w:rPr>
          <w:rFonts w:cs="Arial"/>
          <w:szCs w:val="24"/>
        </w:rPr>
        <w:t xml:space="preserve">; </w:t>
      </w:r>
      <w:r w:rsidRPr="000011AD">
        <w:rPr>
          <w:rFonts w:cs="Arial"/>
          <w:i/>
          <w:iCs/>
          <w:szCs w:val="24"/>
        </w:rPr>
        <w:t>Ex parte Oriental Commercial Bank</w:t>
      </w:r>
      <w:r w:rsidR="000011AD" w:rsidRPr="000011AD">
        <w:rPr>
          <w:rStyle w:val="FootnoteReference"/>
          <w:rFonts w:cs="Arial"/>
          <w:i/>
          <w:iCs/>
          <w:szCs w:val="24"/>
        </w:rPr>
        <w:footnoteReference w:id="6"/>
      </w:r>
      <w:r w:rsidRPr="000011AD">
        <w:rPr>
          <w:rFonts w:cs="Arial"/>
          <w:szCs w:val="24"/>
        </w:rPr>
        <w:t xml:space="preserve">; </w:t>
      </w:r>
      <w:r w:rsidRPr="000011AD">
        <w:rPr>
          <w:rFonts w:cs="Arial"/>
          <w:i/>
          <w:iCs/>
          <w:szCs w:val="24"/>
        </w:rPr>
        <w:t xml:space="preserve">Kennedy </w:t>
      </w:r>
      <w:r w:rsidRPr="000011AD">
        <w:rPr>
          <w:rFonts w:cs="Arial"/>
          <w:szCs w:val="24"/>
        </w:rPr>
        <w:t xml:space="preserve">v. </w:t>
      </w:r>
      <w:r w:rsidRPr="000011AD">
        <w:rPr>
          <w:rFonts w:cs="Arial"/>
          <w:i/>
          <w:iCs/>
          <w:szCs w:val="24"/>
        </w:rPr>
        <w:t>Green</w:t>
      </w:r>
      <w:r w:rsidR="000011AD" w:rsidRPr="000011AD">
        <w:rPr>
          <w:rStyle w:val="FootnoteReference"/>
          <w:rFonts w:cs="Arial"/>
          <w:i/>
          <w:iCs/>
          <w:szCs w:val="24"/>
        </w:rPr>
        <w:footnoteReference w:id="7"/>
      </w:r>
      <w:r w:rsidRPr="000011AD">
        <w:rPr>
          <w:rFonts w:cs="Arial"/>
          <w:szCs w:val="24"/>
        </w:rPr>
        <w:t xml:space="preserve">; </w:t>
      </w:r>
      <w:r w:rsidRPr="000011AD">
        <w:rPr>
          <w:rFonts w:cs="Arial"/>
          <w:i/>
          <w:iCs/>
          <w:szCs w:val="24"/>
        </w:rPr>
        <w:t>Espin v. Pemberton</w:t>
      </w:r>
      <w:r w:rsidR="000011AD" w:rsidRPr="000011AD">
        <w:rPr>
          <w:rStyle w:val="FootnoteReference"/>
          <w:rFonts w:cs="Arial"/>
          <w:i/>
          <w:iCs/>
          <w:szCs w:val="24"/>
        </w:rPr>
        <w:footnoteReference w:id="8"/>
      </w:r>
      <w:r w:rsidRPr="000011AD">
        <w:rPr>
          <w:rFonts w:cs="Arial"/>
          <w:szCs w:val="24"/>
        </w:rPr>
        <w:t xml:space="preserve">; </w:t>
      </w:r>
      <w:r w:rsidRPr="000011AD">
        <w:rPr>
          <w:rFonts w:cs="Arial"/>
          <w:i/>
          <w:iCs/>
          <w:szCs w:val="24"/>
        </w:rPr>
        <w:t xml:space="preserve">Dovey </w:t>
      </w:r>
      <w:r w:rsidRPr="000011AD">
        <w:rPr>
          <w:rFonts w:cs="Arial"/>
          <w:szCs w:val="24"/>
        </w:rPr>
        <w:t xml:space="preserve">v. </w:t>
      </w:r>
      <w:r w:rsidRPr="000011AD">
        <w:rPr>
          <w:rFonts w:cs="Arial"/>
          <w:i/>
          <w:iCs/>
          <w:szCs w:val="24"/>
        </w:rPr>
        <w:t>Cory</w:t>
      </w:r>
      <w:r w:rsidR="000011AD" w:rsidRPr="000011AD">
        <w:rPr>
          <w:rStyle w:val="FootnoteReference"/>
          <w:rFonts w:cs="Arial"/>
          <w:i/>
          <w:iCs/>
          <w:szCs w:val="24"/>
        </w:rPr>
        <w:footnoteReference w:id="9"/>
      </w:r>
      <w:r w:rsidRPr="000011AD">
        <w:rPr>
          <w:rFonts w:cs="Arial"/>
          <w:szCs w:val="24"/>
        </w:rPr>
        <w:t>.</w:t>
      </w:r>
    </w:p>
    <w:p w:rsidR="007B20F5" w:rsidRPr="000011AD" w:rsidRDefault="007B20F5" w:rsidP="00061521">
      <w:pPr>
        <w:pStyle w:val="History"/>
        <w:rPr>
          <w:rFonts w:cs="Arial"/>
          <w:szCs w:val="24"/>
        </w:rPr>
      </w:pPr>
      <w:r w:rsidRPr="000011AD">
        <w:rPr>
          <w:rFonts w:cs="Arial"/>
          <w:szCs w:val="24"/>
        </w:rPr>
        <w:t xml:space="preserve">The courts do not now extend the artificial doctrine of constructive or imputed notice, but restrict it, particularly in regard to commercial matters as distinguished from real estate transactions. </w:t>
      </w:r>
      <w:r w:rsidRPr="000011AD">
        <w:rPr>
          <w:rFonts w:cs="Arial"/>
          <w:i/>
          <w:iCs/>
          <w:szCs w:val="24"/>
        </w:rPr>
        <w:t xml:space="preserve">Manchester Trust </w:t>
      </w:r>
      <w:r w:rsidRPr="000011AD">
        <w:rPr>
          <w:rFonts w:cs="Arial"/>
          <w:szCs w:val="24"/>
        </w:rPr>
        <w:t xml:space="preserve">v. </w:t>
      </w:r>
      <w:r w:rsidRPr="000011AD">
        <w:rPr>
          <w:rFonts w:cs="Arial"/>
          <w:i/>
          <w:iCs/>
          <w:szCs w:val="24"/>
        </w:rPr>
        <w:t>Furness</w:t>
      </w:r>
      <w:r w:rsidR="000011AD" w:rsidRPr="000011AD">
        <w:rPr>
          <w:rStyle w:val="FootnoteReference"/>
          <w:rFonts w:cs="Arial"/>
          <w:i/>
          <w:iCs/>
          <w:szCs w:val="24"/>
        </w:rPr>
        <w:footnoteReference w:id="10"/>
      </w:r>
      <w:r w:rsidRPr="000011AD">
        <w:rPr>
          <w:rFonts w:cs="Arial"/>
          <w:szCs w:val="24"/>
        </w:rPr>
        <w:t xml:space="preserve">; </w:t>
      </w:r>
      <w:r w:rsidRPr="000011AD">
        <w:rPr>
          <w:rFonts w:cs="Arial"/>
          <w:i/>
          <w:iCs/>
          <w:szCs w:val="24"/>
        </w:rPr>
        <w:t xml:space="preserve">London Joint Stock Bank </w:t>
      </w:r>
      <w:r w:rsidRPr="000011AD">
        <w:rPr>
          <w:rFonts w:cs="Arial"/>
          <w:szCs w:val="24"/>
        </w:rPr>
        <w:t xml:space="preserve">v. </w:t>
      </w:r>
      <w:r w:rsidRPr="000011AD">
        <w:rPr>
          <w:rFonts w:cs="Arial"/>
          <w:i/>
          <w:iCs/>
          <w:szCs w:val="24"/>
        </w:rPr>
        <w:t>Simmons</w:t>
      </w:r>
      <w:r w:rsidR="000011AD" w:rsidRPr="000011AD">
        <w:rPr>
          <w:rStyle w:val="FootnoteReference"/>
          <w:rFonts w:cs="Arial"/>
          <w:i/>
          <w:iCs/>
          <w:szCs w:val="24"/>
        </w:rPr>
        <w:footnoteReference w:id="11"/>
      </w:r>
      <w:r w:rsidRPr="000011AD">
        <w:rPr>
          <w:rFonts w:cs="Arial"/>
          <w:szCs w:val="24"/>
        </w:rPr>
        <w:t xml:space="preserve">; </w:t>
      </w:r>
      <w:r w:rsidRPr="000011AD">
        <w:rPr>
          <w:rFonts w:cs="Arial"/>
          <w:i/>
          <w:iCs/>
          <w:szCs w:val="24"/>
        </w:rPr>
        <w:t xml:space="preserve">Allen </w:t>
      </w:r>
      <w:r w:rsidRPr="000011AD">
        <w:rPr>
          <w:rFonts w:cs="Arial"/>
          <w:szCs w:val="24"/>
        </w:rPr>
        <w:t xml:space="preserve">v. </w:t>
      </w:r>
      <w:r w:rsidRPr="000011AD">
        <w:rPr>
          <w:rFonts w:cs="Arial"/>
          <w:i/>
          <w:iCs/>
          <w:szCs w:val="24"/>
        </w:rPr>
        <w:t>Seckham</w:t>
      </w:r>
      <w:r w:rsidR="000011AD" w:rsidRPr="000011AD">
        <w:rPr>
          <w:rStyle w:val="FootnoteReference"/>
          <w:rFonts w:cs="Arial"/>
          <w:i/>
          <w:iCs/>
          <w:szCs w:val="24"/>
        </w:rPr>
        <w:footnoteReference w:id="12"/>
      </w:r>
      <w:r w:rsidRPr="000011AD">
        <w:rPr>
          <w:rFonts w:cs="Arial"/>
          <w:szCs w:val="24"/>
        </w:rPr>
        <w:t xml:space="preserve">; </w:t>
      </w:r>
      <w:r w:rsidRPr="000011AD">
        <w:rPr>
          <w:rFonts w:cs="Arial"/>
          <w:i/>
          <w:iCs/>
          <w:szCs w:val="24"/>
        </w:rPr>
        <w:t xml:space="preserve">English and Scottish Mercantile Investment Co. </w:t>
      </w:r>
      <w:r w:rsidRPr="000011AD">
        <w:rPr>
          <w:rFonts w:cs="Arial"/>
          <w:szCs w:val="24"/>
        </w:rPr>
        <w:t>v.</w:t>
      </w:r>
      <w:r w:rsidRPr="000011AD">
        <w:rPr>
          <w:rFonts w:cs="Arial"/>
          <w:i/>
          <w:iCs/>
          <w:szCs w:val="24"/>
        </w:rPr>
        <w:t xml:space="preserve"> Brunton</w:t>
      </w:r>
      <w:r w:rsidR="000011AD" w:rsidRPr="000011AD">
        <w:rPr>
          <w:rStyle w:val="FootnoteReference"/>
          <w:rFonts w:cs="Arial"/>
          <w:i/>
          <w:iCs/>
          <w:szCs w:val="24"/>
        </w:rPr>
        <w:footnoteReference w:id="13"/>
      </w:r>
      <w:r w:rsidRPr="000011AD">
        <w:rPr>
          <w:rFonts w:cs="Arial"/>
          <w:szCs w:val="24"/>
        </w:rPr>
        <w:t>.</w:t>
      </w:r>
    </w:p>
    <w:p w:rsidR="007B20F5" w:rsidRPr="000011AD" w:rsidRDefault="007B20F5" w:rsidP="00061521">
      <w:pPr>
        <w:pStyle w:val="History"/>
        <w:rPr>
          <w:rFonts w:cs="Arial"/>
          <w:szCs w:val="24"/>
        </w:rPr>
      </w:pPr>
      <w:r w:rsidRPr="000011AD">
        <w:rPr>
          <w:rFonts w:cs="Arial"/>
          <w:szCs w:val="24"/>
        </w:rPr>
        <w:t>Both on the pleadings and evidence the case has been dealt with on a wrong basis, and the authorities cited in the judgment of Ritchie J. have, therefore, no application. The sole point is whether or not the knowledge of the agent can, by means of the artificial doctrine of constructive or imputed notice, be fastened upon the bank, and this point is not dealt with.</w:t>
      </w:r>
    </w:p>
    <w:p w:rsidR="007B20F5" w:rsidRPr="000011AD" w:rsidRDefault="007B20F5" w:rsidP="00061521">
      <w:pPr>
        <w:pStyle w:val="History"/>
        <w:rPr>
          <w:rFonts w:cs="Arial"/>
          <w:szCs w:val="24"/>
        </w:rPr>
      </w:pPr>
      <w:r w:rsidRPr="000011AD">
        <w:rPr>
          <w:rFonts w:cs="Arial"/>
          <w:szCs w:val="24"/>
        </w:rPr>
        <w:t>The 9th and 14th findings, in respect to the special agreement or condition, should have been set aside as, in view of the inherent improbability of the evidence, the findings should not stand. The 6th and 11th findings should not have been set aside. The jury had ample evidence from which they could draw the inference that the information was not obtained by the agent in the course of the business of the bank.</w:t>
      </w:r>
    </w:p>
    <w:p w:rsidR="007B20F5" w:rsidRPr="000011AD" w:rsidRDefault="007B20F5" w:rsidP="00061521">
      <w:pPr>
        <w:pStyle w:val="History"/>
        <w:rPr>
          <w:rFonts w:cs="Arial"/>
          <w:szCs w:val="24"/>
        </w:rPr>
      </w:pPr>
      <w:r w:rsidRPr="000011AD">
        <w:rPr>
          <w:rFonts w:cs="Arial"/>
          <w:i/>
          <w:iCs/>
          <w:szCs w:val="24"/>
        </w:rPr>
        <w:t xml:space="preserve">Roscoe K.C. </w:t>
      </w:r>
      <w:r w:rsidRPr="000011AD">
        <w:rPr>
          <w:rFonts w:cs="Arial"/>
          <w:szCs w:val="24"/>
        </w:rPr>
        <w:t>for the respondent. In granting a new trial the court had ample power to give judgment on the issues properly found by the jury and to send back the remaining issues improperly found or undetermined for a new trial without ordering a new trial as to all the issues. Order 37, Rule 6, N</w:t>
      </w:r>
      <w:r w:rsidRPr="000011AD">
        <w:rPr>
          <w:rFonts w:cs="Arial"/>
          <w:smallCaps/>
          <w:szCs w:val="24"/>
        </w:rPr>
        <w:t xml:space="preserve">. </w:t>
      </w:r>
      <w:r w:rsidRPr="000011AD">
        <w:rPr>
          <w:rFonts w:cs="Arial"/>
          <w:szCs w:val="24"/>
        </w:rPr>
        <w:t>S. Jud.</w:t>
      </w:r>
    </w:p>
    <w:p w:rsidR="007B20F5" w:rsidRPr="000011AD" w:rsidRDefault="003207A6" w:rsidP="003207A6">
      <w:pPr>
        <w:pStyle w:val="Page"/>
      </w:pPr>
      <w:r>
        <w:rPr>
          <w:rFonts w:cs="Arial"/>
          <w:szCs w:val="24"/>
        </w:rPr>
        <w:t xml:space="preserve">[Page </w:t>
      </w:r>
      <w:r w:rsidR="007B20F5" w:rsidRPr="000011AD">
        <w:rPr>
          <w:rFonts w:cs="Arial"/>
          <w:szCs w:val="24"/>
        </w:rPr>
        <w:t>103]</w:t>
      </w:r>
    </w:p>
    <w:p w:rsidR="007B20F5" w:rsidRPr="000011AD" w:rsidRDefault="007B20F5" w:rsidP="00061521">
      <w:pPr>
        <w:pStyle w:val="History"/>
        <w:ind w:firstLine="0"/>
        <w:rPr>
          <w:rFonts w:cs="Arial"/>
          <w:szCs w:val="24"/>
        </w:rPr>
      </w:pPr>
      <w:r w:rsidRPr="000011AD">
        <w:rPr>
          <w:rFonts w:cs="Arial"/>
          <w:szCs w:val="24"/>
        </w:rPr>
        <w:t xml:space="preserve">Act. </w:t>
      </w:r>
      <w:r w:rsidRPr="000011AD">
        <w:rPr>
          <w:rFonts w:cs="Arial"/>
          <w:i/>
          <w:iCs/>
          <w:szCs w:val="24"/>
        </w:rPr>
        <w:t xml:space="preserve">Nash </w:t>
      </w:r>
      <w:r w:rsidRPr="000011AD">
        <w:rPr>
          <w:rFonts w:cs="Arial"/>
          <w:szCs w:val="24"/>
        </w:rPr>
        <w:t xml:space="preserve">v. </w:t>
      </w:r>
      <w:r w:rsidRPr="000011AD">
        <w:rPr>
          <w:rFonts w:cs="Arial"/>
          <w:i/>
          <w:iCs/>
          <w:szCs w:val="24"/>
        </w:rPr>
        <w:t>The Cunard S. S. Co.</w:t>
      </w:r>
      <w:r w:rsidR="000011AD" w:rsidRPr="000011AD">
        <w:rPr>
          <w:rStyle w:val="FootnoteReference"/>
          <w:rFonts w:cs="Arial"/>
          <w:i/>
          <w:iCs/>
          <w:szCs w:val="24"/>
        </w:rPr>
        <w:footnoteReference w:id="14"/>
      </w:r>
      <w:r w:rsidRPr="000011AD">
        <w:rPr>
          <w:rFonts w:cs="Arial"/>
          <w:szCs w:val="24"/>
        </w:rPr>
        <w:t xml:space="preserve">; </w:t>
      </w:r>
      <w:r w:rsidRPr="000011AD">
        <w:rPr>
          <w:rFonts w:cs="Arial"/>
          <w:i/>
          <w:iCs/>
          <w:szCs w:val="24"/>
        </w:rPr>
        <w:t xml:space="preserve">Marsh </w:t>
      </w:r>
      <w:r w:rsidRPr="000011AD">
        <w:rPr>
          <w:rFonts w:cs="Arial"/>
          <w:szCs w:val="24"/>
        </w:rPr>
        <w:t xml:space="preserve">v. </w:t>
      </w:r>
      <w:r w:rsidRPr="000011AD">
        <w:rPr>
          <w:rFonts w:cs="Arial"/>
          <w:i/>
          <w:iCs/>
          <w:szCs w:val="24"/>
        </w:rPr>
        <w:t>Isaacs</w:t>
      </w:r>
      <w:r w:rsidR="000011AD" w:rsidRPr="000011AD">
        <w:rPr>
          <w:rStyle w:val="FootnoteReference"/>
          <w:rFonts w:cs="Arial"/>
          <w:i/>
          <w:iCs/>
          <w:szCs w:val="24"/>
        </w:rPr>
        <w:footnoteReference w:id="15"/>
      </w:r>
      <w:r w:rsidRPr="000011AD">
        <w:rPr>
          <w:rFonts w:cs="Arial"/>
          <w:szCs w:val="24"/>
        </w:rPr>
        <w:t xml:space="preserve">; </w:t>
      </w:r>
      <w:r w:rsidRPr="000011AD">
        <w:rPr>
          <w:rFonts w:cs="Arial"/>
          <w:i/>
          <w:iCs/>
          <w:szCs w:val="24"/>
        </w:rPr>
        <w:t xml:space="preserve">McGuiness </w:t>
      </w:r>
      <w:r w:rsidRPr="000011AD">
        <w:rPr>
          <w:rFonts w:cs="Arial"/>
          <w:szCs w:val="24"/>
        </w:rPr>
        <w:t xml:space="preserve">v. </w:t>
      </w:r>
      <w:r w:rsidRPr="000011AD">
        <w:rPr>
          <w:rFonts w:cs="Arial"/>
          <w:i/>
          <w:iCs/>
          <w:szCs w:val="24"/>
        </w:rPr>
        <w:t>Dafoe</w:t>
      </w:r>
      <w:r w:rsidR="000011AD" w:rsidRPr="000011AD">
        <w:rPr>
          <w:rStyle w:val="FootnoteReference"/>
          <w:rFonts w:cs="Arial"/>
          <w:i/>
          <w:iCs/>
          <w:szCs w:val="24"/>
        </w:rPr>
        <w:footnoteReference w:id="16"/>
      </w:r>
      <w:r w:rsidRPr="000011AD">
        <w:rPr>
          <w:rFonts w:cs="Arial"/>
          <w:szCs w:val="24"/>
        </w:rPr>
        <w:t xml:space="preserve">; </w:t>
      </w:r>
      <w:r w:rsidRPr="000011AD">
        <w:rPr>
          <w:rFonts w:cs="Arial"/>
          <w:i/>
          <w:iCs/>
          <w:szCs w:val="24"/>
        </w:rPr>
        <w:t xml:space="preserve">Hesse </w:t>
      </w:r>
      <w:r w:rsidRPr="000011AD">
        <w:rPr>
          <w:rFonts w:cs="Arial"/>
          <w:szCs w:val="24"/>
        </w:rPr>
        <w:lastRenderedPageBreak/>
        <w:t xml:space="preserve">v. </w:t>
      </w:r>
      <w:r w:rsidRPr="000011AD">
        <w:rPr>
          <w:rFonts w:cs="Arial"/>
          <w:i/>
          <w:iCs/>
          <w:szCs w:val="24"/>
        </w:rPr>
        <w:t>St. John Railway Co.</w:t>
      </w:r>
      <w:r w:rsidR="000011AD" w:rsidRPr="000011AD">
        <w:rPr>
          <w:rStyle w:val="FootnoteReference"/>
          <w:rFonts w:cs="Arial"/>
          <w:i/>
          <w:iCs/>
          <w:szCs w:val="24"/>
        </w:rPr>
        <w:footnoteReference w:id="17"/>
      </w:r>
      <w:r w:rsidRPr="000011AD">
        <w:rPr>
          <w:rFonts w:cs="Arial"/>
          <w:szCs w:val="24"/>
        </w:rPr>
        <w:t xml:space="preserve">. Where a material issue is left undetermined by reason of a disagreement of a jury the case must go back for a new trial of that issue. </w:t>
      </w:r>
      <w:r w:rsidRPr="000011AD">
        <w:rPr>
          <w:rFonts w:cs="Arial"/>
          <w:i/>
          <w:iCs/>
          <w:szCs w:val="24"/>
        </w:rPr>
        <w:t xml:space="preserve">Imperial Loan Co. </w:t>
      </w:r>
      <w:r w:rsidRPr="000011AD">
        <w:rPr>
          <w:rFonts w:cs="Arial"/>
          <w:szCs w:val="24"/>
        </w:rPr>
        <w:t xml:space="preserve">v. </w:t>
      </w:r>
      <w:r w:rsidRPr="000011AD">
        <w:rPr>
          <w:rFonts w:cs="Arial"/>
          <w:i/>
          <w:iCs/>
          <w:szCs w:val="24"/>
        </w:rPr>
        <w:t>Stone</w:t>
      </w:r>
      <w:r w:rsidR="000011AD" w:rsidRPr="000011AD">
        <w:rPr>
          <w:rStyle w:val="FootnoteReference"/>
          <w:rFonts w:cs="Arial"/>
          <w:i/>
          <w:iCs/>
          <w:szCs w:val="24"/>
        </w:rPr>
        <w:footnoteReference w:id="18"/>
      </w:r>
      <w:r w:rsidRPr="000011AD">
        <w:rPr>
          <w:rFonts w:cs="Arial"/>
          <w:szCs w:val="24"/>
        </w:rPr>
        <w:t>.</w:t>
      </w:r>
    </w:p>
    <w:p w:rsidR="007B20F5" w:rsidRPr="000011AD" w:rsidRDefault="007B20F5" w:rsidP="00061521">
      <w:pPr>
        <w:pStyle w:val="History"/>
        <w:rPr>
          <w:rFonts w:cs="Arial"/>
          <w:szCs w:val="24"/>
        </w:rPr>
      </w:pPr>
      <w:r w:rsidRPr="000011AD">
        <w:rPr>
          <w:rFonts w:cs="Arial"/>
          <w:szCs w:val="24"/>
        </w:rPr>
        <w:t>The note indorsed for accommodation upon the condition that it should not be used or issued as such until another person became a party thereto as additional surety is at best a mere escrow and not a complete instrument, and a payee or indorsee with notice of such condition cannot enforce payment in default of fulfilment of the condition. Byles on Bills (15 ed.) 113; Chalmers Bills of Exchange (5 ed.) 56; McLaren on Bills (2 ed.) 117</w:t>
      </w:r>
      <w:r w:rsidRPr="000011AD">
        <w:rPr>
          <w:rFonts w:cs="Arial"/>
          <w:i/>
          <w:iCs/>
          <w:szCs w:val="24"/>
        </w:rPr>
        <w:t>;</w:t>
      </w:r>
      <w:r w:rsidRPr="000011AD">
        <w:rPr>
          <w:rFonts w:cs="Arial"/>
          <w:szCs w:val="24"/>
        </w:rPr>
        <w:t xml:space="preserve"> Daniels on Negotiable Instruments (2 ed.) 60; </w:t>
      </w:r>
      <w:r w:rsidRPr="000011AD">
        <w:rPr>
          <w:rFonts w:cs="Arial"/>
          <w:i/>
          <w:iCs/>
          <w:szCs w:val="24"/>
        </w:rPr>
        <w:t xml:space="preserve">Bell </w:t>
      </w:r>
      <w:r w:rsidRPr="000011AD">
        <w:rPr>
          <w:rFonts w:cs="Arial"/>
          <w:szCs w:val="24"/>
        </w:rPr>
        <w:t xml:space="preserve">v. </w:t>
      </w:r>
      <w:r w:rsidRPr="000011AD">
        <w:rPr>
          <w:rFonts w:cs="Arial"/>
          <w:i/>
          <w:iCs/>
          <w:szCs w:val="24"/>
        </w:rPr>
        <w:t>Ingestre</w:t>
      </w:r>
      <w:r w:rsidR="000011AD" w:rsidRPr="000011AD">
        <w:rPr>
          <w:rStyle w:val="FootnoteReference"/>
          <w:rFonts w:cs="Arial"/>
          <w:i/>
          <w:iCs/>
          <w:szCs w:val="24"/>
        </w:rPr>
        <w:footnoteReference w:id="19"/>
      </w:r>
      <w:r w:rsidRPr="000011AD">
        <w:rPr>
          <w:rFonts w:cs="Arial"/>
          <w:szCs w:val="24"/>
        </w:rPr>
        <w:t xml:space="preserve">; </w:t>
      </w:r>
      <w:r w:rsidRPr="000011AD">
        <w:rPr>
          <w:rFonts w:cs="Arial"/>
          <w:i/>
          <w:iCs/>
          <w:szCs w:val="24"/>
        </w:rPr>
        <w:t xml:space="preserve">Daggett </w:t>
      </w:r>
      <w:r w:rsidRPr="000011AD">
        <w:rPr>
          <w:rFonts w:cs="Arial"/>
          <w:szCs w:val="24"/>
        </w:rPr>
        <w:t xml:space="preserve">v. </w:t>
      </w:r>
      <w:r w:rsidRPr="000011AD">
        <w:rPr>
          <w:rFonts w:cs="Arial"/>
          <w:i/>
          <w:iCs/>
          <w:szCs w:val="24"/>
        </w:rPr>
        <w:t>Simonds</w:t>
      </w:r>
      <w:r w:rsidR="000011AD" w:rsidRPr="000011AD">
        <w:rPr>
          <w:rStyle w:val="FootnoteReference"/>
          <w:rFonts w:cs="Arial"/>
          <w:i/>
          <w:iCs/>
          <w:szCs w:val="24"/>
        </w:rPr>
        <w:footnoteReference w:id="20"/>
      </w:r>
      <w:r w:rsidRPr="000011AD">
        <w:rPr>
          <w:rFonts w:cs="Arial"/>
          <w:szCs w:val="24"/>
        </w:rPr>
        <w:t xml:space="preserve">; </w:t>
      </w:r>
      <w:r w:rsidRPr="000011AD">
        <w:rPr>
          <w:rFonts w:cs="Arial"/>
          <w:i/>
          <w:iCs/>
          <w:szCs w:val="24"/>
        </w:rPr>
        <w:t xml:space="preserve">Awde </w:t>
      </w:r>
      <w:r w:rsidRPr="000011AD">
        <w:rPr>
          <w:rFonts w:cs="Arial"/>
          <w:szCs w:val="24"/>
        </w:rPr>
        <w:t xml:space="preserve">v. </w:t>
      </w:r>
      <w:r w:rsidRPr="000011AD">
        <w:rPr>
          <w:rFonts w:cs="Arial"/>
          <w:i/>
          <w:iCs/>
          <w:szCs w:val="24"/>
        </w:rPr>
        <w:t>Dixon</w:t>
      </w:r>
      <w:r w:rsidR="000011AD" w:rsidRPr="000011AD">
        <w:rPr>
          <w:rStyle w:val="FootnoteReference"/>
          <w:rFonts w:cs="Arial"/>
          <w:i/>
          <w:iCs/>
          <w:szCs w:val="24"/>
        </w:rPr>
        <w:footnoteReference w:id="21"/>
      </w:r>
      <w:r w:rsidRPr="000011AD">
        <w:rPr>
          <w:rFonts w:cs="Arial"/>
          <w:szCs w:val="24"/>
        </w:rPr>
        <w:t xml:space="preserve">; </w:t>
      </w:r>
      <w:r w:rsidRPr="000011AD">
        <w:rPr>
          <w:rFonts w:cs="Arial"/>
          <w:i/>
          <w:iCs/>
          <w:szCs w:val="24"/>
        </w:rPr>
        <w:t xml:space="preserve">Chandler </w:t>
      </w:r>
      <w:r w:rsidRPr="000011AD">
        <w:rPr>
          <w:rFonts w:cs="Arial"/>
          <w:szCs w:val="24"/>
        </w:rPr>
        <w:t xml:space="preserve">v. </w:t>
      </w:r>
      <w:r w:rsidRPr="000011AD">
        <w:rPr>
          <w:rFonts w:cs="Arial"/>
          <w:i/>
          <w:iCs/>
          <w:szCs w:val="24"/>
        </w:rPr>
        <w:t>Beckwith</w:t>
      </w:r>
      <w:r w:rsidR="000011AD" w:rsidRPr="000011AD">
        <w:rPr>
          <w:rStyle w:val="FootnoteReference"/>
          <w:rFonts w:cs="Arial"/>
          <w:i/>
          <w:iCs/>
          <w:szCs w:val="24"/>
        </w:rPr>
        <w:footnoteReference w:id="22"/>
      </w:r>
      <w:r w:rsidRPr="000011AD">
        <w:rPr>
          <w:rFonts w:cs="Arial"/>
          <w:szCs w:val="24"/>
        </w:rPr>
        <w:t>.</w:t>
      </w:r>
    </w:p>
    <w:p w:rsidR="007B20F5" w:rsidRPr="000011AD" w:rsidRDefault="007B20F5" w:rsidP="00061521">
      <w:pPr>
        <w:pStyle w:val="History"/>
        <w:rPr>
          <w:rFonts w:cs="Arial"/>
          <w:szCs w:val="24"/>
        </w:rPr>
      </w:pPr>
      <w:r w:rsidRPr="000011AD">
        <w:rPr>
          <w:rFonts w:cs="Arial"/>
          <w:szCs w:val="24"/>
        </w:rPr>
        <w:t xml:space="preserve">The agency of the bank has no separate existence, as a bank, but simply is agent of the principal and the person in charge is the agent conducting the business of the corporation. </w:t>
      </w:r>
      <w:r w:rsidRPr="000011AD">
        <w:rPr>
          <w:rFonts w:cs="Arial"/>
          <w:i/>
          <w:iCs/>
          <w:szCs w:val="24"/>
        </w:rPr>
        <w:t xml:space="preserve">Prince </w:t>
      </w:r>
      <w:r w:rsidRPr="000011AD">
        <w:rPr>
          <w:rFonts w:cs="Arial"/>
          <w:szCs w:val="24"/>
        </w:rPr>
        <w:t xml:space="preserve">v. </w:t>
      </w:r>
      <w:r w:rsidRPr="000011AD">
        <w:rPr>
          <w:rFonts w:cs="Arial"/>
          <w:i/>
          <w:iCs/>
          <w:szCs w:val="24"/>
        </w:rPr>
        <w:t>Oriental Bank Corporation</w:t>
      </w:r>
      <w:r w:rsidR="000011AD" w:rsidRPr="000011AD">
        <w:rPr>
          <w:rStyle w:val="FootnoteReference"/>
          <w:rFonts w:cs="Arial"/>
          <w:i/>
          <w:iCs/>
          <w:szCs w:val="24"/>
        </w:rPr>
        <w:footnoteReference w:id="23"/>
      </w:r>
      <w:r w:rsidRPr="000011AD">
        <w:rPr>
          <w:rFonts w:cs="Arial"/>
          <w:szCs w:val="24"/>
        </w:rPr>
        <w:t>.</w:t>
      </w:r>
    </w:p>
    <w:p w:rsidR="007B20F5" w:rsidRPr="000011AD" w:rsidRDefault="007B20F5" w:rsidP="00061521">
      <w:pPr>
        <w:pStyle w:val="History"/>
        <w:rPr>
          <w:rFonts w:cs="Arial"/>
          <w:szCs w:val="24"/>
        </w:rPr>
      </w:pPr>
      <w:r w:rsidRPr="000011AD">
        <w:rPr>
          <w:rFonts w:cs="Arial"/>
          <w:szCs w:val="24"/>
        </w:rPr>
        <w:t xml:space="preserve">Notice to an agent in the course of the principal's business and knowledge of an agent in the course of the principal's business is the knowledge of the principal. </w:t>
      </w:r>
      <w:r w:rsidRPr="000011AD">
        <w:rPr>
          <w:rFonts w:cs="Arial"/>
          <w:i/>
          <w:iCs/>
          <w:szCs w:val="24"/>
        </w:rPr>
        <w:t xml:space="preserve">Atlantic Bank </w:t>
      </w:r>
      <w:r w:rsidRPr="000011AD">
        <w:rPr>
          <w:rFonts w:cs="Arial"/>
          <w:szCs w:val="24"/>
        </w:rPr>
        <w:t xml:space="preserve">v. </w:t>
      </w:r>
      <w:r w:rsidRPr="000011AD">
        <w:rPr>
          <w:rFonts w:cs="Arial"/>
          <w:i/>
          <w:iCs/>
          <w:szCs w:val="24"/>
        </w:rPr>
        <w:t>Merchants Bank</w:t>
      </w:r>
      <w:r w:rsidR="000011AD" w:rsidRPr="000011AD">
        <w:rPr>
          <w:rStyle w:val="FootnoteReference"/>
          <w:rFonts w:cs="Arial"/>
          <w:i/>
          <w:iCs/>
          <w:szCs w:val="24"/>
        </w:rPr>
        <w:footnoteReference w:id="24"/>
      </w:r>
      <w:r w:rsidRPr="000011AD">
        <w:rPr>
          <w:rFonts w:cs="Arial"/>
          <w:szCs w:val="24"/>
        </w:rPr>
        <w:t xml:space="preserve">; </w:t>
      </w:r>
      <w:r w:rsidRPr="000011AD">
        <w:rPr>
          <w:rFonts w:cs="Arial"/>
          <w:i/>
          <w:iCs/>
          <w:szCs w:val="24"/>
        </w:rPr>
        <w:t xml:space="preserve">Blackburn, Low &amp; Co. </w:t>
      </w:r>
      <w:r w:rsidRPr="000011AD">
        <w:rPr>
          <w:rFonts w:cs="Arial"/>
          <w:szCs w:val="24"/>
        </w:rPr>
        <w:t xml:space="preserve">v. </w:t>
      </w:r>
      <w:r w:rsidRPr="000011AD">
        <w:rPr>
          <w:rFonts w:cs="Arial"/>
          <w:i/>
          <w:iCs/>
          <w:szCs w:val="24"/>
        </w:rPr>
        <w:t>Vigors</w:t>
      </w:r>
      <w:r w:rsidR="000011AD" w:rsidRPr="000011AD">
        <w:rPr>
          <w:rStyle w:val="FootnoteReference"/>
          <w:rFonts w:cs="Arial"/>
          <w:i/>
          <w:iCs/>
          <w:szCs w:val="24"/>
        </w:rPr>
        <w:footnoteReference w:id="25"/>
      </w:r>
      <w:r w:rsidRPr="000011AD">
        <w:rPr>
          <w:rFonts w:cs="Arial"/>
          <w:szCs w:val="24"/>
        </w:rPr>
        <w:t xml:space="preserve">; </w:t>
      </w:r>
      <w:r w:rsidRPr="000011AD">
        <w:rPr>
          <w:rFonts w:cs="Arial"/>
          <w:i/>
          <w:iCs/>
          <w:szCs w:val="24"/>
        </w:rPr>
        <w:t xml:space="preserve">Boursot </w:t>
      </w:r>
      <w:r w:rsidRPr="000011AD">
        <w:rPr>
          <w:rFonts w:cs="Arial"/>
          <w:szCs w:val="24"/>
        </w:rPr>
        <w:t xml:space="preserve">v. </w:t>
      </w:r>
      <w:r w:rsidRPr="000011AD">
        <w:rPr>
          <w:rFonts w:cs="Arial"/>
          <w:i/>
          <w:iCs/>
          <w:szCs w:val="24"/>
        </w:rPr>
        <w:t>Savage</w:t>
      </w:r>
      <w:r w:rsidR="000011AD" w:rsidRPr="000011AD">
        <w:rPr>
          <w:rStyle w:val="FootnoteReference"/>
          <w:rFonts w:cs="Arial"/>
          <w:i/>
          <w:iCs/>
          <w:szCs w:val="24"/>
        </w:rPr>
        <w:footnoteReference w:id="26"/>
      </w:r>
      <w:r w:rsidRPr="000011AD">
        <w:rPr>
          <w:rFonts w:cs="Arial"/>
          <w:szCs w:val="24"/>
        </w:rPr>
        <w:t xml:space="preserve">; </w:t>
      </w:r>
      <w:r w:rsidRPr="000011AD">
        <w:rPr>
          <w:rFonts w:cs="Arial"/>
          <w:i/>
          <w:iCs/>
          <w:szCs w:val="24"/>
        </w:rPr>
        <w:t xml:space="preserve">Innerarily </w:t>
      </w:r>
      <w:r w:rsidRPr="000011AD">
        <w:rPr>
          <w:rFonts w:cs="Arial"/>
          <w:szCs w:val="24"/>
        </w:rPr>
        <w:t xml:space="preserve">v. </w:t>
      </w:r>
      <w:r w:rsidRPr="000011AD">
        <w:rPr>
          <w:rFonts w:cs="Arial"/>
          <w:i/>
          <w:iCs/>
          <w:szCs w:val="24"/>
        </w:rPr>
        <w:t>Merchants' National Bank</w:t>
      </w:r>
      <w:r w:rsidR="000011AD" w:rsidRPr="000011AD">
        <w:rPr>
          <w:rStyle w:val="FootnoteReference"/>
          <w:rFonts w:cs="Arial"/>
          <w:i/>
          <w:iCs/>
          <w:szCs w:val="24"/>
        </w:rPr>
        <w:footnoteReference w:id="27"/>
      </w:r>
      <w:r w:rsidRPr="000011AD">
        <w:rPr>
          <w:rFonts w:cs="Arial"/>
          <w:szCs w:val="24"/>
        </w:rPr>
        <w:t>; Bowstead on Agency, 335; Byles on Bills (15 ed.) 143. This is so, even if the agent makes representations to his</w:t>
      </w:r>
    </w:p>
    <w:p w:rsidR="007B20F5" w:rsidRPr="000011AD" w:rsidRDefault="003207A6" w:rsidP="003207A6">
      <w:pPr>
        <w:pStyle w:val="Page"/>
      </w:pPr>
      <w:r>
        <w:rPr>
          <w:rFonts w:cs="Arial"/>
          <w:szCs w:val="24"/>
        </w:rPr>
        <w:t xml:space="preserve">[Page </w:t>
      </w:r>
      <w:r w:rsidR="007B20F5" w:rsidRPr="000011AD">
        <w:rPr>
          <w:rFonts w:cs="Arial"/>
          <w:szCs w:val="24"/>
        </w:rPr>
        <w:t>104]</w:t>
      </w:r>
    </w:p>
    <w:p w:rsidR="007B20F5" w:rsidRPr="000011AD" w:rsidRDefault="007B20F5" w:rsidP="00061521">
      <w:pPr>
        <w:pStyle w:val="History"/>
        <w:ind w:firstLine="0"/>
        <w:rPr>
          <w:rFonts w:cs="Arial"/>
          <w:szCs w:val="24"/>
        </w:rPr>
      </w:pPr>
      <w:r w:rsidRPr="000011AD">
        <w:rPr>
          <w:rFonts w:cs="Arial"/>
          <w:szCs w:val="24"/>
        </w:rPr>
        <w:t xml:space="preserve">principal at variance with his knowledge and a contract is made on such representations. </w:t>
      </w:r>
      <w:r w:rsidRPr="000011AD">
        <w:rPr>
          <w:rFonts w:cs="Arial"/>
          <w:i/>
          <w:iCs/>
          <w:szCs w:val="24"/>
        </w:rPr>
        <w:t xml:space="preserve">Bawden </w:t>
      </w:r>
      <w:r w:rsidRPr="000011AD">
        <w:rPr>
          <w:rFonts w:cs="Arial"/>
          <w:szCs w:val="24"/>
        </w:rPr>
        <w:t xml:space="preserve">v. </w:t>
      </w:r>
      <w:r w:rsidRPr="000011AD">
        <w:rPr>
          <w:rFonts w:cs="Arial"/>
          <w:i/>
          <w:iCs/>
          <w:szCs w:val="24"/>
        </w:rPr>
        <w:t>London, Edinburg and Glasgow Assurance Co.</w:t>
      </w:r>
      <w:r w:rsidR="000011AD" w:rsidRPr="000011AD">
        <w:rPr>
          <w:rStyle w:val="FootnoteReference"/>
          <w:rFonts w:cs="Arial"/>
          <w:i/>
          <w:iCs/>
          <w:szCs w:val="24"/>
        </w:rPr>
        <w:footnoteReference w:id="28"/>
      </w:r>
      <w:r w:rsidRPr="000011AD">
        <w:rPr>
          <w:rFonts w:cs="Arial"/>
          <w:szCs w:val="24"/>
        </w:rPr>
        <w:t xml:space="preserve">; </w:t>
      </w:r>
      <w:r w:rsidRPr="000011AD">
        <w:rPr>
          <w:rFonts w:cs="Arial"/>
          <w:i/>
          <w:iCs/>
          <w:szCs w:val="24"/>
        </w:rPr>
        <w:t>Re Weir</w:t>
      </w:r>
      <w:r w:rsidRPr="000011AD">
        <w:rPr>
          <w:rFonts w:cs="Arial"/>
          <w:szCs w:val="24"/>
        </w:rPr>
        <w:t>;</w:t>
      </w:r>
      <w:r w:rsidRPr="000011AD">
        <w:rPr>
          <w:rFonts w:cs="Arial"/>
          <w:i/>
          <w:iCs/>
          <w:szCs w:val="24"/>
        </w:rPr>
        <w:t xml:space="preserve"> Hollingworth </w:t>
      </w:r>
      <w:r w:rsidRPr="000011AD">
        <w:rPr>
          <w:rFonts w:cs="Arial"/>
          <w:szCs w:val="24"/>
        </w:rPr>
        <w:t xml:space="preserve">v. </w:t>
      </w:r>
      <w:r w:rsidRPr="000011AD">
        <w:rPr>
          <w:rFonts w:cs="Arial"/>
          <w:i/>
          <w:iCs/>
          <w:szCs w:val="24"/>
        </w:rPr>
        <w:t>Willing</w:t>
      </w:r>
      <w:r w:rsidR="000011AD" w:rsidRPr="000011AD">
        <w:rPr>
          <w:rStyle w:val="FootnoteReference"/>
          <w:rFonts w:cs="Arial"/>
          <w:i/>
          <w:iCs/>
          <w:szCs w:val="24"/>
        </w:rPr>
        <w:footnoteReference w:id="29"/>
      </w:r>
      <w:r w:rsidRPr="000011AD">
        <w:rPr>
          <w:rFonts w:cs="Arial"/>
          <w:szCs w:val="24"/>
        </w:rPr>
        <w:t>.</w:t>
      </w:r>
    </w:p>
    <w:p w:rsidR="007B20F5" w:rsidRPr="000011AD" w:rsidRDefault="007B20F5" w:rsidP="00061521">
      <w:pPr>
        <w:pStyle w:val="History"/>
        <w:rPr>
          <w:rFonts w:cs="Arial"/>
          <w:szCs w:val="24"/>
        </w:rPr>
      </w:pPr>
      <w:r w:rsidRPr="000011AD">
        <w:rPr>
          <w:rFonts w:cs="Arial"/>
          <w:szCs w:val="24"/>
        </w:rPr>
        <w:t xml:space="preserve">It was the agent's duty to communicate the circumstances as to the condition on which he held the notes to his principal and the court should hold that he did communicate it. </w:t>
      </w:r>
      <w:r w:rsidRPr="000011AD">
        <w:rPr>
          <w:rFonts w:cs="Arial"/>
          <w:i/>
          <w:iCs/>
          <w:szCs w:val="24"/>
        </w:rPr>
        <w:t xml:space="preserve">Kettlewell </w:t>
      </w:r>
      <w:r w:rsidRPr="000011AD">
        <w:rPr>
          <w:rFonts w:cs="Arial"/>
          <w:szCs w:val="24"/>
        </w:rPr>
        <w:t xml:space="preserve">v. </w:t>
      </w:r>
      <w:r w:rsidRPr="000011AD">
        <w:rPr>
          <w:rFonts w:cs="Arial"/>
          <w:i/>
          <w:iCs/>
          <w:szCs w:val="24"/>
        </w:rPr>
        <w:t>Watson</w:t>
      </w:r>
      <w:r w:rsidR="000011AD" w:rsidRPr="000011AD">
        <w:rPr>
          <w:rStyle w:val="FootnoteReference"/>
          <w:rFonts w:cs="Arial"/>
          <w:i/>
          <w:iCs/>
          <w:szCs w:val="24"/>
        </w:rPr>
        <w:footnoteReference w:id="30"/>
      </w:r>
      <w:r w:rsidRPr="000011AD">
        <w:rPr>
          <w:rFonts w:cs="Arial"/>
          <w:szCs w:val="24"/>
        </w:rPr>
        <w:t xml:space="preserve">, per Frye J. at p. 705; </w:t>
      </w:r>
      <w:r w:rsidRPr="000011AD">
        <w:rPr>
          <w:rFonts w:cs="Arial"/>
          <w:i/>
          <w:iCs/>
          <w:szCs w:val="24"/>
        </w:rPr>
        <w:t xml:space="preserve">Allen </w:t>
      </w:r>
      <w:r w:rsidRPr="000011AD">
        <w:rPr>
          <w:rFonts w:cs="Arial"/>
          <w:szCs w:val="24"/>
        </w:rPr>
        <w:t xml:space="preserve">v. </w:t>
      </w:r>
      <w:r w:rsidRPr="000011AD">
        <w:rPr>
          <w:rFonts w:cs="Arial"/>
          <w:i/>
          <w:iCs/>
          <w:szCs w:val="24"/>
        </w:rPr>
        <w:t>South Boston Railroad Co.</w:t>
      </w:r>
      <w:r w:rsidR="000011AD" w:rsidRPr="000011AD">
        <w:rPr>
          <w:rStyle w:val="FootnoteReference"/>
          <w:rFonts w:cs="Arial"/>
          <w:i/>
          <w:iCs/>
          <w:szCs w:val="24"/>
        </w:rPr>
        <w:footnoteReference w:id="31"/>
      </w:r>
      <w:r w:rsidRPr="000011AD">
        <w:rPr>
          <w:rFonts w:cs="Arial"/>
          <w:szCs w:val="24"/>
        </w:rPr>
        <w:t xml:space="preserve">. It must be made out that distinct fraud was intended in the very transaction so as to make it necessary for the agent to conceal facts from his principal in order to defraud him; </w:t>
      </w:r>
      <w:r w:rsidRPr="000011AD">
        <w:rPr>
          <w:rFonts w:cs="Arial"/>
          <w:i/>
          <w:iCs/>
          <w:szCs w:val="24"/>
        </w:rPr>
        <w:t xml:space="preserve">Rolland </w:t>
      </w:r>
      <w:r w:rsidRPr="000011AD">
        <w:rPr>
          <w:rFonts w:cs="Arial"/>
          <w:szCs w:val="24"/>
        </w:rPr>
        <w:t>v</w:t>
      </w:r>
      <w:r w:rsidRPr="000011AD">
        <w:rPr>
          <w:rFonts w:cs="Arial"/>
          <w:i/>
          <w:iCs/>
          <w:szCs w:val="24"/>
        </w:rPr>
        <w:t>. Hart</w:t>
      </w:r>
      <w:r w:rsidR="000011AD" w:rsidRPr="000011AD">
        <w:rPr>
          <w:rStyle w:val="FootnoteReference"/>
          <w:rFonts w:cs="Arial"/>
          <w:i/>
          <w:iCs/>
          <w:szCs w:val="24"/>
        </w:rPr>
        <w:footnoteReference w:id="32"/>
      </w:r>
      <w:r w:rsidRPr="000011AD">
        <w:rPr>
          <w:rFonts w:cs="Arial"/>
          <w:szCs w:val="24"/>
        </w:rPr>
        <w:t xml:space="preserve">; and this must be made out independently of </w:t>
      </w:r>
      <w:r w:rsidRPr="000011AD">
        <w:rPr>
          <w:rFonts w:cs="Arial"/>
          <w:szCs w:val="24"/>
        </w:rPr>
        <w:lastRenderedPageBreak/>
        <w:t xml:space="preserve">the transaction itself; </w:t>
      </w:r>
      <w:r w:rsidRPr="000011AD">
        <w:rPr>
          <w:rFonts w:cs="Arial"/>
          <w:i/>
          <w:iCs/>
          <w:szCs w:val="24"/>
        </w:rPr>
        <w:t xml:space="preserve">Cave </w:t>
      </w:r>
      <w:r w:rsidRPr="000011AD">
        <w:rPr>
          <w:rFonts w:cs="Arial"/>
          <w:szCs w:val="24"/>
        </w:rPr>
        <w:t xml:space="preserve">v. </w:t>
      </w:r>
      <w:r w:rsidRPr="000011AD">
        <w:rPr>
          <w:rFonts w:cs="Arial"/>
          <w:i/>
          <w:iCs/>
          <w:szCs w:val="24"/>
        </w:rPr>
        <w:t>Cave</w:t>
      </w:r>
      <w:r w:rsidR="000011AD" w:rsidRPr="000011AD">
        <w:rPr>
          <w:rStyle w:val="FootnoteReference"/>
          <w:rFonts w:cs="Arial"/>
          <w:i/>
          <w:iCs/>
          <w:szCs w:val="24"/>
        </w:rPr>
        <w:footnoteReference w:id="33"/>
      </w:r>
      <w:r w:rsidRPr="000011AD">
        <w:rPr>
          <w:rFonts w:cs="Arial"/>
          <w:szCs w:val="24"/>
        </w:rPr>
        <w:t xml:space="preserve">. The mere fact that the agent has an interest in suppressing his knowledge is not sufficient to prevent such knowledge being imputed to the principal if it is the duty of the agent to communicate it. </w:t>
      </w:r>
      <w:r w:rsidRPr="000011AD">
        <w:rPr>
          <w:rFonts w:cs="Arial"/>
          <w:i/>
          <w:iCs/>
          <w:szCs w:val="24"/>
        </w:rPr>
        <w:t xml:space="preserve">Thompson </w:t>
      </w:r>
      <w:r w:rsidRPr="000011AD">
        <w:rPr>
          <w:rFonts w:cs="Arial"/>
          <w:szCs w:val="24"/>
        </w:rPr>
        <w:t xml:space="preserve">v. </w:t>
      </w:r>
      <w:r w:rsidRPr="000011AD">
        <w:rPr>
          <w:rFonts w:cs="Arial"/>
          <w:i/>
          <w:iCs/>
          <w:szCs w:val="24"/>
        </w:rPr>
        <w:t>Cartwright</w:t>
      </w:r>
      <w:r w:rsidR="000011AD" w:rsidRPr="000011AD">
        <w:rPr>
          <w:rStyle w:val="FootnoteReference"/>
          <w:rFonts w:cs="Arial"/>
          <w:i/>
          <w:iCs/>
          <w:szCs w:val="24"/>
        </w:rPr>
        <w:footnoteReference w:id="34"/>
      </w:r>
      <w:r w:rsidRPr="000011AD">
        <w:rPr>
          <w:rFonts w:cs="Arial"/>
          <w:szCs w:val="24"/>
        </w:rPr>
        <w:t xml:space="preserve">; </w:t>
      </w:r>
      <w:r w:rsidRPr="000011AD">
        <w:rPr>
          <w:rFonts w:cs="Arial"/>
          <w:i/>
          <w:iCs/>
          <w:szCs w:val="24"/>
        </w:rPr>
        <w:t xml:space="preserve">Bradley </w:t>
      </w:r>
      <w:r w:rsidRPr="000011AD">
        <w:rPr>
          <w:rFonts w:cs="Arial"/>
          <w:szCs w:val="24"/>
        </w:rPr>
        <w:t xml:space="preserve">v. </w:t>
      </w:r>
      <w:r w:rsidRPr="000011AD">
        <w:rPr>
          <w:rFonts w:cs="Arial"/>
          <w:i/>
          <w:iCs/>
          <w:szCs w:val="24"/>
        </w:rPr>
        <w:t>Riches,</w:t>
      </w:r>
      <w:r w:rsidR="000011AD" w:rsidRPr="000011AD">
        <w:rPr>
          <w:rStyle w:val="FootnoteReference"/>
          <w:rFonts w:cs="Arial"/>
          <w:i/>
          <w:iCs/>
          <w:szCs w:val="24"/>
        </w:rPr>
        <w:footnoteReference w:id="35"/>
      </w:r>
      <w:r w:rsidRPr="000011AD">
        <w:rPr>
          <w:rFonts w:cs="Arial"/>
          <w:szCs w:val="24"/>
        </w:rPr>
        <w:t xml:space="preserve">. When a bank acts through an agent the bank must be deemed to know what the agent knows. </w:t>
      </w:r>
      <w:r w:rsidRPr="000011AD">
        <w:rPr>
          <w:rFonts w:cs="Arial"/>
          <w:i/>
          <w:iCs/>
          <w:szCs w:val="24"/>
        </w:rPr>
        <w:t>Atlantic Cotton Mills v. Indian Orchard Mills</w:t>
      </w:r>
      <w:r w:rsidR="000011AD" w:rsidRPr="000011AD">
        <w:rPr>
          <w:rStyle w:val="FootnoteReference"/>
          <w:rFonts w:cs="Arial"/>
          <w:i/>
          <w:iCs/>
          <w:szCs w:val="24"/>
        </w:rPr>
        <w:footnoteReference w:id="36"/>
      </w:r>
      <w:r w:rsidRPr="000011AD">
        <w:rPr>
          <w:rFonts w:cs="Arial"/>
          <w:szCs w:val="24"/>
        </w:rPr>
        <w:t xml:space="preserve">; </w:t>
      </w:r>
      <w:r w:rsidRPr="000011AD">
        <w:rPr>
          <w:rFonts w:cs="Arial"/>
          <w:i/>
          <w:iCs/>
          <w:szCs w:val="24"/>
        </w:rPr>
        <w:t xml:space="preserve">Bank of United States </w:t>
      </w:r>
      <w:r w:rsidRPr="000011AD">
        <w:rPr>
          <w:rFonts w:cs="Arial"/>
          <w:szCs w:val="24"/>
        </w:rPr>
        <w:t xml:space="preserve">v. </w:t>
      </w:r>
      <w:r w:rsidRPr="000011AD">
        <w:rPr>
          <w:rFonts w:cs="Arial"/>
          <w:i/>
          <w:iCs/>
          <w:szCs w:val="24"/>
        </w:rPr>
        <w:t>Davis</w:t>
      </w:r>
      <w:r w:rsidR="000011AD" w:rsidRPr="000011AD">
        <w:rPr>
          <w:rStyle w:val="FootnoteReference"/>
          <w:rFonts w:cs="Arial"/>
          <w:i/>
          <w:iCs/>
          <w:szCs w:val="24"/>
        </w:rPr>
        <w:footnoteReference w:id="37"/>
      </w:r>
      <w:r w:rsidRPr="000011AD">
        <w:rPr>
          <w:rFonts w:cs="Arial"/>
          <w:szCs w:val="24"/>
        </w:rPr>
        <w:t xml:space="preserve">; </w:t>
      </w:r>
      <w:r w:rsidRPr="000011AD">
        <w:rPr>
          <w:rFonts w:cs="Arial"/>
          <w:i/>
          <w:iCs/>
          <w:szCs w:val="24"/>
        </w:rPr>
        <w:t xml:space="preserve">Blackburn, Low &amp; Co. </w:t>
      </w:r>
      <w:r w:rsidRPr="000011AD">
        <w:rPr>
          <w:rFonts w:cs="Arial"/>
          <w:szCs w:val="24"/>
        </w:rPr>
        <w:t xml:space="preserve">v. </w:t>
      </w:r>
      <w:r w:rsidRPr="000011AD">
        <w:rPr>
          <w:rFonts w:cs="Arial"/>
          <w:i/>
          <w:iCs/>
          <w:szCs w:val="24"/>
        </w:rPr>
        <w:t>Vigors</w:t>
      </w:r>
      <w:r w:rsidR="000011AD" w:rsidRPr="000011AD">
        <w:rPr>
          <w:rStyle w:val="FootnoteReference"/>
          <w:rFonts w:cs="Arial"/>
          <w:i/>
          <w:iCs/>
          <w:szCs w:val="24"/>
        </w:rPr>
        <w:footnoteReference w:id="38"/>
      </w:r>
      <w:r w:rsidRPr="000011AD">
        <w:rPr>
          <w:rFonts w:cs="Arial"/>
          <w:szCs w:val="24"/>
        </w:rPr>
        <w:t xml:space="preserve">; </w:t>
      </w:r>
      <w:r w:rsidRPr="000011AD">
        <w:rPr>
          <w:rFonts w:cs="Arial"/>
          <w:i/>
          <w:iCs/>
          <w:szCs w:val="24"/>
        </w:rPr>
        <w:t xml:space="preserve">Barwick </w:t>
      </w:r>
      <w:r w:rsidRPr="000011AD">
        <w:rPr>
          <w:rFonts w:cs="Arial"/>
          <w:szCs w:val="24"/>
        </w:rPr>
        <w:t xml:space="preserve">v. </w:t>
      </w:r>
      <w:r w:rsidRPr="000011AD">
        <w:rPr>
          <w:rFonts w:cs="Arial"/>
          <w:i/>
          <w:iCs/>
          <w:szCs w:val="24"/>
        </w:rPr>
        <w:t>English Joint Stock Bank</w:t>
      </w:r>
      <w:r w:rsidR="000011AD" w:rsidRPr="000011AD">
        <w:rPr>
          <w:rStyle w:val="FootnoteReference"/>
          <w:rFonts w:cs="Arial"/>
          <w:i/>
          <w:iCs/>
          <w:szCs w:val="24"/>
        </w:rPr>
        <w:footnoteReference w:id="39"/>
      </w:r>
      <w:r w:rsidRPr="000011AD">
        <w:rPr>
          <w:rFonts w:cs="Arial"/>
          <w:szCs w:val="24"/>
        </w:rPr>
        <w:t xml:space="preserve">; </w:t>
      </w:r>
      <w:r w:rsidRPr="000011AD">
        <w:rPr>
          <w:rFonts w:cs="Arial"/>
          <w:i/>
          <w:iCs/>
          <w:szCs w:val="24"/>
        </w:rPr>
        <w:t xml:space="preserve">British Mutual Banking Co. </w:t>
      </w:r>
      <w:r w:rsidRPr="000011AD">
        <w:rPr>
          <w:rFonts w:cs="Arial"/>
          <w:szCs w:val="24"/>
        </w:rPr>
        <w:t xml:space="preserve">v. </w:t>
      </w:r>
      <w:r w:rsidRPr="000011AD">
        <w:rPr>
          <w:rFonts w:cs="Arial"/>
          <w:i/>
          <w:iCs/>
          <w:szCs w:val="24"/>
        </w:rPr>
        <w:t>Charnwood Forest Railway Co.</w:t>
      </w:r>
      <w:r w:rsidR="000011AD" w:rsidRPr="000011AD">
        <w:rPr>
          <w:rStyle w:val="FootnoteReference"/>
          <w:rFonts w:cs="Arial"/>
          <w:i/>
          <w:iCs/>
          <w:szCs w:val="24"/>
        </w:rPr>
        <w:footnoteReference w:id="40"/>
      </w:r>
      <w:r w:rsidRPr="000011AD">
        <w:rPr>
          <w:rFonts w:cs="Arial"/>
          <w:szCs w:val="24"/>
        </w:rPr>
        <w:t xml:space="preserve">; </w:t>
      </w:r>
      <w:r w:rsidRPr="000011AD">
        <w:rPr>
          <w:rFonts w:cs="Arial"/>
          <w:i/>
          <w:iCs/>
          <w:szCs w:val="24"/>
        </w:rPr>
        <w:t xml:space="preserve">Mackay </w:t>
      </w:r>
      <w:r w:rsidRPr="000011AD">
        <w:rPr>
          <w:rFonts w:cs="Arial"/>
          <w:szCs w:val="24"/>
        </w:rPr>
        <w:t xml:space="preserve">v. </w:t>
      </w:r>
      <w:r w:rsidRPr="000011AD">
        <w:rPr>
          <w:rFonts w:cs="Arial"/>
          <w:i/>
          <w:iCs/>
          <w:szCs w:val="24"/>
        </w:rPr>
        <w:t>Commercial Bank of New Bruswick</w:t>
      </w:r>
      <w:r w:rsidR="000011AD" w:rsidRPr="000011AD">
        <w:rPr>
          <w:rStyle w:val="FootnoteReference"/>
          <w:rFonts w:cs="Arial"/>
          <w:i/>
          <w:iCs/>
          <w:szCs w:val="24"/>
        </w:rPr>
        <w:footnoteReference w:id="41"/>
      </w:r>
      <w:r w:rsidRPr="000011AD">
        <w:rPr>
          <w:rFonts w:cs="Arial"/>
          <w:szCs w:val="24"/>
        </w:rPr>
        <w:t xml:space="preserve">; </w:t>
      </w:r>
      <w:r w:rsidRPr="000011AD">
        <w:rPr>
          <w:rFonts w:cs="Arial"/>
          <w:i/>
          <w:iCs/>
          <w:szCs w:val="24"/>
        </w:rPr>
        <w:t xml:space="preserve">Collinson </w:t>
      </w:r>
      <w:r w:rsidRPr="000011AD">
        <w:rPr>
          <w:rFonts w:cs="Arial"/>
          <w:szCs w:val="24"/>
        </w:rPr>
        <w:t xml:space="preserve">v. </w:t>
      </w:r>
      <w:r w:rsidRPr="000011AD">
        <w:rPr>
          <w:rFonts w:cs="Arial"/>
          <w:i/>
          <w:iCs/>
          <w:szCs w:val="24"/>
        </w:rPr>
        <w:t>Lister</w:t>
      </w:r>
      <w:r w:rsidR="000011AD" w:rsidRPr="000011AD">
        <w:rPr>
          <w:rStyle w:val="FootnoteReference"/>
          <w:rFonts w:cs="Arial"/>
          <w:i/>
          <w:iCs/>
          <w:szCs w:val="24"/>
        </w:rPr>
        <w:footnoteReference w:id="42"/>
      </w:r>
      <w:r w:rsidRPr="000011AD">
        <w:rPr>
          <w:rFonts w:cs="Arial"/>
          <w:szCs w:val="24"/>
        </w:rPr>
        <w:t xml:space="preserve">; </w:t>
      </w:r>
      <w:r w:rsidRPr="000011AD">
        <w:rPr>
          <w:rFonts w:cs="Arial"/>
          <w:i/>
          <w:iCs/>
          <w:szCs w:val="24"/>
        </w:rPr>
        <w:t xml:space="preserve">Re Halifax Sugar Refining </w:t>
      </w:r>
      <w:r w:rsidRPr="000011AD">
        <w:rPr>
          <w:rFonts w:cs="Arial"/>
          <w:szCs w:val="24"/>
        </w:rPr>
        <w:t>Co. .</w:t>
      </w:r>
      <w:r w:rsidR="000011AD" w:rsidRPr="000011AD">
        <w:rPr>
          <w:rStyle w:val="FootnoteReference"/>
          <w:rFonts w:cs="Arial"/>
          <w:szCs w:val="24"/>
        </w:rPr>
        <w:footnoteReference w:id="43"/>
      </w:r>
      <w:r w:rsidRPr="000011AD">
        <w:rPr>
          <w:rFonts w:cs="Arial"/>
          <w:szCs w:val="24"/>
        </w:rPr>
        <w:t xml:space="preserve">; </w:t>
      </w:r>
      <w:r w:rsidRPr="000011AD">
        <w:rPr>
          <w:rFonts w:cs="Arial"/>
          <w:i/>
          <w:iCs/>
          <w:szCs w:val="24"/>
        </w:rPr>
        <w:t xml:space="preserve">National Security Bank </w:t>
      </w:r>
      <w:r w:rsidRPr="000011AD">
        <w:rPr>
          <w:rFonts w:cs="Arial"/>
          <w:szCs w:val="24"/>
        </w:rPr>
        <w:t xml:space="preserve">v. </w:t>
      </w:r>
      <w:r w:rsidRPr="000011AD">
        <w:rPr>
          <w:rFonts w:cs="Arial"/>
          <w:i/>
          <w:iCs/>
          <w:szCs w:val="24"/>
        </w:rPr>
        <w:t>Cushman</w:t>
      </w:r>
      <w:r w:rsidR="000011AD" w:rsidRPr="000011AD">
        <w:rPr>
          <w:rStyle w:val="FootnoteReference"/>
          <w:rFonts w:cs="Arial"/>
          <w:i/>
          <w:iCs/>
          <w:szCs w:val="24"/>
        </w:rPr>
        <w:footnoteReference w:id="44"/>
      </w:r>
      <w:r w:rsidRPr="000011AD">
        <w:rPr>
          <w:rFonts w:cs="Arial"/>
          <w:szCs w:val="24"/>
        </w:rPr>
        <w:t xml:space="preserve">; </w:t>
      </w:r>
      <w:r w:rsidRPr="000011AD">
        <w:rPr>
          <w:rFonts w:cs="Arial"/>
          <w:i/>
          <w:iCs/>
          <w:szCs w:val="24"/>
        </w:rPr>
        <w:t xml:space="preserve">Twenty-Sixth Ward Bank </w:t>
      </w:r>
      <w:r w:rsidRPr="000011AD">
        <w:rPr>
          <w:rFonts w:cs="Arial"/>
          <w:szCs w:val="24"/>
        </w:rPr>
        <w:t xml:space="preserve">v. </w:t>
      </w:r>
      <w:r w:rsidRPr="000011AD">
        <w:rPr>
          <w:rFonts w:cs="Arial"/>
          <w:i/>
          <w:iCs/>
          <w:szCs w:val="24"/>
        </w:rPr>
        <w:t>Stearns</w:t>
      </w:r>
      <w:r w:rsidR="000011AD" w:rsidRPr="000011AD">
        <w:rPr>
          <w:rStyle w:val="FootnoteReference"/>
          <w:rFonts w:cs="Arial"/>
          <w:i/>
          <w:iCs/>
          <w:szCs w:val="24"/>
        </w:rPr>
        <w:footnoteReference w:id="45"/>
      </w:r>
      <w:r w:rsidRPr="000011AD">
        <w:rPr>
          <w:rFonts w:cs="Arial"/>
          <w:szCs w:val="24"/>
        </w:rPr>
        <w:t>.</w:t>
      </w:r>
    </w:p>
    <w:p w:rsidR="007B20F5" w:rsidRPr="000011AD" w:rsidRDefault="003207A6" w:rsidP="003207A6">
      <w:pPr>
        <w:pStyle w:val="Page"/>
      </w:pPr>
      <w:r>
        <w:rPr>
          <w:rFonts w:cs="Arial"/>
          <w:szCs w:val="24"/>
        </w:rPr>
        <w:t xml:space="preserve">[Page </w:t>
      </w:r>
      <w:r w:rsidR="007B20F5" w:rsidRPr="000011AD">
        <w:rPr>
          <w:rFonts w:cs="Arial"/>
          <w:szCs w:val="24"/>
        </w:rPr>
        <w:t>105]</w:t>
      </w:r>
    </w:p>
    <w:p w:rsidR="007B20F5" w:rsidRPr="000011AD" w:rsidRDefault="007B20F5" w:rsidP="00061521">
      <w:pPr>
        <w:pStyle w:val="Reasons"/>
      </w:pPr>
      <w:r w:rsidRPr="000011AD">
        <w:t>The judgment of the court was delivered by:</w:t>
      </w:r>
    </w:p>
    <w:p w:rsidR="007B20F5" w:rsidRPr="000011AD" w:rsidRDefault="00061521" w:rsidP="00061521">
      <w:pPr>
        <w:pStyle w:val="Reasons"/>
        <w:rPr>
          <w:rFonts w:cs="Arial"/>
          <w:szCs w:val="24"/>
        </w:rPr>
      </w:pPr>
      <w:r w:rsidRPr="000011AD">
        <w:rPr>
          <w:rFonts w:cs="Arial"/>
          <w:szCs w:val="24"/>
        </w:rPr>
        <w:t>THE CHIEF JUSTICE</w:t>
      </w:r>
      <w:r w:rsidRPr="000011AD">
        <w:rPr>
          <w:rFonts w:cs="Arial"/>
          <w:smallCaps/>
          <w:szCs w:val="24"/>
        </w:rPr>
        <w:t xml:space="preserve"> </w:t>
      </w:r>
      <w:r w:rsidR="007B20F5" w:rsidRPr="000011AD">
        <w:rPr>
          <w:rFonts w:cs="Arial"/>
          <w:szCs w:val="24"/>
        </w:rPr>
        <w:t xml:space="preserve">(oral).—The only title that the bank had to the notes in question was through Marshall, its agent, and it is impossible that they can be used by the bank except subject to the terms upon which the notes were delivered to the agent through whom it derived its title. It was known to Marshall that it had been agreed between Morrison and Smith that the notes should be available only upon condition that some other responsible person should also become surety. The agent took the notes subject to this condition and it must be assumed that the bank also agreed to these terms. So far as the pleadings are concerned, they are sufficient to raise this issue. The case is governed by the principle laid down in </w:t>
      </w:r>
      <w:r w:rsidR="007B20F5" w:rsidRPr="000011AD">
        <w:rPr>
          <w:rFonts w:ascii="Arial CYR" w:hAnsi="Arial CYR" w:cs="Arial CYR"/>
          <w:i/>
          <w:iCs/>
          <w:szCs w:val="24"/>
          <w:lang w:val="ru-RU"/>
        </w:rPr>
        <w:t xml:space="preserve">Рут </w:t>
      </w:r>
      <w:r w:rsidR="007B20F5" w:rsidRPr="000011AD">
        <w:rPr>
          <w:rFonts w:cs="Arial"/>
          <w:szCs w:val="24"/>
        </w:rPr>
        <w:t xml:space="preserve">v. </w:t>
      </w:r>
      <w:r w:rsidR="007B20F5" w:rsidRPr="000011AD">
        <w:rPr>
          <w:rFonts w:cs="Arial"/>
          <w:i/>
          <w:iCs/>
          <w:szCs w:val="24"/>
        </w:rPr>
        <w:t>Campbell</w:t>
      </w:r>
      <w:r w:rsidR="000011AD" w:rsidRPr="000011AD">
        <w:rPr>
          <w:rStyle w:val="FootnoteReference"/>
          <w:rFonts w:cs="Arial"/>
          <w:i/>
          <w:iCs/>
          <w:szCs w:val="24"/>
        </w:rPr>
        <w:footnoteReference w:id="46"/>
      </w:r>
      <w:r w:rsidR="007B20F5" w:rsidRPr="000011AD">
        <w:rPr>
          <w:rFonts w:cs="Arial"/>
          <w:szCs w:val="24"/>
        </w:rPr>
        <w:t>.</w:t>
      </w:r>
    </w:p>
    <w:p w:rsidR="007B20F5" w:rsidRPr="000011AD" w:rsidRDefault="007B20F5" w:rsidP="00061521">
      <w:pPr>
        <w:pStyle w:val="Reasons"/>
        <w:rPr>
          <w:rFonts w:cs="Arial"/>
          <w:szCs w:val="24"/>
        </w:rPr>
      </w:pPr>
      <w:r w:rsidRPr="000011AD">
        <w:rPr>
          <w:rFonts w:cs="Arial"/>
          <w:szCs w:val="24"/>
        </w:rPr>
        <w:t xml:space="preserve">Of course, it has been decided that the principal is not affected where the agent has been guilty of fraud, but it is not sufficient for the bank to show merely that the agent had some interest in deceiving his principal. It must be shown that the agent was actually implicated in a fraud on his principal. Marshall could not have recovered upon </w:t>
      </w:r>
      <w:r w:rsidRPr="000011AD">
        <w:rPr>
          <w:rFonts w:cs="Arial"/>
          <w:szCs w:val="24"/>
        </w:rPr>
        <w:lastRenderedPageBreak/>
        <w:t xml:space="preserve">the notes if he had sued in his own name as he accepted them conditionally and it is not sufficient to show that he was interested in not communicating this condition to his principal. I refer to the remarks of Mr. Justice Fry in the case of </w:t>
      </w:r>
      <w:r w:rsidRPr="000011AD">
        <w:rPr>
          <w:rFonts w:cs="Arial"/>
          <w:i/>
          <w:iCs/>
          <w:szCs w:val="24"/>
        </w:rPr>
        <w:t xml:space="preserve">Kettlewell </w:t>
      </w:r>
      <w:r w:rsidRPr="000011AD">
        <w:rPr>
          <w:rFonts w:cs="Arial"/>
          <w:szCs w:val="24"/>
        </w:rPr>
        <w:t xml:space="preserve">v. </w:t>
      </w:r>
      <w:r w:rsidRPr="000011AD">
        <w:rPr>
          <w:rFonts w:cs="Arial"/>
          <w:i/>
          <w:iCs/>
          <w:szCs w:val="24"/>
        </w:rPr>
        <w:t>Watson</w:t>
      </w:r>
      <w:r w:rsidR="000011AD" w:rsidRPr="000011AD">
        <w:rPr>
          <w:rStyle w:val="FootnoteReference"/>
          <w:rFonts w:cs="Arial"/>
          <w:i/>
          <w:iCs/>
          <w:szCs w:val="24"/>
        </w:rPr>
        <w:footnoteReference w:id="47"/>
      </w:r>
      <w:r w:rsidRPr="000011AD">
        <w:rPr>
          <w:rFonts w:cs="Arial"/>
          <w:szCs w:val="24"/>
        </w:rPr>
        <w:t xml:space="preserve">, and also to those of Mr. Justice King in the case of </w:t>
      </w:r>
      <w:r w:rsidRPr="000011AD">
        <w:rPr>
          <w:rFonts w:cs="Arial"/>
          <w:i/>
          <w:iCs/>
          <w:szCs w:val="24"/>
        </w:rPr>
        <w:t xml:space="preserve">Richards </w:t>
      </w:r>
      <w:r w:rsidRPr="000011AD">
        <w:rPr>
          <w:rFonts w:cs="Arial"/>
          <w:szCs w:val="24"/>
        </w:rPr>
        <w:t xml:space="preserve">v. </w:t>
      </w:r>
      <w:r w:rsidRPr="000011AD">
        <w:rPr>
          <w:rFonts w:cs="Arial"/>
          <w:i/>
          <w:iCs/>
          <w:szCs w:val="24"/>
        </w:rPr>
        <w:t>The Bank of Nova Scotia</w:t>
      </w:r>
      <w:r w:rsidR="000011AD" w:rsidRPr="000011AD">
        <w:rPr>
          <w:rStyle w:val="FootnoteReference"/>
          <w:rFonts w:cs="Arial"/>
          <w:i/>
          <w:iCs/>
          <w:szCs w:val="24"/>
        </w:rPr>
        <w:footnoteReference w:id="48"/>
      </w:r>
      <w:r w:rsidRPr="000011AD">
        <w:rPr>
          <w:rFonts w:cs="Arial"/>
          <w:szCs w:val="24"/>
        </w:rPr>
        <w:t xml:space="preserve"> decided by this court.</w:t>
      </w:r>
    </w:p>
    <w:p w:rsidR="007B20F5" w:rsidRPr="000011AD" w:rsidRDefault="007B20F5" w:rsidP="00061521">
      <w:pPr>
        <w:pStyle w:val="Reasons"/>
        <w:rPr>
          <w:rFonts w:cs="Arial"/>
          <w:szCs w:val="24"/>
        </w:rPr>
      </w:pPr>
      <w:r w:rsidRPr="000011AD">
        <w:rPr>
          <w:rFonts w:cs="Arial"/>
          <w:szCs w:val="24"/>
        </w:rPr>
        <w:t>So far as the facts of the case are concerned they are sufficiently settled by the findings of the jury to the questions put to them, except as regards the fourth,</w:t>
      </w:r>
    </w:p>
    <w:p w:rsidR="007B20F5" w:rsidRPr="000011AD" w:rsidRDefault="003207A6" w:rsidP="003207A6">
      <w:pPr>
        <w:pStyle w:val="Page"/>
      </w:pPr>
      <w:r>
        <w:rPr>
          <w:rFonts w:cs="Arial"/>
          <w:szCs w:val="24"/>
        </w:rPr>
        <w:t xml:space="preserve">[Page </w:t>
      </w:r>
      <w:r w:rsidR="007B20F5" w:rsidRPr="000011AD">
        <w:rPr>
          <w:rFonts w:cs="Arial"/>
          <w:szCs w:val="24"/>
        </w:rPr>
        <w:t>106]</w:t>
      </w:r>
    </w:p>
    <w:p w:rsidR="007B20F5" w:rsidRPr="000011AD" w:rsidRDefault="007B20F5" w:rsidP="00061521">
      <w:pPr>
        <w:pStyle w:val="Reasons"/>
        <w:rPr>
          <w:rFonts w:cs="Arial"/>
          <w:szCs w:val="24"/>
        </w:rPr>
      </w:pPr>
      <w:r w:rsidRPr="000011AD">
        <w:rPr>
          <w:rFonts w:cs="Arial"/>
          <w:szCs w:val="24"/>
        </w:rPr>
        <w:t>sixth and eleventh questions as to which a new trial has been ordered.</w:t>
      </w:r>
    </w:p>
    <w:p w:rsidR="007B20F5" w:rsidRPr="000011AD" w:rsidRDefault="007B20F5" w:rsidP="00061521">
      <w:pPr>
        <w:pStyle w:val="Reasons"/>
        <w:rPr>
          <w:rFonts w:cs="Arial"/>
          <w:szCs w:val="24"/>
        </w:rPr>
      </w:pPr>
      <w:r w:rsidRPr="000011AD">
        <w:rPr>
          <w:rFonts w:cs="Arial"/>
          <w:szCs w:val="24"/>
        </w:rPr>
        <w:t>The appeal must be dismissed with costs.</w:t>
      </w:r>
    </w:p>
    <w:p w:rsidR="007B20F5" w:rsidRPr="000011AD" w:rsidRDefault="007B20F5" w:rsidP="00061521">
      <w:pPr>
        <w:pStyle w:val="Reasons"/>
      </w:pPr>
      <w:r w:rsidRPr="000011AD">
        <w:t>Appeal dismissed with costs.</w:t>
      </w:r>
    </w:p>
    <w:p w:rsidR="007B20F5" w:rsidRPr="000011AD" w:rsidRDefault="007B20F5" w:rsidP="00061521">
      <w:pPr>
        <w:pStyle w:val="Sollicitors"/>
        <w:rPr>
          <w:iCs/>
        </w:rPr>
      </w:pPr>
      <w:r w:rsidRPr="000011AD">
        <w:t xml:space="preserve">Solicitor for the appellant: </w:t>
      </w:r>
      <w:r w:rsidRPr="000011AD">
        <w:rPr>
          <w:iCs/>
        </w:rPr>
        <w:t>W. G. Parsons.</w:t>
      </w:r>
    </w:p>
    <w:p w:rsidR="003824D9" w:rsidRDefault="007B20F5" w:rsidP="00061521">
      <w:pPr>
        <w:pStyle w:val="Sollicitors"/>
      </w:pPr>
      <w:r w:rsidRPr="000011AD">
        <w:t xml:space="preserve">Solicitor for the respondent: </w:t>
      </w:r>
      <w:r w:rsidRPr="000011AD">
        <w:rPr>
          <w:iCs/>
        </w:rPr>
        <w:t>O</w:t>
      </w:r>
      <w:r w:rsidRPr="000011AD">
        <w:t xml:space="preserve">. </w:t>
      </w:r>
      <w:r w:rsidRPr="000011AD">
        <w:rPr>
          <w:iCs/>
        </w:rPr>
        <w:t>T. Daniels.</w:t>
      </w:r>
    </w:p>
    <w:sectPr w:rsidR="003824D9" w:rsidSect="00E845C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29" w:rsidRDefault="00444229" w:rsidP="00E845C5">
      <w:r>
        <w:separator/>
      </w:r>
    </w:p>
  </w:endnote>
  <w:endnote w:type="continuationSeparator" w:id="1">
    <w:p w:rsidR="00444229" w:rsidRDefault="00444229" w:rsidP="00E84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29" w:rsidRDefault="00444229" w:rsidP="00E845C5">
      <w:r>
        <w:separator/>
      </w:r>
    </w:p>
  </w:footnote>
  <w:footnote w:type="continuationSeparator" w:id="1">
    <w:p w:rsidR="00444229" w:rsidRDefault="00444229" w:rsidP="00E845C5">
      <w:r>
        <w:continuationSeparator/>
      </w:r>
    </w:p>
  </w:footnote>
  <w:footnote w:id="2">
    <w:p w:rsidR="000011AD" w:rsidRPr="000011AD" w:rsidRDefault="000011AD">
      <w:pPr>
        <w:pStyle w:val="FootnoteText"/>
        <w:rPr>
          <w:lang w:val="en-US"/>
        </w:rPr>
      </w:pPr>
      <w:r>
        <w:rPr>
          <w:rStyle w:val="FootnoteReference"/>
        </w:rPr>
        <w:footnoteRef/>
      </w:r>
      <w:r>
        <w:t xml:space="preserve"> </w:t>
      </w:r>
      <w:r w:rsidRPr="00791627">
        <w:rPr>
          <w:rFonts w:cs="Arial"/>
          <w:szCs w:val="24"/>
        </w:rPr>
        <w:t>26 Can. S. C. R. 381</w:t>
      </w:r>
    </w:p>
  </w:footnote>
  <w:footnote w:id="3">
    <w:p w:rsidR="000011AD" w:rsidRPr="000011AD" w:rsidRDefault="000011AD">
      <w:pPr>
        <w:pStyle w:val="FootnoteText"/>
        <w:rPr>
          <w:lang w:val="en-US"/>
        </w:rPr>
      </w:pPr>
      <w:r>
        <w:rPr>
          <w:rStyle w:val="FootnoteReference"/>
        </w:rPr>
        <w:footnoteRef/>
      </w:r>
      <w:r>
        <w:t xml:space="preserve"> </w:t>
      </w:r>
      <w:r w:rsidRPr="00791627">
        <w:rPr>
          <w:rFonts w:cs="Arial"/>
          <w:szCs w:val="24"/>
        </w:rPr>
        <w:t>[1896] 2 Ch. 743.</w:t>
      </w:r>
    </w:p>
  </w:footnote>
  <w:footnote w:id="4">
    <w:p w:rsidR="000011AD" w:rsidRPr="000011AD" w:rsidRDefault="000011AD">
      <w:pPr>
        <w:pStyle w:val="FootnoteText"/>
        <w:rPr>
          <w:lang w:val="en-US"/>
        </w:rPr>
      </w:pPr>
      <w:r>
        <w:rPr>
          <w:rStyle w:val="FootnoteReference"/>
        </w:rPr>
        <w:footnoteRef/>
      </w:r>
      <w:r>
        <w:t xml:space="preserve"> </w:t>
      </w:r>
      <w:r w:rsidRPr="00791627">
        <w:rPr>
          <w:rFonts w:cs="Arial"/>
          <w:szCs w:val="24"/>
        </w:rPr>
        <w:t>50 L. T. 144.</w:t>
      </w:r>
    </w:p>
  </w:footnote>
  <w:footnote w:id="5">
    <w:p w:rsidR="000011AD" w:rsidRPr="000011AD" w:rsidRDefault="000011AD">
      <w:pPr>
        <w:pStyle w:val="FootnoteText"/>
        <w:rPr>
          <w:lang w:val="en-US"/>
        </w:rPr>
      </w:pPr>
      <w:r>
        <w:rPr>
          <w:rStyle w:val="FootnoteReference"/>
        </w:rPr>
        <w:footnoteRef/>
      </w:r>
      <w:r>
        <w:t xml:space="preserve"> </w:t>
      </w:r>
      <w:r w:rsidRPr="00791627">
        <w:rPr>
          <w:rFonts w:cs="Arial"/>
          <w:szCs w:val="24"/>
        </w:rPr>
        <w:t>15 Ch. D. 639.</w:t>
      </w:r>
    </w:p>
  </w:footnote>
  <w:footnote w:id="6">
    <w:p w:rsidR="000011AD" w:rsidRPr="000011AD" w:rsidRDefault="000011AD">
      <w:pPr>
        <w:pStyle w:val="FootnoteText"/>
        <w:rPr>
          <w:lang w:val="en-US"/>
        </w:rPr>
      </w:pPr>
      <w:r>
        <w:rPr>
          <w:rStyle w:val="FootnoteReference"/>
        </w:rPr>
        <w:footnoteRef/>
      </w:r>
      <w:r>
        <w:t xml:space="preserve"> </w:t>
      </w:r>
      <w:r w:rsidRPr="00791627">
        <w:rPr>
          <w:rFonts w:cs="Arial"/>
          <w:szCs w:val="24"/>
        </w:rPr>
        <w:t>5 Ch. App. 358.</w:t>
      </w:r>
    </w:p>
  </w:footnote>
  <w:footnote w:id="7">
    <w:p w:rsidR="000011AD" w:rsidRPr="000011AD" w:rsidRDefault="000011AD">
      <w:pPr>
        <w:pStyle w:val="FootnoteText"/>
        <w:rPr>
          <w:lang w:val="en-US"/>
        </w:rPr>
      </w:pPr>
      <w:r>
        <w:rPr>
          <w:rStyle w:val="FootnoteReference"/>
        </w:rPr>
        <w:footnoteRef/>
      </w:r>
      <w:r>
        <w:t xml:space="preserve"> </w:t>
      </w:r>
      <w:r w:rsidRPr="00791627">
        <w:rPr>
          <w:rFonts w:cs="Arial"/>
          <w:szCs w:val="24"/>
        </w:rPr>
        <w:t>3 My. &amp; K. 699.</w:t>
      </w:r>
    </w:p>
  </w:footnote>
  <w:footnote w:id="8">
    <w:p w:rsidR="000011AD" w:rsidRPr="000011AD" w:rsidRDefault="000011AD">
      <w:pPr>
        <w:pStyle w:val="FootnoteText"/>
        <w:rPr>
          <w:lang w:val="en-US"/>
        </w:rPr>
      </w:pPr>
      <w:r>
        <w:rPr>
          <w:rStyle w:val="FootnoteReference"/>
        </w:rPr>
        <w:footnoteRef/>
      </w:r>
      <w:r>
        <w:t xml:space="preserve"> </w:t>
      </w:r>
      <w:r w:rsidRPr="00791627">
        <w:rPr>
          <w:rFonts w:cs="Arial"/>
          <w:szCs w:val="24"/>
        </w:rPr>
        <w:t>3 DeG. &amp; J. 547.</w:t>
      </w:r>
    </w:p>
  </w:footnote>
  <w:footnote w:id="9">
    <w:p w:rsidR="000011AD" w:rsidRPr="000011AD" w:rsidRDefault="000011AD">
      <w:pPr>
        <w:pStyle w:val="FootnoteText"/>
        <w:rPr>
          <w:lang w:val="en-US"/>
        </w:rPr>
      </w:pPr>
      <w:r>
        <w:rPr>
          <w:rStyle w:val="FootnoteReference"/>
        </w:rPr>
        <w:footnoteRef/>
      </w:r>
      <w:r>
        <w:t xml:space="preserve"> </w:t>
      </w:r>
      <w:r w:rsidRPr="00791627">
        <w:rPr>
          <w:rFonts w:cs="Arial"/>
          <w:szCs w:val="24"/>
        </w:rPr>
        <w:t>[1901] A. C. 477.</w:t>
      </w:r>
    </w:p>
  </w:footnote>
  <w:footnote w:id="10">
    <w:p w:rsidR="000011AD" w:rsidRPr="000011AD" w:rsidRDefault="000011AD">
      <w:pPr>
        <w:pStyle w:val="FootnoteText"/>
        <w:rPr>
          <w:lang w:val="en-US"/>
        </w:rPr>
      </w:pPr>
      <w:r>
        <w:rPr>
          <w:rStyle w:val="FootnoteReference"/>
        </w:rPr>
        <w:footnoteRef/>
      </w:r>
      <w:r>
        <w:t xml:space="preserve"> </w:t>
      </w:r>
      <w:r w:rsidRPr="00791627">
        <w:rPr>
          <w:rFonts w:cs="Arial"/>
          <w:szCs w:val="24"/>
        </w:rPr>
        <w:t>[1895] 2 Q. B. 539.</w:t>
      </w:r>
    </w:p>
  </w:footnote>
  <w:footnote w:id="11">
    <w:p w:rsidR="000011AD" w:rsidRPr="000011AD" w:rsidRDefault="000011AD">
      <w:pPr>
        <w:pStyle w:val="FootnoteText"/>
        <w:rPr>
          <w:lang w:val="en-US"/>
        </w:rPr>
      </w:pPr>
      <w:r>
        <w:rPr>
          <w:rStyle w:val="FootnoteReference"/>
        </w:rPr>
        <w:footnoteRef/>
      </w:r>
      <w:r>
        <w:t xml:space="preserve"> </w:t>
      </w:r>
      <w:r w:rsidRPr="00791627">
        <w:rPr>
          <w:rFonts w:cs="Arial"/>
          <w:szCs w:val="24"/>
        </w:rPr>
        <w:t>[1892] A. C. 201.</w:t>
      </w:r>
    </w:p>
  </w:footnote>
  <w:footnote w:id="12">
    <w:p w:rsidR="000011AD" w:rsidRPr="000011AD" w:rsidRDefault="000011AD">
      <w:pPr>
        <w:pStyle w:val="FootnoteText"/>
        <w:rPr>
          <w:lang w:val="en-US"/>
        </w:rPr>
      </w:pPr>
      <w:r>
        <w:rPr>
          <w:rStyle w:val="FootnoteReference"/>
        </w:rPr>
        <w:footnoteRef/>
      </w:r>
      <w:r>
        <w:t xml:space="preserve"> </w:t>
      </w:r>
      <w:r w:rsidRPr="00791627">
        <w:rPr>
          <w:rFonts w:cs="Arial"/>
          <w:szCs w:val="24"/>
        </w:rPr>
        <w:t>11 Ch. D. 790.</w:t>
      </w:r>
    </w:p>
  </w:footnote>
  <w:footnote w:id="13">
    <w:p w:rsidR="000011AD" w:rsidRPr="000011AD" w:rsidRDefault="000011AD">
      <w:pPr>
        <w:pStyle w:val="FootnoteText"/>
        <w:rPr>
          <w:lang w:val="en-US"/>
        </w:rPr>
      </w:pPr>
      <w:r>
        <w:rPr>
          <w:rStyle w:val="FootnoteReference"/>
        </w:rPr>
        <w:footnoteRef/>
      </w:r>
      <w:r>
        <w:t xml:space="preserve"> </w:t>
      </w:r>
      <w:r w:rsidRPr="00791627">
        <w:rPr>
          <w:rFonts w:cs="Arial"/>
          <w:szCs w:val="24"/>
        </w:rPr>
        <w:t>[1892] 2 Q. B. 700.</w:t>
      </w:r>
    </w:p>
  </w:footnote>
  <w:footnote w:id="14">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7 Times </w:t>
      </w:r>
      <w:r w:rsidRPr="00791627">
        <w:rPr>
          <w:rFonts w:cs="Arial"/>
          <w:szCs w:val="24"/>
          <w:lang w:val="fr-FR"/>
        </w:rPr>
        <w:t xml:space="preserve">L. </w:t>
      </w:r>
      <w:r w:rsidRPr="00791627">
        <w:rPr>
          <w:rFonts w:cs="Arial"/>
          <w:szCs w:val="24"/>
        </w:rPr>
        <w:t>R. 597.</w:t>
      </w:r>
    </w:p>
  </w:footnote>
  <w:footnote w:id="15">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45 </w:t>
      </w:r>
      <w:r w:rsidRPr="00791627">
        <w:rPr>
          <w:rFonts w:cs="Arial"/>
          <w:szCs w:val="24"/>
          <w:lang w:val="fr-FR"/>
        </w:rPr>
        <w:t xml:space="preserve">L. </w:t>
      </w:r>
      <w:r w:rsidRPr="00791627">
        <w:rPr>
          <w:rFonts w:cs="Arial"/>
          <w:szCs w:val="24"/>
        </w:rPr>
        <w:t>J. C. P. 505.</w:t>
      </w:r>
    </w:p>
  </w:footnote>
  <w:footnote w:id="16">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23 </w:t>
      </w:r>
      <w:r w:rsidRPr="00791627">
        <w:rPr>
          <w:rFonts w:cs="Arial"/>
          <w:szCs w:val="24"/>
          <w:lang w:val="fr-FR"/>
        </w:rPr>
        <w:t xml:space="preserve">Ont. </w:t>
      </w:r>
      <w:r w:rsidRPr="00791627">
        <w:rPr>
          <w:rFonts w:cs="Arial"/>
          <w:szCs w:val="24"/>
        </w:rPr>
        <w:t>App. R. 704.</w:t>
      </w:r>
    </w:p>
  </w:footnote>
  <w:footnote w:id="17">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30 Can. </w:t>
      </w:r>
      <w:r w:rsidRPr="00791627">
        <w:rPr>
          <w:rFonts w:cs="Arial"/>
          <w:szCs w:val="24"/>
          <w:lang w:val="fr-FR"/>
        </w:rPr>
        <w:t xml:space="preserve">S. C. </w:t>
      </w:r>
      <w:r w:rsidRPr="00791627">
        <w:rPr>
          <w:rFonts w:cs="Arial"/>
          <w:szCs w:val="24"/>
        </w:rPr>
        <w:t>R. 218.</w:t>
      </w:r>
    </w:p>
  </w:footnote>
  <w:footnote w:id="18">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[1892] 1 </w:t>
      </w:r>
      <w:r w:rsidRPr="00791627">
        <w:rPr>
          <w:rFonts w:cs="Arial"/>
          <w:szCs w:val="24"/>
          <w:lang w:val="fr-FR"/>
        </w:rPr>
        <w:t xml:space="preserve">Q. </w:t>
      </w:r>
      <w:r w:rsidRPr="00791627">
        <w:rPr>
          <w:rFonts w:cs="Arial"/>
          <w:szCs w:val="24"/>
        </w:rPr>
        <w:t>B. 599.</w:t>
      </w:r>
    </w:p>
  </w:footnote>
  <w:footnote w:id="19">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12 </w:t>
      </w:r>
      <w:r w:rsidRPr="00791627">
        <w:rPr>
          <w:rFonts w:cs="Arial"/>
          <w:szCs w:val="24"/>
          <w:lang w:val="fr-FR"/>
        </w:rPr>
        <w:t xml:space="preserve">Q. </w:t>
      </w:r>
      <w:r w:rsidRPr="00791627">
        <w:rPr>
          <w:rFonts w:cs="Arial"/>
          <w:szCs w:val="24"/>
        </w:rPr>
        <w:t>B. 317.</w:t>
      </w:r>
    </w:p>
  </w:footnote>
  <w:footnote w:id="20">
    <w:p w:rsidR="000011AD" w:rsidRPr="000011AD" w:rsidRDefault="000011AD">
      <w:pPr>
        <w:pStyle w:val="FootnoteText"/>
        <w:rPr>
          <w:lang w:val="en-US"/>
        </w:rPr>
      </w:pPr>
      <w:r>
        <w:rPr>
          <w:rStyle w:val="FootnoteReference"/>
        </w:rPr>
        <w:footnoteRef/>
      </w:r>
      <w:r>
        <w:t xml:space="preserve"> </w:t>
      </w:r>
      <w:r w:rsidRPr="00791627">
        <w:rPr>
          <w:rFonts w:cs="Arial"/>
          <w:szCs w:val="24"/>
        </w:rPr>
        <w:t>173 Mass. 340.</w:t>
      </w:r>
    </w:p>
  </w:footnote>
  <w:footnote w:id="21">
    <w:p w:rsidR="000011AD" w:rsidRPr="000011AD" w:rsidRDefault="000011AD">
      <w:pPr>
        <w:pStyle w:val="FootnoteText"/>
        <w:rPr>
          <w:lang w:val="en-US"/>
        </w:rPr>
      </w:pPr>
      <w:r>
        <w:rPr>
          <w:rStyle w:val="FootnoteReference"/>
        </w:rPr>
        <w:footnoteRef/>
      </w:r>
      <w:r>
        <w:t xml:space="preserve"> </w:t>
      </w:r>
      <w:r w:rsidRPr="00791627">
        <w:rPr>
          <w:rFonts w:cs="Arial"/>
          <w:szCs w:val="24"/>
        </w:rPr>
        <w:t>6 Ex. 869.</w:t>
      </w:r>
    </w:p>
  </w:footnote>
  <w:footnote w:id="22">
    <w:p w:rsidR="000011AD" w:rsidRPr="000011AD" w:rsidRDefault="000011AD">
      <w:pPr>
        <w:pStyle w:val="FootnoteText"/>
        <w:rPr>
          <w:lang w:val="en-US"/>
        </w:rPr>
      </w:pPr>
      <w:r>
        <w:rPr>
          <w:rStyle w:val="FootnoteReference"/>
        </w:rPr>
        <w:footnoteRef/>
      </w:r>
      <w:r>
        <w:t xml:space="preserve"> </w:t>
      </w:r>
      <w:r w:rsidRPr="00791627">
        <w:rPr>
          <w:rFonts w:cs="Arial"/>
          <w:szCs w:val="24"/>
        </w:rPr>
        <w:t>2 N. B. Rep. 423.</w:t>
      </w:r>
    </w:p>
  </w:footnote>
  <w:footnote w:id="23">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38 </w:t>
      </w:r>
      <w:r w:rsidRPr="00791627">
        <w:rPr>
          <w:rFonts w:cs="Arial"/>
          <w:szCs w:val="24"/>
          <w:lang w:val="fr-FR"/>
        </w:rPr>
        <w:t xml:space="preserve">L. </w:t>
      </w:r>
      <w:r w:rsidRPr="00791627">
        <w:rPr>
          <w:rFonts w:cs="Arial"/>
          <w:szCs w:val="24"/>
        </w:rPr>
        <w:t>T. 41.</w:t>
      </w:r>
    </w:p>
  </w:footnote>
  <w:footnote w:id="24">
    <w:p w:rsidR="000011AD" w:rsidRPr="000011AD" w:rsidRDefault="000011AD">
      <w:pPr>
        <w:pStyle w:val="FootnoteText"/>
        <w:rPr>
          <w:lang w:val="en-US"/>
        </w:rPr>
      </w:pPr>
      <w:r>
        <w:rPr>
          <w:rStyle w:val="FootnoteReference"/>
        </w:rPr>
        <w:footnoteRef/>
      </w:r>
      <w:r>
        <w:t xml:space="preserve"> </w:t>
      </w:r>
      <w:r w:rsidRPr="00791627">
        <w:rPr>
          <w:rFonts w:cs="Arial"/>
          <w:szCs w:val="24"/>
        </w:rPr>
        <w:t>10 Gray (Mass.) 532.</w:t>
      </w:r>
    </w:p>
  </w:footnote>
  <w:footnote w:id="25">
    <w:p w:rsidR="000011AD" w:rsidRPr="000011AD" w:rsidRDefault="000011AD">
      <w:pPr>
        <w:pStyle w:val="FootnoteText"/>
        <w:rPr>
          <w:lang w:val="en-US"/>
        </w:rPr>
      </w:pPr>
      <w:r>
        <w:rPr>
          <w:rStyle w:val="FootnoteReference"/>
        </w:rPr>
        <w:footnoteRef/>
      </w:r>
      <w:r>
        <w:t xml:space="preserve"> </w:t>
      </w:r>
      <w:r w:rsidRPr="00791627">
        <w:rPr>
          <w:rFonts w:cs="Arial"/>
          <w:szCs w:val="24"/>
        </w:rPr>
        <w:t xml:space="preserve">12 App. </w:t>
      </w:r>
      <w:r w:rsidRPr="00791627">
        <w:rPr>
          <w:rFonts w:cs="Arial"/>
          <w:szCs w:val="24"/>
          <w:lang w:val="fr-FR"/>
        </w:rPr>
        <w:t xml:space="preserve">Cas. </w:t>
      </w:r>
      <w:r w:rsidRPr="00791627">
        <w:rPr>
          <w:rFonts w:cs="Arial"/>
          <w:szCs w:val="24"/>
        </w:rPr>
        <w:t>531.</w:t>
      </w:r>
    </w:p>
  </w:footnote>
  <w:footnote w:id="26">
    <w:p w:rsidR="000011AD" w:rsidRPr="000011AD" w:rsidRDefault="000011AD">
      <w:pPr>
        <w:pStyle w:val="FootnoteText"/>
        <w:rPr>
          <w:lang w:val="en-US"/>
        </w:rPr>
      </w:pPr>
      <w:r>
        <w:rPr>
          <w:rStyle w:val="FootnoteReference"/>
        </w:rPr>
        <w:footnoteRef/>
      </w:r>
      <w:r>
        <w:t xml:space="preserve"> </w:t>
      </w:r>
      <w:r w:rsidRPr="00791627">
        <w:rPr>
          <w:rFonts w:cs="Arial"/>
          <w:szCs w:val="24"/>
          <w:lang w:val="fr-FR"/>
        </w:rPr>
        <w:t xml:space="preserve">L. </w:t>
      </w:r>
      <w:r w:rsidRPr="00791627">
        <w:rPr>
          <w:rFonts w:cs="Arial"/>
          <w:szCs w:val="24"/>
        </w:rPr>
        <w:t>R. 2 Eq. 134.</w:t>
      </w:r>
    </w:p>
  </w:footnote>
  <w:footnote w:id="27">
    <w:p w:rsidR="000011AD" w:rsidRPr="000011AD" w:rsidRDefault="000011AD">
      <w:pPr>
        <w:pStyle w:val="FootnoteText"/>
        <w:rPr>
          <w:lang w:val="en-US"/>
        </w:rPr>
      </w:pPr>
      <w:r>
        <w:rPr>
          <w:rStyle w:val="FootnoteReference"/>
        </w:rPr>
        <w:footnoteRef/>
      </w:r>
      <w:r>
        <w:t xml:space="preserve"> </w:t>
      </w:r>
      <w:r w:rsidRPr="00791627">
        <w:rPr>
          <w:rFonts w:cs="Arial"/>
          <w:szCs w:val="24"/>
        </w:rPr>
        <w:t>139 Mass. 332.</w:t>
      </w:r>
    </w:p>
  </w:footnote>
  <w:footnote w:id="28">
    <w:p w:rsidR="000011AD" w:rsidRPr="000011AD" w:rsidRDefault="000011AD">
      <w:pPr>
        <w:pStyle w:val="FootnoteText"/>
        <w:rPr>
          <w:lang w:val="en-US"/>
        </w:rPr>
      </w:pPr>
      <w:r>
        <w:rPr>
          <w:rStyle w:val="FootnoteReference"/>
        </w:rPr>
        <w:footnoteRef/>
      </w:r>
      <w:r>
        <w:t xml:space="preserve"> </w:t>
      </w:r>
      <w:r w:rsidRPr="00791627">
        <w:rPr>
          <w:rFonts w:cs="Arial"/>
          <w:szCs w:val="24"/>
        </w:rPr>
        <w:t>[1892] 2 Q. B. 534.</w:t>
      </w:r>
    </w:p>
  </w:footnote>
  <w:footnote w:id="29">
    <w:p w:rsidR="000011AD" w:rsidRPr="000011AD" w:rsidRDefault="000011AD">
      <w:pPr>
        <w:pStyle w:val="FootnoteText"/>
        <w:rPr>
          <w:lang w:val="en-US"/>
        </w:rPr>
      </w:pPr>
      <w:r>
        <w:rPr>
          <w:rStyle w:val="FootnoteReference"/>
        </w:rPr>
        <w:footnoteRef/>
      </w:r>
      <w:r>
        <w:t xml:space="preserve"> </w:t>
      </w:r>
      <w:r w:rsidRPr="00791627">
        <w:rPr>
          <w:rFonts w:cs="Arial"/>
          <w:szCs w:val="24"/>
        </w:rPr>
        <w:t>58 L. T. N. S. 792.</w:t>
      </w:r>
    </w:p>
  </w:footnote>
  <w:footnote w:id="30">
    <w:p w:rsidR="000011AD" w:rsidRPr="000011AD" w:rsidRDefault="000011AD">
      <w:pPr>
        <w:pStyle w:val="FootnoteText"/>
        <w:rPr>
          <w:lang w:val="en-US"/>
        </w:rPr>
      </w:pPr>
      <w:r>
        <w:rPr>
          <w:rStyle w:val="FootnoteReference"/>
        </w:rPr>
        <w:footnoteRef/>
      </w:r>
      <w:r>
        <w:t xml:space="preserve"> </w:t>
      </w:r>
      <w:r w:rsidRPr="00791627">
        <w:rPr>
          <w:rFonts w:cs="Arial"/>
          <w:szCs w:val="24"/>
        </w:rPr>
        <w:t>21 Ch. D. 685.</w:t>
      </w:r>
    </w:p>
  </w:footnote>
  <w:footnote w:id="31">
    <w:p w:rsidR="000011AD" w:rsidRPr="000011AD" w:rsidRDefault="000011AD">
      <w:pPr>
        <w:pStyle w:val="FootnoteText"/>
        <w:rPr>
          <w:lang w:val="en-US"/>
        </w:rPr>
      </w:pPr>
      <w:r>
        <w:rPr>
          <w:rStyle w:val="FootnoteReference"/>
        </w:rPr>
        <w:footnoteRef/>
      </w:r>
      <w:r>
        <w:t xml:space="preserve"> </w:t>
      </w:r>
      <w:r w:rsidRPr="00791627">
        <w:rPr>
          <w:rFonts w:cs="Arial"/>
          <w:szCs w:val="24"/>
        </w:rPr>
        <w:t>150 Mass. 200.</w:t>
      </w:r>
    </w:p>
  </w:footnote>
  <w:footnote w:id="32">
    <w:p w:rsidR="000011AD" w:rsidRPr="000011AD" w:rsidRDefault="000011AD">
      <w:pPr>
        <w:pStyle w:val="FootnoteText"/>
        <w:rPr>
          <w:lang w:val="en-US"/>
        </w:rPr>
      </w:pPr>
      <w:r>
        <w:rPr>
          <w:rStyle w:val="FootnoteReference"/>
        </w:rPr>
        <w:footnoteRef/>
      </w:r>
      <w:r>
        <w:t xml:space="preserve"> </w:t>
      </w:r>
      <w:r w:rsidRPr="00791627">
        <w:rPr>
          <w:rFonts w:cs="Arial"/>
          <w:szCs w:val="24"/>
        </w:rPr>
        <w:t>6 Ch. App. 678.</w:t>
      </w:r>
    </w:p>
  </w:footnote>
  <w:footnote w:id="33">
    <w:p w:rsidR="000011AD" w:rsidRPr="000011AD" w:rsidRDefault="000011AD">
      <w:pPr>
        <w:pStyle w:val="FootnoteText"/>
        <w:rPr>
          <w:lang w:val="en-US"/>
        </w:rPr>
      </w:pPr>
      <w:r>
        <w:rPr>
          <w:rStyle w:val="FootnoteReference"/>
        </w:rPr>
        <w:footnoteRef/>
      </w:r>
      <w:r>
        <w:t xml:space="preserve"> </w:t>
      </w:r>
      <w:r w:rsidRPr="00791627">
        <w:rPr>
          <w:rFonts w:cs="Arial"/>
          <w:szCs w:val="24"/>
        </w:rPr>
        <w:t>15 Ch. D. 639.</w:t>
      </w:r>
    </w:p>
  </w:footnote>
  <w:footnote w:id="34">
    <w:p w:rsidR="000011AD" w:rsidRPr="000011AD" w:rsidRDefault="000011AD">
      <w:pPr>
        <w:pStyle w:val="FootnoteText"/>
        <w:rPr>
          <w:lang w:val="en-US"/>
        </w:rPr>
      </w:pPr>
      <w:r>
        <w:rPr>
          <w:rStyle w:val="FootnoteReference"/>
        </w:rPr>
        <w:footnoteRef/>
      </w:r>
      <w:r>
        <w:t xml:space="preserve"> </w:t>
      </w:r>
      <w:r w:rsidRPr="00791627">
        <w:rPr>
          <w:rFonts w:cs="Arial"/>
          <w:szCs w:val="24"/>
        </w:rPr>
        <w:t>33 Beav. 178.</w:t>
      </w:r>
    </w:p>
  </w:footnote>
  <w:footnote w:id="35">
    <w:p w:rsidR="000011AD" w:rsidRPr="000011AD" w:rsidRDefault="000011AD">
      <w:pPr>
        <w:pStyle w:val="FootnoteText"/>
        <w:rPr>
          <w:lang w:val="en-US"/>
        </w:rPr>
      </w:pPr>
      <w:r>
        <w:rPr>
          <w:rStyle w:val="FootnoteReference"/>
        </w:rPr>
        <w:footnoteRef/>
      </w:r>
      <w:r>
        <w:t xml:space="preserve"> </w:t>
      </w:r>
      <w:r w:rsidRPr="00791627">
        <w:rPr>
          <w:rFonts w:cs="Arial"/>
          <w:szCs w:val="24"/>
        </w:rPr>
        <w:t>9 Ch. D. 189.</w:t>
      </w:r>
    </w:p>
  </w:footnote>
  <w:footnote w:id="36">
    <w:p w:rsidR="000011AD" w:rsidRPr="000011AD" w:rsidRDefault="000011AD">
      <w:pPr>
        <w:pStyle w:val="FootnoteText"/>
        <w:rPr>
          <w:lang w:val="en-US"/>
        </w:rPr>
      </w:pPr>
      <w:r>
        <w:rPr>
          <w:rStyle w:val="FootnoteReference"/>
        </w:rPr>
        <w:footnoteRef/>
      </w:r>
      <w:r>
        <w:t xml:space="preserve"> </w:t>
      </w:r>
      <w:r w:rsidRPr="00791627">
        <w:rPr>
          <w:rFonts w:cs="Arial"/>
          <w:szCs w:val="24"/>
        </w:rPr>
        <w:t>147 Mass 263.</w:t>
      </w:r>
    </w:p>
  </w:footnote>
  <w:footnote w:id="37">
    <w:p w:rsidR="000011AD" w:rsidRPr="000011AD" w:rsidRDefault="000011AD">
      <w:pPr>
        <w:pStyle w:val="FootnoteText"/>
        <w:rPr>
          <w:lang w:val="en-US"/>
        </w:rPr>
      </w:pPr>
      <w:r>
        <w:rPr>
          <w:rStyle w:val="FootnoteReference"/>
        </w:rPr>
        <w:footnoteRef/>
      </w:r>
      <w:r>
        <w:t xml:space="preserve"> </w:t>
      </w:r>
      <w:r w:rsidRPr="00791627">
        <w:rPr>
          <w:rFonts w:cs="Arial"/>
          <w:szCs w:val="24"/>
        </w:rPr>
        <w:t>2 Hill (N.Y.) 451.</w:t>
      </w:r>
    </w:p>
  </w:footnote>
  <w:footnote w:id="38">
    <w:p w:rsidR="000011AD" w:rsidRPr="000011AD" w:rsidRDefault="000011AD">
      <w:pPr>
        <w:pStyle w:val="FootnoteText"/>
        <w:rPr>
          <w:lang w:val="en-US"/>
        </w:rPr>
      </w:pPr>
      <w:r>
        <w:rPr>
          <w:rStyle w:val="FootnoteReference"/>
        </w:rPr>
        <w:footnoteRef/>
      </w:r>
      <w:r>
        <w:t xml:space="preserve"> </w:t>
      </w:r>
      <w:r w:rsidRPr="00791627">
        <w:rPr>
          <w:rFonts w:cs="Arial"/>
          <w:szCs w:val="24"/>
        </w:rPr>
        <w:t>17 Q. B. D. 553.</w:t>
      </w:r>
    </w:p>
  </w:footnote>
  <w:footnote w:id="39">
    <w:p w:rsidR="000011AD" w:rsidRPr="000011AD" w:rsidRDefault="000011AD">
      <w:pPr>
        <w:pStyle w:val="FootnoteText"/>
        <w:rPr>
          <w:lang w:val="en-US"/>
        </w:rPr>
      </w:pPr>
      <w:r>
        <w:rPr>
          <w:rStyle w:val="FootnoteReference"/>
        </w:rPr>
        <w:footnoteRef/>
      </w:r>
      <w:r>
        <w:t xml:space="preserve"> </w:t>
      </w:r>
      <w:r w:rsidRPr="00791627">
        <w:rPr>
          <w:rFonts w:cs="Arial"/>
          <w:szCs w:val="24"/>
        </w:rPr>
        <w:t>L. R. 2 Ex. 259.</w:t>
      </w:r>
    </w:p>
  </w:footnote>
  <w:footnote w:id="40">
    <w:p w:rsidR="000011AD" w:rsidRPr="000011AD" w:rsidRDefault="000011AD">
      <w:pPr>
        <w:pStyle w:val="FootnoteText"/>
        <w:rPr>
          <w:lang w:val="en-US"/>
        </w:rPr>
      </w:pPr>
      <w:r>
        <w:rPr>
          <w:rStyle w:val="FootnoteReference"/>
        </w:rPr>
        <w:footnoteRef/>
      </w:r>
      <w:r>
        <w:t xml:space="preserve"> </w:t>
      </w:r>
      <w:r w:rsidRPr="00791627">
        <w:rPr>
          <w:rFonts w:cs="Arial"/>
          <w:szCs w:val="24"/>
        </w:rPr>
        <w:t>18 Q. B. D. 714.</w:t>
      </w:r>
    </w:p>
  </w:footnote>
  <w:footnote w:id="41">
    <w:p w:rsidR="000011AD" w:rsidRPr="000011AD" w:rsidRDefault="000011AD">
      <w:pPr>
        <w:pStyle w:val="FootnoteText"/>
        <w:rPr>
          <w:lang w:val="en-US"/>
        </w:rPr>
      </w:pPr>
      <w:r>
        <w:rPr>
          <w:rStyle w:val="FootnoteReference"/>
        </w:rPr>
        <w:footnoteRef/>
      </w:r>
      <w:r>
        <w:t xml:space="preserve"> </w:t>
      </w:r>
      <w:r w:rsidRPr="00791627">
        <w:rPr>
          <w:rFonts w:cs="Arial"/>
          <w:szCs w:val="24"/>
        </w:rPr>
        <w:t>L. R. 5 P. C. 394.</w:t>
      </w:r>
    </w:p>
  </w:footnote>
  <w:footnote w:id="42">
    <w:p w:rsidR="000011AD" w:rsidRPr="000011AD" w:rsidRDefault="000011AD">
      <w:pPr>
        <w:pStyle w:val="FootnoteText"/>
        <w:rPr>
          <w:lang w:val="en-US"/>
        </w:rPr>
      </w:pPr>
      <w:r>
        <w:rPr>
          <w:rStyle w:val="FootnoteReference"/>
        </w:rPr>
        <w:footnoteRef/>
      </w:r>
      <w:r>
        <w:t xml:space="preserve"> </w:t>
      </w:r>
      <w:r w:rsidRPr="00791627">
        <w:rPr>
          <w:rFonts w:cs="Arial"/>
          <w:szCs w:val="24"/>
        </w:rPr>
        <w:t>7 DeG. M. &amp; G. 634.</w:t>
      </w:r>
    </w:p>
  </w:footnote>
  <w:footnote w:id="43">
    <w:p w:rsidR="000011AD" w:rsidRPr="000011AD" w:rsidRDefault="000011AD">
      <w:pPr>
        <w:pStyle w:val="FootnoteText"/>
        <w:rPr>
          <w:lang w:val="en-US"/>
        </w:rPr>
      </w:pPr>
      <w:r>
        <w:rPr>
          <w:rStyle w:val="FootnoteReference"/>
        </w:rPr>
        <w:footnoteRef/>
      </w:r>
      <w:r>
        <w:t xml:space="preserve"> </w:t>
      </w:r>
      <w:r w:rsidRPr="00791627">
        <w:rPr>
          <w:rFonts w:cs="Arial"/>
          <w:szCs w:val="24"/>
        </w:rPr>
        <w:t>7 Times L. R. 293.</w:t>
      </w:r>
    </w:p>
  </w:footnote>
  <w:footnote w:id="44">
    <w:p w:rsidR="000011AD" w:rsidRPr="000011AD" w:rsidRDefault="000011AD">
      <w:pPr>
        <w:pStyle w:val="FootnoteText"/>
        <w:rPr>
          <w:lang w:val="en-US"/>
        </w:rPr>
      </w:pPr>
      <w:r>
        <w:rPr>
          <w:rStyle w:val="FootnoteReference"/>
        </w:rPr>
        <w:footnoteRef/>
      </w:r>
      <w:r>
        <w:t xml:space="preserve"> </w:t>
      </w:r>
      <w:r w:rsidRPr="00791627">
        <w:rPr>
          <w:rFonts w:cs="Arial"/>
          <w:szCs w:val="24"/>
        </w:rPr>
        <w:t>121 Mass. 490.</w:t>
      </w:r>
    </w:p>
  </w:footnote>
  <w:footnote w:id="45">
    <w:p w:rsidR="000011AD" w:rsidRPr="000011AD" w:rsidRDefault="000011AD">
      <w:pPr>
        <w:pStyle w:val="FootnoteText"/>
        <w:rPr>
          <w:lang w:val="en-US"/>
        </w:rPr>
      </w:pPr>
      <w:r>
        <w:rPr>
          <w:rStyle w:val="FootnoteReference"/>
        </w:rPr>
        <w:footnoteRef/>
      </w:r>
      <w:r>
        <w:t xml:space="preserve"> </w:t>
      </w:r>
      <w:r w:rsidRPr="00791627">
        <w:rPr>
          <w:rFonts w:cs="Arial"/>
          <w:szCs w:val="24"/>
        </w:rPr>
        <w:t>148 N. Y. 515.</w:t>
      </w:r>
    </w:p>
  </w:footnote>
  <w:footnote w:id="46">
    <w:p w:rsidR="000011AD" w:rsidRPr="000011AD" w:rsidRDefault="000011AD">
      <w:pPr>
        <w:pStyle w:val="FootnoteText"/>
        <w:rPr>
          <w:lang w:val="en-US"/>
        </w:rPr>
      </w:pPr>
      <w:r>
        <w:rPr>
          <w:rStyle w:val="FootnoteReference"/>
        </w:rPr>
        <w:footnoteRef/>
      </w:r>
      <w:r>
        <w:t xml:space="preserve"> </w:t>
      </w:r>
      <w:r w:rsidRPr="00791627">
        <w:rPr>
          <w:rFonts w:cs="Arial"/>
          <w:szCs w:val="24"/>
        </w:rPr>
        <w:t>6 El. &amp; B. 370.</w:t>
      </w:r>
    </w:p>
  </w:footnote>
  <w:footnote w:id="47">
    <w:p w:rsidR="000011AD" w:rsidRPr="000011AD" w:rsidRDefault="000011AD">
      <w:pPr>
        <w:pStyle w:val="FootnoteText"/>
        <w:rPr>
          <w:lang w:val="en-US"/>
        </w:rPr>
      </w:pPr>
      <w:r>
        <w:rPr>
          <w:rStyle w:val="FootnoteReference"/>
        </w:rPr>
        <w:footnoteRef/>
      </w:r>
      <w:r>
        <w:t xml:space="preserve"> </w:t>
      </w:r>
      <w:r w:rsidRPr="00791627">
        <w:rPr>
          <w:rFonts w:cs="Arial"/>
          <w:szCs w:val="24"/>
        </w:rPr>
        <w:t>21 Ch. D. 685.</w:t>
      </w:r>
    </w:p>
  </w:footnote>
  <w:footnote w:id="48">
    <w:p w:rsidR="000011AD" w:rsidRPr="000011AD" w:rsidRDefault="000011AD">
      <w:pPr>
        <w:pStyle w:val="FootnoteText"/>
        <w:rPr>
          <w:lang w:val="en-US"/>
        </w:rPr>
      </w:pPr>
      <w:r>
        <w:rPr>
          <w:rStyle w:val="FootnoteReference"/>
        </w:rPr>
        <w:footnoteRef/>
      </w:r>
      <w:r>
        <w:t xml:space="preserve"> </w:t>
      </w:r>
      <w:r w:rsidRPr="00791627">
        <w:rPr>
          <w:rFonts w:cs="Arial"/>
          <w:szCs w:val="24"/>
        </w:rPr>
        <w:t>26 Can. S. C. R. 381.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5" w:rsidRDefault="00E84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20F5"/>
    <w:rsid w:val="000011AD"/>
    <w:rsid w:val="00013FDA"/>
    <w:rsid w:val="000173FB"/>
    <w:rsid w:val="00061521"/>
    <w:rsid w:val="000655EC"/>
    <w:rsid w:val="00077D2F"/>
    <w:rsid w:val="0008547A"/>
    <w:rsid w:val="000B6688"/>
    <w:rsid w:val="000C3415"/>
    <w:rsid w:val="001120B5"/>
    <w:rsid w:val="00121409"/>
    <w:rsid w:val="00125F0C"/>
    <w:rsid w:val="00126A8E"/>
    <w:rsid w:val="00164741"/>
    <w:rsid w:val="001837F3"/>
    <w:rsid w:val="001D0D42"/>
    <w:rsid w:val="001D5C4A"/>
    <w:rsid w:val="001E41F7"/>
    <w:rsid w:val="001F6A76"/>
    <w:rsid w:val="002209AC"/>
    <w:rsid w:val="002428EB"/>
    <w:rsid w:val="002A74DD"/>
    <w:rsid w:val="002B30C5"/>
    <w:rsid w:val="002C186C"/>
    <w:rsid w:val="002D5E01"/>
    <w:rsid w:val="002F4F64"/>
    <w:rsid w:val="002F7D00"/>
    <w:rsid w:val="003207A6"/>
    <w:rsid w:val="00361108"/>
    <w:rsid w:val="003824D9"/>
    <w:rsid w:val="003D24F3"/>
    <w:rsid w:val="003E5AF5"/>
    <w:rsid w:val="003F602F"/>
    <w:rsid w:val="004277EE"/>
    <w:rsid w:val="0043543D"/>
    <w:rsid w:val="00442713"/>
    <w:rsid w:val="00444229"/>
    <w:rsid w:val="00457BC5"/>
    <w:rsid w:val="00463F5F"/>
    <w:rsid w:val="00482CDC"/>
    <w:rsid w:val="004C7ED4"/>
    <w:rsid w:val="00511D93"/>
    <w:rsid w:val="00514003"/>
    <w:rsid w:val="00537980"/>
    <w:rsid w:val="00563767"/>
    <w:rsid w:val="005667DA"/>
    <w:rsid w:val="00593C8B"/>
    <w:rsid w:val="00631045"/>
    <w:rsid w:val="00644967"/>
    <w:rsid w:val="006D2BED"/>
    <w:rsid w:val="006D6F42"/>
    <w:rsid w:val="006E5FEA"/>
    <w:rsid w:val="00747F2C"/>
    <w:rsid w:val="00751F7D"/>
    <w:rsid w:val="007969C4"/>
    <w:rsid w:val="007B20F5"/>
    <w:rsid w:val="007B3A90"/>
    <w:rsid w:val="007D6DD5"/>
    <w:rsid w:val="008027F3"/>
    <w:rsid w:val="008433A9"/>
    <w:rsid w:val="008550EF"/>
    <w:rsid w:val="00872F75"/>
    <w:rsid w:val="00880FBB"/>
    <w:rsid w:val="008B0B7A"/>
    <w:rsid w:val="00926406"/>
    <w:rsid w:val="009449DD"/>
    <w:rsid w:val="0098024B"/>
    <w:rsid w:val="009870EB"/>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C7194"/>
    <w:rsid w:val="00C372DF"/>
    <w:rsid w:val="00C45FBD"/>
    <w:rsid w:val="00C47E3C"/>
    <w:rsid w:val="00C54EB9"/>
    <w:rsid w:val="00C7016B"/>
    <w:rsid w:val="00C90874"/>
    <w:rsid w:val="00C93FA5"/>
    <w:rsid w:val="00CB726B"/>
    <w:rsid w:val="00CC50DD"/>
    <w:rsid w:val="00CD1289"/>
    <w:rsid w:val="00CD1F09"/>
    <w:rsid w:val="00CD50FC"/>
    <w:rsid w:val="00CE2A11"/>
    <w:rsid w:val="00CE3A4D"/>
    <w:rsid w:val="00CF1E48"/>
    <w:rsid w:val="00D00550"/>
    <w:rsid w:val="00D306D2"/>
    <w:rsid w:val="00D45866"/>
    <w:rsid w:val="00D9036C"/>
    <w:rsid w:val="00DC4119"/>
    <w:rsid w:val="00DE30DC"/>
    <w:rsid w:val="00E1124B"/>
    <w:rsid w:val="00E114A9"/>
    <w:rsid w:val="00E117BD"/>
    <w:rsid w:val="00E20A96"/>
    <w:rsid w:val="00E30F5A"/>
    <w:rsid w:val="00E40016"/>
    <w:rsid w:val="00E407E4"/>
    <w:rsid w:val="00E43349"/>
    <w:rsid w:val="00E51D18"/>
    <w:rsid w:val="00E845C5"/>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7A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207A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207A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207A6"/>
  </w:style>
  <w:style w:type="paragraph" w:styleId="Header">
    <w:name w:val="header"/>
    <w:basedOn w:val="Normal"/>
    <w:link w:val="HeaderChar"/>
    <w:uiPriority w:val="99"/>
    <w:unhideWhenUsed/>
    <w:rsid w:val="003207A6"/>
    <w:pPr>
      <w:tabs>
        <w:tab w:val="center" w:pos="4680"/>
        <w:tab w:val="right" w:pos="9360"/>
      </w:tabs>
    </w:pPr>
    <w:rPr>
      <w:rFonts w:ascii="Times New Roman" w:hAnsi="Times New Roman"/>
    </w:rPr>
  </w:style>
  <w:style w:type="character" w:customStyle="1" w:styleId="HeaderChar">
    <w:name w:val="Header Char"/>
    <w:link w:val="Header"/>
    <w:uiPriority w:val="99"/>
    <w:rsid w:val="003207A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207A6"/>
    <w:pPr>
      <w:tabs>
        <w:tab w:val="center" w:pos="4680"/>
        <w:tab w:val="right" w:pos="9360"/>
      </w:tabs>
    </w:pPr>
    <w:rPr>
      <w:rFonts w:ascii="Times New Roman" w:hAnsi="Times New Roman"/>
    </w:rPr>
  </w:style>
  <w:style w:type="character" w:customStyle="1" w:styleId="FooterChar">
    <w:name w:val="Footer Char"/>
    <w:link w:val="Footer"/>
    <w:uiPriority w:val="99"/>
    <w:rsid w:val="003207A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870E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207A6"/>
    <w:pPr>
      <w:spacing w:before="100" w:beforeAutospacing="1"/>
      <w:ind w:left="567"/>
      <w:jc w:val="both"/>
    </w:pPr>
  </w:style>
  <w:style w:type="paragraph" w:customStyle="1" w:styleId="Metadata">
    <w:name w:val="Metadata"/>
    <w:basedOn w:val="Normal"/>
    <w:rsid w:val="003207A6"/>
    <w:pPr>
      <w:spacing w:before="100" w:beforeAutospacing="1" w:after="100" w:afterAutospacing="1"/>
    </w:pPr>
    <w:rPr>
      <w:rFonts w:cs="Arial"/>
      <w:szCs w:val="24"/>
    </w:rPr>
  </w:style>
  <w:style w:type="paragraph" w:customStyle="1" w:styleId="Page">
    <w:name w:val="Page"/>
    <w:basedOn w:val="Normal"/>
    <w:link w:val="PageChar"/>
    <w:rsid w:val="003207A6"/>
    <w:pPr>
      <w:spacing w:before="100" w:beforeAutospacing="1" w:after="100" w:afterAutospacing="1"/>
    </w:pPr>
    <w:rPr>
      <w:i/>
    </w:rPr>
  </w:style>
  <w:style w:type="paragraph" w:styleId="FootnoteText">
    <w:name w:val="footnote text"/>
    <w:basedOn w:val="Normal"/>
    <w:link w:val="FootnoteTextChar"/>
    <w:autoRedefine/>
    <w:semiHidden/>
    <w:rsid w:val="003207A6"/>
    <w:rPr>
      <w:sz w:val="16"/>
      <w:szCs w:val="20"/>
    </w:rPr>
  </w:style>
  <w:style w:type="character" w:customStyle="1" w:styleId="FootnoteTextChar">
    <w:name w:val="Footnote Text Char"/>
    <w:link w:val="FootnoteText"/>
    <w:semiHidden/>
    <w:rsid w:val="003207A6"/>
    <w:rPr>
      <w:rFonts w:ascii="Arial" w:eastAsia="MS Mincho" w:hAnsi="Arial" w:cs="Times New Roman"/>
      <w:sz w:val="16"/>
      <w:szCs w:val="20"/>
      <w:lang w:val="en-CA" w:eastAsia="ja-JP"/>
    </w:rPr>
  </w:style>
  <w:style w:type="character" w:styleId="FootnoteReference">
    <w:name w:val="footnote reference"/>
    <w:semiHidden/>
    <w:rsid w:val="003207A6"/>
    <w:rPr>
      <w:vertAlign w:val="superscript"/>
    </w:rPr>
  </w:style>
  <w:style w:type="paragraph" w:customStyle="1" w:styleId="ParagNum">
    <w:name w:val="ParagNum"/>
    <w:basedOn w:val="Normal"/>
    <w:rsid w:val="003207A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207A6"/>
    <w:pPr>
      <w:spacing w:before="100" w:beforeAutospacing="1" w:after="100" w:afterAutospacing="1" w:line="360" w:lineRule="auto"/>
    </w:pPr>
  </w:style>
  <w:style w:type="paragraph" w:customStyle="1" w:styleId="Indent2">
    <w:name w:val="Indent 2"/>
    <w:basedOn w:val="Indent1"/>
    <w:rsid w:val="003207A6"/>
    <w:pPr>
      <w:ind w:left="1134"/>
    </w:pPr>
  </w:style>
  <w:style w:type="paragraph" w:customStyle="1" w:styleId="Indent3">
    <w:name w:val="Indent 3"/>
    <w:basedOn w:val="Indent1"/>
    <w:rsid w:val="003207A6"/>
    <w:pPr>
      <w:ind w:left="1701"/>
    </w:pPr>
  </w:style>
  <w:style w:type="paragraph" w:customStyle="1" w:styleId="Indent4">
    <w:name w:val="Indent 4"/>
    <w:basedOn w:val="Indent1"/>
    <w:rsid w:val="003207A6"/>
    <w:pPr>
      <w:ind w:left="2268"/>
    </w:pPr>
  </w:style>
  <w:style w:type="paragraph" w:customStyle="1" w:styleId="Indent10">
    <w:name w:val="Indent1"/>
    <w:basedOn w:val="Reasons"/>
    <w:rsid w:val="003207A6"/>
    <w:pPr>
      <w:ind w:left="567"/>
    </w:pPr>
  </w:style>
  <w:style w:type="paragraph" w:customStyle="1" w:styleId="Indent20">
    <w:name w:val="Indent2"/>
    <w:basedOn w:val="Indent10"/>
    <w:rsid w:val="003207A6"/>
    <w:pPr>
      <w:ind w:left="1134"/>
    </w:pPr>
  </w:style>
  <w:style w:type="paragraph" w:customStyle="1" w:styleId="Indent30">
    <w:name w:val="Indent3"/>
    <w:basedOn w:val="Indent10"/>
    <w:rsid w:val="003207A6"/>
    <w:pPr>
      <w:ind w:left="1701"/>
    </w:pPr>
  </w:style>
  <w:style w:type="paragraph" w:customStyle="1" w:styleId="Indent40">
    <w:name w:val="Indent4"/>
    <w:basedOn w:val="Indent10"/>
    <w:rsid w:val="003207A6"/>
    <w:pPr>
      <w:ind w:left="2268"/>
    </w:pPr>
  </w:style>
  <w:style w:type="paragraph" w:customStyle="1" w:styleId="Keywords">
    <w:name w:val="Keywords"/>
    <w:basedOn w:val="Normal"/>
    <w:rsid w:val="003207A6"/>
    <w:pPr>
      <w:spacing w:before="100" w:beforeAutospacing="1" w:after="100" w:afterAutospacing="1"/>
    </w:pPr>
    <w:rPr>
      <w:rFonts w:cs="Arial"/>
      <w:i/>
      <w:szCs w:val="24"/>
    </w:rPr>
  </w:style>
  <w:style w:type="paragraph" w:customStyle="1" w:styleId="Summary">
    <w:name w:val="Summary"/>
    <w:basedOn w:val="Normal"/>
    <w:autoRedefine/>
    <w:rsid w:val="003207A6"/>
    <w:pPr>
      <w:spacing w:before="100" w:beforeAutospacing="1" w:after="100" w:afterAutospacing="1"/>
      <w:ind w:left="562" w:hanging="562"/>
    </w:pPr>
    <w:rPr>
      <w:rFonts w:cs="Arial"/>
    </w:rPr>
  </w:style>
  <w:style w:type="paragraph" w:customStyle="1" w:styleId="History">
    <w:name w:val="History"/>
    <w:basedOn w:val="Normal"/>
    <w:rsid w:val="003207A6"/>
    <w:pPr>
      <w:spacing w:before="100" w:beforeAutospacing="1" w:after="100" w:afterAutospacing="1"/>
      <w:ind w:firstLine="567"/>
    </w:pPr>
  </w:style>
  <w:style w:type="paragraph" w:customStyle="1" w:styleId="T1">
    <w:name w:val="T1"/>
    <w:basedOn w:val="Normal"/>
    <w:rsid w:val="003207A6"/>
    <w:pPr>
      <w:spacing w:before="240" w:after="100" w:afterAutospacing="1"/>
    </w:pPr>
    <w:rPr>
      <w:b/>
    </w:rPr>
  </w:style>
  <w:style w:type="paragraph" w:customStyle="1" w:styleId="T2">
    <w:name w:val="T2"/>
    <w:basedOn w:val="Normal"/>
    <w:rsid w:val="003207A6"/>
    <w:pPr>
      <w:spacing w:before="240" w:after="100" w:afterAutospacing="1"/>
    </w:pPr>
  </w:style>
  <w:style w:type="paragraph" w:customStyle="1" w:styleId="Sollicitors">
    <w:name w:val="Sollicitors"/>
    <w:basedOn w:val="Normal"/>
    <w:rsid w:val="003207A6"/>
    <w:pPr>
      <w:spacing w:before="100" w:beforeAutospacing="1" w:after="100" w:afterAutospacing="1"/>
    </w:pPr>
    <w:rPr>
      <w:i/>
    </w:rPr>
  </w:style>
  <w:style w:type="paragraph" w:customStyle="1" w:styleId="Court">
    <w:name w:val="Court"/>
    <w:basedOn w:val="Normal"/>
    <w:rsid w:val="003207A6"/>
    <w:rPr>
      <w:rFonts w:cs="Arial"/>
      <w:b/>
      <w:szCs w:val="24"/>
    </w:rPr>
  </w:style>
  <w:style w:type="character" w:customStyle="1" w:styleId="PageChar">
    <w:name w:val="Page Char"/>
    <w:link w:val="Page"/>
    <w:rsid w:val="003207A6"/>
    <w:rPr>
      <w:rFonts w:ascii="Arial" w:eastAsia="MS Mincho" w:hAnsi="Arial" w:cs="Times New Roman"/>
      <w:i/>
      <w:sz w:val="24"/>
      <w:szCs w:val="28"/>
      <w:lang w:val="en-CA" w:eastAsia="ja-JP"/>
    </w:rPr>
  </w:style>
  <w:style w:type="character" w:customStyle="1" w:styleId="ReasonsCar">
    <w:name w:val="Reasons Car"/>
    <w:link w:val="Reasons"/>
    <w:rsid w:val="003207A6"/>
    <w:rPr>
      <w:rFonts w:ascii="Arial" w:eastAsia="MS Mincho" w:hAnsi="Arial" w:cs="Times New Roman"/>
      <w:sz w:val="24"/>
      <w:szCs w:val="28"/>
      <w:lang w:val="en-CA" w:eastAsia="ja-JP"/>
    </w:rPr>
  </w:style>
  <w:style w:type="paragraph" w:customStyle="1" w:styleId="CitationLine">
    <w:name w:val="CitationLine"/>
    <w:basedOn w:val="Court"/>
    <w:rsid w:val="003207A6"/>
  </w:style>
  <w:style w:type="paragraph" w:customStyle="1" w:styleId="DateISO">
    <w:name w:val="DateISO"/>
    <w:basedOn w:val="Court"/>
    <w:rsid w:val="00320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7</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2015-03-20T13:36:00Z</dcterms:created>
  <dcterms:modified xsi:type="dcterms:W3CDTF">2015-03-23T10:26:00Z</dcterms:modified>
</cp:coreProperties>
</file>