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2A" w:rsidRDefault="0043462A" w:rsidP="0043462A">
      <w:pPr>
        <w:pStyle w:val="Court"/>
      </w:pPr>
      <w:r>
        <w:t>Supreme Court of Canada</w:t>
      </w:r>
    </w:p>
    <w:p w:rsidR="0043462A" w:rsidRDefault="0043462A" w:rsidP="0043462A">
      <w:pPr>
        <w:pStyle w:val="CitationLine"/>
      </w:pPr>
      <w:r w:rsidRPr="00791627">
        <w:t xml:space="preserve">Tucker </w:t>
      </w:r>
      <w:r w:rsidRPr="00791627">
        <w:rPr>
          <w:i/>
          <w:iCs/>
        </w:rPr>
        <w:t xml:space="preserve">v. </w:t>
      </w:r>
      <w:r w:rsidRPr="00791627">
        <w:t>The King</w:t>
      </w:r>
      <w:r>
        <w:t xml:space="preserve"> (1902) 05 SCR </w:t>
      </w:r>
      <w:r w:rsidR="002F1A92">
        <w:t>722</w:t>
      </w:r>
    </w:p>
    <w:p w:rsidR="0043462A" w:rsidRDefault="0043462A" w:rsidP="0043462A">
      <w:pPr>
        <w:pStyle w:val="DateISO"/>
      </w:pPr>
      <w:r>
        <w:t>Date: 1902-05-29</w:t>
      </w:r>
    </w:p>
    <w:p w:rsidR="0043462A" w:rsidRDefault="0043462A" w:rsidP="0043462A">
      <w:pPr>
        <w:pStyle w:val="Metadata"/>
      </w:pPr>
      <w:r w:rsidRPr="0043462A">
        <w:t xml:space="preserve">Tucker </w:t>
      </w:r>
      <w:r w:rsidRPr="0043462A">
        <w:rPr>
          <w:iCs/>
        </w:rPr>
        <w:t>v.</w:t>
      </w:r>
      <w:r w:rsidRPr="0043462A">
        <w:rPr>
          <w:i/>
          <w:iCs/>
        </w:rPr>
        <w:t xml:space="preserve"> </w:t>
      </w:r>
      <w:r w:rsidRPr="0043462A">
        <w:t>The King</w:t>
      </w:r>
    </w:p>
    <w:p w:rsidR="00034146" w:rsidRPr="00791627" w:rsidRDefault="00034146" w:rsidP="0043462A">
      <w:pPr>
        <w:pStyle w:val="Metadata"/>
      </w:pPr>
      <w:r w:rsidRPr="00791627">
        <w:t>1902</w:t>
      </w:r>
      <w:r w:rsidR="0043462A">
        <w:t xml:space="preserve">: </w:t>
      </w:r>
      <w:r w:rsidRPr="00791627">
        <w:t>May 14</w:t>
      </w:r>
      <w:r w:rsidR="0043462A">
        <w:t xml:space="preserve">; 1902: </w:t>
      </w:r>
      <w:r w:rsidRPr="00791627">
        <w:t>May 29.</w:t>
      </w:r>
    </w:p>
    <w:p w:rsidR="00034146" w:rsidRPr="00791627" w:rsidRDefault="00034146" w:rsidP="0043462A">
      <w:pPr>
        <w:pStyle w:val="Metadata"/>
      </w:pPr>
      <w:r w:rsidRPr="0043462A">
        <w:t>Present</w:t>
      </w:r>
      <w:r w:rsidRPr="00791627">
        <w:rPr>
          <w:smallCaps/>
        </w:rPr>
        <w:t>:</w:t>
      </w:r>
      <w:r w:rsidRPr="00791627">
        <w:t>—Sir Henry Strong C.J. and Taschereau, Sedgewick, Girouard and Davies JJ.</w:t>
      </w:r>
    </w:p>
    <w:p w:rsidR="00034146" w:rsidRPr="00791627" w:rsidRDefault="00034146" w:rsidP="0043462A">
      <w:pPr>
        <w:pStyle w:val="Keywords"/>
      </w:pPr>
      <w:r w:rsidRPr="00791627">
        <w:t>Grown—Contract—Eight of action — Public officer — Solicitor and client—R. S. G. cc. 114, 115 — Inquiry as to public matters—Remuneration of Commissioner—Quantum meruit.</w:t>
      </w:r>
    </w:p>
    <w:p w:rsidR="00034146" w:rsidRPr="00791627" w:rsidRDefault="00034146" w:rsidP="0043462A">
      <w:pPr>
        <w:pStyle w:val="Summary"/>
      </w:pPr>
      <w:r w:rsidRPr="00791627">
        <w:t>Judgment appealed from (7 Ex. C. R. 351) affirmed, the Chief Justice and Girouard J. dissenting.</w:t>
      </w:r>
    </w:p>
    <w:p w:rsidR="00034146" w:rsidRPr="00791627" w:rsidRDefault="00034146" w:rsidP="0043462A">
      <w:pPr>
        <w:pStyle w:val="History"/>
      </w:pPr>
      <w:r w:rsidRPr="0043462A">
        <w:t>Appeal</w:t>
      </w:r>
      <w:r w:rsidRPr="00791627">
        <w:rPr>
          <w:smallCaps/>
        </w:rPr>
        <w:t xml:space="preserve"> </w:t>
      </w:r>
      <w:r w:rsidRPr="00791627">
        <w:t>from the judgment of the Exchequer Court of Canada</w:t>
      </w:r>
      <w:r w:rsidR="002608D5">
        <w:rPr>
          <w:rStyle w:val="FootnoteReference"/>
        </w:rPr>
        <w:footnoteReference w:id="2"/>
      </w:r>
      <w:r w:rsidRPr="00791627">
        <w:t xml:space="preserve"> by which a demurrer to the suppliant's petition of right was maintained and the petition of right dismissed with costs.</w:t>
      </w:r>
    </w:p>
    <w:p w:rsidR="00034146" w:rsidRPr="00791627" w:rsidRDefault="00034146" w:rsidP="0043462A">
      <w:pPr>
        <w:pStyle w:val="History"/>
        <w:rPr>
          <w:rFonts w:cs="Arial"/>
          <w:szCs w:val="24"/>
        </w:rPr>
      </w:pPr>
      <w:r w:rsidRPr="00791627">
        <w:rPr>
          <w:rFonts w:cs="Arial"/>
          <w:szCs w:val="24"/>
        </w:rPr>
        <w:t>The suppliant, an advocate of the Province of Quebec, claimed by his petition of right the payment of $800 for services rendered by him as a commissioner appointed under the Revised Statutes of Canada, chs. 114 and 115, to make inquiry and report upon misconduct of a servant or officer of the Crown, alleged to have been of a judicial as well as inquisitorial character, the duty he performed requiring a</w:t>
      </w:r>
    </w:p>
    <w:p w:rsidR="00034146" w:rsidRPr="00791627" w:rsidRDefault="00903412" w:rsidP="00903412">
      <w:pPr>
        <w:pStyle w:val="Page"/>
      </w:pPr>
      <w:r>
        <w:rPr>
          <w:rFonts w:cs="Arial"/>
          <w:szCs w:val="24"/>
        </w:rPr>
        <w:t xml:space="preserve">[Page </w:t>
      </w:r>
      <w:r w:rsidR="00034146" w:rsidRPr="00791627">
        <w:rPr>
          <w:rFonts w:cs="Arial"/>
          <w:szCs w:val="24"/>
        </w:rPr>
        <w:t>723]</w:t>
      </w:r>
    </w:p>
    <w:p w:rsidR="00034146" w:rsidRPr="00791627" w:rsidRDefault="00034146" w:rsidP="0043462A">
      <w:pPr>
        <w:pStyle w:val="History"/>
        <w:ind w:firstLine="0"/>
        <w:rPr>
          <w:rFonts w:cs="Arial"/>
          <w:szCs w:val="24"/>
        </w:rPr>
      </w:pPr>
      <w:r w:rsidRPr="00791627">
        <w:rPr>
          <w:rFonts w:cs="Arial"/>
          <w:szCs w:val="24"/>
        </w:rPr>
        <w:t>knowledge of law and the rules of evidence. The suppliant claimed that his remuneration should be calculated and taxed according to the scale of fees allowed in similar matters for professional services by counsel or solicitors to clients.</w:t>
      </w:r>
    </w:p>
    <w:p w:rsidR="00034146" w:rsidRPr="00791627" w:rsidRDefault="00034146" w:rsidP="0043462A">
      <w:pPr>
        <w:pStyle w:val="History"/>
        <w:rPr>
          <w:rFonts w:cs="Arial"/>
          <w:szCs w:val="24"/>
        </w:rPr>
      </w:pPr>
      <w:r w:rsidRPr="00791627">
        <w:rPr>
          <w:rFonts w:cs="Arial"/>
          <w:szCs w:val="24"/>
        </w:rPr>
        <w:t>The Crown demurred on the grounds that the petition of right did not allege, nor did the facts set out disclose, any contract between the suppliant and the Crown, either express or implied, or any other matter giving rise to any obligation or right of action against the Crown. The appeal was asserted by the suppliant against the judgment of the Exchequer Court</w:t>
      </w:r>
      <w:r w:rsidR="002608D5">
        <w:rPr>
          <w:rStyle w:val="FootnoteReference"/>
          <w:rFonts w:cs="Arial"/>
          <w:szCs w:val="24"/>
        </w:rPr>
        <w:footnoteReference w:id="3"/>
      </w:r>
      <w:r w:rsidRPr="00791627">
        <w:rPr>
          <w:rFonts w:cs="Arial"/>
          <w:szCs w:val="24"/>
        </w:rPr>
        <w:t>, maintaining the demurrer and dismissing the petition of right with costs.</w:t>
      </w:r>
    </w:p>
    <w:p w:rsidR="00034146" w:rsidRPr="00791627" w:rsidRDefault="00034146" w:rsidP="0043462A">
      <w:pPr>
        <w:pStyle w:val="History"/>
        <w:rPr>
          <w:rFonts w:cs="Arial"/>
          <w:szCs w:val="24"/>
        </w:rPr>
      </w:pPr>
      <w:r w:rsidRPr="00791627">
        <w:rPr>
          <w:rFonts w:cs="Arial"/>
          <w:szCs w:val="24"/>
        </w:rPr>
        <w:t xml:space="preserve">After hearing counsel for the parties the court reserved judgment and. on a subsequent day, the appeal was dismissed with costs, His Lordship the Chief Justice and Mr. Justice </w:t>
      </w:r>
      <w:r w:rsidRPr="00791627">
        <w:rPr>
          <w:rFonts w:cs="Arial"/>
          <w:smallCaps/>
          <w:szCs w:val="24"/>
        </w:rPr>
        <w:t>G</w:t>
      </w:r>
      <w:r w:rsidRPr="00791627">
        <w:rPr>
          <w:rFonts w:cs="Arial"/>
          <w:szCs w:val="24"/>
        </w:rPr>
        <w:t xml:space="preserve">irouard dissenting. There were no written notes of the reasons for the </w:t>
      </w:r>
      <w:r w:rsidRPr="00791627">
        <w:rPr>
          <w:rFonts w:cs="Arial"/>
          <w:szCs w:val="24"/>
        </w:rPr>
        <w:lastRenderedPageBreak/>
        <w:t>judgment of the majority of the court delivered. The following notes for his dissenting judgment were delivered by:</w:t>
      </w:r>
    </w:p>
    <w:p w:rsidR="00034146" w:rsidRPr="00791627" w:rsidRDefault="0043462A" w:rsidP="0043462A">
      <w:pPr>
        <w:pStyle w:val="Reasons"/>
      </w:pPr>
      <w:r w:rsidRPr="0043462A">
        <w:t>GIROUARD</w:t>
      </w:r>
      <w:r w:rsidRPr="00791627">
        <w:rPr>
          <w:smallCaps/>
        </w:rPr>
        <w:t xml:space="preserve"> </w:t>
      </w:r>
      <w:r w:rsidR="00034146" w:rsidRPr="00791627">
        <w:t xml:space="preserve">J.—I think that the decision of the Privy Council in </w:t>
      </w:r>
      <w:r w:rsidR="00034146" w:rsidRPr="00791627">
        <w:rPr>
          <w:i/>
          <w:iCs/>
        </w:rPr>
        <w:t xml:space="preserve">The Queen </w:t>
      </w:r>
      <w:r w:rsidR="00034146" w:rsidRPr="00791627">
        <w:t xml:space="preserve">v. </w:t>
      </w:r>
      <w:r w:rsidR="00034146" w:rsidRPr="00791627">
        <w:rPr>
          <w:i/>
          <w:iCs/>
        </w:rPr>
        <w:t>Doutre</w:t>
      </w:r>
      <w:r w:rsidR="002608D5">
        <w:rPr>
          <w:rStyle w:val="FootnoteReference"/>
          <w:i/>
          <w:iCs/>
        </w:rPr>
        <w:footnoteReference w:id="4"/>
      </w:r>
      <w:r w:rsidR="00034146" w:rsidRPr="00791627">
        <w:t xml:space="preserve"> is in point.</w:t>
      </w:r>
    </w:p>
    <w:p w:rsidR="00034146" w:rsidRPr="00791627" w:rsidRDefault="00034146" w:rsidP="0043462A">
      <w:pPr>
        <w:pStyle w:val="Reasons"/>
        <w:rPr>
          <w:rFonts w:cs="Arial"/>
          <w:szCs w:val="24"/>
        </w:rPr>
      </w:pPr>
      <w:r w:rsidRPr="00791627">
        <w:rPr>
          <w:rFonts w:cs="Arial"/>
          <w:szCs w:val="24"/>
        </w:rPr>
        <w:t xml:space="preserve">The appellant was not a public officer, he was an advocate of the Province of Quebec specially retained and commissioned to perform certain temporary duties in that province on behalf of the Crown which his professional attainments specially qualified him to discharge. Can it be pretended that he would not be entitled to the </w:t>
      </w:r>
      <w:r w:rsidRPr="00791627">
        <w:rPr>
          <w:rFonts w:cs="Arial"/>
          <w:i/>
          <w:iCs/>
          <w:szCs w:val="24"/>
        </w:rPr>
        <w:t xml:space="preserve">quantum meruit </w:t>
      </w:r>
      <w:r w:rsidRPr="00791627">
        <w:rPr>
          <w:rFonts w:cs="Arial"/>
          <w:szCs w:val="24"/>
        </w:rPr>
        <w:t>of his services, if they had been rendered to a subject? Undoubtedly an action would lie in such a case. An advocate requested by a subject to make an inquiry into a matter in which</w:t>
      </w:r>
    </w:p>
    <w:p w:rsidR="00034146" w:rsidRPr="00791627" w:rsidRDefault="00903412" w:rsidP="00903412">
      <w:pPr>
        <w:pStyle w:val="Page"/>
      </w:pPr>
      <w:r>
        <w:rPr>
          <w:rFonts w:cs="Arial"/>
          <w:szCs w:val="24"/>
        </w:rPr>
        <w:t xml:space="preserve">[Page </w:t>
      </w:r>
      <w:r w:rsidR="00034146" w:rsidRPr="00791627">
        <w:rPr>
          <w:rFonts w:cs="Arial"/>
          <w:szCs w:val="24"/>
        </w:rPr>
        <w:t>724]</w:t>
      </w:r>
    </w:p>
    <w:p w:rsidR="00034146" w:rsidRPr="00791627" w:rsidRDefault="00034146" w:rsidP="0043462A">
      <w:pPr>
        <w:pStyle w:val="Reasons"/>
        <w:rPr>
          <w:rFonts w:cs="Arial"/>
          <w:szCs w:val="24"/>
        </w:rPr>
      </w:pPr>
      <w:r w:rsidRPr="00791627">
        <w:rPr>
          <w:rFonts w:cs="Arial"/>
          <w:szCs w:val="24"/>
        </w:rPr>
        <w:t xml:space="preserve">he may be interested, requiring professional skill and experience, has a right of action for the value of the work accomplished by him, whether in or out of a court of justice. </w:t>
      </w:r>
      <w:r w:rsidRPr="00791627">
        <w:rPr>
          <w:rFonts w:cs="Arial"/>
          <w:smallCaps/>
          <w:szCs w:val="24"/>
        </w:rPr>
        <w:t xml:space="preserve">I </w:t>
      </w:r>
      <w:r w:rsidRPr="00791627">
        <w:rPr>
          <w:rFonts w:cs="Arial"/>
          <w:szCs w:val="24"/>
        </w:rPr>
        <w:t>cannot see how a distinction can be made when the Crown is the client. The Privy Council has held that none exists and I am not prepared to make one. In my opinion the appeal should be allowed with costs.</w:t>
      </w:r>
    </w:p>
    <w:p w:rsidR="00034146" w:rsidRPr="00791627" w:rsidRDefault="00034146" w:rsidP="0043462A">
      <w:pPr>
        <w:pStyle w:val="Reasons"/>
      </w:pPr>
      <w:r w:rsidRPr="00791627">
        <w:t>Appeal dismissed with costs.</w:t>
      </w:r>
    </w:p>
    <w:p w:rsidR="00034146" w:rsidRPr="00791627" w:rsidRDefault="00034146" w:rsidP="0043462A">
      <w:pPr>
        <w:pStyle w:val="Sollicitors"/>
      </w:pPr>
      <w:r w:rsidRPr="00791627">
        <w:rPr>
          <w:iCs/>
        </w:rPr>
        <w:t xml:space="preserve">Leet K. C. </w:t>
      </w:r>
      <w:r w:rsidRPr="00791627">
        <w:t>for the appellant.</w:t>
      </w:r>
    </w:p>
    <w:p w:rsidR="00034146" w:rsidRPr="00791627" w:rsidRDefault="00034146" w:rsidP="0043462A">
      <w:pPr>
        <w:pStyle w:val="Sollicitors"/>
      </w:pPr>
      <w:r w:rsidRPr="00791627">
        <w:rPr>
          <w:iCs/>
        </w:rPr>
        <w:t xml:space="preserve">Newcombe K.C. </w:t>
      </w:r>
      <w:r w:rsidRPr="00791627">
        <w:t>for the respondent.</w:t>
      </w:r>
    </w:p>
    <w:sectPr w:rsidR="00034146" w:rsidRPr="00791627" w:rsidSect="00987B0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4F3" w:rsidRDefault="008F34F3" w:rsidP="00987B07">
      <w:r>
        <w:separator/>
      </w:r>
    </w:p>
  </w:endnote>
  <w:endnote w:type="continuationSeparator" w:id="1">
    <w:p w:rsidR="008F34F3" w:rsidRDefault="008F34F3" w:rsidP="00987B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07" w:rsidRDefault="00987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07" w:rsidRDefault="00987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07" w:rsidRDefault="00987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4F3" w:rsidRDefault="008F34F3" w:rsidP="00987B07">
      <w:r>
        <w:separator/>
      </w:r>
    </w:p>
  </w:footnote>
  <w:footnote w:type="continuationSeparator" w:id="1">
    <w:p w:rsidR="008F34F3" w:rsidRDefault="008F34F3" w:rsidP="00987B07">
      <w:r>
        <w:continuationSeparator/>
      </w:r>
    </w:p>
  </w:footnote>
  <w:footnote w:id="2">
    <w:p w:rsidR="002608D5" w:rsidRPr="002608D5" w:rsidRDefault="002608D5">
      <w:pPr>
        <w:pStyle w:val="FootnoteText"/>
        <w:rPr>
          <w:lang w:val="en-US"/>
        </w:rPr>
      </w:pPr>
      <w:r>
        <w:rPr>
          <w:rStyle w:val="FootnoteReference"/>
        </w:rPr>
        <w:footnoteRef/>
      </w:r>
      <w:r>
        <w:t xml:space="preserve"> </w:t>
      </w:r>
      <w:r w:rsidRPr="00791627">
        <w:rPr>
          <w:rFonts w:cs="Arial"/>
          <w:szCs w:val="24"/>
        </w:rPr>
        <w:t>7 Ex. C. R. 351.</w:t>
      </w:r>
    </w:p>
  </w:footnote>
  <w:footnote w:id="3">
    <w:p w:rsidR="002608D5" w:rsidRPr="002608D5" w:rsidRDefault="002608D5">
      <w:pPr>
        <w:pStyle w:val="FootnoteText"/>
        <w:rPr>
          <w:lang w:val="en-US"/>
        </w:rPr>
      </w:pPr>
      <w:r>
        <w:rPr>
          <w:rStyle w:val="FootnoteReference"/>
        </w:rPr>
        <w:footnoteRef/>
      </w:r>
      <w:r>
        <w:t xml:space="preserve"> </w:t>
      </w:r>
      <w:r w:rsidRPr="00791627">
        <w:rPr>
          <w:rFonts w:cs="Arial"/>
          <w:szCs w:val="24"/>
        </w:rPr>
        <w:t>7 Ex. C. R. 351.</w:t>
      </w:r>
    </w:p>
  </w:footnote>
  <w:footnote w:id="4">
    <w:p w:rsidR="002608D5" w:rsidRPr="002608D5" w:rsidRDefault="002608D5">
      <w:pPr>
        <w:pStyle w:val="FootnoteText"/>
        <w:rPr>
          <w:lang w:val="en-US"/>
        </w:rPr>
      </w:pPr>
      <w:r>
        <w:rPr>
          <w:rStyle w:val="FootnoteReference"/>
        </w:rPr>
        <w:footnoteRef/>
      </w:r>
      <w:r>
        <w:t xml:space="preserve"> </w:t>
      </w:r>
      <w:r w:rsidRPr="00791627">
        <w:rPr>
          <w:rFonts w:cs="Arial"/>
          <w:szCs w:val="24"/>
        </w:rPr>
        <w:t>9 App. Cas. 745.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07" w:rsidRDefault="00987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07" w:rsidRDefault="00987B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07" w:rsidRDefault="00987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9688BD4">
      <w:start w:val="1"/>
      <w:numFmt w:val="decimal"/>
      <w:pStyle w:val="ParagNum"/>
      <w:lvlText w:val="[%1]"/>
      <w:lvlJc w:val="left"/>
      <w:pPr>
        <w:tabs>
          <w:tab w:val="num" w:pos="369"/>
        </w:tabs>
        <w:ind w:left="369" w:hanging="369"/>
      </w:pPr>
    </w:lvl>
    <w:lvl w:ilvl="1" w:tplc="C3D09062" w:tentative="1">
      <w:start w:val="1"/>
      <w:numFmt w:val="lowerLetter"/>
      <w:lvlText w:val="%2."/>
      <w:lvlJc w:val="left"/>
      <w:pPr>
        <w:tabs>
          <w:tab w:val="num" w:pos="1440"/>
        </w:tabs>
        <w:ind w:left="1440" w:hanging="360"/>
      </w:pPr>
    </w:lvl>
    <w:lvl w:ilvl="2" w:tplc="A4FE1E30" w:tentative="1">
      <w:start w:val="1"/>
      <w:numFmt w:val="lowerRoman"/>
      <w:lvlText w:val="%3."/>
      <w:lvlJc w:val="right"/>
      <w:pPr>
        <w:tabs>
          <w:tab w:val="num" w:pos="2160"/>
        </w:tabs>
        <w:ind w:left="2160" w:hanging="180"/>
      </w:pPr>
    </w:lvl>
    <w:lvl w:ilvl="3" w:tplc="59BE39BE" w:tentative="1">
      <w:start w:val="1"/>
      <w:numFmt w:val="decimal"/>
      <w:lvlText w:val="%4."/>
      <w:lvlJc w:val="left"/>
      <w:pPr>
        <w:tabs>
          <w:tab w:val="num" w:pos="2880"/>
        </w:tabs>
        <w:ind w:left="2880" w:hanging="360"/>
      </w:pPr>
    </w:lvl>
    <w:lvl w:ilvl="4" w:tplc="B2E8F798" w:tentative="1">
      <w:start w:val="1"/>
      <w:numFmt w:val="lowerLetter"/>
      <w:lvlText w:val="%5."/>
      <w:lvlJc w:val="left"/>
      <w:pPr>
        <w:tabs>
          <w:tab w:val="num" w:pos="3600"/>
        </w:tabs>
        <w:ind w:left="3600" w:hanging="360"/>
      </w:pPr>
    </w:lvl>
    <w:lvl w:ilvl="5" w:tplc="12C8DF3E" w:tentative="1">
      <w:start w:val="1"/>
      <w:numFmt w:val="lowerRoman"/>
      <w:lvlText w:val="%6."/>
      <w:lvlJc w:val="right"/>
      <w:pPr>
        <w:tabs>
          <w:tab w:val="num" w:pos="4320"/>
        </w:tabs>
        <w:ind w:left="4320" w:hanging="180"/>
      </w:pPr>
    </w:lvl>
    <w:lvl w:ilvl="6" w:tplc="FC480A82" w:tentative="1">
      <w:start w:val="1"/>
      <w:numFmt w:val="decimal"/>
      <w:lvlText w:val="%7."/>
      <w:lvlJc w:val="left"/>
      <w:pPr>
        <w:tabs>
          <w:tab w:val="num" w:pos="5040"/>
        </w:tabs>
        <w:ind w:left="5040" w:hanging="360"/>
      </w:pPr>
    </w:lvl>
    <w:lvl w:ilvl="7" w:tplc="5D0C099E" w:tentative="1">
      <w:start w:val="1"/>
      <w:numFmt w:val="lowerLetter"/>
      <w:lvlText w:val="%8."/>
      <w:lvlJc w:val="left"/>
      <w:pPr>
        <w:tabs>
          <w:tab w:val="num" w:pos="5760"/>
        </w:tabs>
        <w:ind w:left="5760" w:hanging="360"/>
      </w:pPr>
    </w:lvl>
    <w:lvl w:ilvl="8" w:tplc="2E5C08E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4146"/>
    <w:rsid w:val="00013FDA"/>
    <w:rsid w:val="000173FB"/>
    <w:rsid w:val="00034146"/>
    <w:rsid w:val="000564CF"/>
    <w:rsid w:val="000655EC"/>
    <w:rsid w:val="00077D2F"/>
    <w:rsid w:val="0008547A"/>
    <w:rsid w:val="0009756F"/>
    <w:rsid w:val="000B6688"/>
    <w:rsid w:val="000C3415"/>
    <w:rsid w:val="00121409"/>
    <w:rsid w:val="00125F0C"/>
    <w:rsid w:val="00126A8E"/>
    <w:rsid w:val="00160740"/>
    <w:rsid w:val="001837F3"/>
    <w:rsid w:val="001D0D42"/>
    <w:rsid w:val="001D5C4A"/>
    <w:rsid w:val="001F6A76"/>
    <w:rsid w:val="00214840"/>
    <w:rsid w:val="002209AC"/>
    <w:rsid w:val="002428EB"/>
    <w:rsid w:val="002608D5"/>
    <w:rsid w:val="002A74DD"/>
    <w:rsid w:val="002B30C5"/>
    <w:rsid w:val="002C186C"/>
    <w:rsid w:val="002C6836"/>
    <w:rsid w:val="002D1543"/>
    <w:rsid w:val="002D5E01"/>
    <w:rsid w:val="002F1A92"/>
    <w:rsid w:val="002F4F64"/>
    <w:rsid w:val="002F7D00"/>
    <w:rsid w:val="00361108"/>
    <w:rsid w:val="003824D9"/>
    <w:rsid w:val="003E5AF5"/>
    <w:rsid w:val="003F602F"/>
    <w:rsid w:val="004277EE"/>
    <w:rsid w:val="00431BBD"/>
    <w:rsid w:val="0043462A"/>
    <w:rsid w:val="0043543D"/>
    <w:rsid w:val="00442713"/>
    <w:rsid w:val="00457BC5"/>
    <w:rsid w:val="00463F5F"/>
    <w:rsid w:val="00482CDC"/>
    <w:rsid w:val="004C7ED4"/>
    <w:rsid w:val="00511D93"/>
    <w:rsid w:val="00514003"/>
    <w:rsid w:val="00537980"/>
    <w:rsid w:val="00563767"/>
    <w:rsid w:val="005667DA"/>
    <w:rsid w:val="00593C8B"/>
    <w:rsid w:val="005D4F4D"/>
    <w:rsid w:val="00644967"/>
    <w:rsid w:val="00684B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F34F3"/>
    <w:rsid w:val="00903412"/>
    <w:rsid w:val="00926406"/>
    <w:rsid w:val="00987B07"/>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B61D2"/>
    <w:rsid w:val="00BC4595"/>
    <w:rsid w:val="00BD2D62"/>
    <w:rsid w:val="00C372DF"/>
    <w:rsid w:val="00C45FBD"/>
    <w:rsid w:val="00C54EB9"/>
    <w:rsid w:val="00C7016B"/>
    <w:rsid w:val="00C90874"/>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03288"/>
    <w:rsid w:val="00E1124B"/>
    <w:rsid w:val="00E114A9"/>
    <w:rsid w:val="00E117BD"/>
    <w:rsid w:val="00E30F5A"/>
    <w:rsid w:val="00E40016"/>
    <w:rsid w:val="00E407E4"/>
    <w:rsid w:val="00E43349"/>
    <w:rsid w:val="00E51D18"/>
    <w:rsid w:val="00E86DF4"/>
    <w:rsid w:val="00EA5260"/>
    <w:rsid w:val="00EB1266"/>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A9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F1A9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F1A9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F1A92"/>
  </w:style>
  <w:style w:type="paragraph" w:styleId="Header">
    <w:name w:val="header"/>
    <w:basedOn w:val="Normal"/>
    <w:link w:val="HeaderChar"/>
    <w:uiPriority w:val="99"/>
    <w:unhideWhenUsed/>
    <w:rsid w:val="002F1A92"/>
    <w:pPr>
      <w:tabs>
        <w:tab w:val="center" w:pos="4680"/>
        <w:tab w:val="right" w:pos="9360"/>
      </w:tabs>
    </w:pPr>
    <w:rPr>
      <w:rFonts w:ascii="Times New Roman" w:hAnsi="Times New Roman"/>
    </w:rPr>
  </w:style>
  <w:style w:type="character" w:customStyle="1" w:styleId="HeaderChar">
    <w:name w:val="Header Char"/>
    <w:link w:val="Header"/>
    <w:uiPriority w:val="99"/>
    <w:rsid w:val="002F1A9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F1A92"/>
    <w:pPr>
      <w:tabs>
        <w:tab w:val="center" w:pos="4680"/>
        <w:tab w:val="right" w:pos="9360"/>
      </w:tabs>
    </w:pPr>
    <w:rPr>
      <w:rFonts w:ascii="Times New Roman" w:hAnsi="Times New Roman"/>
    </w:rPr>
  </w:style>
  <w:style w:type="character" w:customStyle="1" w:styleId="FooterChar">
    <w:name w:val="Footer Char"/>
    <w:link w:val="Footer"/>
    <w:uiPriority w:val="99"/>
    <w:rsid w:val="002F1A9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0328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F1A92"/>
    <w:pPr>
      <w:spacing w:before="100" w:beforeAutospacing="1"/>
      <w:ind w:left="567"/>
      <w:jc w:val="both"/>
    </w:pPr>
  </w:style>
  <w:style w:type="paragraph" w:customStyle="1" w:styleId="Metadata">
    <w:name w:val="Metadata"/>
    <w:basedOn w:val="Normal"/>
    <w:rsid w:val="002F1A92"/>
    <w:pPr>
      <w:spacing w:before="100" w:beforeAutospacing="1" w:after="100" w:afterAutospacing="1"/>
    </w:pPr>
    <w:rPr>
      <w:rFonts w:cs="Arial"/>
      <w:szCs w:val="24"/>
    </w:rPr>
  </w:style>
  <w:style w:type="paragraph" w:customStyle="1" w:styleId="Page">
    <w:name w:val="Page"/>
    <w:basedOn w:val="Normal"/>
    <w:link w:val="PageChar"/>
    <w:rsid w:val="002F1A92"/>
    <w:pPr>
      <w:spacing w:before="100" w:beforeAutospacing="1" w:after="100" w:afterAutospacing="1"/>
    </w:pPr>
    <w:rPr>
      <w:i/>
    </w:rPr>
  </w:style>
  <w:style w:type="paragraph" w:styleId="FootnoteText">
    <w:name w:val="footnote text"/>
    <w:basedOn w:val="Normal"/>
    <w:link w:val="FootnoteTextChar"/>
    <w:autoRedefine/>
    <w:semiHidden/>
    <w:rsid w:val="002F1A92"/>
    <w:rPr>
      <w:sz w:val="16"/>
      <w:szCs w:val="20"/>
    </w:rPr>
  </w:style>
  <w:style w:type="character" w:customStyle="1" w:styleId="FootnoteTextChar">
    <w:name w:val="Footnote Text Char"/>
    <w:link w:val="FootnoteText"/>
    <w:semiHidden/>
    <w:rsid w:val="002F1A92"/>
    <w:rPr>
      <w:rFonts w:ascii="Arial" w:eastAsia="MS Mincho" w:hAnsi="Arial" w:cs="Times New Roman"/>
      <w:sz w:val="16"/>
      <w:szCs w:val="20"/>
      <w:lang w:val="en-CA" w:eastAsia="ja-JP"/>
    </w:rPr>
  </w:style>
  <w:style w:type="character" w:styleId="FootnoteReference">
    <w:name w:val="footnote reference"/>
    <w:semiHidden/>
    <w:rsid w:val="002F1A92"/>
    <w:rPr>
      <w:vertAlign w:val="superscript"/>
    </w:rPr>
  </w:style>
  <w:style w:type="paragraph" w:customStyle="1" w:styleId="ParagNum">
    <w:name w:val="ParagNum"/>
    <w:basedOn w:val="Normal"/>
    <w:rsid w:val="002F1A9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F1A92"/>
    <w:pPr>
      <w:spacing w:before="100" w:beforeAutospacing="1" w:after="100" w:afterAutospacing="1" w:line="360" w:lineRule="auto"/>
    </w:pPr>
  </w:style>
  <w:style w:type="paragraph" w:customStyle="1" w:styleId="Indent2">
    <w:name w:val="Indent 2"/>
    <w:basedOn w:val="Indent1"/>
    <w:rsid w:val="002F1A92"/>
    <w:pPr>
      <w:ind w:left="1134"/>
    </w:pPr>
  </w:style>
  <w:style w:type="paragraph" w:customStyle="1" w:styleId="Indent3">
    <w:name w:val="Indent 3"/>
    <w:basedOn w:val="Indent1"/>
    <w:rsid w:val="002F1A92"/>
    <w:pPr>
      <w:ind w:left="1701"/>
    </w:pPr>
  </w:style>
  <w:style w:type="paragraph" w:customStyle="1" w:styleId="Indent4">
    <w:name w:val="Indent 4"/>
    <w:basedOn w:val="Indent1"/>
    <w:rsid w:val="002F1A92"/>
    <w:pPr>
      <w:ind w:left="2268"/>
    </w:pPr>
  </w:style>
  <w:style w:type="paragraph" w:customStyle="1" w:styleId="Indent10">
    <w:name w:val="Indent1"/>
    <w:basedOn w:val="Reasons"/>
    <w:rsid w:val="002F1A92"/>
    <w:pPr>
      <w:ind w:left="567"/>
    </w:pPr>
  </w:style>
  <w:style w:type="paragraph" w:customStyle="1" w:styleId="Indent20">
    <w:name w:val="Indent2"/>
    <w:basedOn w:val="Indent10"/>
    <w:rsid w:val="002F1A92"/>
    <w:pPr>
      <w:ind w:left="1134"/>
    </w:pPr>
  </w:style>
  <w:style w:type="paragraph" w:customStyle="1" w:styleId="Indent30">
    <w:name w:val="Indent3"/>
    <w:basedOn w:val="Indent10"/>
    <w:rsid w:val="002F1A92"/>
    <w:pPr>
      <w:ind w:left="1701"/>
    </w:pPr>
  </w:style>
  <w:style w:type="paragraph" w:customStyle="1" w:styleId="Indent40">
    <w:name w:val="Indent4"/>
    <w:basedOn w:val="Indent10"/>
    <w:rsid w:val="002F1A92"/>
    <w:pPr>
      <w:ind w:left="2268"/>
    </w:pPr>
  </w:style>
  <w:style w:type="paragraph" w:customStyle="1" w:styleId="Keywords">
    <w:name w:val="Keywords"/>
    <w:basedOn w:val="Normal"/>
    <w:rsid w:val="002F1A92"/>
    <w:pPr>
      <w:spacing w:before="100" w:beforeAutospacing="1" w:after="100" w:afterAutospacing="1"/>
    </w:pPr>
    <w:rPr>
      <w:rFonts w:cs="Arial"/>
      <w:i/>
      <w:szCs w:val="24"/>
    </w:rPr>
  </w:style>
  <w:style w:type="paragraph" w:customStyle="1" w:styleId="Summary">
    <w:name w:val="Summary"/>
    <w:basedOn w:val="Normal"/>
    <w:autoRedefine/>
    <w:rsid w:val="002F1A92"/>
    <w:pPr>
      <w:spacing w:before="100" w:beforeAutospacing="1" w:after="100" w:afterAutospacing="1"/>
      <w:ind w:left="562" w:hanging="562"/>
    </w:pPr>
    <w:rPr>
      <w:rFonts w:cs="Arial"/>
    </w:rPr>
  </w:style>
  <w:style w:type="paragraph" w:customStyle="1" w:styleId="History">
    <w:name w:val="History"/>
    <w:basedOn w:val="Normal"/>
    <w:rsid w:val="002F1A92"/>
    <w:pPr>
      <w:spacing w:before="100" w:beforeAutospacing="1" w:after="100" w:afterAutospacing="1"/>
      <w:ind w:firstLine="567"/>
    </w:pPr>
  </w:style>
  <w:style w:type="paragraph" w:customStyle="1" w:styleId="T1">
    <w:name w:val="T1"/>
    <w:basedOn w:val="Normal"/>
    <w:rsid w:val="002F1A92"/>
    <w:pPr>
      <w:spacing w:before="240" w:after="100" w:afterAutospacing="1"/>
    </w:pPr>
    <w:rPr>
      <w:b/>
    </w:rPr>
  </w:style>
  <w:style w:type="paragraph" w:customStyle="1" w:styleId="T2">
    <w:name w:val="T2"/>
    <w:basedOn w:val="Normal"/>
    <w:rsid w:val="002F1A92"/>
    <w:pPr>
      <w:spacing w:before="240" w:after="100" w:afterAutospacing="1"/>
    </w:pPr>
  </w:style>
  <w:style w:type="paragraph" w:customStyle="1" w:styleId="Sollicitors">
    <w:name w:val="Sollicitors"/>
    <w:basedOn w:val="Normal"/>
    <w:rsid w:val="002F1A92"/>
    <w:pPr>
      <w:spacing w:before="100" w:beforeAutospacing="1" w:after="100" w:afterAutospacing="1"/>
    </w:pPr>
    <w:rPr>
      <w:i/>
    </w:rPr>
  </w:style>
  <w:style w:type="paragraph" w:customStyle="1" w:styleId="Court">
    <w:name w:val="Court"/>
    <w:basedOn w:val="Normal"/>
    <w:rsid w:val="002F1A92"/>
    <w:rPr>
      <w:rFonts w:cs="Arial"/>
      <w:b/>
      <w:szCs w:val="24"/>
    </w:rPr>
  </w:style>
  <w:style w:type="character" w:customStyle="1" w:styleId="PageChar">
    <w:name w:val="Page Char"/>
    <w:link w:val="Page"/>
    <w:rsid w:val="002F1A92"/>
    <w:rPr>
      <w:rFonts w:ascii="Arial" w:eastAsia="MS Mincho" w:hAnsi="Arial" w:cs="Times New Roman"/>
      <w:i/>
      <w:sz w:val="24"/>
      <w:szCs w:val="28"/>
      <w:lang w:val="en-CA" w:eastAsia="ja-JP"/>
    </w:rPr>
  </w:style>
  <w:style w:type="character" w:customStyle="1" w:styleId="ReasonsCar">
    <w:name w:val="Reasons Car"/>
    <w:link w:val="Reasons"/>
    <w:rsid w:val="002F1A92"/>
    <w:rPr>
      <w:rFonts w:ascii="Arial" w:eastAsia="MS Mincho" w:hAnsi="Arial" w:cs="Times New Roman"/>
      <w:sz w:val="24"/>
      <w:szCs w:val="28"/>
      <w:lang w:val="en-CA" w:eastAsia="ja-JP"/>
    </w:rPr>
  </w:style>
  <w:style w:type="paragraph" w:customStyle="1" w:styleId="CitationLine">
    <w:name w:val="CitationLine"/>
    <w:basedOn w:val="Court"/>
    <w:rsid w:val="002F1A92"/>
  </w:style>
  <w:style w:type="paragraph" w:customStyle="1" w:styleId="DateISO">
    <w:name w:val="DateISO"/>
    <w:basedOn w:val="Court"/>
    <w:rsid w:val="002F1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2015-03-20T13:36:00Z</dcterms:created>
  <dcterms:modified xsi:type="dcterms:W3CDTF">2015-03-23T04:51:00Z</dcterms:modified>
</cp:coreProperties>
</file>