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EF" w:rsidRDefault="00DB2DEF" w:rsidP="00DB2DEF">
      <w:pPr>
        <w:pStyle w:val="Court"/>
      </w:pPr>
      <w:r>
        <w:t>Supreme Court of Canada</w:t>
      </w:r>
    </w:p>
    <w:p w:rsidR="00DB2DEF" w:rsidRDefault="00DB2DEF" w:rsidP="00DB2DEF">
      <w:pPr>
        <w:pStyle w:val="CitationLine"/>
      </w:pPr>
      <w:proofErr w:type="spellStart"/>
      <w:r w:rsidRPr="00DB2DEF">
        <w:t>Bustin</w:t>
      </w:r>
      <w:proofErr w:type="spellEnd"/>
      <w:r w:rsidRPr="00DB2DEF">
        <w:t xml:space="preserve"> </w:t>
      </w:r>
      <w:r w:rsidRPr="00DB2DEF">
        <w:rPr>
          <w:i/>
          <w:iCs/>
        </w:rPr>
        <w:t>v.</w:t>
      </w:r>
      <w:r w:rsidRPr="00DB2DEF">
        <w:t xml:space="preserve"> W. H. Thorne &amp; Co.</w:t>
      </w:r>
      <w:bookmarkStart w:id="0" w:name="_GoBack"/>
      <w:bookmarkEnd w:id="0"/>
      <w:r>
        <w:t xml:space="preserve"> (1906) 37 SCR 532</w:t>
      </w:r>
    </w:p>
    <w:p w:rsidR="00DB2DEF" w:rsidRDefault="00DB2DEF" w:rsidP="00DB2DEF">
      <w:pPr>
        <w:pStyle w:val="DateISO"/>
      </w:pPr>
      <w:r>
        <w:t>Date: 1906-05-04</w:t>
      </w:r>
    </w:p>
    <w:p w:rsidR="00105948" w:rsidRDefault="00DB2DEF" w:rsidP="00DB2DEF">
      <w:pPr>
        <w:pStyle w:val="Metadata"/>
      </w:pPr>
      <w:proofErr w:type="spellStart"/>
      <w:proofErr w:type="gramStart"/>
      <w:r>
        <w:t>B</w:t>
      </w:r>
      <w:r w:rsidR="00105948" w:rsidRPr="00DB2DEF">
        <w:t>ustin</w:t>
      </w:r>
      <w:proofErr w:type="spellEnd"/>
      <w:r w:rsidR="00105948" w:rsidRPr="00DB2DEF">
        <w:t xml:space="preserve"> v. W. H. </w:t>
      </w:r>
      <w:r>
        <w:t>T</w:t>
      </w:r>
      <w:r w:rsidR="00105948" w:rsidRPr="00DB2DEF">
        <w:t xml:space="preserve">horne &amp; </w:t>
      </w:r>
      <w:r>
        <w:t>C</w:t>
      </w:r>
      <w:r w:rsidR="00105948" w:rsidRPr="00DB2DEF">
        <w:t xml:space="preserve">o., </w:t>
      </w:r>
      <w:r w:rsidRPr="00DB2DEF">
        <w:t>Ltd</w:t>
      </w:r>
      <w:r w:rsidR="00105948" w:rsidRPr="00DB2DEF">
        <w:t>.</w:t>
      </w:r>
      <w:proofErr w:type="gramEnd"/>
    </w:p>
    <w:p w:rsidR="00DB2DEF" w:rsidRDefault="00DB2DEF" w:rsidP="00DB2DEF">
      <w:pPr>
        <w:pStyle w:val="Metadata"/>
      </w:pPr>
      <w:r>
        <w:t>1906: May 3, 4.</w:t>
      </w:r>
    </w:p>
    <w:p w:rsidR="00DB2DEF" w:rsidRPr="00DB2DEF" w:rsidRDefault="00DB2DEF" w:rsidP="00DB2DEF">
      <w:pPr>
        <w:pStyle w:val="Metadata"/>
      </w:pPr>
      <w:r w:rsidRPr="00DB2DEF">
        <w:t>Present</w:t>
      </w:r>
      <w:r>
        <w:t xml:space="preserve">:—Sedgewick, </w:t>
      </w:r>
      <w:proofErr w:type="spellStart"/>
      <w:r>
        <w:t>Girouard</w:t>
      </w:r>
      <w:proofErr w:type="spellEnd"/>
      <w:r>
        <w:t xml:space="preserve">, Davies, </w:t>
      </w:r>
      <w:proofErr w:type="spellStart"/>
      <w:r>
        <w:t>Idington</w:t>
      </w:r>
      <w:proofErr w:type="spellEnd"/>
      <w:r>
        <w:t xml:space="preserve"> and </w:t>
      </w:r>
      <w:proofErr w:type="spellStart"/>
      <w:r>
        <w:t>Maclennan</w:t>
      </w:r>
      <w:proofErr w:type="spellEnd"/>
      <w:r>
        <w:t xml:space="preserve"> JJ.</w:t>
      </w:r>
    </w:p>
    <w:p w:rsidR="00105948" w:rsidRDefault="00105948" w:rsidP="00DB2DEF">
      <w:pPr>
        <w:pStyle w:val="Keywords"/>
      </w:pPr>
      <w:r>
        <w:t>New trial—Judgment in court below on motion—Equal division— Appeal—Jurisdiction—</w:t>
      </w:r>
      <w:proofErr w:type="gramStart"/>
      <w:r>
        <w:t>Charge to jury—Misdirection—Bias.</w:t>
      </w:r>
      <w:proofErr w:type="gramEnd"/>
    </w:p>
    <w:p w:rsidR="00105948" w:rsidRDefault="00105948" w:rsidP="00DB2DEF">
      <w:pPr>
        <w:pStyle w:val="History"/>
      </w:pPr>
      <w:r w:rsidRPr="00DB2DEF">
        <w:t>Appeal</w:t>
      </w:r>
      <w:r>
        <w:rPr>
          <w:smallCaps/>
        </w:rPr>
        <w:t xml:space="preserve"> </w:t>
      </w:r>
      <w:r>
        <w:t>from a decision of the Supreme Court of New Brunswick</w:t>
      </w:r>
      <w:r w:rsidR="00FF66BB">
        <w:rPr>
          <w:rStyle w:val="Appelnotedebasdep"/>
        </w:rPr>
        <w:footnoteReference w:id="1"/>
      </w:r>
      <w:r>
        <w:t xml:space="preserve"> refusing, by equal division, to set aside a verdict for the plaintiffs and order a new trial.</w:t>
      </w:r>
    </w:p>
    <w:p w:rsidR="00105948" w:rsidRDefault="00105948" w:rsidP="00DB2DEF">
      <w:pPr>
        <w:pStyle w:val="History"/>
        <w:rPr>
          <w:rFonts w:cs="Arial"/>
          <w:szCs w:val="24"/>
        </w:rPr>
      </w:pPr>
      <w:r>
        <w:rPr>
          <w:rFonts w:cs="Arial"/>
          <w:szCs w:val="24"/>
        </w:rPr>
        <w:t xml:space="preserve">The W. H. Thorne &amp; Co. brought action to recover from </w:t>
      </w:r>
      <w:proofErr w:type="spellStart"/>
      <w:proofErr w:type="gramStart"/>
      <w:r>
        <w:rPr>
          <w:rFonts w:cs="Arial"/>
          <w:szCs w:val="24"/>
        </w:rPr>
        <w:t>Bustin</w:t>
      </w:r>
      <w:proofErr w:type="spellEnd"/>
      <w:proofErr w:type="gramEnd"/>
      <w:r>
        <w:rPr>
          <w:rFonts w:cs="Arial"/>
          <w:szCs w:val="24"/>
        </w:rPr>
        <w:t xml:space="preserve"> the price of goods sold on his alleged guarantee to one </w:t>
      </w:r>
      <w:proofErr w:type="spellStart"/>
      <w:r>
        <w:rPr>
          <w:rFonts w:cs="Arial"/>
          <w:szCs w:val="24"/>
        </w:rPr>
        <w:t>Segee</w:t>
      </w:r>
      <w:proofErr w:type="spellEnd"/>
      <w:r>
        <w:rPr>
          <w:rFonts w:cs="Arial"/>
          <w:szCs w:val="24"/>
        </w:rPr>
        <w:t xml:space="preserve">. </w:t>
      </w:r>
      <w:proofErr w:type="spellStart"/>
      <w:r>
        <w:rPr>
          <w:rFonts w:cs="Arial"/>
          <w:szCs w:val="24"/>
        </w:rPr>
        <w:t>Bustin</w:t>
      </w:r>
      <w:proofErr w:type="spellEnd"/>
      <w:r>
        <w:rPr>
          <w:rFonts w:cs="Arial"/>
          <w:szCs w:val="24"/>
        </w:rPr>
        <w:t xml:space="preserve"> had given a guarantee to pay for goods so sold to the extent of $1,000 and had paid over $900, thereunder. The first of the goods sued for were supplied some six months after those paid for by </w:t>
      </w:r>
      <w:proofErr w:type="spellStart"/>
      <w:r>
        <w:rPr>
          <w:rFonts w:cs="Arial"/>
          <w:szCs w:val="24"/>
        </w:rPr>
        <w:t>Bustin</w:t>
      </w:r>
      <w:proofErr w:type="spellEnd"/>
      <w:r>
        <w:rPr>
          <w:rFonts w:cs="Arial"/>
          <w:szCs w:val="24"/>
        </w:rPr>
        <w:t xml:space="preserve"> had been delivered and were charged in plaintiffs' books to </w:t>
      </w:r>
      <w:proofErr w:type="spellStart"/>
      <w:r>
        <w:rPr>
          <w:rFonts w:cs="Arial"/>
          <w:szCs w:val="24"/>
        </w:rPr>
        <w:t>Segee</w:t>
      </w:r>
      <w:proofErr w:type="spellEnd"/>
      <w:r>
        <w:rPr>
          <w:rFonts w:cs="Arial"/>
          <w:szCs w:val="24"/>
        </w:rPr>
        <w:t xml:space="preserve"> to whom all the accounts were rendered. On the trial the secretary of the W. H. Thorne &amp; Co. swore that </w:t>
      </w:r>
      <w:proofErr w:type="spellStart"/>
      <w:r>
        <w:rPr>
          <w:rFonts w:cs="Arial"/>
          <w:szCs w:val="24"/>
        </w:rPr>
        <w:t>Bustin</w:t>
      </w:r>
      <w:proofErr w:type="spellEnd"/>
      <w:r>
        <w:rPr>
          <w:rFonts w:cs="Arial"/>
          <w:szCs w:val="24"/>
        </w:rPr>
        <w:t xml:space="preserve"> had authorized the further supply to </w:t>
      </w:r>
      <w:proofErr w:type="spellStart"/>
      <w:r>
        <w:rPr>
          <w:rFonts w:cs="Arial"/>
          <w:szCs w:val="24"/>
        </w:rPr>
        <w:t>Segee</w:t>
      </w:r>
      <w:proofErr w:type="spellEnd"/>
      <w:r>
        <w:rPr>
          <w:rFonts w:cs="Arial"/>
          <w:szCs w:val="24"/>
        </w:rPr>
        <w:t xml:space="preserve"> on his account and had requested that they be charged to </w:t>
      </w:r>
      <w:proofErr w:type="spellStart"/>
      <w:r>
        <w:rPr>
          <w:rFonts w:cs="Arial"/>
          <w:szCs w:val="24"/>
        </w:rPr>
        <w:t>Segee</w:t>
      </w:r>
      <w:proofErr w:type="spellEnd"/>
      <w:r>
        <w:rPr>
          <w:rFonts w:cs="Arial"/>
          <w:szCs w:val="24"/>
        </w:rPr>
        <w:t xml:space="preserve"> to keep them separate from his own account with the company. This the defendant denied and testified that he had notified the company that he would no longer be responsible but neither the notice nor a copy of it was produced nor any proof except a stenographer's notes on dictation by defendant.</w:t>
      </w:r>
    </w:p>
    <w:p w:rsidR="00105948" w:rsidRDefault="00105948" w:rsidP="00DB2DEF">
      <w:pPr>
        <w:pStyle w:val="History"/>
        <w:rPr>
          <w:rFonts w:cs="Arial"/>
          <w:szCs w:val="24"/>
        </w:rPr>
      </w:pPr>
      <w:r>
        <w:rPr>
          <w:rFonts w:cs="Arial"/>
          <w:szCs w:val="24"/>
        </w:rPr>
        <w:t>The jury answered questions submitted by both counsel and the court on which a verdict was entered</w:t>
      </w:r>
    </w:p>
    <w:p w:rsidR="00105948" w:rsidRDefault="00733D14" w:rsidP="00733D14">
      <w:pPr>
        <w:pStyle w:val="Page"/>
      </w:pPr>
      <w:r>
        <w:rPr>
          <w:rFonts w:cs="Arial"/>
          <w:szCs w:val="24"/>
        </w:rPr>
        <w:t xml:space="preserve">[Page </w:t>
      </w:r>
      <w:r w:rsidR="00105948">
        <w:rPr>
          <w:rFonts w:cs="Arial"/>
          <w:szCs w:val="24"/>
        </w:rPr>
        <w:t>533]</w:t>
      </w:r>
    </w:p>
    <w:p w:rsidR="00105948" w:rsidRDefault="00105948" w:rsidP="007A606A">
      <w:pPr>
        <w:pStyle w:val="History"/>
        <w:ind w:firstLine="0"/>
      </w:pPr>
      <w:proofErr w:type="gramStart"/>
      <w:r>
        <w:t>for</w:t>
      </w:r>
      <w:proofErr w:type="gramEnd"/>
      <w:r>
        <w:t xml:space="preserve"> the plaintiff company for the amount claimed. Motion was made for a new trial on numerous grounds of improper reception and rejection of evidence, misdirection and improper direction and remarks by the presiding judge. The court being equally divided the motion for a new trial failed and the defendant appealed to this court.</w:t>
      </w:r>
    </w:p>
    <w:p w:rsidR="00105948" w:rsidRDefault="00105948" w:rsidP="007A606A">
      <w:pPr>
        <w:pStyle w:val="History"/>
        <w:rPr>
          <w:rFonts w:cs="Arial"/>
          <w:szCs w:val="24"/>
        </w:rPr>
      </w:pPr>
      <w:r>
        <w:rPr>
          <w:rFonts w:cs="Arial"/>
          <w:szCs w:val="24"/>
        </w:rPr>
        <w:t>The formal rule or judgment appealed against drawn up by the clerk of the court on the motion for new trial, after the formal portion as to hearing counsel, stated that "the court having taken time to consider, and being equally divided, the said rule drops and the verdict entered for the plaintiff on the trial stands."</w:t>
      </w:r>
    </w:p>
    <w:p w:rsidR="00105948" w:rsidRDefault="00105948" w:rsidP="007A606A">
      <w:pPr>
        <w:pStyle w:val="History"/>
        <w:rPr>
          <w:rFonts w:cs="Arial"/>
          <w:szCs w:val="24"/>
        </w:rPr>
      </w:pPr>
      <w:r>
        <w:rPr>
          <w:rFonts w:cs="Arial"/>
          <w:szCs w:val="24"/>
        </w:rPr>
        <w:t xml:space="preserve">On the appeal being called </w:t>
      </w:r>
      <w:r>
        <w:rPr>
          <w:rFonts w:cs="Arial"/>
          <w:i/>
          <w:iCs/>
          <w:szCs w:val="24"/>
        </w:rPr>
        <w:t xml:space="preserve">Hazen K.C. </w:t>
      </w:r>
      <w:r>
        <w:rPr>
          <w:rFonts w:cs="Arial"/>
          <w:szCs w:val="24"/>
        </w:rPr>
        <w:t xml:space="preserve">and </w:t>
      </w:r>
      <w:r>
        <w:rPr>
          <w:rFonts w:cs="Arial"/>
          <w:i/>
          <w:iCs/>
          <w:szCs w:val="24"/>
        </w:rPr>
        <w:t xml:space="preserve">W.H. Harrison </w:t>
      </w:r>
      <w:r>
        <w:rPr>
          <w:rFonts w:cs="Arial"/>
          <w:szCs w:val="24"/>
        </w:rPr>
        <w:t xml:space="preserve">for the respondents </w:t>
      </w:r>
      <w:r>
        <w:rPr>
          <w:rFonts w:cs="Arial"/>
          <w:szCs w:val="24"/>
        </w:rPr>
        <w:lastRenderedPageBreak/>
        <w:t>moved to quash on the ground that the said formal rule or order was not a judgment from which an appeal would lie.</w:t>
      </w:r>
    </w:p>
    <w:p w:rsidR="00105948" w:rsidRDefault="00105948" w:rsidP="007A606A">
      <w:pPr>
        <w:pStyle w:val="History"/>
        <w:rPr>
          <w:rFonts w:cs="Arial"/>
          <w:szCs w:val="24"/>
        </w:rPr>
      </w:pPr>
      <w:r>
        <w:rPr>
          <w:rFonts w:cs="Arial"/>
          <w:i/>
          <w:iCs/>
          <w:szCs w:val="24"/>
        </w:rPr>
        <w:t xml:space="preserve">Pugsley K.C., </w:t>
      </w:r>
      <w:r>
        <w:rPr>
          <w:rFonts w:cs="Arial"/>
          <w:szCs w:val="24"/>
        </w:rPr>
        <w:t>Attorney-General for New Brunswick, was not called upon to support the jurisdiction of the court and the motion to quash was overruled.</w:t>
      </w:r>
    </w:p>
    <w:p w:rsidR="00105948" w:rsidRDefault="00105948" w:rsidP="007A606A">
      <w:pPr>
        <w:pStyle w:val="History"/>
        <w:rPr>
          <w:rFonts w:cs="Arial"/>
          <w:szCs w:val="24"/>
        </w:rPr>
      </w:pPr>
      <w:r>
        <w:rPr>
          <w:rFonts w:cs="Arial"/>
          <w:szCs w:val="24"/>
        </w:rPr>
        <w:t>Counsel were then heard on the merits after which the court gave judgment ordering a new trial, on the ground that the charge of the trial judge to the jury shewed passion and bias and was improper. Davies J. dissented as follows:</w:t>
      </w:r>
    </w:p>
    <w:p w:rsidR="00105948" w:rsidRDefault="007A606A" w:rsidP="007A606A">
      <w:pPr>
        <w:pStyle w:val="Reasons"/>
      </w:pPr>
      <w:r w:rsidRPr="007A606A">
        <w:t>DAVIES</w:t>
      </w:r>
      <w:r>
        <w:rPr>
          <w:smallCaps/>
        </w:rPr>
        <w:t xml:space="preserve"> </w:t>
      </w:r>
      <w:r w:rsidR="00105948">
        <w:rPr>
          <w:smallCaps/>
        </w:rPr>
        <w:t xml:space="preserve">J. </w:t>
      </w:r>
      <w:r w:rsidR="00105948">
        <w:t>(dissenting).—I have carefully read the charge to the jury of Chief Justice Tuck and while some remarks relating to the several counsel engaged in the case might have been better unsaid I cannot</w:t>
      </w:r>
    </w:p>
    <w:p w:rsidR="00105948" w:rsidRDefault="00733D14" w:rsidP="00733D14">
      <w:pPr>
        <w:pStyle w:val="Page"/>
      </w:pPr>
      <w:r>
        <w:rPr>
          <w:rFonts w:cs="Arial"/>
          <w:szCs w:val="24"/>
        </w:rPr>
        <w:t xml:space="preserve">[Page </w:t>
      </w:r>
      <w:r w:rsidR="00105948">
        <w:rPr>
          <w:rFonts w:cs="Arial"/>
          <w:szCs w:val="24"/>
        </w:rPr>
        <w:t>534]</w:t>
      </w:r>
    </w:p>
    <w:p w:rsidR="00105948" w:rsidRDefault="00105948" w:rsidP="007A606A">
      <w:pPr>
        <w:pStyle w:val="Reasons"/>
        <w:rPr>
          <w:rFonts w:cs="Arial"/>
          <w:szCs w:val="24"/>
        </w:rPr>
      </w:pPr>
      <w:proofErr w:type="gramStart"/>
      <w:r>
        <w:rPr>
          <w:rFonts w:cs="Arial"/>
          <w:szCs w:val="24"/>
        </w:rPr>
        <w:t>find</w:t>
      </w:r>
      <w:proofErr w:type="gramEnd"/>
      <w:r>
        <w:rPr>
          <w:rFonts w:cs="Arial"/>
          <w:szCs w:val="24"/>
        </w:rPr>
        <w:t xml:space="preserve"> anything in the charge taken as a whole to justify a new trial being granted.</w:t>
      </w:r>
    </w:p>
    <w:p w:rsidR="00105948" w:rsidRDefault="00105948" w:rsidP="007A606A">
      <w:pPr>
        <w:pStyle w:val="Reasons"/>
        <w:rPr>
          <w:rFonts w:cs="Arial"/>
          <w:szCs w:val="24"/>
        </w:rPr>
      </w:pPr>
      <w:r>
        <w:rPr>
          <w:rFonts w:cs="Arial"/>
          <w:szCs w:val="24"/>
        </w:rPr>
        <w:t xml:space="preserve">It is not now open to the Attorney-General to complain that a particular question was not put to the jury relating to the delivery of a letter from the defendant to the plaintiff company's manager terminating any further liability on his part for goods supplied to one </w:t>
      </w:r>
      <w:proofErr w:type="spellStart"/>
      <w:r>
        <w:rPr>
          <w:rFonts w:cs="Arial"/>
          <w:szCs w:val="24"/>
        </w:rPr>
        <w:t>Segee</w:t>
      </w:r>
      <w:proofErr w:type="spellEnd"/>
      <w:r>
        <w:rPr>
          <w:rFonts w:cs="Arial"/>
          <w:szCs w:val="24"/>
        </w:rPr>
        <w:t>. It was open to him to have had the question put at the trial. He did not elect to do so and cannot now complain of its not having been put.</w:t>
      </w:r>
    </w:p>
    <w:p w:rsidR="00105948" w:rsidRDefault="00105948" w:rsidP="007A606A">
      <w:pPr>
        <w:pStyle w:val="Reasons"/>
        <w:rPr>
          <w:rFonts w:cs="Arial"/>
          <w:szCs w:val="24"/>
        </w:rPr>
      </w:pPr>
      <w:r>
        <w:rPr>
          <w:rFonts w:cs="Arial"/>
          <w:szCs w:val="24"/>
        </w:rPr>
        <w:t>The evidence while conflicting was fully sufficient to justify the findings and the findings ample enough to justify the entering of the verdict.</w:t>
      </w:r>
    </w:p>
    <w:p w:rsidR="00105948" w:rsidRDefault="00105948" w:rsidP="007A606A">
      <w:pPr>
        <w:pStyle w:val="Reasons"/>
        <w:rPr>
          <w:rFonts w:cs="Arial"/>
          <w:szCs w:val="24"/>
        </w:rPr>
      </w:pPr>
      <w:r>
        <w:rPr>
          <w:rFonts w:cs="Arial"/>
          <w:szCs w:val="24"/>
        </w:rPr>
        <w:t>I would dismiss the appeal.</w:t>
      </w:r>
    </w:p>
    <w:p w:rsidR="00105948" w:rsidRPr="007A606A" w:rsidRDefault="00105948" w:rsidP="007A606A">
      <w:pPr>
        <w:pStyle w:val="Reasons"/>
      </w:pPr>
      <w:r w:rsidRPr="007A606A">
        <w:t>Appeal allowed with costs.</w:t>
      </w:r>
    </w:p>
    <w:p w:rsidR="00105948" w:rsidRDefault="00105948" w:rsidP="007A606A">
      <w:pPr>
        <w:pStyle w:val="Sollicitors"/>
        <w:rPr>
          <w:iCs/>
        </w:rPr>
      </w:pPr>
      <w:r>
        <w:t xml:space="preserve">Solicitor for the appellant: </w:t>
      </w:r>
      <w:r>
        <w:rPr>
          <w:iCs/>
        </w:rPr>
        <w:t>J. Joseph Porter.</w:t>
      </w:r>
    </w:p>
    <w:p w:rsidR="00105948" w:rsidRDefault="00105948" w:rsidP="007A606A">
      <w:pPr>
        <w:pStyle w:val="Sollicitors"/>
        <w:rPr>
          <w:iCs/>
        </w:rPr>
      </w:pPr>
      <w:r>
        <w:t xml:space="preserve">Solicitor for the respondents: </w:t>
      </w:r>
      <w:r>
        <w:rPr>
          <w:iCs/>
        </w:rPr>
        <w:t>W. H. Harrison.</w:t>
      </w:r>
    </w:p>
    <w:sectPr w:rsidR="00105948" w:rsidSect="00217A44">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9B" w:rsidRDefault="004B229B" w:rsidP="00217A44">
      <w:r>
        <w:separator/>
      </w:r>
    </w:p>
  </w:endnote>
  <w:endnote w:type="continuationSeparator" w:id="0">
    <w:p w:rsidR="004B229B" w:rsidRDefault="004B229B" w:rsidP="0021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4" w:rsidRDefault="00217A4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4" w:rsidRDefault="00217A4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4" w:rsidRDefault="00217A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9B" w:rsidRDefault="004B229B" w:rsidP="00217A44">
      <w:r>
        <w:separator/>
      </w:r>
    </w:p>
  </w:footnote>
  <w:footnote w:type="continuationSeparator" w:id="0">
    <w:p w:rsidR="004B229B" w:rsidRDefault="004B229B" w:rsidP="00217A44">
      <w:r>
        <w:continuationSeparator/>
      </w:r>
    </w:p>
  </w:footnote>
  <w:footnote w:id="1">
    <w:p w:rsidR="00FF66BB" w:rsidRPr="00FF66BB" w:rsidRDefault="00FF66BB">
      <w:pPr>
        <w:pStyle w:val="Notedebasdepage"/>
        <w:rPr>
          <w:lang w:val="en-US"/>
        </w:rPr>
      </w:pPr>
      <w:r>
        <w:rPr>
          <w:rStyle w:val="Appelnotedebasdep"/>
        </w:rPr>
        <w:footnoteRef/>
      </w:r>
      <w:r>
        <w:t xml:space="preserve"> </w:t>
      </w:r>
      <w:proofErr w:type="gramStart"/>
      <w:r>
        <w:rPr>
          <w:rFonts w:cs="Arial"/>
          <w:szCs w:val="24"/>
        </w:rPr>
        <w:t>37 N.B. Rep. 163.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4" w:rsidRDefault="00217A4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4" w:rsidRDefault="00217A4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4" w:rsidRDefault="00217A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1DAF280">
      <w:start w:val="1"/>
      <w:numFmt w:val="decimal"/>
      <w:pStyle w:val="ParagNum"/>
      <w:lvlText w:val="[%1]"/>
      <w:lvlJc w:val="left"/>
      <w:pPr>
        <w:tabs>
          <w:tab w:val="num" w:pos="369"/>
        </w:tabs>
        <w:ind w:left="369" w:hanging="369"/>
      </w:pPr>
    </w:lvl>
    <w:lvl w:ilvl="1" w:tplc="CA7EC0B4" w:tentative="1">
      <w:start w:val="1"/>
      <w:numFmt w:val="lowerLetter"/>
      <w:lvlText w:val="%2."/>
      <w:lvlJc w:val="left"/>
      <w:pPr>
        <w:tabs>
          <w:tab w:val="num" w:pos="1440"/>
        </w:tabs>
        <w:ind w:left="1440" w:hanging="360"/>
      </w:pPr>
    </w:lvl>
    <w:lvl w:ilvl="2" w:tplc="4A7ABBE8" w:tentative="1">
      <w:start w:val="1"/>
      <w:numFmt w:val="lowerRoman"/>
      <w:lvlText w:val="%3."/>
      <w:lvlJc w:val="right"/>
      <w:pPr>
        <w:tabs>
          <w:tab w:val="num" w:pos="2160"/>
        </w:tabs>
        <w:ind w:left="2160" w:hanging="180"/>
      </w:pPr>
    </w:lvl>
    <w:lvl w:ilvl="3" w:tplc="2208D112" w:tentative="1">
      <w:start w:val="1"/>
      <w:numFmt w:val="decimal"/>
      <w:lvlText w:val="%4."/>
      <w:lvlJc w:val="left"/>
      <w:pPr>
        <w:tabs>
          <w:tab w:val="num" w:pos="2880"/>
        </w:tabs>
        <w:ind w:left="2880" w:hanging="360"/>
      </w:pPr>
    </w:lvl>
    <w:lvl w:ilvl="4" w:tplc="20C8D8CC" w:tentative="1">
      <w:start w:val="1"/>
      <w:numFmt w:val="lowerLetter"/>
      <w:lvlText w:val="%5."/>
      <w:lvlJc w:val="left"/>
      <w:pPr>
        <w:tabs>
          <w:tab w:val="num" w:pos="3600"/>
        </w:tabs>
        <w:ind w:left="3600" w:hanging="360"/>
      </w:pPr>
    </w:lvl>
    <w:lvl w:ilvl="5" w:tplc="AAC4A8C2" w:tentative="1">
      <w:start w:val="1"/>
      <w:numFmt w:val="lowerRoman"/>
      <w:lvlText w:val="%6."/>
      <w:lvlJc w:val="right"/>
      <w:pPr>
        <w:tabs>
          <w:tab w:val="num" w:pos="4320"/>
        </w:tabs>
        <w:ind w:left="4320" w:hanging="180"/>
      </w:pPr>
    </w:lvl>
    <w:lvl w:ilvl="6" w:tplc="B4B65D80" w:tentative="1">
      <w:start w:val="1"/>
      <w:numFmt w:val="decimal"/>
      <w:lvlText w:val="%7."/>
      <w:lvlJc w:val="left"/>
      <w:pPr>
        <w:tabs>
          <w:tab w:val="num" w:pos="5040"/>
        </w:tabs>
        <w:ind w:left="5040" w:hanging="360"/>
      </w:pPr>
    </w:lvl>
    <w:lvl w:ilvl="7" w:tplc="6DDAE25C" w:tentative="1">
      <w:start w:val="1"/>
      <w:numFmt w:val="lowerLetter"/>
      <w:lvlText w:val="%8."/>
      <w:lvlJc w:val="left"/>
      <w:pPr>
        <w:tabs>
          <w:tab w:val="num" w:pos="5760"/>
        </w:tabs>
        <w:ind w:left="5760" w:hanging="360"/>
      </w:pPr>
    </w:lvl>
    <w:lvl w:ilvl="8" w:tplc="914EC61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948"/>
    <w:rsid w:val="00013FDA"/>
    <w:rsid w:val="000173FB"/>
    <w:rsid w:val="00065348"/>
    <w:rsid w:val="000655EC"/>
    <w:rsid w:val="00077D2F"/>
    <w:rsid w:val="0008547A"/>
    <w:rsid w:val="000B6688"/>
    <w:rsid w:val="000C3415"/>
    <w:rsid w:val="000F7CE5"/>
    <w:rsid w:val="00105948"/>
    <w:rsid w:val="00121409"/>
    <w:rsid w:val="00125F0C"/>
    <w:rsid w:val="00126A8E"/>
    <w:rsid w:val="00136A3A"/>
    <w:rsid w:val="001837F3"/>
    <w:rsid w:val="0018579E"/>
    <w:rsid w:val="001A1292"/>
    <w:rsid w:val="001D0D42"/>
    <w:rsid w:val="001D5C4A"/>
    <w:rsid w:val="001F6A76"/>
    <w:rsid w:val="00216790"/>
    <w:rsid w:val="00217A44"/>
    <w:rsid w:val="002209AC"/>
    <w:rsid w:val="002428EB"/>
    <w:rsid w:val="002A74DD"/>
    <w:rsid w:val="002B30C5"/>
    <w:rsid w:val="002C186C"/>
    <w:rsid w:val="002D5E01"/>
    <w:rsid w:val="002F4F64"/>
    <w:rsid w:val="002F7D00"/>
    <w:rsid w:val="00361108"/>
    <w:rsid w:val="003824D9"/>
    <w:rsid w:val="003E5AF5"/>
    <w:rsid w:val="003F602F"/>
    <w:rsid w:val="0041711B"/>
    <w:rsid w:val="004277EE"/>
    <w:rsid w:val="0043543D"/>
    <w:rsid w:val="00442713"/>
    <w:rsid w:val="004503FB"/>
    <w:rsid w:val="00457BC5"/>
    <w:rsid w:val="00463F5F"/>
    <w:rsid w:val="00482CDC"/>
    <w:rsid w:val="004B229B"/>
    <w:rsid w:val="004C7ED4"/>
    <w:rsid w:val="0050101D"/>
    <w:rsid w:val="00511D93"/>
    <w:rsid w:val="00514003"/>
    <w:rsid w:val="00537980"/>
    <w:rsid w:val="00563767"/>
    <w:rsid w:val="005667DA"/>
    <w:rsid w:val="00593C8B"/>
    <w:rsid w:val="00634B39"/>
    <w:rsid w:val="00644967"/>
    <w:rsid w:val="0066769B"/>
    <w:rsid w:val="00672247"/>
    <w:rsid w:val="006D2BED"/>
    <w:rsid w:val="006D6F42"/>
    <w:rsid w:val="006E5FEA"/>
    <w:rsid w:val="00733D14"/>
    <w:rsid w:val="00747F2C"/>
    <w:rsid w:val="00751F7D"/>
    <w:rsid w:val="007969C4"/>
    <w:rsid w:val="007A606A"/>
    <w:rsid w:val="007B3A90"/>
    <w:rsid w:val="007D6DD5"/>
    <w:rsid w:val="008027F3"/>
    <w:rsid w:val="008357AC"/>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AF64C3"/>
    <w:rsid w:val="00B007EC"/>
    <w:rsid w:val="00B177F7"/>
    <w:rsid w:val="00B41B49"/>
    <w:rsid w:val="00B532F0"/>
    <w:rsid w:val="00B639A4"/>
    <w:rsid w:val="00B772A6"/>
    <w:rsid w:val="00BC4595"/>
    <w:rsid w:val="00C04FB0"/>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462DC"/>
    <w:rsid w:val="00D9036C"/>
    <w:rsid w:val="00DB2DEF"/>
    <w:rsid w:val="00DC4119"/>
    <w:rsid w:val="00DC566E"/>
    <w:rsid w:val="00DE30DC"/>
    <w:rsid w:val="00E1124B"/>
    <w:rsid w:val="00E114A9"/>
    <w:rsid w:val="00E117BD"/>
    <w:rsid w:val="00E30F5A"/>
    <w:rsid w:val="00E40016"/>
    <w:rsid w:val="00E407E4"/>
    <w:rsid w:val="00E4229B"/>
    <w:rsid w:val="00E43349"/>
    <w:rsid w:val="00E51D18"/>
    <w:rsid w:val="00E86DF4"/>
    <w:rsid w:val="00E96E29"/>
    <w:rsid w:val="00EB3437"/>
    <w:rsid w:val="00EF2358"/>
    <w:rsid w:val="00F01C9D"/>
    <w:rsid w:val="00F13669"/>
    <w:rsid w:val="00F177D8"/>
    <w:rsid w:val="00F22951"/>
    <w:rsid w:val="00F35E8A"/>
    <w:rsid w:val="00F60320"/>
    <w:rsid w:val="00F64D86"/>
    <w:rsid w:val="00FA66A7"/>
    <w:rsid w:val="00FF04C7"/>
    <w:rsid w:val="00FF66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229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E4229B"/>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29B"/>
    <w:pPr>
      <w:tabs>
        <w:tab w:val="center" w:pos="4680"/>
        <w:tab w:val="right" w:pos="9360"/>
      </w:tabs>
    </w:pPr>
    <w:rPr>
      <w:rFonts w:ascii="Times New Roman" w:hAnsi="Times New Roman"/>
    </w:rPr>
  </w:style>
  <w:style w:type="character" w:customStyle="1" w:styleId="En-tteCar">
    <w:name w:val="En-tête Car"/>
    <w:link w:val="En-tte"/>
    <w:uiPriority w:val="99"/>
    <w:rsid w:val="00E4229B"/>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E4229B"/>
    <w:pPr>
      <w:tabs>
        <w:tab w:val="center" w:pos="4680"/>
        <w:tab w:val="right" w:pos="9360"/>
      </w:tabs>
    </w:pPr>
    <w:rPr>
      <w:rFonts w:ascii="Times New Roman" w:hAnsi="Times New Roman"/>
    </w:rPr>
  </w:style>
  <w:style w:type="character" w:customStyle="1" w:styleId="PieddepageCar">
    <w:name w:val="Pied de page Car"/>
    <w:link w:val="Pieddepage"/>
    <w:uiPriority w:val="99"/>
    <w:rsid w:val="00E4229B"/>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AF64C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4229B"/>
    <w:pPr>
      <w:spacing w:before="100" w:beforeAutospacing="1"/>
      <w:ind w:left="567"/>
      <w:jc w:val="both"/>
    </w:pPr>
  </w:style>
  <w:style w:type="paragraph" w:customStyle="1" w:styleId="Metadata">
    <w:name w:val="Metadata"/>
    <w:basedOn w:val="Normal"/>
    <w:rsid w:val="00E4229B"/>
    <w:pPr>
      <w:spacing w:before="100" w:beforeAutospacing="1" w:after="100" w:afterAutospacing="1"/>
    </w:pPr>
    <w:rPr>
      <w:rFonts w:cs="Arial"/>
      <w:szCs w:val="24"/>
    </w:rPr>
  </w:style>
  <w:style w:type="paragraph" w:customStyle="1" w:styleId="Page">
    <w:name w:val="Page"/>
    <w:basedOn w:val="Normal"/>
    <w:link w:val="PageChar"/>
    <w:rsid w:val="00E4229B"/>
    <w:pPr>
      <w:spacing w:before="100" w:beforeAutospacing="1" w:after="100" w:afterAutospacing="1"/>
    </w:pPr>
    <w:rPr>
      <w:i/>
    </w:rPr>
  </w:style>
  <w:style w:type="paragraph" w:styleId="Notedebasdepage">
    <w:name w:val="footnote text"/>
    <w:basedOn w:val="Normal"/>
    <w:link w:val="NotedebasdepageCar"/>
    <w:autoRedefine/>
    <w:semiHidden/>
    <w:rsid w:val="00E4229B"/>
    <w:rPr>
      <w:sz w:val="16"/>
      <w:szCs w:val="20"/>
    </w:rPr>
  </w:style>
  <w:style w:type="character" w:customStyle="1" w:styleId="NotedebasdepageCar">
    <w:name w:val="Note de bas de page Car"/>
    <w:link w:val="Notedebasdepage"/>
    <w:semiHidden/>
    <w:rsid w:val="00E4229B"/>
    <w:rPr>
      <w:rFonts w:ascii="Arial" w:eastAsia="MS Mincho" w:hAnsi="Arial" w:cs="Times New Roman"/>
      <w:sz w:val="16"/>
      <w:szCs w:val="20"/>
      <w:lang w:val="en-CA" w:eastAsia="ja-JP"/>
    </w:rPr>
  </w:style>
  <w:style w:type="character" w:styleId="Appelnotedebasdep">
    <w:name w:val="footnote reference"/>
    <w:semiHidden/>
    <w:rsid w:val="00E4229B"/>
    <w:rPr>
      <w:vertAlign w:val="superscript"/>
    </w:rPr>
  </w:style>
  <w:style w:type="paragraph" w:customStyle="1" w:styleId="ParagNum">
    <w:name w:val="ParagNum"/>
    <w:basedOn w:val="Normal"/>
    <w:rsid w:val="00E4229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4229B"/>
    <w:pPr>
      <w:spacing w:before="100" w:beforeAutospacing="1" w:after="100" w:afterAutospacing="1" w:line="360" w:lineRule="auto"/>
    </w:pPr>
  </w:style>
  <w:style w:type="paragraph" w:customStyle="1" w:styleId="Indent2">
    <w:name w:val="Indent 2"/>
    <w:basedOn w:val="Indent1"/>
    <w:rsid w:val="00E4229B"/>
    <w:pPr>
      <w:ind w:left="1134"/>
    </w:pPr>
  </w:style>
  <w:style w:type="paragraph" w:customStyle="1" w:styleId="Indent3">
    <w:name w:val="Indent 3"/>
    <w:basedOn w:val="Indent1"/>
    <w:rsid w:val="00E4229B"/>
    <w:pPr>
      <w:ind w:left="1701"/>
    </w:pPr>
  </w:style>
  <w:style w:type="paragraph" w:customStyle="1" w:styleId="Indent4">
    <w:name w:val="Indent 4"/>
    <w:basedOn w:val="Indent1"/>
    <w:rsid w:val="00E4229B"/>
    <w:pPr>
      <w:ind w:left="2268"/>
    </w:pPr>
  </w:style>
  <w:style w:type="paragraph" w:customStyle="1" w:styleId="Indent10">
    <w:name w:val="Indent1"/>
    <w:basedOn w:val="Reasons"/>
    <w:rsid w:val="00E4229B"/>
    <w:pPr>
      <w:ind w:left="567"/>
    </w:pPr>
  </w:style>
  <w:style w:type="paragraph" w:customStyle="1" w:styleId="Indent20">
    <w:name w:val="Indent2"/>
    <w:basedOn w:val="Indent10"/>
    <w:rsid w:val="00E4229B"/>
    <w:pPr>
      <w:ind w:left="1134"/>
    </w:pPr>
  </w:style>
  <w:style w:type="paragraph" w:customStyle="1" w:styleId="Indent30">
    <w:name w:val="Indent3"/>
    <w:basedOn w:val="Indent10"/>
    <w:rsid w:val="00E4229B"/>
    <w:pPr>
      <w:ind w:left="1701"/>
    </w:pPr>
  </w:style>
  <w:style w:type="paragraph" w:customStyle="1" w:styleId="Indent40">
    <w:name w:val="Indent4"/>
    <w:basedOn w:val="Indent10"/>
    <w:rsid w:val="00E4229B"/>
    <w:pPr>
      <w:ind w:left="2268"/>
    </w:pPr>
  </w:style>
  <w:style w:type="paragraph" w:customStyle="1" w:styleId="Keywords">
    <w:name w:val="Keywords"/>
    <w:basedOn w:val="Normal"/>
    <w:rsid w:val="00E4229B"/>
    <w:pPr>
      <w:spacing w:before="100" w:beforeAutospacing="1" w:after="100" w:afterAutospacing="1"/>
    </w:pPr>
    <w:rPr>
      <w:rFonts w:cs="Arial"/>
      <w:i/>
      <w:szCs w:val="24"/>
    </w:rPr>
  </w:style>
  <w:style w:type="paragraph" w:customStyle="1" w:styleId="Summary">
    <w:name w:val="Summary"/>
    <w:basedOn w:val="Normal"/>
    <w:autoRedefine/>
    <w:rsid w:val="00E4229B"/>
    <w:pPr>
      <w:spacing w:before="100" w:beforeAutospacing="1" w:after="100" w:afterAutospacing="1"/>
      <w:ind w:left="562" w:hanging="562"/>
    </w:pPr>
    <w:rPr>
      <w:rFonts w:cs="Arial"/>
    </w:rPr>
  </w:style>
  <w:style w:type="paragraph" w:customStyle="1" w:styleId="History">
    <w:name w:val="History"/>
    <w:basedOn w:val="Normal"/>
    <w:rsid w:val="00E4229B"/>
    <w:pPr>
      <w:spacing w:before="100" w:beforeAutospacing="1" w:after="100" w:afterAutospacing="1"/>
      <w:ind w:firstLine="567"/>
    </w:pPr>
  </w:style>
  <w:style w:type="paragraph" w:customStyle="1" w:styleId="T1">
    <w:name w:val="T1"/>
    <w:basedOn w:val="Normal"/>
    <w:rsid w:val="00E4229B"/>
    <w:pPr>
      <w:spacing w:before="240" w:after="100" w:afterAutospacing="1"/>
    </w:pPr>
    <w:rPr>
      <w:b/>
    </w:rPr>
  </w:style>
  <w:style w:type="paragraph" w:customStyle="1" w:styleId="T2">
    <w:name w:val="T2"/>
    <w:basedOn w:val="Normal"/>
    <w:rsid w:val="00E4229B"/>
    <w:pPr>
      <w:spacing w:before="240" w:after="100" w:afterAutospacing="1"/>
    </w:pPr>
  </w:style>
  <w:style w:type="paragraph" w:customStyle="1" w:styleId="Sollicitors">
    <w:name w:val="Sollicitors"/>
    <w:basedOn w:val="Normal"/>
    <w:rsid w:val="00E4229B"/>
    <w:pPr>
      <w:spacing w:before="100" w:beforeAutospacing="1" w:after="100" w:afterAutospacing="1"/>
    </w:pPr>
    <w:rPr>
      <w:i/>
    </w:rPr>
  </w:style>
  <w:style w:type="paragraph" w:customStyle="1" w:styleId="Court">
    <w:name w:val="Court"/>
    <w:basedOn w:val="Normal"/>
    <w:rsid w:val="00E4229B"/>
    <w:rPr>
      <w:rFonts w:cs="Arial"/>
      <w:b/>
      <w:szCs w:val="24"/>
    </w:rPr>
  </w:style>
  <w:style w:type="character" w:customStyle="1" w:styleId="PageChar">
    <w:name w:val="Page Char"/>
    <w:link w:val="Page"/>
    <w:rsid w:val="00E4229B"/>
    <w:rPr>
      <w:rFonts w:ascii="Arial" w:eastAsia="MS Mincho" w:hAnsi="Arial" w:cs="Times New Roman"/>
      <w:i/>
      <w:sz w:val="24"/>
      <w:szCs w:val="28"/>
      <w:lang w:val="en-CA" w:eastAsia="ja-JP"/>
    </w:rPr>
  </w:style>
  <w:style w:type="character" w:customStyle="1" w:styleId="ReasonsCar">
    <w:name w:val="Reasons Car"/>
    <w:link w:val="Reasons"/>
    <w:rsid w:val="00E4229B"/>
    <w:rPr>
      <w:rFonts w:ascii="Arial" w:eastAsia="MS Mincho" w:hAnsi="Arial" w:cs="Times New Roman"/>
      <w:sz w:val="24"/>
      <w:szCs w:val="28"/>
      <w:lang w:val="en-CA" w:eastAsia="ja-JP"/>
    </w:rPr>
  </w:style>
  <w:style w:type="paragraph" w:customStyle="1" w:styleId="CitationLine">
    <w:name w:val="CitationLine"/>
    <w:basedOn w:val="Court"/>
    <w:rsid w:val="00E4229B"/>
  </w:style>
  <w:style w:type="paragraph" w:customStyle="1" w:styleId="DateISO">
    <w:name w:val="DateISO"/>
    <w:basedOn w:val="Court"/>
    <w:rsid w:val="00E42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6</TotalTime>
  <Pages>2</Pages>
  <Words>573</Words>
  <Characters>3157</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Audrey Naomie Ngo Tennog</cp:lastModifiedBy>
  <cp:revision>11</cp:revision>
  <dcterms:created xsi:type="dcterms:W3CDTF">2015-03-22T10:40:00Z</dcterms:created>
  <dcterms:modified xsi:type="dcterms:W3CDTF">2017-06-14T20:30:00Z</dcterms:modified>
</cp:coreProperties>
</file>