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38" w:rsidRDefault="00291F38" w:rsidP="00291F3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5301675" r:id="rId8"/>
        </w:object>
      </w:r>
      <w:r>
        <w:t xml:space="preserve"> </w:t>
      </w:r>
      <w:r>
        <w:ptab w:relativeTo="margin" w:alignment="right" w:leader="none"/>
      </w:r>
    </w:p>
    <w:p w:rsidR="00291F38" w:rsidRDefault="00291F38" w:rsidP="00291F38">
      <w:pPr>
        <w:pStyle w:val="Header"/>
      </w:pPr>
    </w:p>
    <w:p w:rsidR="00291F38" w:rsidRPr="006B210C" w:rsidRDefault="00291F38" w:rsidP="00291F38">
      <w:pPr>
        <w:jc w:val="center"/>
        <w:rPr>
          <w:b/>
        </w:rPr>
      </w:pPr>
      <w:r w:rsidRPr="006B210C">
        <w:rPr>
          <w:b/>
        </w:rPr>
        <w:t>SUPREME COURT OF CANADA</w:t>
      </w:r>
    </w:p>
    <w:p w:rsidR="00291F38" w:rsidRDefault="00291F38" w:rsidP="00291F3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91F38" w:rsidRPr="006B210C" w:rsidTr="00E10F5F">
        <w:trPr>
          <w:cantSplit/>
        </w:trPr>
        <w:tc>
          <w:tcPr>
            <w:tcW w:w="6768" w:type="dxa"/>
          </w:tcPr>
          <w:p w:rsidR="00291F38" w:rsidRPr="006B210C" w:rsidRDefault="00291F38" w:rsidP="00E10F5F">
            <w:r w:rsidRPr="006B210C">
              <w:rPr>
                <w:b/>
                <w:smallCaps/>
              </w:rPr>
              <w:t>Citation</w:t>
            </w:r>
            <w:r>
              <w:rPr>
                <w:b/>
                <w:smallCaps/>
              </w:rPr>
              <w:t>:</w:t>
            </w:r>
            <w:r w:rsidRPr="006B210C">
              <w:t xml:space="preserve"> </w:t>
            </w:r>
            <w:r>
              <w:t xml:space="preserve">Carey </w:t>
            </w:r>
            <w:r w:rsidRPr="00D40590">
              <w:rPr>
                <w:i/>
              </w:rPr>
              <w:t>v.</w:t>
            </w:r>
            <w:r>
              <w:t xml:space="preserve"> </w:t>
            </w:r>
            <w:proofErr w:type="spellStart"/>
            <w:r>
              <w:t>Laiken</w:t>
            </w:r>
            <w:proofErr w:type="spellEnd"/>
            <w:r>
              <w:t>, 2015 SCC 17</w:t>
            </w:r>
            <w:r>
              <w:t xml:space="preserve">, </w:t>
            </w:r>
            <w:r>
              <w:t>[2015] 2 S.C.R. 79</w:t>
            </w:r>
            <w:bookmarkStart w:id="0" w:name="_GoBack"/>
            <w:bookmarkEnd w:id="0"/>
          </w:p>
        </w:tc>
        <w:tc>
          <w:tcPr>
            <w:tcW w:w="2808" w:type="dxa"/>
          </w:tcPr>
          <w:p w:rsidR="00291F38" w:rsidRPr="006B210C" w:rsidRDefault="00291F38" w:rsidP="00E10F5F">
            <w:r w:rsidRPr="006B210C">
              <w:rPr>
                <w:b/>
                <w:smallCaps/>
              </w:rPr>
              <w:t>Date</w:t>
            </w:r>
            <w:r>
              <w:rPr>
                <w:b/>
                <w:smallCaps/>
              </w:rPr>
              <w:t>:</w:t>
            </w:r>
            <w:r w:rsidRPr="006B210C">
              <w:t xml:space="preserve"> </w:t>
            </w:r>
            <w:r>
              <w:t>20150416</w:t>
            </w:r>
          </w:p>
          <w:p w:rsidR="00291F38" w:rsidRPr="006B210C" w:rsidRDefault="00291F38" w:rsidP="00E10F5F">
            <w:r w:rsidRPr="006B210C">
              <w:rPr>
                <w:b/>
                <w:smallCaps/>
              </w:rPr>
              <w:t>Docket</w:t>
            </w:r>
            <w:r>
              <w:rPr>
                <w:b/>
                <w:smallCaps/>
              </w:rPr>
              <w:t>:</w:t>
            </w:r>
            <w:r w:rsidRPr="006B210C">
              <w:t xml:space="preserve"> </w:t>
            </w:r>
            <w:r>
              <w:t>35597</w:t>
            </w:r>
          </w:p>
        </w:tc>
      </w:tr>
    </w:tbl>
    <w:p w:rsidR="00291F38" w:rsidRPr="006B210C" w:rsidRDefault="00291F38" w:rsidP="00291F38"/>
    <w:p w:rsidR="00291F38" w:rsidRDefault="00291F38" w:rsidP="00291F38">
      <w:pPr>
        <w:pStyle w:val="SCCLsocPrefix"/>
      </w:pPr>
      <w:r>
        <w:t>Between:</w:t>
      </w:r>
    </w:p>
    <w:p w:rsidR="00291F38" w:rsidRDefault="00291F38" w:rsidP="00291F38">
      <w:pPr>
        <w:pStyle w:val="SCCLsocParty"/>
        <w:jc w:val="center"/>
      </w:pPr>
      <w:r>
        <w:t>Peter W. G. Carey</w:t>
      </w:r>
    </w:p>
    <w:p w:rsidR="00291F38" w:rsidRDefault="00291F38" w:rsidP="00291F38">
      <w:pPr>
        <w:jc w:val="center"/>
      </w:pPr>
      <w:r>
        <w:t>Appellant</w:t>
      </w:r>
    </w:p>
    <w:p w:rsidR="00291F38" w:rsidRPr="00291F38" w:rsidRDefault="00291F38" w:rsidP="00291F38">
      <w:pPr>
        <w:pStyle w:val="SCCLsocVersus"/>
        <w:spacing w:after="0"/>
        <w:jc w:val="center"/>
        <w:rPr>
          <w:i w:val="0"/>
        </w:rPr>
      </w:pPr>
      <w:proofErr w:type="gramStart"/>
      <w:r w:rsidRPr="00291F38">
        <w:rPr>
          <w:i w:val="0"/>
        </w:rPr>
        <w:t>and</w:t>
      </w:r>
      <w:proofErr w:type="gramEnd"/>
    </w:p>
    <w:p w:rsidR="00291F38" w:rsidRDefault="00291F38" w:rsidP="00291F38">
      <w:pPr>
        <w:pStyle w:val="SCCLsocParty"/>
        <w:jc w:val="center"/>
      </w:pPr>
      <w:r>
        <w:t xml:space="preserve">Judith </w:t>
      </w:r>
      <w:proofErr w:type="spellStart"/>
      <w:r>
        <w:t>Laiken</w:t>
      </w:r>
      <w:proofErr w:type="spellEnd"/>
    </w:p>
    <w:p w:rsidR="00291F38" w:rsidRDefault="00291F38" w:rsidP="00291F38">
      <w:pPr>
        <w:jc w:val="center"/>
      </w:pPr>
      <w:r>
        <w:t>Respondent</w:t>
      </w:r>
    </w:p>
    <w:p w:rsidR="00291F38" w:rsidRDefault="00291F38" w:rsidP="00291F38">
      <w:pPr>
        <w:jc w:val="center"/>
      </w:pPr>
    </w:p>
    <w:p w:rsidR="00291F38" w:rsidRPr="006B210C" w:rsidRDefault="00291F38" w:rsidP="00291F38">
      <w:pPr>
        <w:jc w:val="center"/>
      </w:pPr>
    </w:p>
    <w:p w:rsidR="00291F38" w:rsidRPr="006B210C" w:rsidRDefault="00291F38" w:rsidP="00291F38">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w:t>
      </w:r>
    </w:p>
    <w:p w:rsidR="00291F38" w:rsidRPr="006B210C" w:rsidRDefault="00291F38" w:rsidP="00291F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91F38" w:rsidRPr="006B210C" w:rsidTr="00E10F5F">
        <w:trPr>
          <w:cantSplit/>
        </w:trPr>
        <w:tc>
          <w:tcPr>
            <w:tcW w:w="3618" w:type="dxa"/>
          </w:tcPr>
          <w:p w:rsidR="00291F38" w:rsidRDefault="00291F38" w:rsidP="00E10F5F">
            <w:pPr>
              <w:rPr>
                <w:b/>
                <w:smallCaps/>
              </w:rPr>
            </w:pPr>
            <w:r w:rsidRPr="006B210C">
              <w:rPr>
                <w:b/>
                <w:smallCaps/>
              </w:rPr>
              <w:t>Reasons for Judgment</w:t>
            </w:r>
            <w:r>
              <w:rPr>
                <w:b/>
                <w:smallCaps/>
              </w:rPr>
              <w:t>:</w:t>
            </w:r>
          </w:p>
          <w:p w:rsidR="00291F38" w:rsidRPr="006B210C" w:rsidRDefault="00291F38" w:rsidP="00E10F5F">
            <w:r>
              <w:t>(paras. 1 to 68):</w:t>
            </w:r>
          </w:p>
        </w:tc>
        <w:tc>
          <w:tcPr>
            <w:tcW w:w="5958" w:type="dxa"/>
          </w:tcPr>
          <w:p w:rsidR="00291F38" w:rsidRDefault="00291F38" w:rsidP="00E10F5F">
            <w:r>
              <w:t>Cromwell J. (</w:t>
            </w:r>
            <w:proofErr w:type="spellStart"/>
            <w:r>
              <w:t>McLachlin</w:t>
            </w:r>
            <w:proofErr w:type="spellEnd"/>
            <w:r>
              <w:t xml:space="preserve"> C.J. and </w:t>
            </w:r>
            <w:proofErr w:type="spellStart"/>
            <w:r>
              <w:t>Abella</w:t>
            </w:r>
            <w:proofErr w:type="spellEnd"/>
            <w:r>
              <w:t xml:space="preserve">, Rothstein, </w:t>
            </w:r>
            <w:proofErr w:type="spellStart"/>
            <w:r>
              <w:t>Moldaver</w:t>
            </w:r>
            <w:proofErr w:type="spellEnd"/>
            <w:r>
              <w:t xml:space="preserve">, </w:t>
            </w:r>
            <w:proofErr w:type="spellStart"/>
            <w:r>
              <w:t>Karakatsanis</w:t>
            </w:r>
            <w:proofErr w:type="spellEnd"/>
            <w:r>
              <w:t xml:space="preserve"> and Wagner JJ. concurring)</w:t>
            </w:r>
          </w:p>
          <w:p w:rsidR="00291F38" w:rsidRPr="006B210C" w:rsidRDefault="00291F38" w:rsidP="00E10F5F"/>
        </w:tc>
      </w:tr>
    </w:tbl>
    <w:p w:rsidR="00291F38" w:rsidRDefault="00291F38" w:rsidP="00291F38"/>
    <w:p w:rsidR="00291F38" w:rsidRPr="006B210C" w:rsidRDefault="00291F38" w:rsidP="00291F38">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291F38" w:rsidRDefault="00291F38" w:rsidP="00E21EE7">
      <w:pPr>
        <w:spacing w:after="720"/>
        <w:jc w:val="both"/>
        <w:outlineLvl w:val="0"/>
      </w:pPr>
    </w:p>
    <w:p w:rsidR="008322BD" w:rsidRPr="002172F5" w:rsidRDefault="002172F5" w:rsidP="00E21EE7">
      <w:pPr>
        <w:spacing w:after="720"/>
        <w:jc w:val="both"/>
        <w:outlineLvl w:val="0"/>
      </w:pPr>
      <w:r>
        <w:t>C</w:t>
      </w:r>
      <w:r w:rsidR="008F78E9" w:rsidRPr="002172F5">
        <w:t>arey</w:t>
      </w:r>
      <w:r w:rsidR="00480C90" w:rsidRPr="002172F5">
        <w:t xml:space="preserve"> </w:t>
      </w:r>
      <w:r w:rsidR="009B57B3" w:rsidRPr="002172F5">
        <w:rPr>
          <w:i/>
        </w:rPr>
        <w:t>v.</w:t>
      </w:r>
      <w:r w:rsidR="00B000D8" w:rsidRPr="002172F5">
        <w:t xml:space="preserve"> </w:t>
      </w:r>
      <w:proofErr w:type="spellStart"/>
      <w:r>
        <w:t>L</w:t>
      </w:r>
      <w:r w:rsidR="008F78E9" w:rsidRPr="002172F5">
        <w:t>aiken</w:t>
      </w:r>
      <w:proofErr w:type="spellEnd"/>
      <w:r>
        <w:t xml:space="preserve">, </w:t>
      </w:r>
      <w:r w:rsidRPr="006D40E2">
        <w:t>2015 SCC</w:t>
      </w:r>
      <w:r>
        <w:t xml:space="preserve"> </w:t>
      </w:r>
      <w:r w:rsidRPr="006D40E2">
        <w:t>17</w:t>
      </w:r>
      <w:r>
        <w:t xml:space="preserve">, </w:t>
      </w:r>
      <w:bookmarkStart w:id="1" w:name="OLE_LINK1"/>
      <w:bookmarkStart w:id="2" w:name="OLE_LINK2"/>
      <w:r>
        <w:t>[2015] 2 S.C.R. 79</w:t>
      </w:r>
      <w:bookmarkEnd w:id="1"/>
      <w:bookmarkEnd w:id="2"/>
    </w:p>
    <w:p w:rsidR="003C3664" w:rsidRPr="006D40E2" w:rsidRDefault="003400FE" w:rsidP="00E21EE7">
      <w:pPr>
        <w:pStyle w:val="SCCLsocLastPartyInRole"/>
      </w:pPr>
      <w:r w:rsidRPr="006D40E2">
        <w:t>Peter W.</w:t>
      </w:r>
      <w:r w:rsidR="00746BAE" w:rsidRPr="006D40E2">
        <w:t xml:space="preserve"> </w:t>
      </w:r>
      <w:r w:rsidR="00B45138" w:rsidRPr="006D40E2">
        <w:t>G. Carey</w:t>
      </w:r>
      <w:r w:rsidR="00B45138" w:rsidRPr="006D40E2">
        <w:rPr>
          <w:rStyle w:val="SCCLsocPartyRole"/>
        </w:rPr>
        <w:tab/>
        <w:t>Appellant</w:t>
      </w:r>
    </w:p>
    <w:p w:rsidR="003C3664" w:rsidRPr="006D40E2" w:rsidRDefault="00B45138" w:rsidP="00E21EE7">
      <w:pPr>
        <w:pStyle w:val="SCCLsocVersus"/>
      </w:pPr>
      <w:proofErr w:type="gramStart"/>
      <w:r w:rsidRPr="006D40E2">
        <w:t>v</w:t>
      </w:r>
      <w:proofErr w:type="gramEnd"/>
      <w:r w:rsidRPr="006D40E2">
        <w:t>.</w:t>
      </w:r>
    </w:p>
    <w:p w:rsidR="003C3664" w:rsidRPr="006D40E2" w:rsidRDefault="00B45138" w:rsidP="00E21EE7">
      <w:pPr>
        <w:pStyle w:val="SCCLsocLastPartyInRole"/>
      </w:pPr>
      <w:r w:rsidRPr="006D40E2">
        <w:t>Judith Laiken</w:t>
      </w:r>
      <w:r w:rsidRPr="006D40E2">
        <w:rPr>
          <w:rStyle w:val="SCCLsocPartyRole"/>
        </w:rPr>
        <w:tab/>
        <w:t>Respondent</w:t>
      </w:r>
    </w:p>
    <w:p w:rsidR="00426659" w:rsidRPr="006D40E2" w:rsidRDefault="00426659" w:rsidP="00E21EE7">
      <w:pPr>
        <w:spacing w:after="720"/>
        <w:jc w:val="both"/>
        <w:outlineLvl w:val="0"/>
        <w:rPr>
          <w:b/>
        </w:rPr>
      </w:pPr>
      <w:r w:rsidRPr="006D40E2">
        <w:rPr>
          <w:b/>
        </w:rPr>
        <w:t xml:space="preserve">Indexed as: Carey </w:t>
      </w:r>
      <w:r w:rsidRPr="006D40E2">
        <w:rPr>
          <w:b/>
          <w:i/>
        </w:rPr>
        <w:t>v.</w:t>
      </w:r>
      <w:r w:rsidRPr="006D40E2">
        <w:rPr>
          <w:b/>
        </w:rPr>
        <w:t xml:space="preserve"> Laiken</w:t>
      </w:r>
    </w:p>
    <w:p w:rsidR="00426659" w:rsidRPr="006D40E2" w:rsidRDefault="004F36FF" w:rsidP="00E21EE7">
      <w:pPr>
        <w:pStyle w:val="SCCSystemYear"/>
        <w:spacing w:after="720"/>
        <w:jc w:val="both"/>
        <w:outlineLvl w:val="0"/>
      </w:pPr>
      <w:r w:rsidRPr="006D40E2">
        <w:t>2015</w:t>
      </w:r>
      <w:r w:rsidR="003D0399" w:rsidRPr="006D40E2">
        <w:t xml:space="preserve"> </w:t>
      </w:r>
      <w:r w:rsidR="005717B0" w:rsidRPr="006D40E2">
        <w:t>SCC</w:t>
      </w:r>
      <w:r w:rsidR="001C2A5E">
        <w:t xml:space="preserve"> </w:t>
      </w:r>
      <w:r w:rsidR="00905214" w:rsidRPr="006D40E2">
        <w:t>17</w:t>
      </w:r>
    </w:p>
    <w:p w:rsidR="008322BD" w:rsidRPr="006D40E2" w:rsidRDefault="00B45138" w:rsidP="00E21EE7">
      <w:pPr>
        <w:spacing w:after="720"/>
        <w:jc w:val="both"/>
        <w:outlineLvl w:val="0"/>
      </w:pPr>
      <w:r w:rsidRPr="006D40E2">
        <w:t xml:space="preserve">File No.: </w:t>
      </w:r>
      <w:r w:rsidR="009B57B3" w:rsidRPr="006D40E2">
        <w:t>35597.</w:t>
      </w:r>
    </w:p>
    <w:p w:rsidR="008322BD" w:rsidRPr="006D40E2" w:rsidRDefault="00B45138" w:rsidP="00E21EE7">
      <w:pPr>
        <w:spacing w:after="720"/>
        <w:jc w:val="both"/>
      </w:pPr>
      <w:r w:rsidRPr="006D40E2">
        <w:t>2014:</w:t>
      </w:r>
      <w:r w:rsidR="001C2A5E">
        <w:t xml:space="preserve"> </w:t>
      </w:r>
      <w:r w:rsidR="00ED781A" w:rsidRPr="006D40E2">
        <w:t>December</w:t>
      </w:r>
      <w:r w:rsidR="001C2A5E">
        <w:t xml:space="preserve"> </w:t>
      </w:r>
      <w:r w:rsidR="004F36FF" w:rsidRPr="006D40E2">
        <w:t>10</w:t>
      </w:r>
      <w:r w:rsidR="00ED781A" w:rsidRPr="006D40E2">
        <w:t>; 2015</w:t>
      </w:r>
      <w:r w:rsidR="000562EE" w:rsidRPr="006D40E2">
        <w:t>:</w:t>
      </w:r>
      <w:r w:rsidR="001C2A5E">
        <w:t xml:space="preserve"> </w:t>
      </w:r>
      <w:r w:rsidR="005717B0" w:rsidRPr="006D40E2">
        <w:t>April</w:t>
      </w:r>
      <w:r w:rsidR="001C2A5E">
        <w:t xml:space="preserve"> </w:t>
      </w:r>
      <w:r w:rsidR="005717B0" w:rsidRPr="006D40E2">
        <w:t>16</w:t>
      </w:r>
      <w:r w:rsidR="009B57B3" w:rsidRPr="006D40E2">
        <w:t>.</w:t>
      </w:r>
    </w:p>
    <w:p w:rsidR="008322BD" w:rsidRPr="006D40E2" w:rsidRDefault="00B45138" w:rsidP="00E21EE7">
      <w:pPr>
        <w:spacing w:after="720"/>
        <w:jc w:val="both"/>
      </w:pPr>
      <w:r w:rsidRPr="006D40E2">
        <w:lastRenderedPageBreak/>
        <w:t xml:space="preserve">Present: </w:t>
      </w:r>
      <w:r w:rsidR="009B57B3" w:rsidRPr="006D40E2">
        <w:t>McLachlin</w:t>
      </w:r>
      <w:r w:rsidR="001C2A5E">
        <w:t xml:space="preserve"> </w:t>
      </w:r>
      <w:r w:rsidR="009B57B3" w:rsidRPr="006D40E2">
        <w:t xml:space="preserve">C.J. and </w:t>
      </w:r>
      <w:proofErr w:type="spellStart"/>
      <w:r w:rsidR="009B57B3" w:rsidRPr="006D40E2">
        <w:t>Abella</w:t>
      </w:r>
      <w:proofErr w:type="spellEnd"/>
      <w:r w:rsidR="009B57B3" w:rsidRPr="006D40E2">
        <w:t xml:space="preserve">, Rothstein, Cromwell, </w:t>
      </w:r>
      <w:proofErr w:type="spellStart"/>
      <w:r w:rsidR="009B57B3" w:rsidRPr="006D40E2">
        <w:t>Moldaver</w:t>
      </w:r>
      <w:proofErr w:type="spellEnd"/>
      <w:r w:rsidR="009B57B3" w:rsidRPr="006D40E2">
        <w:t xml:space="preserve">, </w:t>
      </w:r>
      <w:proofErr w:type="spellStart"/>
      <w:r w:rsidR="009B57B3" w:rsidRPr="006D40E2">
        <w:t>Karakatsanis</w:t>
      </w:r>
      <w:proofErr w:type="spellEnd"/>
      <w:r w:rsidR="009B57B3" w:rsidRPr="006D40E2">
        <w:t xml:space="preserve"> and Wagner</w:t>
      </w:r>
      <w:r w:rsidR="001C2A5E">
        <w:t xml:space="preserve"> </w:t>
      </w:r>
      <w:r w:rsidR="009B57B3" w:rsidRPr="006D40E2">
        <w:t>JJ.</w:t>
      </w:r>
    </w:p>
    <w:p w:rsidR="008322BD" w:rsidRPr="006D40E2" w:rsidRDefault="00656313" w:rsidP="00E21EE7">
      <w:pPr>
        <w:pStyle w:val="SCCLowerCourtNameLowercase"/>
        <w:spacing w:after="480"/>
        <w:outlineLvl w:val="0"/>
      </w:pPr>
      <w:r w:rsidRPr="006D40E2">
        <w:t>o</w:t>
      </w:r>
      <w:r w:rsidR="00170592" w:rsidRPr="006D40E2">
        <w:t>n</w:t>
      </w:r>
      <w:r w:rsidR="00224FC0" w:rsidRPr="006D40E2">
        <w:t xml:space="preserve"> </w:t>
      </w:r>
      <w:r w:rsidRPr="006D40E2">
        <w:t>a</w:t>
      </w:r>
      <w:r w:rsidR="00170592" w:rsidRPr="006D40E2">
        <w:t>ppeal</w:t>
      </w:r>
      <w:r w:rsidR="00224FC0" w:rsidRPr="006D40E2">
        <w:t xml:space="preserve"> </w:t>
      </w:r>
      <w:r w:rsidR="00170592" w:rsidRPr="006D40E2">
        <w:t>from</w:t>
      </w:r>
      <w:r w:rsidR="009567AA" w:rsidRPr="006D40E2">
        <w:t xml:space="preserve"> the</w:t>
      </w:r>
      <w:r w:rsidR="00224FC0" w:rsidRPr="006D40E2">
        <w:t xml:space="preserve"> </w:t>
      </w:r>
      <w:r w:rsidR="009B57B3" w:rsidRPr="006D40E2">
        <w:t xml:space="preserve">court of appeal for </w:t>
      </w:r>
      <w:proofErr w:type="spellStart"/>
      <w:r w:rsidR="009B57B3" w:rsidRPr="006D40E2">
        <w:t>ontario</w:t>
      </w:r>
      <w:proofErr w:type="spellEnd"/>
    </w:p>
    <w:p w:rsidR="003B17C3" w:rsidRPr="006D40E2" w:rsidRDefault="009B57B3" w:rsidP="00ED781A">
      <w:pPr>
        <w:pStyle w:val="SCCNormalDoubleSpacing"/>
        <w:spacing w:before="480" w:after="480"/>
        <w:rPr>
          <w:i/>
        </w:rPr>
      </w:pPr>
      <w:r w:rsidRPr="006D40E2">
        <w:tab/>
      </w:r>
      <w:r w:rsidR="003B17C3" w:rsidRPr="006D40E2">
        <w:rPr>
          <w:i/>
        </w:rPr>
        <w:t xml:space="preserve">Civil procedure </w:t>
      </w:r>
      <w:r w:rsidR="00ED781A" w:rsidRPr="006D40E2">
        <w:rPr>
          <w:i/>
        </w:rPr>
        <w:t xml:space="preserve">— </w:t>
      </w:r>
      <w:r w:rsidR="003B17C3" w:rsidRPr="006D40E2">
        <w:rPr>
          <w:i/>
        </w:rPr>
        <w:t xml:space="preserve">Contempt of court </w:t>
      </w:r>
      <w:r w:rsidR="00ED781A" w:rsidRPr="006D40E2">
        <w:rPr>
          <w:i/>
        </w:rPr>
        <w:t xml:space="preserve">— </w:t>
      </w:r>
      <w:r w:rsidR="003B17C3" w:rsidRPr="006D40E2">
        <w:rPr>
          <w:i/>
        </w:rPr>
        <w:t xml:space="preserve">Required intent </w:t>
      </w:r>
      <w:r w:rsidR="00ED781A" w:rsidRPr="006D40E2">
        <w:rPr>
          <w:i/>
        </w:rPr>
        <w:t xml:space="preserve">— </w:t>
      </w:r>
      <w:proofErr w:type="spellStart"/>
      <w:r w:rsidR="003B17C3" w:rsidRPr="006D40E2">
        <w:rPr>
          <w:i/>
        </w:rPr>
        <w:t>Mareva</w:t>
      </w:r>
      <w:proofErr w:type="spellEnd"/>
      <w:r w:rsidR="003B17C3" w:rsidRPr="006D40E2">
        <w:rPr>
          <w:i/>
        </w:rPr>
        <w:t xml:space="preserve"> injunction issued enjoining any person with knowledge of order from disposing of or otherwise dealing with assets of lawyer</w:t>
      </w:r>
      <w:r w:rsidR="00ED781A" w:rsidRPr="006D40E2">
        <w:rPr>
          <w:i/>
        </w:rPr>
        <w:t>’</w:t>
      </w:r>
      <w:r w:rsidR="003B17C3" w:rsidRPr="006D40E2">
        <w:rPr>
          <w:i/>
        </w:rPr>
        <w:t xml:space="preserve">s client </w:t>
      </w:r>
      <w:r w:rsidR="00ED781A" w:rsidRPr="006D40E2">
        <w:rPr>
          <w:i/>
        </w:rPr>
        <w:t xml:space="preserve">— </w:t>
      </w:r>
      <w:r w:rsidR="003B17C3" w:rsidRPr="006D40E2">
        <w:rPr>
          <w:i/>
        </w:rPr>
        <w:t xml:space="preserve">Lawyer having knowledge of injunction but returning trust account funds to client </w:t>
      </w:r>
      <w:r w:rsidR="00ED781A" w:rsidRPr="006D40E2">
        <w:rPr>
          <w:i/>
        </w:rPr>
        <w:t xml:space="preserve">— </w:t>
      </w:r>
      <w:r w:rsidR="003B17C3" w:rsidRPr="006D40E2">
        <w:rPr>
          <w:i/>
        </w:rPr>
        <w:t>Lawyer not found in contempt on basis that terms of order not clear and lawyer</w:t>
      </w:r>
      <w:r w:rsidR="00ED781A" w:rsidRPr="006D40E2">
        <w:rPr>
          <w:i/>
        </w:rPr>
        <w:t>’</w:t>
      </w:r>
      <w:r w:rsidR="003B17C3" w:rsidRPr="006D40E2">
        <w:rPr>
          <w:i/>
        </w:rPr>
        <w:t xml:space="preserve">s interpretation of order not deliberately and wilfully blind </w:t>
      </w:r>
      <w:r w:rsidR="00ED781A" w:rsidRPr="006D40E2">
        <w:rPr>
          <w:i/>
        </w:rPr>
        <w:t xml:space="preserve">— </w:t>
      </w:r>
      <w:r w:rsidR="003B17C3" w:rsidRPr="006D40E2">
        <w:rPr>
          <w:i/>
        </w:rPr>
        <w:t xml:space="preserve">Whether intent to interfere with administration of justice required to prove civil contempt </w:t>
      </w:r>
      <w:r w:rsidR="00ED781A" w:rsidRPr="006D40E2">
        <w:rPr>
          <w:i/>
        </w:rPr>
        <w:t xml:space="preserve">— </w:t>
      </w:r>
      <w:r w:rsidR="003B17C3" w:rsidRPr="006D40E2">
        <w:rPr>
          <w:i/>
        </w:rPr>
        <w:t>Whether lawyer in contempt.</w:t>
      </w:r>
    </w:p>
    <w:p w:rsidR="008322BD" w:rsidRPr="006D40E2" w:rsidRDefault="003B17C3" w:rsidP="00ED781A">
      <w:pPr>
        <w:pStyle w:val="SCCNormalDoubleSpacing"/>
        <w:spacing w:before="480" w:after="480"/>
        <w:rPr>
          <w:i/>
        </w:rPr>
      </w:pPr>
      <w:r w:rsidRPr="006D40E2">
        <w:rPr>
          <w:i/>
        </w:rPr>
        <w:tab/>
        <w:t xml:space="preserve">Courts </w:t>
      </w:r>
      <w:r w:rsidR="00ED781A" w:rsidRPr="006D40E2">
        <w:rPr>
          <w:i/>
        </w:rPr>
        <w:t xml:space="preserve">— </w:t>
      </w:r>
      <w:r w:rsidRPr="006D40E2">
        <w:rPr>
          <w:i/>
        </w:rPr>
        <w:t xml:space="preserve">Judges </w:t>
      </w:r>
      <w:r w:rsidR="00ED781A" w:rsidRPr="006D40E2">
        <w:rPr>
          <w:i/>
        </w:rPr>
        <w:t xml:space="preserve">— </w:t>
      </w:r>
      <w:r w:rsidRPr="006D40E2">
        <w:rPr>
          <w:i/>
        </w:rPr>
        <w:t xml:space="preserve">Jurisdiction </w:t>
      </w:r>
      <w:r w:rsidR="00ED781A" w:rsidRPr="006D40E2">
        <w:rPr>
          <w:i/>
        </w:rPr>
        <w:t xml:space="preserve">— </w:t>
      </w:r>
      <w:r w:rsidRPr="006D40E2">
        <w:rPr>
          <w:i/>
        </w:rPr>
        <w:t xml:space="preserve">Contempt of court </w:t>
      </w:r>
      <w:r w:rsidR="00ED781A" w:rsidRPr="006D40E2">
        <w:rPr>
          <w:i/>
        </w:rPr>
        <w:t xml:space="preserve">— </w:t>
      </w:r>
      <w:r w:rsidRPr="006D40E2">
        <w:rPr>
          <w:i/>
        </w:rPr>
        <w:t>Motions judge</w:t>
      </w:r>
      <w:r w:rsidR="00ED781A" w:rsidRPr="006D40E2">
        <w:rPr>
          <w:i/>
        </w:rPr>
        <w:t>’</w:t>
      </w:r>
      <w:r w:rsidRPr="006D40E2">
        <w:rPr>
          <w:i/>
        </w:rPr>
        <w:t xml:space="preserve">s discretion to revisit contempt finding </w:t>
      </w:r>
      <w:r w:rsidR="00ED781A" w:rsidRPr="006D40E2">
        <w:rPr>
          <w:i/>
        </w:rPr>
        <w:t xml:space="preserve">— </w:t>
      </w:r>
      <w:r w:rsidRPr="006D40E2">
        <w:rPr>
          <w:i/>
        </w:rPr>
        <w:t xml:space="preserve">Lawyer breaching terms of injunction found in contempt </w:t>
      </w:r>
      <w:r w:rsidR="00ED781A" w:rsidRPr="006D40E2">
        <w:rPr>
          <w:i/>
        </w:rPr>
        <w:t xml:space="preserve">— </w:t>
      </w:r>
      <w:r w:rsidRPr="006D40E2">
        <w:rPr>
          <w:i/>
        </w:rPr>
        <w:t xml:space="preserve">Lawyer moving to reopen contempt hearing </w:t>
      </w:r>
      <w:r w:rsidR="00ED781A" w:rsidRPr="006D40E2">
        <w:rPr>
          <w:i/>
        </w:rPr>
        <w:t xml:space="preserve">— </w:t>
      </w:r>
      <w:r w:rsidRPr="006D40E2">
        <w:rPr>
          <w:i/>
        </w:rPr>
        <w:t xml:space="preserve">Motions judge setting aside initial contempt finding </w:t>
      </w:r>
      <w:r w:rsidR="00ED781A" w:rsidRPr="006D40E2">
        <w:rPr>
          <w:i/>
        </w:rPr>
        <w:t xml:space="preserve">— </w:t>
      </w:r>
      <w:r w:rsidRPr="006D40E2">
        <w:rPr>
          <w:i/>
        </w:rPr>
        <w:t xml:space="preserve">Whether motions judge erred in setting aside initial contempt finding </w:t>
      </w:r>
      <w:r w:rsidR="00ED781A" w:rsidRPr="006D40E2">
        <w:rPr>
          <w:i/>
        </w:rPr>
        <w:t xml:space="preserve">— </w:t>
      </w:r>
      <w:r w:rsidRPr="006D40E2">
        <w:rPr>
          <w:i/>
        </w:rPr>
        <w:t>Rules of Civil Procedu</w:t>
      </w:r>
      <w:r w:rsidR="00ED781A" w:rsidRPr="006D40E2">
        <w:rPr>
          <w:i/>
        </w:rPr>
        <w:t>re, R.R.O. 1990, Reg.</w:t>
      </w:r>
      <w:r w:rsidR="001C2A5E">
        <w:rPr>
          <w:i/>
        </w:rPr>
        <w:t xml:space="preserve"> </w:t>
      </w:r>
      <w:r w:rsidR="00ED781A" w:rsidRPr="006D40E2">
        <w:rPr>
          <w:i/>
        </w:rPr>
        <w:t>194, Rule</w:t>
      </w:r>
      <w:r w:rsidR="001C2A5E">
        <w:rPr>
          <w:i/>
        </w:rPr>
        <w:t xml:space="preserve"> </w:t>
      </w:r>
      <w:r w:rsidRPr="006D40E2">
        <w:rPr>
          <w:i/>
        </w:rPr>
        <w:t>60.11.</w:t>
      </w:r>
    </w:p>
    <w:p w:rsidR="003B17C3" w:rsidRPr="006D40E2" w:rsidRDefault="003B17C3" w:rsidP="00ED781A">
      <w:pPr>
        <w:pStyle w:val="SCCNormalDoubleSpacing"/>
        <w:spacing w:before="480" w:after="480"/>
      </w:pPr>
      <w:r w:rsidRPr="006D40E2">
        <w:tab/>
        <w:t xml:space="preserve">L brought contempt proceedings against C, alleging that he had breached the terms of a </w:t>
      </w:r>
      <w:proofErr w:type="spellStart"/>
      <w:r w:rsidRPr="006D40E2">
        <w:rPr>
          <w:i/>
        </w:rPr>
        <w:t>Mareva</w:t>
      </w:r>
      <w:proofErr w:type="spellEnd"/>
      <w:r w:rsidRPr="006D40E2">
        <w:t xml:space="preserve"> injunction by returning over</w:t>
      </w:r>
      <w:r w:rsidR="00ED781A" w:rsidRPr="006D40E2">
        <w:t xml:space="preserve"> $</w:t>
      </w:r>
      <w:r w:rsidRPr="006D40E2">
        <w:t>400,000 to his client S for whom he was holding it in trust.</w:t>
      </w:r>
      <w:r w:rsidR="00ED781A" w:rsidRPr="006D40E2">
        <w:t xml:space="preserve"> </w:t>
      </w:r>
      <w:r w:rsidRPr="006D40E2">
        <w:t>The injunction was issued in the course of litigation between L, S and related parties.</w:t>
      </w:r>
      <w:r w:rsidR="00ED781A" w:rsidRPr="006D40E2">
        <w:t xml:space="preserve"> </w:t>
      </w:r>
      <w:r w:rsidRPr="006D40E2">
        <w:t>It enjoined any person with knowledge of the order from disposing of, or otherwise dealing with</w:t>
      </w:r>
      <w:r w:rsidR="00327BA7" w:rsidRPr="006D40E2">
        <w:t>,</w:t>
      </w:r>
      <w:r w:rsidRPr="006D40E2">
        <w:t xml:space="preserve"> the assets of various parties, including those of S.</w:t>
      </w:r>
      <w:r w:rsidR="00ED781A" w:rsidRPr="006D40E2">
        <w:t xml:space="preserve"> </w:t>
      </w:r>
      <w:r w:rsidRPr="006D40E2">
        <w:t>The motions judge initially found C in contempt.</w:t>
      </w:r>
      <w:r w:rsidR="00ED781A" w:rsidRPr="006D40E2">
        <w:t xml:space="preserve"> </w:t>
      </w:r>
      <w:r w:rsidRPr="006D40E2">
        <w:t xml:space="preserve">She was satisfied that the </w:t>
      </w:r>
      <w:r w:rsidRPr="006D40E2">
        <w:lastRenderedPageBreak/>
        <w:t>injunction was clear and that C had knowingly and deliberately breached it by transferring the funds.</w:t>
      </w:r>
      <w:r w:rsidR="00ED781A" w:rsidRPr="006D40E2">
        <w:t xml:space="preserve"> </w:t>
      </w:r>
      <w:r w:rsidRPr="006D40E2">
        <w:t>When the parties reappeared before the motions judge for determination of the appropriate penalty, C moved to reopen the contempt hearing.</w:t>
      </w:r>
      <w:r w:rsidR="00ED781A" w:rsidRPr="006D40E2">
        <w:t xml:space="preserve"> </w:t>
      </w:r>
      <w:r w:rsidRPr="006D40E2">
        <w:t>He filed new evidence in support of his assertion that he had acted in a manner consistent with the practice of counsel generally, and he testified about what he perceived to be his professional obligations and his motivations in dealing with the trust funds.</w:t>
      </w:r>
      <w:r w:rsidR="00ED781A" w:rsidRPr="006D40E2">
        <w:t xml:space="preserve"> </w:t>
      </w:r>
      <w:r w:rsidRPr="006D40E2">
        <w:t>Based on the new evidence, the motions judge set aside her previous finding of contempt.</w:t>
      </w:r>
      <w:r w:rsidR="00ED781A" w:rsidRPr="006D40E2">
        <w:t xml:space="preserve"> </w:t>
      </w:r>
      <w:r w:rsidRPr="006D40E2">
        <w:t>The Court of Appeal allowed the appeal and restored the initial contempt finding.</w:t>
      </w:r>
    </w:p>
    <w:p w:rsidR="003B17C3" w:rsidRPr="006D40E2" w:rsidRDefault="009B57B3" w:rsidP="00ED781A">
      <w:pPr>
        <w:pStyle w:val="SCCNormalDoubleSpacing"/>
        <w:spacing w:before="480" w:after="480"/>
        <w:rPr>
          <w:lang w:val="en-US"/>
        </w:rPr>
      </w:pPr>
      <w:r w:rsidRPr="006D40E2">
        <w:tab/>
      </w:r>
      <w:r w:rsidR="003B17C3" w:rsidRPr="006D40E2">
        <w:rPr>
          <w:i/>
          <w:iCs/>
        </w:rPr>
        <w:t>Held</w:t>
      </w:r>
      <w:r w:rsidR="003B17C3" w:rsidRPr="006D40E2">
        <w:rPr>
          <w:iCs/>
        </w:rPr>
        <w:t>:</w:t>
      </w:r>
      <w:r w:rsidR="00ED781A" w:rsidRPr="006D40E2">
        <w:rPr>
          <w:lang w:val="en-US"/>
        </w:rPr>
        <w:t xml:space="preserve"> </w:t>
      </w:r>
      <w:r w:rsidR="003B17C3" w:rsidRPr="006D40E2">
        <w:rPr>
          <w:lang w:val="en-US"/>
        </w:rPr>
        <w:t>The appeal should be dismissed.</w:t>
      </w:r>
    </w:p>
    <w:p w:rsidR="003B17C3" w:rsidRPr="006D40E2" w:rsidRDefault="003B17C3" w:rsidP="00ED781A">
      <w:pPr>
        <w:pStyle w:val="SCCNormalDoubleSpacing"/>
        <w:spacing w:before="480" w:after="480"/>
      </w:pPr>
      <w:r w:rsidRPr="006D40E2">
        <w:tab/>
        <w:t>The law does not require that a person breach an injunction contumaciously or with intent to interfere with the administration of justice in order to satisfy the elements of civil contempt.</w:t>
      </w:r>
      <w:r w:rsidR="00ED781A" w:rsidRPr="006D40E2">
        <w:t xml:space="preserve"> </w:t>
      </w:r>
      <w:r w:rsidRPr="006D40E2">
        <w:t>All that is required to establish civil contempt is proof beyond a reasonable doubt of an intentional act or omission that is in breach of a clear order of which the alleged contemnor has notice.</w:t>
      </w:r>
      <w:r w:rsidR="00ED781A" w:rsidRPr="006D40E2">
        <w:t xml:space="preserve"> </w:t>
      </w:r>
      <w:r w:rsidRPr="006D40E2">
        <w:t>Contumacious intent or lack thereof goes to the penalty to be imposed following a finding of contempt, not to liability.</w:t>
      </w:r>
      <w:r w:rsidR="00ED781A" w:rsidRPr="006D40E2">
        <w:t xml:space="preserve"> </w:t>
      </w:r>
      <w:r w:rsidRPr="006D40E2">
        <w:t>Furthermore, there is no principled reason to depart from the established elements of civil contempt in situations in which compliance with a court order has become impossible either because the act that constituted the contempt cannot be undone or because of a conflicting legal duty.</w:t>
      </w:r>
      <w:r w:rsidR="00ED781A" w:rsidRPr="006D40E2">
        <w:t xml:space="preserve"> </w:t>
      </w:r>
      <w:r w:rsidRPr="006D40E2">
        <w:t>Where a person</w:t>
      </w:r>
      <w:r w:rsidR="00ED781A" w:rsidRPr="006D40E2">
        <w:t>’</w:t>
      </w:r>
      <w:r w:rsidRPr="006D40E2">
        <w:t xml:space="preserve">s own actions contrary to the terms of a court order make further compliance impossible, it is neither logical nor just to require proof of some higher degree of fault </w:t>
      </w:r>
      <w:r w:rsidRPr="006D40E2">
        <w:lastRenderedPageBreak/>
        <w:t>in order to establish contempt.</w:t>
      </w:r>
      <w:r w:rsidR="00ED781A" w:rsidRPr="006D40E2">
        <w:t xml:space="preserve"> </w:t>
      </w:r>
      <w:r w:rsidRPr="006D40E2">
        <w:t xml:space="preserve">It also undermines one of the purposes of contempt findings </w:t>
      </w:r>
      <w:r w:rsidR="00ED781A" w:rsidRPr="006D40E2">
        <w:t xml:space="preserve">— </w:t>
      </w:r>
      <w:r w:rsidRPr="006D40E2">
        <w:t xml:space="preserve">to deter violations of court orders </w:t>
      </w:r>
      <w:r w:rsidR="00ED781A" w:rsidRPr="006D40E2">
        <w:t xml:space="preserve">— </w:t>
      </w:r>
      <w:r w:rsidRPr="006D40E2">
        <w:t>to treat with special charity people whose acts in violation of an order make subsequent compliance impossible.</w:t>
      </w:r>
      <w:r w:rsidR="00ED781A" w:rsidRPr="006D40E2">
        <w:t xml:space="preserve"> </w:t>
      </w:r>
      <w:r w:rsidRPr="006D40E2">
        <w:t>The fact that civil contempt is quasi</w:t>
      </w:r>
      <w:r w:rsidR="001C2A5E">
        <w:t>-</w:t>
      </w:r>
      <w:r w:rsidRPr="006D40E2">
        <w:t>criminal in nature also provides no justification for carving out a distinct mental element for particular types of civil contempt cases.</w:t>
      </w:r>
      <w:r w:rsidR="00ED781A" w:rsidRPr="006D40E2">
        <w:t xml:space="preserve"> </w:t>
      </w:r>
      <w:r w:rsidRPr="006D40E2">
        <w:t>Nor does reliance on legal advice shield a party from a finding of contempt.</w:t>
      </w:r>
      <w:r w:rsidR="00ED781A" w:rsidRPr="006D40E2">
        <w:t xml:space="preserve"> </w:t>
      </w:r>
      <w:r w:rsidRPr="006D40E2">
        <w:t xml:space="preserve">The law should not permit lawyers to escape a finding of contempt because they have, in effect, relied on their own legal advice. Further still, where a lawyer acts for a client in relation to an order to which the client is a party, he or she should be held to the same standard of compliance with that order as the client. </w:t>
      </w:r>
    </w:p>
    <w:p w:rsidR="003B17C3" w:rsidRPr="006D40E2" w:rsidRDefault="003B17C3" w:rsidP="00ED781A">
      <w:pPr>
        <w:pStyle w:val="SCCNormalDoubleSpacing"/>
        <w:spacing w:before="480" w:after="480"/>
      </w:pPr>
      <w:r w:rsidRPr="006D40E2">
        <w:tab/>
        <w:t>In this case, C was in contempt.</w:t>
      </w:r>
      <w:r w:rsidR="00ED781A" w:rsidRPr="006D40E2">
        <w:t xml:space="preserve"> </w:t>
      </w:r>
      <w:r w:rsidRPr="006D40E2">
        <w:t xml:space="preserve">The </w:t>
      </w:r>
      <w:proofErr w:type="spellStart"/>
      <w:r w:rsidRPr="006D40E2">
        <w:rPr>
          <w:i/>
        </w:rPr>
        <w:t>Mareva</w:t>
      </w:r>
      <w:proofErr w:type="spellEnd"/>
      <w:r w:rsidRPr="006D40E2">
        <w:t xml:space="preserve"> injunction clearly prohibited dealing with money held in trust, and C</w:t>
      </w:r>
      <w:r w:rsidR="00ED781A" w:rsidRPr="006D40E2">
        <w:t>’</w:t>
      </w:r>
      <w:r w:rsidRPr="006D40E2">
        <w:t>s other conduct showed that he understood that.</w:t>
      </w:r>
      <w:r w:rsidR="00ED781A" w:rsidRPr="006D40E2">
        <w:t xml:space="preserve"> </w:t>
      </w:r>
      <w:r w:rsidRPr="006D40E2">
        <w:t>Even assuming that the existence of the funds was protected by solicitor</w:t>
      </w:r>
      <w:r w:rsidR="001C2A5E">
        <w:t>-</w:t>
      </w:r>
      <w:r w:rsidRPr="006D40E2">
        <w:t>client privilege at the time of the transfer, C</w:t>
      </w:r>
      <w:r w:rsidR="00ED781A" w:rsidRPr="006D40E2">
        <w:t>’</w:t>
      </w:r>
      <w:r w:rsidRPr="006D40E2">
        <w:t>s assumed duty to guard that privilege did not conflict with his duty to comply with the order.</w:t>
      </w:r>
      <w:r w:rsidR="00ED781A" w:rsidRPr="006D40E2">
        <w:t xml:space="preserve"> </w:t>
      </w:r>
      <w:r w:rsidRPr="006D40E2">
        <w:t>C needed only to leave the funds in his trust account once they had been deposited there in order to fulfill both duties.</w:t>
      </w:r>
      <w:r w:rsidR="00ED781A" w:rsidRPr="006D40E2">
        <w:t xml:space="preserve"> </w:t>
      </w:r>
      <w:r w:rsidRPr="006D40E2">
        <w:t>Moreover, leaving the funds in his trust account would not have conflicted with his other asserted professional obligations.</w:t>
      </w:r>
      <w:r w:rsidR="00ED781A" w:rsidRPr="006D40E2">
        <w:t xml:space="preserve"> </w:t>
      </w:r>
      <w:r w:rsidRPr="006D40E2">
        <w:t>It is also no answer for C to say that he breached the order so that he would avoid the possibility of a future ethical dilemma, in the event that L obtained judgment against his client and he might have to decide how to comply with any solicitor</w:t>
      </w:r>
      <w:r w:rsidR="001C2A5E">
        <w:t>-</w:t>
      </w:r>
      <w:r w:rsidRPr="006D40E2">
        <w:t xml:space="preserve">client privilege obligations, with the </w:t>
      </w:r>
      <w:proofErr w:type="spellStart"/>
      <w:r w:rsidRPr="006D40E2">
        <w:rPr>
          <w:i/>
        </w:rPr>
        <w:t>Mareva</w:t>
      </w:r>
      <w:proofErr w:type="spellEnd"/>
      <w:r w:rsidRPr="006D40E2">
        <w:rPr>
          <w:i/>
        </w:rPr>
        <w:t xml:space="preserve"> </w:t>
      </w:r>
      <w:r w:rsidRPr="006D40E2">
        <w:t>injunction and with any duty to avoid assisting his client in evading execution arising from the judgment.</w:t>
      </w:r>
      <w:r w:rsidR="00ED781A" w:rsidRPr="006D40E2">
        <w:t xml:space="preserve"> </w:t>
      </w:r>
      <w:r w:rsidRPr="006D40E2">
        <w:t xml:space="preserve">In any event, even accepting that C believed that there was a true </w:t>
      </w:r>
      <w:r w:rsidRPr="006D40E2">
        <w:lastRenderedPageBreak/>
        <w:t>conflict, there were appropriate avenues open to him other than making a unilateral</w:t>
      </w:r>
      <w:r w:rsidR="00211DC3" w:rsidRPr="006D40E2">
        <w:t xml:space="preserve"> decision to breach the order.</w:t>
      </w:r>
    </w:p>
    <w:p w:rsidR="003B17C3" w:rsidRPr="006D40E2" w:rsidRDefault="003B17C3" w:rsidP="00ED781A">
      <w:pPr>
        <w:pStyle w:val="SCCNormalDoubleSpacing"/>
        <w:spacing w:before="480" w:after="480"/>
      </w:pPr>
      <w:r w:rsidRPr="006D40E2">
        <w:tab/>
        <w:t xml:space="preserve">While the </w:t>
      </w:r>
      <w:r w:rsidRPr="006D40E2">
        <w:rPr>
          <w:i/>
        </w:rPr>
        <w:t>Rules of Civil Procedure</w:t>
      </w:r>
      <w:r w:rsidRPr="006D40E2">
        <w:t xml:space="preserve"> do not prescribe the form of contempt proceedings, as a general rule, they are bifurcated into a liability phase </w:t>
      </w:r>
      <w:r w:rsidR="00ED781A" w:rsidRPr="006D40E2">
        <w:t xml:space="preserve">— </w:t>
      </w:r>
      <w:r w:rsidRPr="006D40E2">
        <w:t xml:space="preserve">where the case on liability proceeds and a defence is offered </w:t>
      </w:r>
      <w:r w:rsidR="00ED781A" w:rsidRPr="006D40E2">
        <w:t xml:space="preserve">— </w:t>
      </w:r>
      <w:r w:rsidRPr="006D40E2">
        <w:t>and, if liability is established, a penalty phase.</w:t>
      </w:r>
      <w:r w:rsidR="00ED781A" w:rsidRPr="006D40E2">
        <w:t xml:space="preserve"> </w:t>
      </w:r>
      <w:r w:rsidRPr="006D40E2">
        <w:t>Once a finding of contempt has been made at the first stage, that finding is usually final and may only be revisited in certain circumstances, such as where the contemnor subsequently complies with the order or otherwise purges his or her contempt, or in exceptional circumstances, where new facts or evidence have come to light after the contempt finding was made.</w:t>
      </w:r>
      <w:r w:rsidR="00ED781A" w:rsidRPr="006D40E2">
        <w:t xml:space="preserve"> </w:t>
      </w:r>
      <w:r w:rsidRPr="006D40E2">
        <w:t xml:space="preserve">In this case, the motions judge erred in exercising her discretion to permit C to </w:t>
      </w:r>
      <w:proofErr w:type="spellStart"/>
      <w:r w:rsidRPr="006D40E2">
        <w:t>relitigate</w:t>
      </w:r>
      <w:proofErr w:type="spellEnd"/>
      <w:r w:rsidRPr="006D40E2">
        <w:t xml:space="preserve"> the initial contempt finding.</w:t>
      </w:r>
      <w:r w:rsidR="00ED781A" w:rsidRPr="006D40E2">
        <w:t xml:space="preserve"> </w:t>
      </w:r>
      <w:r w:rsidRPr="006D40E2">
        <w:t>C</w:t>
      </w:r>
      <w:r w:rsidR="00ED781A" w:rsidRPr="006D40E2">
        <w:t>’</w:t>
      </w:r>
      <w:r w:rsidRPr="006D40E2">
        <w:t>s attack on the motions judge</w:t>
      </w:r>
      <w:r w:rsidR="00ED781A" w:rsidRPr="006D40E2">
        <w:t>’</w:t>
      </w:r>
      <w:r w:rsidRPr="006D40E2">
        <w:t>s earlier finding was based on evidence he ought to have filed at the first hearing.</w:t>
      </w:r>
      <w:r w:rsidR="00ED781A" w:rsidRPr="006D40E2">
        <w:t xml:space="preserve"> </w:t>
      </w:r>
      <w:r w:rsidRPr="006D40E2">
        <w:t>Moreover, as the Court of Appeal stated, a party faced with a contempt motion is not entitled to present a partial defence at the liability stage and then, if the initial gambit fails, have a second “bite at the cherry” at the penalty stage.</w:t>
      </w:r>
      <w:r w:rsidR="00ED781A" w:rsidRPr="006D40E2">
        <w:t xml:space="preserve"> </w:t>
      </w:r>
      <w:r w:rsidRPr="006D40E2">
        <w:t>This would defeat the purpose of the first hearing.</w:t>
      </w:r>
    </w:p>
    <w:p w:rsidR="0019230E" w:rsidRPr="006D40E2" w:rsidRDefault="002E6705" w:rsidP="00E21EE7">
      <w:pPr>
        <w:pStyle w:val="SCCNormalDoubleSpacing"/>
        <w:widowControl w:val="0"/>
        <w:spacing w:after="720" w:line="240" w:lineRule="auto"/>
        <w:outlineLvl w:val="0"/>
        <w:rPr>
          <w:b/>
        </w:rPr>
      </w:pPr>
      <w:r w:rsidRPr="006D40E2">
        <w:rPr>
          <w:b/>
        </w:rPr>
        <w:t>Cases Cited</w:t>
      </w:r>
    </w:p>
    <w:p w:rsidR="004E2C26" w:rsidRPr="006D40E2" w:rsidRDefault="002E6705" w:rsidP="00E21EE7">
      <w:pPr>
        <w:pStyle w:val="SCCNormalDoubleSpacing"/>
        <w:widowControl w:val="0"/>
        <w:spacing w:after="480"/>
      </w:pPr>
      <w:r w:rsidRPr="006D40E2">
        <w:tab/>
      </w:r>
      <w:r w:rsidRPr="006D40E2">
        <w:rPr>
          <w:b/>
        </w:rPr>
        <w:t>Referred to:</w:t>
      </w:r>
      <w:r w:rsidR="00BD0E9E" w:rsidRPr="006D40E2">
        <w:t xml:space="preserve"> </w:t>
      </w:r>
      <w:r w:rsidR="00047DBF" w:rsidRPr="006D40E2">
        <w:rPr>
          <w:i/>
        </w:rPr>
        <w:t>College of Optometrists (</w:t>
      </w:r>
      <w:r w:rsidR="00BA70CD" w:rsidRPr="006D40E2">
        <w:rPr>
          <w:i/>
        </w:rPr>
        <w:t>Ont</w:t>
      </w:r>
      <w:r w:rsidR="00047DBF" w:rsidRPr="006D40E2">
        <w:rPr>
          <w:i/>
        </w:rPr>
        <w:t>.)</w:t>
      </w:r>
      <w:r w:rsidR="00BA70CD" w:rsidRPr="006D40E2">
        <w:rPr>
          <w:i/>
        </w:rPr>
        <w:t xml:space="preserve"> v. SHS Optical Ltd.</w:t>
      </w:r>
      <w:r w:rsidR="00BA70CD" w:rsidRPr="006D40E2">
        <w:t>, 2008 ONCA 685</w:t>
      </w:r>
      <w:r w:rsidR="00866E30" w:rsidRPr="006D40E2">
        <w:t>, 241 O.A.C. 225</w:t>
      </w:r>
      <w:r w:rsidR="00BA70CD" w:rsidRPr="006D40E2">
        <w:t xml:space="preserve">; </w:t>
      </w:r>
      <w:r w:rsidR="00514DE6" w:rsidRPr="006D40E2">
        <w:rPr>
          <w:i/>
        </w:rPr>
        <w:t>United Nurses of Alberta v. Alberta (Attorney General)</w:t>
      </w:r>
      <w:r w:rsidR="00514DE6" w:rsidRPr="006D40E2">
        <w:t xml:space="preserve">, [1992] 1 S.C.R. 901; </w:t>
      </w:r>
      <w:r w:rsidR="000C626A" w:rsidRPr="006D40E2">
        <w:rPr>
          <w:i/>
        </w:rPr>
        <w:t>Pro Swing Inc. v. Elta Golf Inc.</w:t>
      </w:r>
      <w:r w:rsidR="000C626A" w:rsidRPr="006D40E2">
        <w:t xml:space="preserve">, </w:t>
      </w:r>
      <w:r w:rsidR="008E0F27" w:rsidRPr="006D40E2">
        <w:t xml:space="preserve">2006 SCC 52, </w:t>
      </w:r>
      <w:r w:rsidR="000C626A" w:rsidRPr="006D40E2">
        <w:t>[2006] 2 S.C.R. 612</w:t>
      </w:r>
      <w:r w:rsidR="008E0F27" w:rsidRPr="006D40E2">
        <w:t xml:space="preserve">; </w:t>
      </w:r>
      <w:r w:rsidR="00193A0F" w:rsidRPr="006D40E2">
        <w:rPr>
          <w:i/>
        </w:rPr>
        <w:t xml:space="preserve">Bell ExpressVu Limited Partnership v. </w:t>
      </w:r>
      <w:proofErr w:type="spellStart"/>
      <w:r w:rsidR="00193A0F" w:rsidRPr="006D40E2">
        <w:rPr>
          <w:i/>
        </w:rPr>
        <w:t>Torroni</w:t>
      </w:r>
      <w:proofErr w:type="spellEnd"/>
      <w:r w:rsidR="00193A0F" w:rsidRPr="006D40E2">
        <w:t xml:space="preserve">, 2009 ONCA 85, 94 O.R. (3d) </w:t>
      </w:r>
      <w:r w:rsidR="00193A0F" w:rsidRPr="006D40E2">
        <w:lastRenderedPageBreak/>
        <w:t>614</w:t>
      </w:r>
      <w:r w:rsidR="003725E5" w:rsidRPr="006D40E2">
        <w:t xml:space="preserve">; </w:t>
      </w:r>
      <w:proofErr w:type="spellStart"/>
      <w:r w:rsidR="004A4124" w:rsidRPr="006D40E2">
        <w:rPr>
          <w:i/>
        </w:rPr>
        <w:t>Poje</w:t>
      </w:r>
      <w:proofErr w:type="spellEnd"/>
      <w:r w:rsidR="004A4124" w:rsidRPr="006D40E2">
        <w:rPr>
          <w:i/>
        </w:rPr>
        <w:t xml:space="preserve"> v. Attorney General for British Columbia</w:t>
      </w:r>
      <w:r w:rsidR="004A4124" w:rsidRPr="006D40E2">
        <w:t xml:space="preserve">, [1953] 1 S.C.R. 516; </w:t>
      </w:r>
      <w:r w:rsidR="00160ECD" w:rsidRPr="006D40E2">
        <w:rPr>
          <w:i/>
        </w:rPr>
        <w:t>Chiang (Trustee of) v. Chiang</w:t>
      </w:r>
      <w:r w:rsidR="00160ECD" w:rsidRPr="006D40E2">
        <w:t xml:space="preserve">, 2009 ONCA 3, 305 D.L.R. (4th) 655; </w:t>
      </w:r>
      <w:r w:rsidR="004C224C" w:rsidRPr="006D40E2">
        <w:rPr>
          <w:i/>
        </w:rPr>
        <w:t>Prescott</w:t>
      </w:r>
      <w:r w:rsidR="001C2A5E">
        <w:rPr>
          <w:i/>
        </w:rPr>
        <w:t>-</w:t>
      </w:r>
      <w:r w:rsidR="004C224C" w:rsidRPr="006D40E2">
        <w:rPr>
          <w:i/>
        </w:rPr>
        <w:t xml:space="preserve">Russell Services for Children and Adults v. G. (N.) </w:t>
      </w:r>
      <w:r w:rsidR="004C224C" w:rsidRPr="006D40E2">
        <w:t>(200</w:t>
      </w:r>
      <w:r w:rsidR="00250AA7">
        <w:t>6</w:t>
      </w:r>
      <w:r w:rsidR="004C224C" w:rsidRPr="006D40E2">
        <w:t xml:space="preserve">), 82 O.R. (3d) 686; </w:t>
      </w:r>
      <w:proofErr w:type="spellStart"/>
      <w:r w:rsidR="006E75CB" w:rsidRPr="006D40E2">
        <w:rPr>
          <w:i/>
        </w:rPr>
        <w:t>Bhatnager</w:t>
      </w:r>
      <w:proofErr w:type="spellEnd"/>
      <w:r w:rsidR="006E75CB" w:rsidRPr="006D40E2">
        <w:rPr>
          <w:i/>
        </w:rPr>
        <w:t xml:space="preserve"> v. Canada (Minister of Employment and Immigration)</w:t>
      </w:r>
      <w:r w:rsidR="006E75CB" w:rsidRPr="006D40E2">
        <w:t xml:space="preserve">, [1990] 2 S.C.R. 217; </w:t>
      </w:r>
      <w:r w:rsidR="006E75CB" w:rsidRPr="006D40E2">
        <w:rPr>
          <w:i/>
        </w:rPr>
        <w:t>Jackson v. Honey</w:t>
      </w:r>
      <w:r w:rsidR="006E75CB" w:rsidRPr="006D40E2">
        <w:t xml:space="preserve">, 2009 BCCA 112, 267 B.C.A.C. 210; </w:t>
      </w:r>
      <w:r w:rsidR="006E75CB" w:rsidRPr="006D40E2">
        <w:rPr>
          <w:i/>
        </w:rPr>
        <w:t>TG Industries</w:t>
      </w:r>
      <w:r w:rsidR="00AF5499" w:rsidRPr="006D40E2">
        <w:rPr>
          <w:i/>
        </w:rPr>
        <w:t xml:space="preserve"> Ltd. v. Williams</w:t>
      </w:r>
      <w:r w:rsidR="00AF5499" w:rsidRPr="006D40E2">
        <w:t xml:space="preserve">, 2001 NSCA 105, </w:t>
      </w:r>
      <w:r w:rsidR="006B2315" w:rsidRPr="006D40E2">
        <w:t>196 N.S.R. (2d) 35</w:t>
      </w:r>
      <w:r w:rsidR="00D05501" w:rsidRPr="006D40E2">
        <w:t xml:space="preserve">; </w:t>
      </w:r>
      <w:r w:rsidR="006E75CB" w:rsidRPr="006D40E2">
        <w:rPr>
          <w:i/>
        </w:rPr>
        <w:t>Godin v. Godin</w:t>
      </w:r>
      <w:r w:rsidR="006E75CB" w:rsidRPr="006D40E2">
        <w:t>, 2012 NSCA 54</w:t>
      </w:r>
      <w:r w:rsidR="006B2315" w:rsidRPr="006D40E2">
        <w:t xml:space="preserve">, </w:t>
      </w:r>
      <w:r w:rsidR="0083201B" w:rsidRPr="006D40E2">
        <w:t>317 N.S.R. (2d) 204</w:t>
      </w:r>
      <w:r w:rsidR="00D05501" w:rsidRPr="006D40E2">
        <w:t xml:space="preserve">; </w:t>
      </w:r>
      <w:r w:rsidR="006E75CB" w:rsidRPr="006D40E2">
        <w:rPr>
          <w:i/>
        </w:rPr>
        <w:t>Soper v. Gaudet</w:t>
      </w:r>
      <w:r w:rsidR="006E75CB" w:rsidRPr="006D40E2">
        <w:t>, 2011 NSCA 11</w:t>
      </w:r>
      <w:r w:rsidR="0083201B" w:rsidRPr="006D40E2">
        <w:t xml:space="preserve">, 298 N.S.R. (2d) </w:t>
      </w:r>
      <w:r w:rsidR="00D70B5F" w:rsidRPr="006D40E2">
        <w:t>303;</w:t>
      </w:r>
      <w:r w:rsidR="00A9678A" w:rsidRPr="006D40E2">
        <w:rPr>
          <w:i/>
          <w:szCs w:val="24"/>
        </w:rPr>
        <w:t xml:space="preserve"> </w:t>
      </w:r>
      <w:proofErr w:type="spellStart"/>
      <w:r w:rsidR="00A9678A" w:rsidRPr="006D40E2">
        <w:rPr>
          <w:i/>
        </w:rPr>
        <w:t>Jaskhs</w:t>
      </w:r>
      <w:proofErr w:type="spellEnd"/>
      <w:r w:rsidR="00A9678A" w:rsidRPr="006D40E2">
        <w:rPr>
          <w:i/>
        </w:rPr>
        <w:t xml:space="preserve"> Enterprises Inc. v. Indus Corp.</w:t>
      </w:r>
      <w:r w:rsidR="00A9678A" w:rsidRPr="006D40E2">
        <w:t xml:space="preserve">, </w:t>
      </w:r>
      <w:r w:rsidR="006A766F" w:rsidRPr="006D40E2">
        <w:t xml:space="preserve">2004 </w:t>
      </w:r>
      <w:proofErr w:type="spellStart"/>
      <w:r w:rsidR="006A766F" w:rsidRPr="006D40E2">
        <w:t>CanLII</w:t>
      </w:r>
      <w:proofErr w:type="spellEnd"/>
      <w:r w:rsidR="006A766F" w:rsidRPr="006D40E2">
        <w:t xml:space="preserve"> 32262</w:t>
      </w:r>
      <w:r w:rsidR="00A9678A" w:rsidRPr="006D40E2">
        <w:t xml:space="preserve">; </w:t>
      </w:r>
      <w:proofErr w:type="spellStart"/>
      <w:r w:rsidR="00556078" w:rsidRPr="006D40E2">
        <w:rPr>
          <w:i/>
        </w:rPr>
        <w:t>Culligan</w:t>
      </w:r>
      <w:proofErr w:type="spellEnd"/>
      <w:r w:rsidR="00556078" w:rsidRPr="006D40E2">
        <w:rPr>
          <w:i/>
        </w:rPr>
        <w:t xml:space="preserve"> Canada Ltd. v. Fettes</w:t>
      </w:r>
      <w:r w:rsidR="00556078" w:rsidRPr="006D40E2">
        <w:t>, 2010 SKCA 151, 326 D.L.R. (4th) 463</w:t>
      </w:r>
      <w:r w:rsidR="00E368E1" w:rsidRPr="006D40E2">
        <w:t xml:space="preserve">; </w:t>
      </w:r>
      <w:r w:rsidR="00E368E1" w:rsidRPr="006D40E2">
        <w:rPr>
          <w:i/>
        </w:rPr>
        <w:t>Sheppard v. Sheppard</w:t>
      </w:r>
      <w:r w:rsidR="00971883" w:rsidRPr="006D40E2">
        <w:t xml:space="preserve"> (1976</w:t>
      </w:r>
      <w:r w:rsidR="00E368E1" w:rsidRPr="006D40E2">
        <w:t>), 12 O.R. (2d) 4</w:t>
      </w:r>
      <w:r w:rsidR="00794669" w:rsidRPr="006D40E2">
        <w:t xml:space="preserve">; </w:t>
      </w:r>
      <w:proofErr w:type="spellStart"/>
      <w:r w:rsidR="00794669" w:rsidRPr="006D40E2">
        <w:rPr>
          <w:i/>
        </w:rPr>
        <w:t>Hefkey</w:t>
      </w:r>
      <w:proofErr w:type="spellEnd"/>
      <w:r w:rsidR="00794669" w:rsidRPr="006D40E2">
        <w:rPr>
          <w:i/>
        </w:rPr>
        <w:t xml:space="preserve"> v. </w:t>
      </w:r>
      <w:proofErr w:type="spellStart"/>
      <w:r w:rsidR="00794669" w:rsidRPr="006D40E2">
        <w:rPr>
          <w:i/>
        </w:rPr>
        <w:t>Hefkey</w:t>
      </w:r>
      <w:proofErr w:type="spellEnd"/>
      <w:r w:rsidR="00794669" w:rsidRPr="006D40E2">
        <w:t>, 2013 ONCA 44</w:t>
      </w:r>
      <w:r w:rsidR="00E01EF6" w:rsidRPr="006D40E2">
        <w:t>, 30 R.F.L. (</w:t>
      </w:r>
      <w:r w:rsidR="00794669" w:rsidRPr="006D40E2">
        <w:t xml:space="preserve">7th) 65; </w:t>
      </w:r>
      <w:r w:rsidR="00E01EF6" w:rsidRPr="006D40E2">
        <w:rPr>
          <w:i/>
        </w:rPr>
        <w:t xml:space="preserve">Centre commercial Les </w:t>
      </w:r>
      <w:proofErr w:type="spellStart"/>
      <w:r w:rsidR="00E01EF6" w:rsidRPr="006D40E2">
        <w:rPr>
          <w:i/>
        </w:rPr>
        <w:t>Rivières</w:t>
      </w:r>
      <w:proofErr w:type="spellEnd"/>
      <w:r w:rsidR="00E01EF6" w:rsidRPr="006D40E2">
        <w:rPr>
          <w:i/>
        </w:rPr>
        <w:t xml:space="preserve"> </w:t>
      </w:r>
      <w:proofErr w:type="spellStart"/>
      <w:r w:rsidR="00E01EF6" w:rsidRPr="006D40E2">
        <w:rPr>
          <w:i/>
        </w:rPr>
        <w:t>ltée</w:t>
      </w:r>
      <w:proofErr w:type="spellEnd"/>
      <w:r w:rsidR="00E01EF6" w:rsidRPr="006D40E2">
        <w:rPr>
          <w:i/>
        </w:rPr>
        <w:t xml:space="preserve"> v. Jean Bleu inc.</w:t>
      </w:r>
      <w:r w:rsidR="00E01EF6" w:rsidRPr="006D40E2">
        <w:t xml:space="preserve">, 2012 QCCA 1663; </w:t>
      </w:r>
      <w:proofErr w:type="spellStart"/>
      <w:r w:rsidR="00342D1E" w:rsidRPr="006D40E2">
        <w:rPr>
          <w:i/>
        </w:rPr>
        <w:t>Vidéotron</w:t>
      </w:r>
      <w:proofErr w:type="spellEnd"/>
      <w:r w:rsidR="00342D1E" w:rsidRPr="006D40E2">
        <w:rPr>
          <w:i/>
        </w:rPr>
        <w:t xml:space="preserve"> </w:t>
      </w:r>
      <w:proofErr w:type="spellStart"/>
      <w:r w:rsidR="00342D1E" w:rsidRPr="006D40E2">
        <w:rPr>
          <w:i/>
        </w:rPr>
        <w:t>Ltée</w:t>
      </w:r>
      <w:proofErr w:type="spellEnd"/>
      <w:r w:rsidR="00342D1E" w:rsidRPr="006D40E2">
        <w:rPr>
          <w:i/>
        </w:rPr>
        <w:t xml:space="preserve"> v. Industries </w:t>
      </w:r>
      <w:proofErr w:type="spellStart"/>
      <w:r w:rsidR="00342D1E" w:rsidRPr="006D40E2">
        <w:rPr>
          <w:i/>
        </w:rPr>
        <w:t>Microlec</w:t>
      </w:r>
      <w:proofErr w:type="spellEnd"/>
      <w:r w:rsidR="00342D1E" w:rsidRPr="006D40E2">
        <w:rPr>
          <w:i/>
        </w:rPr>
        <w:t xml:space="preserve"> </w:t>
      </w:r>
      <w:proofErr w:type="spellStart"/>
      <w:r w:rsidR="00342D1E" w:rsidRPr="006D40E2">
        <w:rPr>
          <w:i/>
        </w:rPr>
        <w:t>Produits</w:t>
      </w:r>
      <w:proofErr w:type="spellEnd"/>
      <w:r w:rsidR="00342D1E" w:rsidRPr="006D40E2">
        <w:rPr>
          <w:i/>
        </w:rPr>
        <w:t xml:space="preserve"> </w:t>
      </w:r>
      <w:proofErr w:type="spellStart"/>
      <w:r w:rsidR="00342D1E" w:rsidRPr="006D40E2">
        <w:rPr>
          <w:i/>
        </w:rPr>
        <w:t>Électroniques</w:t>
      </w:r>
      <w:proofErr w:type="spellEnd"/>
      <w:r w:rsidR="00342D1E" w:rsidRPr="006D40E2">
        <w:rPr>
          <w:i/>
        </w:rPr>
        <w:t xml:space="preserve"> Inc.</w:t>
      </w:r>
      <w:r w:rsidR="00342D1E" w:rsidRPr="006D40E2">
        <w:t>, [1992] 2 S.C.R. 1065</w:t>
      </w:r>
      <w:r w:rsidR="00360128" w:rsidRPr="006D40E2">
        <w:t xml:space="preserve">; </w:t>
      </w:r>
      <w:r w:rsidR="00A6567B" w:rsidRPr="006D40E2">
        <w:rPr>
          <w:i/>
        </w:rPr>
        <w:t>Daigle v</w:t>
      </w:r>
      <w:r w:rsidR="00360128" w:rsidRPr="006D40E2">
        <w:rPr>
          <w:i/>
        </w:rPr>
        <w:t>. St</w:t>
      </w:r>
      <w:r w:rsidR="001C2A5E">
        <w:rPr>
          <w:i/>
        </w:rPr>
        <w:t>-</w:t>
      </w:r>
      <w:r w:rsidR="00360128" w:rsidRPr="006D40E2">
        <w:rPr>
          <w:i/>
        </w:rPr>
        <w:t>Gabriel</w:t>
      </w:r>
      <w:r w:rsidR="001C2A5E">
        <w:rPr>
          <w:i/>
        </w:rPr>
        <w:t>-</w:t>
      </w:r>
      <w:r w:rsidR="00360128" w:rsidRPr="006D40E2">
        <w:rPr>
          <w:i/>
        </w:rPr>
        <w:t>de</w:t>
      </w:r>
      <w:r w:rsidR="001C2A5E">
        <w:rPr>
          <w:i/>
        </w:rPr>
        <w:t>-</w:t>
      </w:r>
      <w:r w:rsidR="00360128" w:rsidRPr="006D40E2">
        <w:rPr>
          <w:i/>
        </w:rPr>
        <w:t>Brandon (</w:t>
      </w:r>
      <w:proofErr w:type="spellStart"/>
      <w:r w:rsidR="00360128" w:rsidRPr="006D40E2">
        <w:rPr>
          <w:i/>
        </w:rPr>
        <w:t>Paroisse</w:t>
      </w:r>
      <w:proofErr w:type="spellEnd"/>
      <w:r w:rsidR="00360128" w:rsidRPr="006D40E2">
        <w:rPr>
          <w:i/>
        </w:rPr>
        <w:t>)</w:t>
      </w:r>
      <w:r w:rsidR="00360128" w:rsidRPr="006D40E2">
        <w:t xml:space="preserve">, </w:t>
      </w:r>
      <w:r w:rsidR="00A60BB2" w:rsidRPr="006D40E2">
        <w:t>[1991] R.D.J. 249</w:t>
      </w:r>
      <w:r w:rsidR="00F7588C" w:rsidRPr="006D40E2">
        <w:t xml:space="preserve">; </w:t>
      </w:r>
      <w:r w:rsidR="00F7588C" w:rsidRPr="006D40E2">
        <w:rPr>
          <w:i/>
        </w:rPr>
        <w:t>St. Elizabeth Home Society v. Hamilton (City)</w:t>
      </w:r>
      <w:r w:rsidR="00F7588C" w:rsidRPr="006D40E2">
        <w:t>, 2008 ONCA 182, 89 O.R. (3d) 81</w:t>
      </w:r>
      <w:r w:rsidR="00E53729" w:rsidRPr="006D40E2">
        <w:t xml:space="preserve">; </w:t>
      </w:r>
      <w:r w:rsidR="00871EE7" w:rsidRPr="006D40E2">
        <w:rPr>
          <w:i/>
        </w:rPr>
        <w:t>Morrow, Power v. Newfoundland Telephone Co.</w:t>
      </w:r>
      <w:r w:rsidR="00871EE7" w:rsidRPr="006D40E2">
        <w:t xml:space="preserve"> </w:t>
      </w:r>
      <w:r w:rsidR="00F55A65" w:rsidRPr="006D40E2">
        <w:t>(</w:t>
      </w:r>
      <w:r w:rsidR="00871EE7" w:rsidRPr="006D40E2">
        <w:t>1994</w:t>
      </w:r>
      <w:r w:rsidR="00F55A65" w:rsidRPr="006D40E2">
        <w:t>), 121 Nfld. &amp; P.</w:t>
      </w:r>
      <w:r w:rsidR="00FE6B20" w:rsidRPr="006D40E2">
        <w:t xml:space="preserve">E.I.R. 334; </w:t>
      </w:r>
      <w:r w:rsidR="00943774" w:rsidRPr="006D40E2">
        <w:rPr>
          <w:i/>
        </w:rPr>
        <w:t xml:space="preserve">Sussex Group Ltd. v. </w:t>
      </w:r>
      <w:proofErr w:type="spellStart"/>
      <w:r w:rsidR="00943774" w:rsidRPr="006D40E2">
        <w:rPr>
          <w:i/>
        </w:rPr>
        <w:t>Fangeat</w:t>
      </w:r>
      <w:proofErr w:type="spellEnd"/>
      <w:r w:rsidR="00943774" w:rsidRPr="006D40E2">
        <w:t xml:space="preserve">, </w:t>
      </w:r>
      <w:r w:rsidR="00176E7D" w:rsidRPr="006D40E2">
        <w:t>42 C.P.C. (5th) 274</w:t>
      </w:r>
      <w:r w:rsidR="00943774" w:rsidRPr="006D40E2">
        <w:t xml:space="preserve">; </w:t>
      </w:r>
      <w:r w:rsidR="0031380A" w:rsidRPr="006D40E2">
        <w:rPr>
          <w:i/>
        </w:rPr>
        <w:t xml:space="preserve">Re </w:t>
      </w:r>
      <w:r w:rsidR="008F5089" w:rsidRPr="006D40E2">
        <w:rPr>
          <w:i/>
        </w:rPr>
        <w:t>Tyre Manufacturers</w:t>
      </w:r>
      <w:r w:rsidR="00ED781A" w:rsidRPr="006D40E2">
        <w:rPr>
          <w:i/>
        </w:rPr>
        <w:t>’</w:t>
      </w:r>
      <w:r w:rsidR="008F5089" w:rsidRPr="006D40E2">
        <w:rPr>
          <w:i/>
        </w:rPr>
        <w:t xml:space="preserve"> Agreement</w:t>
      </w:r>
      <w:r w:rsidR="008F5089" w:rsidRPr="006D40E2">
        <w:t xml:space="preserve">, [1966] 2 All E.R. 849; </w:t>
      </w:r>
      <w:r w:rsidR="008F5089" w:rsidRPr="006D40E2">
        <w:rPr>
          <w:i/>
        </w:rPr>
        <w:t xml:space="preserve">Canada Metal Co. </w:t>
      </w:r>
      <w:r w:rsidR="009D61C2" w:rsidRPr="006D40E2">
        <w:rPr>
          <w:i/>
        </w:rPr>
        <w:t>v. C.B.C. (</w:t>
      </w:r>
      <w:r w:rsidR="00ED781A" w:rsidRPr="006D40E2">
        <w:rPr>
          <w:i/>
        </w:rPr>
        <w:t>No.</w:t>
      </w:r>
      <w:r w:rsidR="001C2A5E">
        <w:rPr>
          <w:i/>
        </w:rPr>
        <w:t xml:space="preserve"> </w:t>
      </w:r>
      <w:r w:rsidR="009D61C2" w:rsidRPr="006D40E2">
        <w:rPr>
          <w:i/>
        </w:rPr>
        <w:t>2)</w:t>
      </w:r>
      <w:r w:rsidR="009D61C2" w:rsidRPr="006D40E2">
        <w:t xml:space="preserve"> (1974), 48 D.L.R. (3d) 641</w:t>
      </w:r>
      <w:r w:rsidR="004E0209" w:rsidRPr="006D40E2">
        <w:t>, aff</w:t>
      </w:r>
      <w:r w:rsidR="00ED781A" w:rsidRPr="006D40E2">
        <w:t>’</w:t>
      </w:r>
      <w:r w:rsidR="004E0209" w:rsidRPr="006D40E2">
        <w:t xml:space="preserve">d </w:t>
      </w:r>
      <w:r w:rsidR="00A11F19" w:rsidRPr="006D40E2">
        <w:t xml:space="preserve">(1975), 65 D.L.R. (3d) 231; </w:t>
      </w:r>
      <w:r w:rsidR="009162AE" w:rsidRPr="006D40E2">
        <w:rPr>
          <w:i/>
        </w:rPr>
        <w:t>Customs and Excise Commissioners v. Barclays Bank</w:t>
      </w:r>
      <w:r w:rsidR="00337F9A" w:rsidRPr="006D40E2">
        <w:rPr>
          <w:i/>
        </w:rPr>
        <w:t xml:space="preserve"> plc</w:t>
      </w:r>
      <w:r w:rsidR="009162AE" w:rsidRPr="006D40E2">
        <w:t>,</w:t>
      </w:r>
      <w:r w:rsidR="009162AE" w:rsidRPr="006D40E2">
        <w:rPr>
          <w:i/>
        </w:rPr>
        <w:t xml:space="preserve"> </w:t>
      </w:r>
      <w:r w:rsidR="009162AE" w:rsidRPr="006D40E2">
        <w:t>[2006] UKHL 28, [2007] 1 A.C. 181</w:t>
      </w:r>
      <w:r w:rsidR="00B6094F" w:rsidRPr="006D40E2">
        <w:t xml:space="preserve">; </w:t>
      </w:r>
      <w:r w:rsidR="002B1782" w:rsidRPr="006D40E2">
        <w:rPr>
          <w:i/>
        </w:rPr>
        <w:t>Attorney General v. Punch Ltd.</w:t>
      </w:r>
      <w:r w:rsidR="002B1782" w:rsidRPr="006D40E2">
        <w:t xml:space="preserve">, </w:t>
      </w:r>
      <w:r w:rsidR="009735CC" w:rsidRPr="006D40E2">
        <w:t xml:space="preserve">[2002] UKHL 50, </w:t>
      </w:r>
      <w:r w:rsidR="002B1782" w:rsidRPr="006D40E2">
        <w:t>[2003] 1 A.C. 1046</w:t>
      </w:r>
      <w:r w:rsidR="009735CC" w:rsidRPr="006D40E2">
        <w:t xml:space="preserve">; </w:t>
      </w:r>
      <w:r w:rsidR="00AD7CE4" w:rsidRPr="006D40E2">
        <w:rPr>
          <w:i/>
        </w:rPr>
        <w:t>Z L</w:t>
      </w:r>
      <w:r w:rsidR="009735CC" w:rsidRPr="006D40E2">
        <w:rPr>
          <w:i/>
        </w:rPr>
        <w:t>td. v. A</w:t>
      </w:r>
      <w:r w:rsidR="001C2A5E">
        <w:rPr>
          <w:i/>
        </w:rPr>
        <w:t>-</w:t>
      </w:r>
      <w:r w:rsidR="009735CC" w:rsidRPr="006D40E2">
        <w:rPr>
          <w:i/>
        </w:rPr>
        <w:t>Z</w:t>
      </w:r>
      <w:r w:rsidR="009735CC" w:rsidRPr="006D40E2">
        <w:t xml:space="preserve">, </w:t>
      </w:r>
      <w:r w:rsidR="0013697E">
        <w:t>[1982] 1 Q.B. 558</w:t>
      </w:r>
      <w:r w:rsidR="00FB1B8C" w:rsidRPr="006D40E2">
        <w:t xml:space="preserve">; </w:t>
      </w:r>
      <w:r w:rsidR="007157CE" w:rsidRPr="006D40E2">
        <w:rPr>
          <w:i/>
        </w:rPr>
        <w:t>Baker v. Paul</w:t>
      </w:r>
      <w:r w:rsidR="007157CE" w:rsidRPr="006D40E2">
        <w:t>, [2013] NSWCA 426</w:t>
      </w:r>
      <w:r w:rsidR="00793F74" w:rsidRPr="006D40E2">
        <w:t xml:space="preserve">; </w:t>
      </w:r>
      <w:r w:rsidR="00793F74" w:rsidRPr="006D40E2">
        <w:rPr>
          <w:i/>
        </w:rPr>
        <w:t>Wilson v. The Queen</w:t>
      </w:r>
      <w:r w:rsidR="00793F74" w:rsidRPr="006D40E2">
        <w:t xml:space="preserve">, [1983] 2 S.C.R. 594; </w:t>
      </w:r>
      <w:r w:rsidR="009B79C8" w:rsidRPr="006D40E2">
        <w:rPr>
          <w:i/>
        </w:rPr>
        <w:t xml:space="preserve">Ontario (Attorney General) v. Paul </w:t>
      </w:r>
      <w:proofErr w:type="spellStart"/>
      <w:r w:rsidR="009B79C8" w:rsidRPr="006D40E2">
        <w:rPr>
          <w:i/>
        </w:rPr>
        <w:t>Magder</w:t>
      </w:r>
      <w:proofErr w:type="spellEnd"/>
      <w:r w:rsidR="009B79C8" w:rsidRPr="006D40E2">
        <w:rPr>
          <w:i/>
        </w:rPr>
        <w:t xml:space="preserve"> Furs Ltd.</w:t>
      </w:r>
      <w:r w:rsidR="009B79C8" w:rsidRPr="006D40E2">
        <w:t xml:space="preserve"> (1991), 6 O.R. (3d) 188.</w:t>
      </w:r>
      <w:r w:rsidR="000346EA" w:rsidRPr="006D40E2">
        <w:t xml:space="preserve"> </w:t>
      </w:r>
    </w:p>
    <w:p w:rsidR="003B215F" w:rsidRPr="006D40E2" w:rsidRDefault="002E6705" w:rsidP="00E21EE7">
      <w:pPr>
        <w:pStyle w:val="SCCNormalDoubleSpacing"/>
        <w:spacing w:after="720" w:line="240" w:lineRule="auto"/>
        <w:outlineLvl w:val="0"/>
      </w:pPr>
      <w:r w:rsidRPr="006D40E2">
        <w:rPr>
          <w:b/>
        </w:rPr>
        <w:t>Statutes and Regulations Cite</w:t>
      </w:r>
      <w:r w:rsidR="00A41805" w:rsidRPr="006D40E2">
        <w:rPr>
          <w:b/>
        </w:rPr>
        <w:t>d</w:t>
      </w:r>
      <w:r w:rsidR="00F11D8F" w:rsidRPr="006D40E2">
        <w:rPr>
          <w:b/>
        </w:rPr>
        <w:t xml:space="preserve"> </w:t>
      </w:r>
    </w:p>
    <w:p w:rsidR="00A149DF" w:rsidRPr="006D40E2" w:rsidRDefault="00395BCF" w:rsidP="00E21EE7">
      <w:pPr>
        <w:pStyle w:val="SCCNormalDoubleSpacing"/>
        <w:spacing w:after="720" w:line="240" w:lineRule="auto"/>
        <w:ind w:left="540" w:hanging="540"/>
        <w:outlineLvl w:val="0"/>
      </w:pPr>
      <w:r w:rsidRPr="006D40E2">
        <w:rPr>
          <w:i/>
        </w:rPr>
        <w:lastRenderedPageBreak/>
        <w:t>Rules of Civil Procedure</w:t>
      </w:r>
      <w:r w:rsidRPr="006D40E2">
        <w:t>, R.R.O. 1990, Reg. 194</w:t>
      </w:r>
      <w:r w:rsidR="00F8666D" w:rsidRPr="006D40E2">
        <w:t>, r.</w:t>
      </w:r>
      <w:r w:rsidR="001C2A5E">
        <w:t xml:space="preserve"> </w:t>
      </w:r>
      <w:r w:rsidR="00997B5B" w:rsidRPr="006D40E2">
        <w:t>60.11</w:t>
      </w:r>
      <w:r w:rsidRPr="006D40E2">
        <w:t>.</w:t>
      </w:r>
    </w:p>
    <w:p w:rsidR="002E6705" w:rsidRPr="006D40E2" w:rsidRDefault="002E6705" w:rsidP="00E21EE7">
      <w:pPr>
        <w:pStyle w:val="SCCNormalDoubleSpacing"/>
        <w:spacing w:after="720" w:line="240" w:lineRule="auto"/>
        <w:outlineLvl w:val="0"/>
        <w:rPr>
          <w:b/>
        </w:rPr>
      </w:pPr>
      <w:r w:rsidRPr="006D40E2">
        <w:rPr>
          <w:b/>
        </w:rPr>
        <w:t>Authors Cited</w:t>
      </w:r>
    </w:p>
    <w:p w:rsidR="00A149DF" w:rsidRPr="006D40E2" w:rsidRDefault="000814D5" w:rsidP="00E21EE7">
      <w:pPr>
        <w:pStyle w:val="SCCNormalDoubleSpacing"/>
        <w:spacing w:after="720" w:line="240" w:lineRule="auto"/>
        <w:ind w:left="540" w:hanging="540"/>
      </w:pPr>
      <w:r w:rsidRPr="006D40E2">
        <w:t xml:space="preserve">Sharpe, </w:t>
      </w:r>
      <w:r w:rsidR="00F8666D" w:rsidRPr="006D40E2">
        <w:t>Robert</w:t>
      </w:r>
      <w:r w:rsidR="001C2A5E">
        <w:t xml:space="preserve"> </w:t>
      </w:r>
      <w:r w:rsidR="004A4124" w:rsidRPr="006D40E2">
        <w:t xml:space="preserve">J. </w:t>
      </w:r>
      <w:r w:rsidR="004A4124" w:rsidRPr="006D40E2">
        <w:rPr>
          <w:i/>
        </w:rPr>
        <w:t>Injunctions and Specific Performance</w:t>
      </w:r>
      <w:r w:rsidR="004A4124" w:rsidRPr="006D40E2">
        <w:t xml:space="preserve">, </w:t>
      </w:r>
      <w:r w:rsidR="006F6D77" w:rsidRPr="006D40E2">
        <w:t>2nd</w:t>
      </w:r>
      <w:r w:rsidR="000923AE" w:rsidRPr="006D40E2">
        <w:t xml:space="preserve"> ed. </w:t>
      </w:r>
      <w:r w:rsidR="004A4124" w:rsidRPr="006D40E2">
        <w:t>Aurora</w:t>
      </w:r>
      <w:r w:rsidR="000923AE" w:rsidRPr="006D40E2">
        <w:t>, Ont.: Canada Law Book, 1992 (</w:t>
      </w:r>
      <w:r w:rsidR="006F6D77" w:rsidRPr="006D40E2">
        <w:t>loose</w:t>
      </w:r>
      <w:r w:rsidR="001C2A5E">
        <w:t>-</w:t>
      </w:r>
      <w:r w:rsidR="006F6D77" w:rsidRPr="006D40E2">
        <w:t xml:space="preserve">leaf </w:t>
      </w:r>
      <w:r w:rsidR="000923AE" w:rsidRPr="006D40E2">
        <w:t xml:space="preserve">updated </w:t>
      </w:r>
      <w:r w:rsidR="00250AA7">
        <w:t xml:space="preserve">November </w:t>
      </w:r>
      <w:r w:rsidR="000923AE" w:rsidRPr="006D40E2">
        <w:t>2014, release</w:t>
      </w:r>
      <w:r w:rsidR="001C2A5E">
        <w:t xml:space="preserve"> </w:t>
      </w:r>
      <w:r w:rsidR="000923AE" w:rsidRPr="006D40E2">
        <w:t>23</w:t>
      </w:r>
      <w:r w:rsidR="004A4124" w:rsidRPr="006D40E2">
        <w:t>)</w:t>
      </w:r>
      <w:r w:rsidR="000923AE" w:rsidRPr="006D40E2">
        <w:t>.</w:t>
      </w:r>
    </w:p>
    <w:p w:rsidR="00656313" w:rsidRPr="006D40E2" w:rsidRDefault="004A4124" w:rsidP="00E21EE7">
      <w:pPr>
        <w:pStyle w:val="SCCNormalDoubleSpacing"/>
        <w:spacing w:after="480"/>
      </w:pPr>
      <w:r w:rsidRPr="006D40E2">
        <w:tab/>
      </w:r>
      <w:r w:rsidR="009B57B3" w:rsidRPr="006D40E2">
        <w:t xml:space="preserve">APPEAL from a judgment of the </w:t>
      </w:r>
      <w:r w:rsidR="00616D11" w:rsidRPr="006D40E2">
        <w:t>Ontario Court of Appeal (</w:t>
      </w:r>
      <w:r w:rsidR="0002612B" w:rsidRPr="006D40E2">
        <w:t xml:space="preserve">Rosenberg, Sharpe and </w:t>
      </w:r>
      <w:proofErr w:type="spellStart"/>
      <w:r w:rsidR="0002612B" w:rsidRPr="006D40E2">
        <w:t>Gillese</w:t>
      </w:r>
      <w:proofErr w:type="spellEnd"/>
      <w:r w:rsidR="001C2A5E">
        <w:t xml:space="preserve"> </w:t>
      </w:r>
      <w:r w:rsidR="0002612B" w:rsidRPr="006D40E2">
        <w:t>JJ.A.), 2013 ONCA</w:t>
      </w:r>
      <w:r w:rsidR="004961F5" w:rsidRPr="006D40E2">
        <w:t xml:space="preserve"> 530, 310 O.A.C. 209</w:t>
      </w:r>
      <w:r w:rsidR="00957240" w:rsidRPr="006D40E2">
        <w:t xml:space="preserve">, 116 O.R. (3d) 641, </w:t>
      </w:r>
      <w:r w:rsidR="00A66792" w:rsidRPr="006D40E2">
        <w:t xml:space="preserve">367 D.L.R. (4th) 415, 52 C.P.C. (7th) 144, [2013] O.J. </w:t>
      </w:r>
      <w:r w:rsidR="00ED781A" w:rsidRPr="006D40E2">
        <w:t>No.</w:t>
      </w:r>
      <w:r w:rsidR="001C2A5E">
        <w:t xml:space="preserve"> </w:t>
      </w:r>
      <w:r w:rsidR="00A66792" w:rsidRPr="006D40E2">
        <w:t xml:space="preserve">3891 (QL), 2013 </w:t>
      </w:r>
      <w:proofErr w:type="spellStart"/>
      <w:r w:rsidR="00A66792" w:rsidRPr="006D40E2">
        <w:t>CarswellOnt</w:t>
      </w:r>
      <w:proofErr w:type="spellEnd"/>
      <w:r w:rsidR="00A66792" w:rsidRPr="006D40E2">
        <w:t xml:space="preserve"> 11824 (WL Can.)</w:t>
      </w:r>
      <w:r w:rsidR="00765404" w:rsidRPr="006D40E2">
        <w:t xml:space="preserve">, </w:t>
      </w:r>
      <w:r w:rsidR="002C75BC" w:rsidRPr="006D40E2">
        <w:t xml:space="preserve">setting aside </w:t>
      </w:r>
      <w:r w:rsidR="009D56D6" w:rsidRPr="006D40E2">
        <w:t>a decision of</w:t>
      </w:r>
      <w:r w:rsidR="002C75BC" w:rsidRPr="006D40E2">
        <w:t xml:space="preserve"> </w:t>
      </w:r>
      <w:r w:rsidR="00F8666D" w:rsidRPr="006D40E2">
        <w:t>Roberts</w:t>
      </w:r>
      <w:r w:rsidR="001C2A5E">
        <w:t xml:space="preserve"> </w:t>
      </w:r>
      <w:r w:rsidR="009D56D6" w:rsidRPr="006D40E2">
        <w:t>J., 2012 ONSC 7252</w:t>
      </w:r>
      <w:r w:rsidR="00E23DA3" w:rsidRPr="006D40E2">
        <w:t>, [</w:t>
      </w:r>
      <w:r w:rsidR="0000414F" w:rsidRPr="006D40E2">
        <w:t xml:space="preserve">2012] O.J. </w:t>
      </w:r>
      <w:r w:rsidR="00ED781A" w:rsidRPr="006D40E2">
        <w:t>No.</w:t>
      </w:r>
      <w:r w:rsidR="001C2A5E">
        <w:t xml:space="preserve"> </w:t>
      </w:r>
      <w:r w:rsidR="0000414F" w:rsidRPr="006D40E2">
        <w:t xml:space="preserve">6596 (QL), 2012 </w:t>
      </w:r>
      <w:proofErr w:type="spellStart"/>
      <w:r w:rsidR="0000414F" w:rsidRPr="006D40E2">
        <w:t>CarswellOnt</w:t>
      </w:r>
      <w:proofErr w:type="spellEnd"/>
      <w:r w:rsidR="0000414F" w:rsidRPr="006D40E2">
        <w:t xml:space="preserve"> 17537 (WL Can.), and</w:t>
      </w:r>
      <w:r w:rsidR="009D56D6" w:rsidRPr="006D40E2">
        <w:t xml:space="preserve"> </w:t>
      </w:r>
      <w:r w:rsidR="0020490F" w:rsidRPr="006D40E2">
        <w:t xml:space="preserve">restoring </w:t>
      </w:r>
      <w:r w:rsidR="0000414F" w:rsidRPr="006D40E2">
        <w:t>her</w:t>
      </w:r>
      <w:r w:rsidR="00CD6C11" w:rsidRPr="006D40E2">
        <w:t xml:space="preserve"> </w:t>
      </w:r>
      <w:r w:rsidR="0074016A" w:rsidRPr="006D40E2">
        <w:t xml:space="preserve">initial </w:t>
      </w:r>
      <w:r w:rsidR="00CD6C11" w:rsidRPr="006D40E2">
        <w:t>contempt order</w:t>
      </w:r>
      <w:r w:rsidR="0000414F" w:rsidRPr="006D40E2">
        <w:t xml:space="preserve">. </w:t>
      </w:r>
      <w:r w:rsidR="00A57B71" w:rsidRPr="006D40E2">
        <w:t xml:space="preserve">Appeal </w:t>
      </w:r>
      <w:r w:rsidR="002E7712" w:rsidRPr="006D40E2">
        <w:t>dismissed</w:t>
      </w:r>
      <w:r w:rsidR="00A57B71" w:rsidRPr="006D40E2">
        <w:t>.</w:t>
      </w:r>
    </w:p>
    <w:p w:rsidR="003C3664" w:rsidRPr="006D40E2" w:rsidRDefault="00F8666D" w:rsidP="00E21EE7">
      <w:pPr>
        <w:pStyle w:val="SCCNormalDoubleSpacing"/>
        <w:spacing w:after="480"/>
        <w:outlineLvl w:val="0"/>
      </w:pPr>
      <w:r w:rsidRPr="006D40E2">
        <w:rPr>
          <w:i/>
        </w:rPr>
        <w:tab/>
        <w:t>Patricia</w:t>
      </w:r>
      <w:r w:rsidR="001C2A5E">
        <w:rPr>
          <w:i/>
        </w:rPr>
        <w:t xml:space="preserve"> </w:t>
      </w:r>
      <w:r w:rsidR="00B45138" w:rsidRPr="006D40E2">
        <w:rPr>
          <w:i/>
        </w:rPr>
        <w:t>D.</w:t>
      </w:r>
      <w:r w:rsidR="000D40DC" w:rsidRPr="006D40E2">
        <w:rPr>
          <w:i/>
        </w:rPr>
        <w:t xml:space="preserve"> </w:t>
      </w:r>
      <w:r w:rsidR="00B45138" w:rsidRPr="006D40E2">
        <w:rPr>
          <w:i/>
        </w:rPr>
        <w:t>S. Jackson</w:t>
      </w:r>
      <w:r w:rsidR="00B45138" w:rsidRPr="006D40E2">
        <w:t xml:space="preserve"> and </w:t>
      </w:r>
      <w:r w:rsidR="00B45138" w:rsidRPr="006D40E2">
        <w:rPr>
          <w:i/>
        </w:rPr>
        <w:t xml:space="preserve">Rachael </w:t>
      </w:r>
      <w:r w:rsidR="00071E02" w:rsidRPr="006D40E2">
        <w:rPr>
          <w:i/>
        </w:rPr>
        <w:t>Saab</w:t>
      </w:r>
      <w:r w:rsidR="00B45138" w:rsidRPr="006D40E2">
        <w:t>, for the appellant.</w:t>
      </w:r>
    </w:p>
    <w:p w:rsidR="001C2A5E" w:rsidRDefault="00B45138" w:rsidP="001C2A5E">
      <w:pPr>
        <w:pStyle w:val="SCCNormalDoubleSpacing"/>
        <w:spacing w:after="480"/>
        <w:outlineLvl w:val="0"/>
      </w:pPr>
      <w:r w:rsidRPr="006D40E2">
        <w:rPr>
          <w:i/>
        </w:rPr>
        <w:tab/>
        <w:t xml:space="preserve">Kevin </w:t>
      </w:r>
      <w:proofErr w:type="spellStart"/>
      <w:r w:rsidRPr="006D40E2">
        <w:rPr>
          <w:i/>
        </w:rPr>
        <w:t>Toyne</w:t>
      </w:r>
      <w:proofErr w:type="spellEnd"/>
      <w:r w:rsidR="00071E02" w:rsidRPr="006D40E2">
        <w:rPr>
          <w:i/>
        </w:rPr>
        <w:t xml:space="preserve"> </w:t>
      </w:r>
      <w:r w:rsidR="00071E02" w:rsidRPr="00250AA7">
        <w:t xml:space="preserve">and </w:t>
      </w:r>
      <w:r w:rsidR="00071E02" w:rsidRPr="006D40E2">
        <w:rPr>
          <w:i/>
        </w:rPr>
        <w:t>John Philpott</w:t>
      </w:r>
      <w:r w:rsidRPr="006D40E2">
        <w:t>, for the respondent.</w:t>
      </w:r>
    </w:p>
    <w:p w:rsidR="001C2A5E" w:rsidRDefault="00250AA7" w:rsidP="001C2A5E">
      <w:pPr>
        <w:pStyle w:val="SCCNormalDoubleSpacing"/>
        <w:spacing w:after="480"/>
        <w:outlineLvl w:val="0"/>
      </w:pPr>
      <w:r>
        <w:tab/>
        <w:t>The judgment of the Court was delivered by</w:t>
      </w:r>
    </w:p>
    <w:p w:rsidR="001C2A5E" w:rsidRPr="003159E6" w:rsidRDefault="001C2A5E" w:rsidP="001C2A5E">
      <w:pPr>
        <w:pStyle w:val="SCCNormalDoubleSpacing"/>
        <w:spacing w:after="480"/>
        <w:outlineLvl w:val="0"/>
      </w:pPr>
      <w:r w:rsidRPr="003159E6">
        <w:tab/>
        <w:t xml:space="preserve">Cromwell J. — </w:t>
      </w:r>
    </w:p>
    <w:p w:rsidR="001C2A5E" w:rsidRPr="003159E6" w:rsidRDefault="001C2A5E" w:rsidP="001C2A5E">
      <w:pPr>
        <w:pStyle w:val="Title1LevelTitre1Niveau-AltL"/>
        <w:rPr>
          <w:rFonts w:cs="Times New Roman"/>
        </w:rPr>
      </w:pPr>
      <w:r w:rsidRPr="003159E6">
        <w:rPr>
          <w:rFonts w:cs="Times New Roman"/>
        </w:rPr>
        <w:t>Introduction</w:t>
      </w:r>
    </w:p>
    <w:p w:rsidR="001C2A5E" w:rsidRPr="003159E6" w:rsidRDefault="001C2A5E" w:rsidP="001C2A5E">
      <w:pPr>
        <w:pStyle w:val="ParaNoNdepar-AltN"/>
        <w:tabs>
          <w:tab w:val="clear" w:pos="1166"/>
          <w:tab w:val="num" w:pos="1152"/>
        </w:tabs>
        <w:rPr>
          <w:rFonts w:cs="Times New Roman"/>
        </w:rPr>
      </w:pPr>
      <w:r w:rsidRPr="003159E6">
        <w:rPr>
          <w:rFonts w:cs="Times New Roman"/>
        </w:rPr>
        <w:t xml:space="preserve">Contempt of court proceedings against lawyers are rare; so are situations in which judges reverse their own previous findings. But </w:t>
      </w:r>
      <w:r>
        <w:rPr>
          <w:rFonts w:cs="Times New Roman"/>
        </w:rPr>
        <w:t xml:space="preserve">this case, which gives the </w:t>
      </w:r>
      <w:r>
        <w:rPr>
          <w:rFonts w:cs="Times New Roman"/>
        </w:rPr>
        <w:lastRenderedPageBreak/>
        <w:t xml:space="preserve">Court </w:t>
      </w:r>
      <w:r w:rsidRPr="003159E6">
        <w:rPr>
          <w:rFonts w:cs="Times New Roman"/>
        </w:rPr>
        <w:t>the opportunity to clarify some aspects of the common law of civil contempt of court, has both of these unusual elements.</w:t>
      </w:r>
    </w:p>
    <w:p w:rsidR="001C2A5E" w:rsidRPr="003159E6" w:rsidRDefault="001C2A5E" w:rsidP="001C2A5E">
      <w:pPr>
        <w:pStyle w:val="ParaNoNdepar-AltN"/>
        <w:tabs>
          <w:tab w:val="clear" w:pos="1166"/>
          <w:tab w:val="num" w:pos="1152"/>
        </w:tabs>
        <w:rPr>
          <w:rFonts w:cs="Times New Roman"/>
        </w:rPr>
      </w:pPr>
      <w:r w:rsidRPr="003159E6">
        <w:rPr>
          <w:rFonts w:cs="Times New Roman"/>
        </w:rPr>
        <w:t>The appellant, Peter Carey, is a lawyer who was the object of contempt proceedings for allegedly breaching the terms of an injunction.  He was initially found in contempt by a judge of the Ontario Superior Court</w:t>
      </w:r>
      <w:r>
        <w:rPr>
          <w:rFonts w:cs="Times New Roman"/>
        </w:rPr>
        <w:t xml:space="preserve"> of Justice, but the judge revisited that</w:t>
      </w:r>
      <w:r w:rsidRPr="003159E6">
        <w:rPr>
          <w:rFonts w:cs="Times New Roman"/>
        </w:rPr>
        <w:t xml:space="preserve"> finding and reversed it when the matter came back before her </w:t>
      </w:r>
      <w:r>
        <w:rPr>
          <w:rFonts w:cs="Times New Roman"/>
        </w:rPr>
        <w:t>for consideration</w:t>
      </w:r>
      <w:r w:rsidRPr="003159E6">
        <w:rPr>
          <w:rFonts w:cs="Times New Roman"/>
        </w:rPr>
        <w:t xml:space="preserve"> </w:t>
      </w:r>
      <w:r>
        <w:rPr>
          <w:rFonts w:cs="Times New Roman"/>
        </w:rPr>
        <w:t xml:space="preserve">of </w:t>
      </w:r>
      <w:r w:rsidRPr="003159E6">
        <w:rPr>
          <w:rFonts w:cs="Times New Roman"/>
        </w:rPr>
        <w:t xml:space="preserve">the appropriate penalty. The Court of Appeal set the judge’s </w:t>
      </w:r>
      <w:r>
        <w:rPr>
          <w:rFonts w:cs="Times New Roman"/>
        </w:rPr>
        <w:t xml:space="preserve">second </w:t>
      </w:r>
      <w:r w:rsidRPr="003159E6">
        <w:rPr>
          <w:rFonts w:cs="Times New Roman"/>
        </w:rPr>
        <w:t>decision aside and found Mr. Carey in contempt. He now appeals to this Court, raising three questions:</w:t>
      </w:r>
    </w:p>
    <w:p w:rsidR="001C2A5E" w:rsidRPr="003159E6" w:rsidRDefault="001C2A5E" w:rsidP="001C2A5E">
      <w:pPr>
        <w:pStyle w:val="ContinueParaSuitedupar-AltP"/>
        <w:numPr>
          <w:ilvl w:val="6"/>
          <w:numId w:val="6"/>
        </w:numPr>
        <w:ind w:left="720" w:hanging="720"/>
        <w:rPr>
          <w:rFonts w:cs="Times New Roman"/>
        </w:rPr>
      </w:pPr>
      <w:r w:rsidRPr="003159E6">
        <w:rPr>
          <w:rFonts w:cs="Times New Roman"/>
        </w:rPr>
        <w:t>To have committed contempt, did Mr. Carey have to intend to interfere with the administration of justice?</w:t>
      </w:r>
    </w:p>
    <w:p w:rsidR="001C2A5E" w:rsidRPr="003159E6" w:rsidRDefault="001C2A5E" w:rsidP="001C2A5E">
      <w:pPr>
        <w:pStyle w:val="ParaNoNdepar-AltN"/>
        <w:numPr>
          <w:ilvl w:val="6"/>
          <w:numId w:val="6"/>
        </w:numPr>
        <w:tabs>
          <w:tab w:val="clear" w:pos="1166"/>
        </w:tabs>
        <w:ind w:left="0" w:firstLine="0"/>
        <w:rPr>
          <w:rFonts w:cs="Times New Roman"/>
        </w:rPr>
      </w:pPr>
      <w:r w:rsidRPr="003159E6">
        <w:rPr>
          <w:rFonts w:cs="Times New Roman"/>
        </w:rPr>
        <w:t>Was Mr. Carey in contempt?</w:t>
      </w:r>
      <w:r w:rsidRPr="003159E6">
        <w:rPr>
          <w:rFonts w:cs="Times New Roman"/>
        </w:rPr>
        <w:tab/>
      </w:r>
    </w:p>
    <w:p w:rsidR="001C2A5E" w:rsidRPr="003159E6" w:rsidRDefault="001C2A5E" w:rsidP="001C2A5E">
      <w:pPr>
        <w:pStyle w:val="ParaNoNdepar-AltN"/>
        <w:numPr>
          <w:ilvl w:val="6"/>
          <w:numId w:val="6"/>
        </w:numPr>
        <w:tabs>
          <w:tab w:val="clear" w:pos="1166"/>
          <w:tab w:val="left" w:pos="720"/>
        </w:tabs>
        <w:ind w:left="0" w:firstLine="0"/>
        <w:rPr>
          <w:rFonts w:cs="Times New Roman"/>
        </w:rPr>
      </w:pPr>
      <w:r w:rsidRPr="003159E6">
        <w:rPr>
          <w:rFonts w:cs="Times New Roman"/>
        </w:rPr>
        <w:t>Was it open to the judge to set aside her initial finding of contempt?</w:t>
      </w:r>
    </w:p>
    <w:p w:rsidR="001C2A5E" w:rsidRPr="003159E6" w:rsidRDefault="001C2A5E" w:rsidP="001C2A5E">
      <w:pPr>
        <w:pStyle w:val="ParaNoNdepar-AltN"/>
        <w:rPr>
          <w:rFonts w:cs="Times New Roman"/>
        </w:rPr>
      </w:pPr>
      <w:r w:rsidRPr="003159E6">
        <w:rPr>
          <w:rFonts w:cs="Times New Roman"/>
        </w:rPr>
        <w:t>I conclude that the Court of Appeal for Ontario was correct to answer the first and third questions in the negative and the second in the affirmative: to be in contempt, Mr. Carey did not need to intend to interfere with the administration of justice; Mr. Carey was in contempt and his obligations to his client did not justify or excuse his breaching the injunction; and it was not open to the judge to set aside her initial finding of contempt. I would therefore dismiss the appeal with costs.</w:t>
      </w:r>
    </w:p>
    <w:p w:rsidR="001C2A5E" w:rsidRPr="003159E6" w:rsidRDefault="001C2A5E" w:rsidP="001C2A5E">
      <w:pPr>
        <w:pStyle w:val="ParaNoNdepar-AltN"/>
        <w:rPr>
          <w:rFonts w:cs="Times New Roman"/>
        </w:rPr>
      </w:pPr>
      <w:r w:rsidRPr="003159E6">
        <w:rPr>
          <w:rFonts w:cs="Times New Roman"/>
        </w:rPr>
        <w:lastRenderedPageBreak/>
        <w:t xml:space="preserve">The factual and procedural context in which these issues arise is complicated and I will turn to that before getting into the legal analysis that has led me to these conclusions. </w:t>
      </w:r>
    </w:p>
    <w:p w:rsidR="001C2A5E" w:rsidRPr="003159E6" w:rsidRDefault="001C2A5E" w:rsidP="001C2A5E">
      <w:pPr>
        <w:pStyle w:val="Title1LevelTitre1Niveau-AltL"/>
        <w:rPr>
          <w:rFonts w:cs="Times New Roman"/>
        </w:rPr>
      </w:pPr>
      <w:r w:rsidRPr="003159E6">
        <w:rPr>
          <w:rFonts w:cs="Times New Roman"/>
        </w:rPr>
        <w:t>Background</w:t>
      </w:r>
    </w:p>
    <w:p w:rsidR="001C2A5E" w:rsidRPr="003159E6" w:rsidRDefault="001C2A5E" w:rsidP="001C2A5E">
      <w:pPr>
        <w:pStyle w:val="Title2LevelTitre2Niveau"/>
        <w:rPr>
          <w:rFonts w:cs="Times New Roman"/>
        </w:rPr>
      </w:pPr>
      <w:r w:rsidRPr="003159E6">
        <w:rPr>
          <w:rFonts w:cs="Times New Roman"/>
        </w:rPr>
        <w:t>Overview</w:t>
      </w:r>
    </w:p>
    <w:p w:rsidR="001C2A5E" w:rsidRPr="003159E6" w:rsidRDefault="001C2A5E" w:rsidP="001C2A5E">
      <w:pPr>
        <w:pStyle w:val="ParaNoNdepar-AltN"/>
        <w:rPr>
          <w:rFonts w:cs="Times New Roman"/>
        </w:rPr>
      </w:pPr>
      <w:r w:rsidRPr="003159E6">
        <w:rPr>
          <w:rFonts w:cs="Times New Roman"/>
        </w:rPr>
        <w:t xml:space="preserve">The appeal arises out of Mr. Carey’s alleged breach of a so-called </w:t>
      </w:r>
      <w:proofErr w:type="spellStart"/>
      <w:r w:rsidRPr="003159E6">
        <w:rPr>
          <w:rFonts w:cs="Times New Roman"/>
          <w:i/>
        </w:rPr>
        <w:t>Mareva</w:t>
      </w:r>
      <w:proofErr w:type="spellEnd"/>
      <w:r w:rsidRPr="003159E6">
        <w:rPr>
          <w:rFonts w:cs="Times New Roman"/>
          <w:i/>
        </w:rPr>
        <w:t xml:space="preserve"> </w:t>
      </w:r>
      <w:r w:rsidRPr="003159E6">
        <w:rPr>
          <w:rFonts w:cs="Times New Roman"/>
        </w:rPr>
        <w:t>injunction that enjoined any person with knowledge of the order from “disposing of, or otherwise dealing with” any assets of various parties</w:t>
      </w:r>
      <w:r>
        <w:rPr>
          <w:rFonts w:cs="Times New Roman"/>
        </w:rPr>
        <w:t>,</w:t>
      </w:r>
      <w:r w:rsidRPr="003159E6">
        <w:rPr>
          <w:rFonts w:cs="Times New Roman"/>
        </w:rPr>
        <w:t xml:space="preserve"> including Peter </w:t>
      </w:r>
      <w:proofErr w:type="spellStart"/>
      <w:r w:rsidRPr="003159E6">
        <w:rPr>
          <w:rFonts w:cs="Times New Roman"/>
        </w:rPr>
        <w:t>Sabourin</w:t>
      </w:r>
      <w:proofErr w:type="spellEnd"/>
      <w:r>
        <w:rPr>
          <w:rFonts w:cs="Times New Roman"/>
        </w:rPr>
        <w:t xml:space="preserve"> for whom Mr. Carey acted</w:t>
      </w:r>
      <w:r w:rsidRPr="003159E6">
        <w:rPr>
          <w:rFonts w:cs="Times New Roman"/>
        </w:rPr>
        <w:t xml:space="preserve">. The injunction was issued in the course of litigation between the respondent, Judith </w:t>
      </w:r>
      <w:proofErr w:type="spellStart"/>
      <w:r w:rsidRPr="003159E6">
        <w:rPr>
          <w:rFonts w:cs="Times New Roman"/>
        </w:rPr>
        <w:t>Laiken</w:t>
      </w:r>
      <w:proofErr w:type="spellEnd"/>
      <w:r w:rsidRPr="003159E6">
        <w:rPr>
          <w:rFonts w:cs="Times New Roman"/>
        </w:rPr>
        <w:t xml:space="preserve">, and Mr. </w:t>
      </w:r>
      <w:proofErr w:type="spellStart"/>
      <w:r w:rsidRPr="003159E6">
        <w:rPr>
          <w:rFonts w:cs="Times New Roman"/>
        </w:rPr>
        <w:t>Sabourin</w:t>
      </w:r>
      <w:proofErr w:type="spellEnd"/>
      <w:r w:rsidRPr="003159E6">
        <w:rPr>
          <w:rFonts w:cs="Times New Roman"/>
        </w:rPr>
        <w:t xml:space="preserve"> and related parties. Ultimately</w:t>
      </w:r>
      <w:r>
        <w:rPr>
          <w:rFonts w:cs="Times New Roman"/>
        </w:rPr>
        <w:t>,</w:t>
      </w:r>
      <w:r w:rsidRPr="003159E6">
        <w:rPr>
          <w:rFonts w:cs="Times New Roman"/>
        </w:rPr>
        <w:t xml:space="preserve"> Ms. </w:t>
      </w:r>
      <w:proofErr w:type="spellStart"/>
      <w:r w:rsidRPr="003159E6">
        <w:rPr>
          <w:rFonts w:cs="Times New Roman"/>
        </w:rPr>
        <w:t>Laiken</w:t>
      </w:r>
      <w:proofErr w:type="spellEnd"/>
      <w:r w:rsidRPr="003159E6">
        <w:rPr>
          <w:rFonts w:cs="Times New Roman"/>
        </w:rPr>
        <w:t xml:space="preserve"> obtained a judgment </w:t>
      </w:r>
      <w:r>
        <w:rPr>
          <w:rFonts w:cs="Times New Roman"/>
        </w:rPr>
        <w:t xml:space="preserve">against Mr. </w:t>
      </w:r>
      <w:proofErr w:type="spellStart"/>
      <w:r>
        <w:rPr>
          <w:rFonts w:cs="Times New Roman"/>
        </w:rPr>
        <w:t>Sabourin</w:t>
      </w:r>
      <w:proofErr w:type="spellEnd"/>
      <w:r>
        <w:rPr>
          <w:rFonts w:cs="Times New Roman"/>
        </w:rPr>
        <w:t xml:space="preserve"> and his companies </w:t>
      </w:r>
      <w:r w:rsidRPr="003159E6">
        <w:rPr>
          <w:rFonts w:cs="Times New Roman"/>
        </w:rPr>
        <w:t xml:space="preserve">for roughly </w:t>
      </w:r>
      <w:r w:rsidR="00250AA7">
        <w:rPr>
          <w:rFonts w:cs="Times New Roman"/>
        </w:rPr>
        <w:t>$1</w:t>
      </w:r>
      <w:r w:rsidRPr="003159E6">
        <w:rPr>
          <w:rFonts w:cs="Times New Roman"/>
        </w:rPr>
        <w:t xml:space="preserve"> million and costs. </w:t>
      </w:r>
    </w:p>
    <w:p w:rsidR="001C2A5E" w:rsidRPr="003159E6" w:rsidRDefault="001C2A5E" w:rsidP="001C2A5E">
      <w:pPr>
        <w:pStyle w:val="ParaNoNdepar-AltN"/>
        <w:rPr>
          <w:rFonts w:cs="Times New Roman"/>
        </w:rPr>
      </w:pPr>
      <w:r w:rsidRPr="003159E6">
        <w:rPr>
          <w:rFonts w:cs="Times New Roman"/>
        </w:rPr>
        <w:t xml:space="preserve">Following the conclusion of this litigation, Ms. </w:t>
      </w:r>
      <w:proofErr w:type="spellStart"/>
      <w:r w:rsidRPr="003159E6">
        <w:rPr>
          <w:rFonts w:cs="Times New Roman"/>
        </w:rPr>
        <w:t>Laiken</w:t>
      </w:r>
      <w:proofErr w:type="spellEnd"/>
      <w:r w:rsidRPr="003159E6">
        <w:rPr>
          <w:rFonts w:cs="Times New Roman"/>
        </w:rPr>
        <w:t xml:space="preserve"> brought contempt proceedings against Mr. Carey, who unquestionably had knowledge of the injunction. She alleged he had breached its terms by returning to Mr. </w:t>
      </w:r>
      <w:proofErr w:type="spellStart"/>
      <w:r w:rsidRPr="003159E6">
        <w:rPr>
          <w:rFonts w:cs="Times New Roman"/>
        </w:rPr>
        <w:t>Sabourin</w:t>
      </w:r>
      <w:proofErr w:type="spellEnd"/>
      <w:r w:rsidRPr="003159E6">
        <w:rPr>
          <w:rFonts w:cs="Times New Roman"/>
        </w:rPr>
        <w:t xml:space="preserve"> over $400,000 that Mr. Carey was holding in trust for him. These contempt proceedings have led to the appeal before this Court.</w:t>
      </w:r>
    </w:p>
    <w:p w:rsidR="001C2A5E" w:rsidRPr="003159E6" w:rsidRDefault="001C2A5E" w:rsidP="001C2A5E">
      <w:pPr>
        <w:pStyle w:val="Title2LevelTitre2Niveau"/>
        <w:rPr>
          <w:rFonts w:cs="Times New Roman"/>
        </w:rPr>
      </w:pPr>
      <w:r>
        <w:rPr>
          <w:rFonts w:cs="Times New Roman"/>
        </w:rPr>
        <w:t>The Litigation Leading to the I</w:t>
      </w:r>
      <w:r w:rsidRPr="003159E6">
        <w:rPr>
          <w:rFonts w:cs="Times New Roman"/>
        </w:rPr>
        <w:t>njunction</w:t>
      </w:r>
    </w:p>
    <w:p w:rsidR="001C2A5E" w:rsidRPr="003159E6" w:rsidRDefault="001C2A5E" w:rsidP="001C2A5E">
      <w:pPr>
        <w:pStyle w:val="ParaNoNdepar-AltN"/>
        <w:rPr>
          <w:rFonts w:cs="Times New Roman"/>
        </w:rPr>
      </w:pPr>
      <w:r w:rsidRPr="003159E6">
        <w:rPr>
          <w:rFonts w:cs="Times New Roman"/>
          <w:i/>
        </w:rPr>
        <w:lastRenderedPageBreak/>
        <w:t xml:space="preserve"> </w:t>
      </w:r>
      <w:r w:rsidRPr="003159E6">
        <w:rPr>
          <w:rFonts w:cs="Times New Roman"/>
        </w:rPr>
        <w:t xml:space="preserve">Ms. </w:t>
      </w:r>
      <w:proofErr w:type="spellStart"/>
      <w:r w:rsidRPr="003159E6">
        <w:rPr>
          <w:rFonts w:cs="Times New Roman"/>
        </w:rPr>
        <w:t>Laiken</w:t>
      </w:r>
      <w:proofErr w:type="spellEnd"/>
      <w:r w:rsidRPr="003159E6">
        <w:rPr>
          <w:rFonts w:cs="Times New Roman"/>
        </w:rPr>
        <w:t xml:space="preserve"> retained Mr. </w:t>
      </w:r>
      <w:proofErr w:type="spellStart"/>
      <w:r w:rsidRPr="003159E6">
        <w:rPr>
          <w:rFonts w:cs="Times New Roman"/>
        </w:rPr>
        <w:t>Sabourin</w:t>
      </w:r>
      <w:proofErr w:type="spellEnd"/>
      <w:r w:rsidRPr="003159E6">
        <w:rPr>
          <w:rFonts w:cs="Times New Roman"/>
        </w:rPr>
        <w:t xml:space="preserve"> and his group of companies to conduct off-shore security trades on her behalf. To this end, she transferred </w:t>
      </w:r>
      <w:r>
        <w:rPr>
          <w:rFonts w:cs="Times New Roman"/>
        </w:rPr>
        <w:t xml:space="preserve">approximately </w:t>
      </w:r>
      <w:r w:rsidRPr="003159E6">
        <w:rPr>
          <w:rFonts w:cs="Times New Roman"/>
        </w:rPr>
        <w:t>$885,000 to various bank accounts he and his businesses held. Ultimately</w:t>
      </w:r>
      <w:r>
        <w:rPr>
          <w:rFonts w:cs="Times New Roman"/>
        </w:rPr>
        <w:t>,</w:t>
      </w:r>
      <w:r w:rsidRPr="003159E6">
        <w:rPr>
          <w:rFonts w:cs="Times New Roman"/>
        </w:rPr>
        <w:t xml:space="preserve"> these funds were lost and, unsurprisingly, the business relationship between Ms. </w:t>
      </w:r>
      <w:proofErr w:type="spellStart"/>
      <w:r w:rsidRPr="003159E6">
        <w:rPr>
          <w:rFonts w:cs="Times New Roman"/>
        </w:rPr>
        <w:t>Laiken</w:t>
      </w:r>
      <w:proofErr w:type="spellEnd"/>
      <w:r w:rsidRPr="003159E6">
        <w:rPr>
          <w:rFonts w:cs="Times New Roman"/>
        </w:rPr>
        <w:t xml:space="preserve"> and Mr. </w:t>
      </w:r>
      <w:proofErr w:type="spellStart"/>
      <w:r w:rsidRPr="003159E6">
        <w:rPr>
          <w:rFonts w:cs="Times New Roman"/>
        </w:rPr>
        <w:t>Sabourin</w:t>
      </w:r>
      <w:proofErr w:type="spellEnd"/>
      <w:r w:rsidRPr="003159E6">
        <w:rPr>
          <w:rFonts w:cs="Times New Roman"/>
        </w:rPr>
        <w:t xml:space="preserve"> soured. In 2000, he sued her for $364,000, alleging a deficit in her margin account. She counterclaimed for over $800,000, alleging that he had defrauded her.  Mr. Carey represented Mr. </w:t>
      </w:r>
      <w:proofErr w:type="spellStart"/>
      <w:r w:rsidRPr="003159E6">
        <w:rPr>
          <w:rFonts w:cs="Times New Roman"/>
        </w:rPr>
        <w:t>Sabourin</w:t>
      </w:r>
      <w:proofErr w:type="spellEnd"/>
      <w:r w:rsidRPr="003159E6">
        <w:rPr>
          <w:rFonts w:cs="Times New Roman"/>
        </w:rPr>
        <w:t xml:space="preserve"> and his business entities in these proceedings. </w:t>
      </w:r>
    </w:p>
    <w:p w:rsidR="001C2A5E" w:rsidRPr="003159E6" w:rsidRDefault="001C2A5E" w:rsidP="001C2A5E">
      <w:pPr>
        <w:pStyle w:val="ParaNoNdepar-AltN"/>
        <w:rPr>
          <w:rFonts w:cs="Times New Roman"/>
        </w:rPr>
      </w:pPr>
      <w:r w:rsidRPr="003159E6">
        <w:rPr>
          <w:rFonts w:cs="Times New Roman"/>
        </w:rPr>
        <w:t xml:space="preserve">Ms. </w:t>
      </w:r>
      <w:proofErr w:type="spellStart"/>
      <w:r w:rsidRPr="003159E6">
        <w:rPr>
          <w:rFonts w:cs="Times New Roman"/>
        </w:rPr>
        <w:t>Laiken</w:t>
      </w:r>
      <w:proofErr w:type="spellEnd"/>
      <w:r w:rsidRPr="003159E6">
        <w:rPr>
          <w:rFonts w:cs="Times New Roman"/>
        </w:rPr>
        <w:t xml:space="preserve"> obtained an </w:t>
      </w:r>
      <w:r w:rsidRPr="003159E6">
        <w:rPr>
          <w:rFonts w:cs="Times New Roman"/>
          <w:i/>
        </w:rPr>
        <w:t xml:space="preserve">ex parte </w:t>
      </w:r>
      <w:proofErr w:type="spellStart"/>
      <w:r w:rsidRPr="003159E6">
        <w:rPr>
          <w:rFonts w:cs="Times New Roman"/>
          <w:i/>
        </w:rPr>
        <w:t>Mareva</w:t>
      </w:r>
      <w:proofErr w:type="spellEnd"/>
      <w:r w:rsidRPr="003159E6">
        <w:rPr>
          <w:rFonts w:cs="Times New Roman"/>
        </w:rPr>
        <w:t xml:space="preserve"> injunction from the Ontario Superior Court </w:t>
      </w:r>
      <w:r>
        <w:rPr>
          <w:rFonts w:cs="Times New Roman"/>
        </w:rPr>
        <w:t xml:space="preserve">of Justice </w:t>
      </w:r>
      <w:r w:rsidRPr="003159E6">
        <w:rPr>
          <w:rFonts w:cs="Times New Roman"/>
        </w:rPr>
        <w:t>freezing the assets of the</w:t>
      </w:r>
      <w:r>
        <w:rPr>
          <w:rFonts w:cs="Times New Roman"/>
        </w:rPr>
        <w:t xml:space="preserve"> defendants to</w:t>
      </w:r>
      <w:r w:rsidRPr="003159E6">
        <w:rPr>
          <w:rFonts w:cs="Times New Roman"/>
        </w:rPr>
        <w:t xml:space="preserve"> her counterclaim, including Mr. </w:t>
      </w:r>
      <w:proofErr w:type="spellStart"/>
      <w:r w:rsidRPr="003159E6">
        <w:rPr>
          <w:rFonts w:cs="Times New Roman"/>
        </w:rPr>
        <w:t>Sabourin</w:t>
      </w:r>
      <w:proofErr w:type="spellEnd"/>
      <w:r w:rsidRPr="003159E6">
        <w:rPr>
          <w:rFonts w:cs="Times New Roman"/>
        </w:rPr>
        <w:t xml:space="preserve">. The injunction had broad terms.  It prohibited, among other things, Mr. </w:t>
      </w:r>
      <w:proofErr w:type="spellStart"/>
      <w:r w:rsidRPr="003159E6">
        <w:rPr>
          <w:rFonts w:cs="Times New Roman"/>
        </w:rPr>
        <w:t>Sabourin</w:t>
      </w:r>
      <w:proofErr w:type="spellEnd"/>
      <w:r w:rsidRPr="003159E6">
        <w:rPr>
          <w:rFonts w:cs="Times New Roman"/>
        </w:rPr>
        <w:t xml:space="preserve"> and any person with knowledge of the order from “disposing of, or otherwise dealing with” any of Mr. </w:t>
      </w:r>
      <w:proofErr w:type="spellStart"/>
      <w:r w:rsidRPr="003159E6">
        <w:rPr>
          <w:rFonts w:cs="Times New Roman"/>
        </w:rPr>
        <w:t>Sabourin’s</w:t>
      </w:r>
      <w:proofErr w:type="spellEnd"/>
      <w:r w:rsidRPr="003159E6">
        <w:rPr>
          <w:rFonts w:cs="Times New Roman"/>
        </w:rPr>
        <w:t xml:space="preserve"> assets</w:t>
      </w:r>
      <w:r>
        <w:rPr>
          <w:rFonts w:cs="Times New Roman"/>
        </w:rPr>
        <w:t>: Order of May 4, 2006, by Campbell J. (see A.R., vol. I, at p. 2).</w:t>
      </w:r>
      <w:r w:rsidRPr="003159E6">
        <w:rPr>
          <w:rFonts w:cs="Times New Roman"/>
        </w:rPr>
        <w:t xml:space="preserve"> The injunction also directed any person with knowledge of it to “take immediate steps to prevent </w:t>
      </w:r>
      <w:proofErr w:type="gramStart"/>
      <w:r w:rsidRPr="003159E6">
        <w:rPr>
          <w:rFonts w:cs="Times New Roman"/>
        </w:rPr>
        <w:t>the</w:t>
      </w:r>
      <w:r>
        <w:rPr>
          <w:rFonts w:cs="Times New Roman"/>
        </w:rPr>
        <w:t xml:space="preserve"> .</w:t>
      </w:r>
      <w:proofErr w:type="gramEnd"/>
      <w:r>
        <w:rPr>
          <w:rFonts w:cs="Times New Roman"/>
        </w:rPr>
        <w:t xml:space="preserve"> . . </w:t>
      </w:r>
      <w:r w:rsidRPr="003159E6">
        <w:rPr>
          <w:rFonts w:cs="Times New Roman"/>
        </w:rPr>
        <w:t>transfer” of the assets, including those held in “trust accounts” in that person’s power, possession or control</w:t>
      </w:r>
      <w:r>
        <w:rPr>
          <w:rFonts w:cs="Times New Roman"/>
        </w:rPr>
        <w:t xml:space="preserve"> (</w:t>
      </w:r>
      <w:r>
        <w:rPr>
          <w:rFonts w:cs="Times New Roman"/>
          <w:i/>
        </w:rPr>
        <w:t>ibid.</w:t>
      </w:r>
      <w:r>
        <w:rPr>
          <w:rFonts w:cs="Times New Roman"/>
        </w:rPr>
        <w:t>)</w:t>
      </w:r>
      <w:r w:rsidRPr="003159E6">
        <w:rPr>
          <w:rFonts w:cs="Times New Roman"/>
        </w:rPr>
        <w:t>.</w:t>
      </w:r>
      <w:r>
        <w:rPr>
          <w:rFonts w:cs="Times New Roman"/>
        </w:rPr>
        <w:t xml:space="preserve"> </w:t>
      </w:r>
      <w:r w:rsidRPr="003159E6">
        <w:rPr>
          <w:rFonts w:cs="Times New Roman"/>
        </w:rPr>
        <w:t>The Superior Court</w:t>
      </w:r>
      <w:r>
        <w:rPr>
          <w:rFonts w:cs="Times New Roman"/>
        </w:rPr>
        <w:t xml:space="preserve"> of Justice</w:t>
      </w:r>
      <w:r w:rsidRPr="003159E6">
        <w:rPr>
          <w:rFonts w:cs="Times New Roman"/>
        </w:rPr>
        <w:t xml:space="preserve"> continued the injunction on multiple occasions with the understanding that the parties needed to work out between themselves variations to it to allow for payment of legal fees and living expenses. However, the injunction was never formally amended. </w:t>
      </w:r>
    </w:p>
    <w:p w:rsidR="001C2A5E" w:rsidRPr="003159E6" w:rsidRDefault="001C2A5E" w:rsidP="001C2A5E">
      <w:pPr>
        <w:pStyle w:val="ParaNoNdepar-AltN"/>
        <w:rPr>
          <w:rFonts w:cs="Times New Roman"/>
        </w:rPr>
      </w:pPr>
      <w:r w:rsidRPr="003159E6">
        <w:rPr>
          <w:rFonts w:cs="Times New Roman"/>
        </w:rPr>
        <w:t xml:space="preserve">A few months after the initial order had been made Mr. </w:t>
      </w:r>
      <w:proofErr w:type="spellStart"/>
      <w:r w:rsidRPr="003159E6">
        <w:rPr>
          <w:rFonts w:cs="Times New Roman"/>
        </w:rPr>
        <w:t>Sabourin</w:t>
      </w:r>
      <w:proofErr w:type="spellEnd"/>
      <w:r w:rsidRPr="003159E6">
        <w:rPr>
          <w:rFonts w:cs="Times New Roman"/>
        </w:rPr>
        <w:t xml:space="preserve"> sent Mr. Carey a cheque for $500,000. No instructions accompanied the cheque and Mr. Carey could not reach Mr. </w:t>
      </w:r>
      <w:proofErr w:type="spellStart"/>
      <w:r w:rsidRPr="003159E6">
        <w:rPr>
          <w:rFonts w:cs="Times New Roman"/>
        </w:rPr>
        <w:t>Sabourin</w:t>
      </w:r>
      <w:proofErr w:type="spellEnd"/>
      <w:r w:rsidRPr="003159E6">
        <w:rPr>
          <w:rFonts w:cs="Times New Roman"/>
        </w:rPr>
        <w:t xml:space="preserve"> to obtain instructions. Pursuant to Law Society of </w:t>
      </w:r>
      <w:r w:rsidRPr="003159E6">
        <w:rPr>
          <w:rFonts w:cs="Times New Roman"/>
        </w:rPr>
        <w:lastRenderedPageBreak/>
        <w:t xml:space="preserve">Upper Canada </w:t>
      </w:r>
      <w:r>
        <w:rPr>
          <w:rFonts w:cs="Times New Roman"/>
        </w:rPr>
        <w:t>b</w:t>
      </w:r>
      <w:r w:rsidRPr="003159E6">
        <w:rPr>
          <w:rFonts w:cs="Times New Roman"/>
        </w:rPr>
        <w:t xml:space="preserve">y-law requirements, Mr. Carey deposited the cheque in his trust account, applying some of the money towards Mr. </w:t>
      </w:r>
      <w:proofErr w:type="spellStart"/>
      <w:r w:rsidRPr="003159E6">
        <w:rPr>
          <w:rFonts w:cs="Times New Roman"/>
        </w:rPr>
        <w:t>Sabourin’s</w:t>
      </w:r>
      <w:proofErr w:type="spellEnd"/>
      <w:r w:rsidRPr="003159E6">
        <w:rPr>
          <w:rFonts w:cs="Times New Roman"/>
        </w:rPr>
        <w:t xml:space="preserve"> outstanding legal fees, since the parties had agreed that the injunction did not prohibit the payment of reasonable legal fees. </w:t>
      </w:r>
    </w:p>
    <w:p w:rsidR="001C2A5E" w:rsidRPr="003159E6" w:rsidRDefault="001C2A5E" w:rsidP="001C2A5E">
      <w:pPr>
        <w:pStyle w:val="ParaNoNdepar-AltN"/>
        <w:rPr>
          <w:rFonts w:cs="Times New Roman"/>
        </w:rPr>
      </w:pPr>
      <w:r w:rsidRPr="003159E6">
        <w:rPr>
          <w:rFonts w:cs="Times New Roman"/>
        </w:rPr>
        <w:t xml:space="preserve">Mr. </w:t>
      </w:r>
      <w:proofErr w:type="spellStart"/>
      <w:r w:rsidRPr="003159E6">
        <w:rPr>
          <w:rFonts w:cs="Times New Roman"/>
        </w:rPr>
        <w:t>Sabourin</w:t>
      </w:r>
      <w:proofErr w:type="spellEnd"/>
      <w:r w:rsidRPr="003159E6">
        <w:rPr>
          <w:rFonts w:cs="Times New Roman"/>
        </w:rPr>
        <w:t xml:space="preserve"> later called Mr. Carey and told him to use the rest of the funds to settle the claims of creditors represented by Bill Brown</w:t>
      </w:r>
      <w:r>
        <w:rPr>
          <w:rFonts w:cs="Times New Roman"/>
        </w:rPr>
        <w:t>,</w:t>
      </w:r>
      <w:r w:rsidRPr="003159E6">
        <w:rPr>
          <w:rFonts w:cs="Times New Roman"/>
        </w:rPr>
        <w:t xml:space="preserve"> who had invested in the </w:t>
      </w:r>
      <w:proofErr w:type="spellStart"/>
      <w:r w:rsidRPr="003159E6">
        <w:rPr>
          <w:rFonts w:cs="Times New Roman"/>
        </w:rPr>
        <w:t>Sabourin</w:t>
      </w:r>
      <w:proofErr w:type="spellEnd"/>
      <w:r w:rsidRPr="003159E6">
        <w:rPr>
          <w:rFonts w:cs="Times New Roman"/>
        </w:rPr>
        <w:t xml:space="preserve"> entities. Mr. Carey advised Mr. </w:t>
      </w:r>
      <w:proofErr w:type="spellStart"/>
      <w:r w:rsidRPr="003159E6">
        <w:rPr>
          <w:rFonts w:cs="Times New Roman"/>
        </w:rPr>
        <w:t>Sabourin</w:t>
      </w:r>
      <w:proofErr w:type="spellEnd"/>
      <w:r w:rsidRPr="003159E6">
        <w:rPr>
          <w:rFonts w:cs="Times New Roman"/>
        </w:rPr>
        <w:t xml:space="preserve"> that he could not do that because making a payment to a third</w:t>
      </w:r>
      <w:r>
        <w:rPr>
          <w:rFonts w:cs="Times New Roman"/>
        </w:rPr>
        <w:t>-</w:t>
      </w:r>
      <w:r w:rsidRPr="003159E6">
        <w:rPr>
          <w:rFonts w:cs="Times New Roman"/>
        </w:rPr>
        <w:t xml:space="preserve">party creditor would breach the injunction. Mr. </w:t>
      </w:r>
      <w:proofErr w:type="spellStart"/>
      <w:r w:rsidRPr="003159E6">
        <w:rPr>
          <w:rFonts w:cs="Times New Roman"/>
        </w:rPr>
        <w:t>Sabourin</w:t>
      </w:r>
      <w:proofErr w:type="spellEnd"/>
      <w:r w:rsidRPr="003159E6">
        <w:rPr>
          <w:rFonts w:cs="Times New Roman"/>
        </w:rPr>
        <w:t xml:space="preserve"> then instructed Mr. Carey to attempt to negotiate a settlement with Ms. </w:t>
      </w:r>
      <w:proofErr w:type="spellStart"/>
      <w:r w:rsidRPr="003159E6">
        <w:rPr>
          <w:rFonts w:cs="Times New Roman"/>
        </w:rPr>
        <w:t>Laiken</w:t>
      </w:r>
      <w:proofErr w:type="spellEnd"/>
      <w:r w:rsidRPr="003159E6">
        <w:rPr>
          <w:rFonts w:cs="Times New Roman"/>
        </w:rPr>
        <w:t xml:space="preserve">. </w:t>
      </w:r>
    </w:p>
    <w:p w:rsidR="001C2A5E" w:rsidRPr="003159E6" w:rsidRDefault="001C2A5E" w:rsidP="001C2A5E">
      <w:pPr>
        <w:pStyle w:val="ParaNoNdepar-AltN"/>
        <w:rPr>
          <w:rFonts w:cs="Times New Roman"/>
        </w:rPr>
      </w:pPr>
      <w:r w:rsidRPr="003159E6">
        <w:rPr>
          <w:rFonts w:cs="Times New Roman"/>
        </w:rPr>
        <w:t>A few days later, during a conference call with Messrs</w:t>
      </w:r>
      <w:r>
        <w:rPr>
          <w:rFonts w:cs="Times New Roman"/>
        </w:rPr>
        <w:t>.</w:t>
      </w:r>
      <w:r w:rsidRPr="003159E6">
        <w:rPr>
          <w:rFonts w:cs="Times New Roman"/>
        </w:rPr>
        <w:t xml:space="preserve"> Brown and Carey, Mr. </w:t>
      </w:r>
      <w:proofErr w:type="spellStart"/>
      <w:r w:rsidRPr="003159E6">
        <w:rPr>
          <w:rFonts w:cs="Times New Roman"/>
        </w:rPr>
        <w:t>Sabourin</w:t>
      </w:r>
      <w:proofErr w:type="spellEnd"/>
      <w:r w:rsidRPr="003159E6">
        <w:rPr>
          <w:rFonts w:cs="Times New Roman"/>
        </w:rPr>
        <w:t xml:space="preserve"> advised that Mr. Carey was holding some $500,000 in trust. The money, he said, was intended for Mr. Brown, but the injunction prohibited Mr. Carey from paying it to him. </w:t>
      </w:r>
    </w:p>
    <w:p w:rsidR="001C2A5E" w:rsidRPr="003159E6" w:rsidRDefault="001C2A5E" w:rsidP="001C2A5E">
      <w:pPr>
        <w:pStyle w:val="ParaNoNdepar-AltN"/>
        <w:rPr>
          <w:rFonts w:cs="Times New Roman"/>
        </w:rPr>
      </w:pPr>
      <w:r w:rsidRPr="003159E6">
        <w:rPr>
          <w:rFonts w:cs="Times New Roman"/>
        </w:rPr>
        <w:t xml:space="preserve">Mr. Carey could not reach a settlement with Ms. </w:t>
      </w:r>
      <w:proofErr w:type="spellStart"/>
      <w:r w:rsidRPr="003159E6">
        <w:rPr>
          <w:rFonts w:cs="Times New Roman"/>
        </w:rPr>
        <w:t>Laiken’s</w:t>
      </w:r>
      <w:proofErr w:type="spellEnd"/>
      <w:r w:rsidRPr="003159E6">
        <w:rPr>
          <w:rFonts w:cs="Times New Roman"/>
        </w:rPr>
        <w:t xml:space="preserve"> lawyers. At no point did he reveal to them the existence of the trust money. After the failed settlement negotiations, Mr. </w:t>
      </w:r>
      <w:proofErr w:type="spellStart"/>
      <w:r w:rsidRPr="003159E6">
        <w:rPr>
          <w:rFonts w:cs="Times New Roman"/>
        </w:rPr>
        <w:t>Sabourin</w:t>
      </w:r>
      <w:proofErr w:type="spellEnd"/>
      <w:r w:rsidRPr="003159E6">
        <w:rPr>
          <w:rFonts w:cs="Times New Roman"/>
        </w:rPr>
        <w:t xml:space="preserve"> instructed Mr. Carey to return the balance of the funds to him, which Mr. Carey did after deducting an amount to cover future legal fees. Mr. Carey transferred a total of $440,000 back to Mr. </w:t>
      </w:r>
      <w:proofErr w:type="spellStart"/>
      <w:r w:rsidRPr="003159E6">
        <w:rPr>
          <w:rFonts w:cs="Times New Roman"/>
        </w:rPr>
        <w:t>Sabourin</w:t>
      </w:r>
      <w:proofErr w:type="spellEnd"/>
      <w:r w:rsidRPr="003159E6">
        <w:rPr>
          <w:rFonts w:cs="Times New Roman"/>
        </w:rPr>
        <w:t xml:space="preserve"> in October and November 2006. </w:t>
      </w:r>
    </w:p>
    <w:p w:rsidR="001C2A5E" w:rsidRPr="003159E6" w:rsidRDefault="001C2A5E" w:rsidP="001C2A5E">
      <w:pPr>
        <w:pStyle w:val="ParaNoNdepar-AltN"/>
        <w:rPr>
          <w:rFonts w:cs="Times New Roman"/>
        </w:rPr>
      </w:pPr>
      <w:r w:rsidRPr="003159E6">
        <w:rPr>
          <w:rFonts w:cs="Times New Roman"/>
        </w:rPr>
        <w:lastRenderedPageBreak/>
        <w:t xml:space="preserve">Early in 2007, Mr. </w:t>
      </w:r>
      <w:proofErr w:type="spellStart"/>
      <w:r w:rsidRPr="003159E6">
        <w:rPr>
          <w:rFonts w:cs="Times New Roman"/>
        </w:rPr>
        <w:t>Sabourin</w:t>
      </w:r>
      <w:proofErr w:type="spellEnd"/>
      <w:r w:rsidRPr="003159E6">
        <w:rPr>
          <w:rFonts w:cs="Times New Roman"/>
        </w:rPr>
        <w:t xml:space="preserve"> called Mr. Carey and terminated his retainer and instructed him to take no further steps until he had retained new counsel. Shortly after this call, Mr. </w:t>
      </w:r>
      <w:proofErr w:type="spellStart"/>
      <w:r w:rsidRPr="003159E6">
        <w:rPr>
          <w:rFonts w:cs="Times New Roman"/>
        </w:rPr>
        <w:t>Sabourin</w:t>
      </w:r>
      <w:proofErr w:type="spellEnd"/>
      <w:r w:rsidRPr="003159E6">
        <w:rPr>
          <w:rFonts w:cs="Times New Roman"/>
        </w:rPr>
        <w:t xml:space="preserve"> went out of business and vanished. Mr. Carey never received a notice of change of lawyers and remained counsel of record in the </w:t>
      </w:r>
      <w:proofErr w:type="spellStart"/>
      <w:r w:rsidRPr="003159E6">
        <w:rPr>
          <w:rFonts w:cs="Times New Roman"/>
        </w:rPr>
        <w:t>Laiken-Sabourin</w:t>
      </w:r>
      <w:proofErr w:type="spellEnd"/>
      <w:r w:rsidRPr="003159E6">
        <w:rPr>
          <w:rFonts w:cs="Times New Roman"/>
        </w:rPr>
        <w:t xml:space="preserve"> litigation. </w:t>
      </w:r>
    </w:p>
    <w:p w:rsidR="001C2A5E" w:rsidRPr="00264B86" w:rsidRDefault="001C2A5E" w:rsidP="001C2A5E">
      <w:pPr>
        <w:pStyle w:val="ParaNoNdepar-AltN"/>
        <w:rPr>
          <w:rFonts w:cs="Times New Roman"/>
        </w:rPr>
      </w:pPr>
      <w:r w:rsidRPr="00264B86">
        <w:rPr>
          <w:rFonts w:cs="Times New Roman"/>
        </w:rPr>
        <w:t xml:space="preserve">Later that year, Mr. Brown obtained judgment against Mr. </w:t>
      </w:r>
      <w:proofErr w:type="spellStart"/>
      <w:r w:rsidRPr="00264B86">
        <w:rPr>
          <w:rFonts w:cs="Times New Roman"/>
        </w:rPr>
        <w:t>Sabourin</w:t>
      </w:r>
      <w:proofErr w:type="spellEnd"/>
      <w:r w:rsidRPr="00264B86">
        <w:rPr>
          <w:rFonts w:cs="Times New Roman"/>
        </w:rPr>
        <w:t xml:space="preserve"> and receivership over his assets and those of his companies. Advised of the trust funds that Mr. Carey had held for Mr. </w:t>
      </w:r>
      <w:proofErr w:type="spellStart"/>
      <w:r w:rsidRPr="00264B86">
        <w:rPr>
          <w:rFonts w:cs="Times New Roman"/>
        </w:rPr>
        <w:t>Sabourin</w:t>
      </w:r>
      <w:proofErr w:type="spellEnd"/>
      <w:r w:rsidRPr="00264B86">
        <w:rPr>
          <w:rFonts w:cs="Times New Roman"/>
        </w:rPr>
        <w:t xml:space="preserve">, the receiver demanded that Mr. Carey provide a full accounting of </w:t>
      </w:r>
      <w:r>
        <w:rPr>
          <w:rFonts w:cs="Times New Roman"/>
        </w:rPr>
        <w:t>these funds</w:t>
      </w:r>
      <w:r w:rsidRPr="00264B86">
        <w:rPr>
          <w:rFonts w:cs="Times New Roman"/>
        </w:rPr>
        <w:t xml:space="preserve">. Mr. Carey replied that he had received $500,000 from Mr. </w:t>
      </w:r>
      <w:proofErr w:type="spellStart"/>
      <w:r w:rsidRPr="00264B86">
        <w:rPr>
          <w:rFonts w:cs="Times New Roman"/>
        </w:rPr>
        <w:t>Sabourin</w:t>
      </w:r>
      <w:proofErr w:type="spellEnd"/>
      <w:r w:rsidRPr="00264B86">
        <w:rPr>
          <w:rFonts w:cs="Times New Roman"/>
        </w:rPr>
        <w:t>, returned $440,000 and that just over $6,000 remained in the trust account. Mr. Carey indicated that he felt he could provide this information without violating any solicitor-client privilege, but he refused to provide additional information or documents that he thought</w:t>
      </w:r>
      <w:r>
        <w:rPr>
          <w:rFonts w:cs="Times New Roman"/>
        </w:rPr>
        <w:t xml:space="preserve"> might be privileged</w:t>
      </w:r>
      <w:r w:rsidRPr="00264B86">
        <w:rPr>
          <w:rFonts w:cs="Times New Roman"/>
        </w:rPr>
        <w:t>.</w:t>
      </w:r>
      <w:r>
        <w:rPr>
          <w:rFonts w:cs="Times New Roman"/>
        </w:rPr>
        <w:t xml:space="preserve"> </w:t>
      </w:r>
      <w:r w:rsidRPr="00264B86">
        <w:rPr>
          <w:rFonts w:cs="Times New Roman"/>
        </w:rPr>
        <w:t xml:space="preserve"> A further court order required Mr. Carey to give a “full accounting of all funds” from Mr. </w:t>
      </w:r>
      <w:proofErr w:type="spellStart"/>
      <w:r w:rsidRPr="00264B86">
        <w:rPr>
          <w:rFonts w:cs="Times New Roman"/>
        </w:rPr>
        <w:t>Sabourin</w:t>
      </w:r>
      <w:proofErr w:type="spellEnd"/>
      <w:r w:rsidRPr="00264B86">
        <w:rPr>
          <w:rFonts w:cs="Times New Roman"/>
        </w:rPr>
        <w:t xml:space="preserve">, which he provided. </w:t>
      </w:r>
    </w:p>
    <w:p w:rsidR="001C2A5E" w:rsidRPr="003159E6" w:rsidRDefault="001C2A5E" w:rsidP="001C2A5E">
      <w:pPr>
        <w:pStyle w:val="ParaNoNdepar-AltN"/>
        <w:rPr>
          <w:rFonts w:cs="Times New Roman"/>
        </w:rPr>
      </w:pPr>
      <w:r w:rsidRPr="00264B86">
        <w:rPr>
          <w:rFonts w:cs="Times New Roman"/>
        </w:rPr>
        <w:t>In November 2007,</w:t>
      </w:r>
      <w:r>
        <w:rPr>
          <w:rFonts w:cs="Times New Roman"/>
        </w:rPr>
        <w:t xml:space="preserve"> Ms. </w:t>
      </w:r>
      <w:proofErr w:type="spellStart"/>
      <w:r>
        <w:rPr>
          <w:rFonts w:cs="Times New Roman"/>
        </w:rPr>
        <w:t>Laiken</w:t>
      </w:r>
      <w:proofErr w:type="spellEnd"/>
      <w:r w:rsidRPr="00264B86">
        <w:rPr>
          <w:rFonts w:cs="Times New Roman"/>
        </w:rPr>
        <w:t xml:space="preserve"> obtained summary judgment dismissing Mr. </w:t>
      </w:r>
      <w:proofErr w:type="spellStart"/>
      <w:r w:rsidRPr="00264B86">
        <w:rPr>
          <w:rFonts w:cs="Times New Roman"/>
        </w:rPr>
        <w:t>Sabourin’s</w:t>
      </w:r>
      <w:proofErr w:type="spellEnd"/>
      <w:r w:rsidRPr="00264B86">
        <w:rPr>
          <w:rFonts w:cs="Times New Roman"/>
        </w:rPr>
        <w:t xml:space="preserve"> claim against her and granting her over $1 million in damages and costs on her counterclaim for fraud. </w:t>
      </w:r>
    </w:p>
    <w:p w:rsidR="001C2A5E" w:rsidRPr="003159E6" w:rsidRDefault="001C2A5E" w:rsidP="001C2A5E">
      <w:pPr>
        <w:pStyle w:val="Title2LevelTitre2Niveau"/>
        <w:rPr>
          <w:rFonts w:cs="Times New Roman"/>
        </w:rPr>
      </w:pPr>
      <w:r w:rsidRPr="003159E6">
        <w:rPr>
          <w:rFonts w:cs="Times New Roman"/>
        </w:rPr>
        <w:t xml:space="preserve"> </w:t>
      </w:r>
      <w:r>
        <w:rPr>
          <w:rFonts w:cs="Times New Roman"/>
        </w:rPr>
        <w:t>The C</w:t>
      </w:r>
      <w:r w:rsidRPr="003159E6">
        <w:rPr>
          <w:rFonts w:cs="Times New Roman"/>
        </w:rPr>
        <w:t xml:space="preserve">ontempt </w:t>
      </w:r>
      <w:r>
        <w:rPr>
          <w:rFonts w:cs="Times New Roman"/>
        </w:rPr>
        <w:t>P</w:t>
      </w:r>
      <w:r w:rsidRPr="003159E6">
        <w:rPr>
          <w:rFonts w:cs="Times New Roman"/>
        </w:rPr>
        <w:t>roceedings</w:t>
      </w:r>
    </w:p>
    <w:p w:rsidR="001C2A5E" w:rsidRPr="003159E6" w:rsidRDefault="001C2A5E" w:rsidP="001C2A5E">
      <w:pPr>
        <w:pStyle w:val="ParaNoNdepar-AltN"/>
        <w:rPr>
          <w:rFonts w:cs="Times New Roman"/>
        </w:rPr>
      </w:pPr>
      <w:r w:rsidRPr="003159E6">
        <w:rPr>
          <w:rFonts w:cs="Times New Roman"/>
        </w:rPr>
        <w:lastRenderedPageBreak/>
        <w:t xml:space="preserve">Ms. </w:t>
      </w:r>
      <w:proofErr w:type="spellStart"/>
      <w:r w:rsidRPr="003159E6">
        <w:rPr>
          <w:rFonts w:cs="Times New Roman"/>
        </w:rPr>
        <w:t>Laiken</w:t>
      </w:r>
      <w:proofErr w:type="spellEnd"/>
      <w:r w:rsidRPr="003159E6">
        <w:rPr>
          <w:rFonts w:cs="Times New Roman"/>
        </w:rPr>
        <w:t xml:space="preserve"> applied to have Mr. Carey found in contempt. She alleged that he breached the </w:t>
      </w:r>
      <w:proofErr w:type="spellStart"/>
      <w:r w:rsidRPr="003159E6">
        <w:rPr>
          <w:rFonts w:cs="Times New Roman"/>
          <w:i/>
        </w:rPr>
        <w:t>Mareva</w:t>
      </w:r>
      <w:proofErr w:type="spellEnd"/>
      <w:r w:rsidRPr="003159E6">
        <w:rPr>
          <w:rFonts w:cs="Times New Roman"/>
        </w:rPr>
        <w:t xml:space="preserve"> injunction by returning the $440,000 in his trust account to Mr. </w:t>
      </w:r>
      <w:proofErr w:type="spellStart"/>
      <w:r w:rsidRPr="003159E6">
        <w:rPr>
          <w:rFonts w:cs="Times New Roman"/>
        </w:rPr>
        <w:t>Sabourin</w:t>
      </w:r>
      <w:proofErr w:type="spellEnd"/>
      <w:r w:rsidRPr="003159E6">
        <w:rPr>
          <w:rFonts w:cs="Times New Roman"/>
        </w:rPr>
        <w:t xml:space="preserve">. The series of decisions related to this motion led ultimately to the appeal before us. </w:t>
      </w:r>
    </w:p>
    <w:p w:rsidR="001C2A5E" w:rsidRPr="003159E6" w:rsidRDefault="001C2A5E" w:rsidP="001C2A5E">
      <w:pPr>
        <w:pStyle w:val="ParaNoNdepar-AltN"/>
        <w:tabs>
          <w:tab w:val="clear" w:pos="1166"/>
          <w:tab w:val="num" w:pos="1152"/>
        </w:tabs>
        <w:rPr>
          <w:rFonts w:cs="Times New Roman"/>
        </w:rPr>
      </w:pPr>
      <w:r w:rsidRPr="003159E6">
        <w:rPr>
          <w:rFonts w:cs="Times New Roman"/>
        </w:rPr>
        <w:t>In Ontario, civil contem</w:t>
      </w:r>
      <w:r w:rsidR="00B27678">
        <w:rPr>
          <w:rFonts w:cs="Times New Roman"/>
        </w:rPr>
        <w:t>pt proceedings are governed by r</w:t>
      </w:r>
      <w:r w:rsidRPr="003159E6">
        <w:rPr>
          <w:rFonts w:cs="Times New Roman"/>
        </w:rPr>
        <w:t xml:space="preserve">ule 60.11 of </w:t>
      </w:r>
      <w:r w:rsidRPr="00411065">
        <w:rPr>
          <w:rFonts w:cs="Times New Roman"/>
        </w:rPr>
        <w:t>the</w:t>
      </w:r>
      <w:r>
        <w:rPr>
          <w:rFonts w:cs="Times New Roman"/>
          <w:i/>
        </w:rPr>
        <w:t xml:space="preserve"> </w:t>
      </w:r>
      <w:r w:rsidRPr="003159E6">
        <w:rPr>
          <w:rFonts w:cs="Times New Roman"/>
          <w:i/>
        </w:rPr>
        <w:t>Rules of Civil Procedure</w:t>
      </w:r>
      <w:r w:rsidRPr="003159E6">
        <w:rPr>
          <w:rFonts w:cs="Times New Roman"/>
        </w:rPr>
        <w:t xml:space="preserve">, R.R.O. 1990, </w:t>
      </w:r>
      <w:proofErr w:type="gramStart"/>
      <w:r w:rsidRPr="003159E6">
        <w:rPr>
          <w:rFonts w:cs="Times New Roman"/>
        </w:rPr>
        <w:t>Reg</w:t>
      </w:r>
      <w:proofErr w:type="gramEnd"/>
      <w:r w:rsidRPr="003159E6">
        <w:rPr>
          <w:rFonts w:cs="Times New Roman"/>
        </w:rPr>
        <w:t xml:space="preserve">. 194. Under this </w:t>
      </w:r>
      <w:r w:rsidR="00B27678">
        <w:rPr>
          <w:rFonts w:cs="Times New Roman"/>
        </w:rPr>
        <w:t>r</w:t>
      </w:r>
      <w:r w:rsidRPr="003159E6">
        <w:rPr>
          <w:rFonts w:cs="Times New Roman"/>
        </w:rPr>
        <w:t>ule, a party may mo</w:t>
      </w:r>
      <w:r w:rsidR="00B27678">
        <w:rPr>
          <w:rFonts w:cs="Times New Roman"/>
        </w:rPr>
        <w:t>ve to obtain a contempt order: r</w:t>
      </w:r>
      <w:r w:rsidRPr="003159E6">
        <w:rPr>
          <w:rFonts w:cs="Times New Roman"/>
        </w:rPr>
        <w:t>ule 60.11(1). A judge, in dealing with such a motion, can “make such order as is just” and</w:t>
      </w:r>
      <w:r>
        <w:rPr>
          <w:rFonts w:cs="Times New Roman"/>
        </w:rPr>
        <w:t>,</w:t>
      </w:r>
      <w:r w:rsidRPr="003159E6">
        <w:rPr>
          <w:rFonts w:cs="Times New Roman"/>
        </w:rPr>
        <w:t xml:space="preserve"> following “a finding” of contempt, </w:t>
      </w:r>
      <w:r>
        <w:rPr>
          <w:rFonts w:cs="Times New Roman"/>
        </w:rPr>
        <w:t xml:space="preserve">he or </w:t>
      </w:r>
      <w:r w:rsidRPr="003159E6">
        <w:rPr>
          <w:rFonts w:cs="Times New Roman"/>
        </w:rPr>
        <w:t xml:space="preserve">she may order the contemnor to be imprisoned, pay a fine, do or refrain from doing an act, pay just costs, and comply with any other order </w:t>
      </w:r>
      <w:r w:rsidR="00B27678">
        <w:rPr>
          <w:rFonts w:cs="Times New Roman"/>
        </w:rPr>
        <w:t>the judge considers necessary: r</w:t>
      </w:r>
      <w:r w:rsidRPr="003159E6">
        <w:rPr>
          <w:rFonts w:cs="Times New Roman"/>
        </w:rPr>
        <w:t xml:space="preserve">ule 60.11(5). Upon motion, “a judge may discharge, set aside, vary or give directions in respect of an order under </w:t>
      </w:r>
      <w:proofErr w:type="spellStart"/>
      <w:r w:rsidRPr="003159E6">
        <w:rPr>
          <w:rFonts w:cs="Times New Roman"/>
        </w:rPr>
        <w:t>subrule</w:t>
      </w:r>
      <w:proofErr w:type="spellEnd"/>
      <w:r w:rsidRPr="003159E6">
        <w:rPr>
          <w:rFonts w:cs="Times New Roman"/>
        </w:rPr>
        <w:t xml:space="preserve"> (5</w:t>
      </w:r>
      <w:proofErr w:type="gramStart"/>
      <w:r w:rsidRPr="003159E6">
        <w:rPr>
          <w:rFonts w:cs="Times New Roman"/>
        </w:rPr>
        <w:t>)</w:t>
      </w:r>
      <w:r>
        <w:rPr>
          <w:rFonts w:cs="Times New Roman"/>
        </w:rPr>
        <w:t xml:space="preserve"> .</w:t>
      </w:r>
      <w:proofErr w:type="gramEnd"/>
      <w:r>
        <w:rPr>
          <w:rFonts w:cs="Times New Roman"/>
        </w:rPr>
        <w:t xml:space="preserve"> . . </w:t>
      </w:r>
      <w:r w:rsidRPr="003159E6">
        <w:rPr>
          <w:rFonts w:cs="Times New Roman"/>
        </w:rPr>
        <w:t>and may grant such other relief and make</w:t>
      </w:r>
      <w:r w:rsidR="00B27678">
        <w:rPr>
          <w:rFonts w:cs="Times New Roman"/>
        </w:rPr>
        <w:t xml:space="preserve"> such other order as is just”: r</w:t>
      </w:r>
      <w:r w:rsidRPr="003159E6">
        <w:rPr>
          <w:rFonts w:cs="Times New Roman"/>
        </w:rPr>
        <w:t>ule 60.11(8).</w:t>
      </w:r>
    </w:p>
    <w:p w:rsidR="001C2A5E" w:rsidRPr="003159E6" w:rsidRDefault="001C2A5E" w:rsidP="001C2A5E">
      <w:pPr>
        <w:pStyle w:val="ParaNoNdepar-AltN"/>
        <w:tabs>
          <w:tab w:val="clear" w:pos="1166"/>
          <w:tab w:val="num" w:pos="1152"/>
        </w:tabs>
        <w:rPr>
          <w:rFonts w:cs="Times New Roman"/>
        </w:rPr>
      </w:pPr>
      <w:r w:rsidRPr="003159E6">
        <w:rPr>
          <w:rFonts w:cs="Times New Roman"/>
        </w:rPr>
        <w:t>The</w:t>
      </w:r>
      <w:r w:rsidRPr="003159E6">
        <w:rPr>
          <w:rFonts w:cs="Times New Roman"/>
          <w:i/>
        </w:rPr>
        <w:t xml:space="preserve"> Rules</w:t>
      </w:r>
      <w:r w:rsidRPr="003159E6">
        <w:rPr>
          <w:rFonts w:cs="Times New Roman"/>
        </w:rPr>
        <w:t xml:space="preserve"> do not prescribe the form of contempt proceedings.</w:t>
      </w:r>
      <w:r w:rsidRPr="003159E6">
        <w:rPr>
          <w:rFonts w:cs="Times New Roman"/>
          <w:i/>
        </w:rPr>
        <w:t xml:space="preserve"> </w:t>
      </w:r>
      <w:r w:rsidRPr="003159E6">
        <w:rPr>
          <w:rFonts w:cs="Times New Roman"/>
        </w:rPr>
        <w:t xml:space="preserve">However, as a general rule, proceedings are bifurcated into a liability phase </w:t>
      </w:r>
      <w:r>
        <w:rPr>
          <w:rFonts w:cs="Times New Roman"/>
        </w:rPr>
        <w:t>—</w:t>
      </w:r>
      <w:r w:rsidRPr="003159E6">
        <w:rPr>
          <w:rFonts w:cs="Times New Roman"/>
        </w:rPr>
        <w:t xml:space="preserve"> where the case on liability pro</w:t>
      </w:r>
      <w:r>
        <w:rPr>
          <w:rFonts w:cs="Times New Roman"/>
        </w:rPr>
        <w:t>ceeds and a defence is offered —</w:t>
      </w:r>
      <w:r w:rsidRPr="003159E6">
        <w:rPr>
          <w:rFonts w:cs="Times New Roman"/>
        </w:rPr>
        <w:t xml:space="preserve"> and, if liability is established, a penalty phase. In contempt proceedings, liability and penalty are discrete issues: </w:t>
      </w:r>
      <w:r>
        <w:rPr>
          <w:rFonts w:cs="Times New Roman"/>
          <w:i/>
        </w:rPr>
        <w:t>College of Optometrists (</w:t>
      </w:r>
      <w:r w:rsidRPr="003159E6">
        <w:rPr>
          <w:rFonts w:cs="Times New Roman"/>
          <w:i/>
        </w:rPr>
        <w:t>Ont</w:t>
      </w:r>
      <w:r>
        <w:rPr>
          <w:rFonts w:cs="Times New Roman"/>
          <w:i/>
        </w:rPr>
        <w:t>.)</w:t>
      </w:r>
      <w:r w:rsidRPr="003159E6">
        <w:rPr>
          <w:rFonts w:cs="Times New Roman"/>
          <w:i/>
        </w:rPr>
        <w:t xml:space="preserve"> v. SHS Optical Ltd.</w:t>
      </w:r>
      <w:r w:rsidRPr="003159E6">
        <w:rPr>
          <w:rFonts w:cs="Times New Roman"/>
        </w:rPr>
        <w:t>, 2008 ONCA 685</w:t>
      </w:r>
      <w:r>
        <w:rPr>
          <w:rFonts w:cs="Times New Roman"/>
        </w:rPr>
        <w:t>, 241 O.A.C. 225,</w:t>
      </w:r>
      <w:r w:rsidRPr="003159E6">
        <w:rPr>
          <w:rFonts w:cs="Times New Roman"/>
        </w:rPr>
        <w:t xml:space="preserve"> at paras. 7</w:t>
      </w:r>
      <w:r>
        <w:rPr>
          <w:rFonts w:cs="Times New Roman"/>
        </w:rPr>
        <w:t>2-75</w:t>
      </w:r>
      <w:r w:rsidRPr="003159E6">
        <w:rPr>
          <w:rFonts w:cs="Times New Roman"/>
        </w:rPr>
        <w:t>.</w:t>
      </w:r>
    </w:p>
    <w:p w:rsidR="001C2A5E" w:rsidRPr="003159E6" w:rsidRDefault="001C2A5E" w:rsidP="001C2A5E">
      <w:pPr>
        <w:pStyle w:val="ParaNoNdepar-AltN"/>
        <w:tabs>
          <w:tab w:val="clear" w:pos="1166"/>
          <w:tab w:val="num" w:pos="1152"/>
        </w:tabs>
        <w:rPr>
          <w:rFonts w:cs="Times New Roman"/>
        </w:rPr>
      </w:pPr>
      <w:r w:rsidRPr="003159E6">
        <w:rPr>
          <w:rFonts w:cs="Times New Roman"/>
        </w:rPr>
        <w:t xml:space="preserve">It is within this procedural framework that the Ontario courts considered Ms. </w:t>
      </w:r>
      <w:proofErr w:type="spellStart"/>
      <w:r w:rsidRPr="003159E6">
        <w:rPr>
          <w:rFonts w:cs="Times New Roman"/>
        </w:rPr>
        <w:t>Laiken’s</w:t>
      </w:r>
      <w:proofErr w:type="spellEnd"/>
      <w:r w:rsidRPr="003159E6">
        <w:rPr>
          <w:rFonts w:cs="Times New Roman"/>
        </w:rPr>
        <w:t xml:space="preserve"> motion to find Mr. Carey in contempt of the </w:t>
      </w:r>
      <w:proofErr w:type="spellStart"/>
      <w:r w:rsidRPr="003159E6">
        <w:rPr>
          <w:rFonts w:cs="Times New Roman"/>
          <w:i/>
        </w:rPr>
        <w:t>Mareva</w:t>
      </w:r>
      <w:proofErr w:type="spellEnd"/>
      <w:r w:rsidRPr="003159E6">
        <w:rPr>
          <w:rFonts w:cs="Times New Roman"/>
        </w:rPr>
        <w:t xml:space="preserve"> injunction.</w:t>
      </w:r>
    </w:p>
    <w:p w:rsidR="001C2A5E" w:rsidRPr="003159E6" w:rsidRDefault="001C2A5E" w:rsidP="001C2A5E">
      <w:pPr>
        <w:pStyle w:val="Title3LevelTitre3Niveau"/>
        <w:rPr>
          <w:rFonts w:cs="Times New Roman"/>
        </w:rPr>
      </w:pPr>
      <w:r w:rsidRPr="003159E6">
        <w:rPr>
          <w:rFonts w:cs="Times New Roman"/>
        </w:rPr>
        <w:lastRenderedPageBreak/>
        <w:t xml:space="preserve">The First Contempt Decision: Ontario Superior Court of Justice (Roberts J., 2011 ONSC 5892) </w:t>
      </w:r>
    </w:p>
    <w:p w:rsidR="001C2A5E" w:rsidRPr="003159E6" w:rsidRDefault="001C2A5E" w:rsidP="001C2A5E">
      <w:pPr>
        <w:pStyle w:val="ParaNoNdepar-AltN"/>
        <w:rPr>
          <w:rFonts w:cs="Times New Roman"/>
        </w:rPr>
      </w:pPr>
      <w:r w:rsidRPr="003159E6">
        <w:rPr>
          <w:rFonts w:cs="Times New Roman"/>
        </w:rPr>
        <w:t>The motions judge found Mr. Carey in contempt and issued an order to that effect</w:t>
      </w:r>
      <w:r>
        <w:rPr>
          <w:rFonts w:cs="Times New Roman"/>
        </w:rPr>
        <w:t>.</w:t>
      </w:r>
      <w:r w:rsidRPr="003159E6">
        <w:rPr>
          <w:rFonts w:cs="Times New Roman"/>
        </w:rPr>
        <w:t xml:space="preserve"> She was satisfied beyond a reasonable doubt that the </w:t>
      </w:r>
      <w:proofErr w:type="spellStart"/>
      <w:r w:rsidRPr="003159E6">
        <w:rPr>
          <w:rFonts w:cs="Times New Roman"/>
          <w:i/>
        </w:rPr>
        <w:t>Mareva</w:t>
      </w:r>
      <w:proofErr w:type="spellEnd"/>
      <w:r w:rsidRPr="003159E6">
        <w:rPr>
          <w:rFonts w:cs="Times New Roman"/>
          <w:i/>
        </w:rPr>
        <w:t xml:space="preserve"> </w:t>
      </w:r>
      <w:r w:rsidRPr="003159E6">
        <w:rPr>
          <w:rFonts w:cs="Times New Roman"/>
        </w:rPr>
        <w:t>order was clear</w:t>
      </w:r>
      <w:r w:rsidRPr="003159E6">
        <w:rPr>
          <w:rFonts w:cs="Times New Roman"/>
          <w:lang w:eastAsia="en-CA"/>
        </w:rPr>
        <w:t xml:space="preserve"> and that </w:t>
      </w:r>
      <w:r w:rsidRPr="003159E6">
        <w:rPr>
          <w:rFonts w:cs="Times New Roman"/>
        </w:rPr>
        <w:t xml:space="preserve">Mr. Carey “knowingly and deliberately breached” it by transferring the funds from his trust account to Mr. </w:t>
      </w:r>
      <w:proofErr w:type="spellStart"/>
      <w:r w:rsidRPr="003159E6">
        <w:rPr>
          <w:rFonts w:cs="Times New Roman"/>
        </w:rPr>
        <w:t>Sabourin</w:t>
      </w:r>
      <w:proofErr w:type="spellEnd"/>
      <w:r w:rsidRPr="003159E6">
        <w:rPr>
          <w:rFonts w:cs="Times New Roman"/>
        </w:rPr>
        <w:t xml:space="preserve"> (para.</w:t>
      </w:r>
      <w:r>
        <w:rPr>
          <w:rFonts w:cs="Times New Roman"/>
        </w:rPr>
        <w:t xml:space="preserve"> </w:t>
      </w:r>
      <w:r w:rsidRPr="003159E6">
        <w:rPr>
          <w:rFonts w:cs="Times New Roman"/>
        </w:rPr>
        <w:t>42</w:t>
      </w:r>
      <w:r>
        <w:rPr>
          <w:rFonts w:cs="Times New Roman"/>
        </w:rPr>
        <w:t xml:space="preserve"> (</w:t>
      </w:r>
      <w:proofErr w:type="spellStart"/>
      <w:r>
        <w:rPr>
          <w:rFonts w:cs="Times New Roman"/>
        </w:rPr>
        <w:t>CanLII</w:t>
      </w:r>
      <w:proofErr w:type="spellEnd"/>
      <w:r>
        <w:rPr>
          <w:rFonts w:cs="Times New Roman"/>
        </w:rPr>
        <w:t>)</w:t>
      </w:r>
      <w:r w:rsidRPr="003159E6">
        <w:rPr>
          <w:rFonts w:cs="Times New Roman"/>
        </w:rPr>
        <w:t>)</w:t>
      </w:r>
      <w:r>
        <w:rPr>
          <w:rFonts w:cs="Times New Roman"/>
        </w:rPr>
        <w:t>.</w:t>
      </w:r>
      <w:r w:rsidRPr="003159E6">
        <w:rPr>
          <w:rFonts w:cs="Times New Roman"/>
        </w:rPr>
        <w:t xml:space="preserve"> The motions judge ordered the parties to appear before her at a later date for another hearing. She stated she would take into account any further evidence and testimony the parties submi</w:t>
      </w:r>
      <w:r w:rsidR="00B27678">
        <w:rPr>
          <w:rFonts w:cs="Times New Roman"/>
        </w:rPr>
        <w:t>tted in making any order under r</w:t>
      </w:r>
      <w:r w:rsidRPr="003159E6">
        <w:rPr>
          <w:rFonts w:cs="Times New Roman"/>
        </w:rPr>
        <w:t xml:space="preserve">ules 60.11(5) and 60.11(8). </w:t>
      </w:r>
    </w:p>
    <w:p w:rsidR="001C2A5E" w:rsidRPr="003159E6" w:rsidRDefault="001C2A5E" w:rsidP="001C2A5E">
      <w:pPr>
        <w:pStyle w:val="Title3LevelTitre3Niveau"/>
        <w:rPr>
          <w:rFonts w:cs="Times New Roman"/>
        </w:rPr>
      </w:pPr>
      <w:r w:rsidRPr="003159E6">
        <w:rPr>
          <w:rFonts w:cs="Times New Roman"/>
        </w:rPr>
        <w:t xml:space="preserve">The Stay Application Decision: </w:t>
      </w:r>
      <w:r w:rsidR="0062305F">
        <w:rPr>
          <w:rFonts w:cs="Times New Roman"/>
        </w:rPr>
        <w:t xml:space="preserve">Ontario </w:t>
      </w:r>
      <w:r w:rsidRPr="003159E6">
        <w:rPr>
          <w:rFonts w:cs="Times New Roman"/>
        </w:rPr>
        <w:t xml:space="preserve">Court of Appeal </w:t>
      </w:r>
      <w:r>
        <w:rPr>
          <w:rFonts w:cs="Times New Roman"/>
        </w:rPr>
        <w:t>(Sharpe J.A., 2011 ONCA 757, 286 O.A.C. 273)</w:t>
      </w:r>
    </w:p>
    <w:p w:rsidR="001C2A5E" w:rsidRPr="003159E6" w:rsidRDefault="001C2A5E" w:rsidP="001C2A5E">
      <w:pPr>
        <w:pStyle w:val="ParaNoNdepar-AltN"/>
        <w:rPr>
          <w:rFonts w:cs="Times New Roman"/>
        </w:rPr>
      </w:pPr>
      <w:r w:rsidRPr="003159E6">
        <w:rPr>
          <w:rFonts w:cs="Times New Roman"/>
        </w:rPr>
        <w:t>A judge of the Court of Appeal dismissed Mr. Carey’s motion for a stay of the motion</w:t>
      </w:r>
      <w:r>
        <w:rPr>
          <w:rFonts w:cs="Times New Roman"/>
        </w:rPr>
        <w:t>s</w:t>
      </w:r>
      <w:r w:rsidRPr="003159E6">
        <w:rPr>
          <w:rFonts w:cs="Times New Roman"/>
        </w:rPr>
        <w:t xml:space="preserve"> judge’s order and any further proceedings pending appeal of that order. </w:t>
      </w:r>
      <w:r>
        <w:rPr>
          <w:rFonts w:cs="Times New Roman"/>
        </w:rPr>
        <w:t>The c</w:t>
      </w:r>
      <w:r w:rsidRPr="003159E6">
        <w:rPr>
          <w:rFonts w:cs="Times New Roman"/>
        </w:rPr>
        <w:t>ourt held that the contempt proceedings were not yet completed and that until they were, the Court of Appeal would not know relevant information, including whether the judge considered the contempt to be trivial or serious</w:t>
      </w:r>
      <w:r>
        <w:rPr>
          <w:rFonts w:cs="Times New Roman"/>
        </w:rPr>
        <w:t>.</w:t>
      </w:r>
    </w:p>
    <w:p w:rsidR="001C2A5E" w:rsidRPr="003159E6" w:rsidRDefault="001C2A5E" w:rsidP="00586ADE">
      <w:pPr>
        <w:pStyle w:val="Title3LevelTitre3Niveau"/>
        <w:jc w:val="both"/>
        <w:rPr>
          <w:rFonts w:cs="Times New Roman"/>
        </w:rPr>
      </w:pPr>
      <w:r w:rsidRPr="003159E6">
        <w:rPr>
          <w:rFonts w:cs="Times New Roman"/>
        </w:rPr>
        <w:t xml:space="preserve">The Second Contempt Decision: Ontario Superior Court of Justice (Roberts J., </w:t>
      </w:r>
      <w:r>
        <w:rPr>
          <w:rFonts w:cs="Times New Roman"/>
        </w:rPr>
        <w:t>2012 ONSC 7252, [2012] O.J. No. 6596 (QL))</w:t>
      </w:r>
    </w:p>
    <w:p w:rsidR="001C2A5E" w:rsidRPr="003159E6" w:rsidRDefault="001C2A5E" w:rsidP="001C2A5E">
      <w:pPr>
        <w:pStyle w:val="ParaNoNdepar-AltN"/>
        <w:rPr>
          <w:rFonts w:cs="Times New Roman"/>
        </w:rPr>
      </w:pPr>
      <w:r>
        <w:rPr>
          <w:rFonts w:cs="Times New Roman"/>
        </w:rPr>
        <w:t xml:space="preserve">When the matter resumed before the motions judge, Mr. Carey moved to reopen the contempt hearing. </w:t>
      </w:r>
      <w:r w:rsidRPr="00844356">
        <w:rPr>
          <w:rFonts w:cs="Times New Roman"/>
        </w:rPr>
        <w:t xml:space="preserve">He filed new evidence, including an affidavit sworn by Alan </w:t>
      </w:r>
      <w:proofErr w:type="spellStart"/>
      <w:r w:rsidRPr="00844356">
        <w:rPr>
          <w:rFonts w:cs="Times New Roman"/>
        </w:rPr>
        <w:t>Lenczner</w:t>
      </w:r>
      <w:proofErr w:type="spellEnd"/>
      <w:r w:rsidRPr="00844356">
        <w:rPr>
          <w:rFonts w:cs="Times New Roman"/>
        </w:rPr>
        <w:t>, Q.C.</w:t>
      </w:r>
      <w:r>
        <w:rPr>
          <w:rFonts w:cs="Times New Roman"/>
        </w:rPr>
        <w:t>,</w:t>
      </w:r>
      <w:r w:rsidRPr="00844356">
        <w:rPr>
          <w:rFonts w:cs="Times New Roman"/>
        </w:rPr>
        <w:t xml:space="preserve"> stating that by returning the money in excess of that required to </w:t>
      </w:r>
      <w:r w:rsidRPr="00844356">
        <w:rPr>
          <w:rFonts w:cs="Times New Roman"/>
        </w:rPr>
        <w:lastRenderedPageBreak/>
        <w:t>cover legal fees, Mr. Carey had acted in a manner consistent with th</w:t>
      </w:r>
      <w:r>
        <w:rPr>
          <w:rFonts w:cs="Times New Roman"/>
        </w:rPr>
        <w:t>e practice of counsel generally</w:t>
      </w:r>
      <w:r w:rsidRPr="003159E6">
        <w:rPr>
          <w:rFonts w:cs="Times New Roman"/>
        </w:rPr>
        <w:t xml:space="preserve">. Mr. Carey also proffered his own testimony about what he perceived to be his professional obligations and his motivations in dealing with the trust funds. </w:t>
      </w:r>
    </w:p>
    <w:p w:rsidR="001C2A5E" w:rsidRPr="003159E6" w:rsidRDefault="001C2A5E" w:rsidP="001C2A5E">
      <w:pPr>
        <w:pStyle w:val="ParaNoNdepar-AltN"/>
        <w:rPr>
          <w:rFonts w:cs="Times New Roman"/>
        </w:rPr>
      </w:pPr>
      <w:r>
        <w:rPr>
          <w:rFonts w:cs="Times New Roman"/>
        </w:rPr>
        <w:t>T</w:t>
      </w:r>
      <w:r w:rsidRPr="003159E6">
        <w:rPr>
          <w:rFonts w:cs="Times New Roman"/>
        </w:rPr>
        <w:t xml:space="preserve">he motions judge set aside her previous finding of contempt. Based on the new evidence, she doubted whether the terms of the order were clear and whether Mr. Carey’s interpretation of it was deliberately and wilfully blind. </w:t>
      </w:r>
    </w:p>
    <w:p w:rsidR="001C2A5E" w:rsidRPr="003159E6" w:rsidRDefault="001C2A5E" w:rsidP="001C2A5E">
      <w:pPr>
        <w:pStyle w:val="Title3LevelTitre3Niveau"/>
        <w:jc w:val="both"/>
        <w:rPr>
          <w:rFonts w:cs="Times New Roman"/>
        </w:rPr>
      </w:pPr>
      <w:r w:rsidRPr="003159E6">
        <w:rPr>
          <w:rFonts w:cs="Times New Roman"/>
        </w:rPr>
        <w:t xml:space="preserve">The Appeal Decision: </w:t>
      </w:r>
      <w:r w:rsidR="0062305F">
        <w:rPr>
          <w:rFonts w:cs="Times New Roman"/>
        </w:rPr>
        <w:t xml:space="preserve">Ontario </w:t>
      </w:r>
      <w:r w:rsidRPr="003159E6">
        <w:rPr>
          <w:rFonts w:cs="Times New Roman"/>
        </w:rPr>
        <w:t xml:space="preserve">Court of </w:t>
      </w:r>
      <w:r>
        <w:rPr>
          <w:rFonts w:cs="Times New Roman"/>
        </w:rPr>
        <w:t xml:space="preserve">Appeal (Sharpe J.A. </w:t>
      </w:r>
      <w:r w:rsidRPr="003159E6">
        <w:rPr>
          <w:rFonts w:cs="Times New Roman"/>
        </w:rPr>
        <w:t xml:space="preserve">(Rosenberg and </w:t>
      </w:r>
      <w:proofErr w:type="spellStart"/>
      <w:r w:rsidRPr="003159E6">
        <w:rPr>
          <w:rFonts w:cs="Times New Roman"/>
        </w:rPr>
        <w:t>Gillese</w:t>
      </w:r>
      <w:proofErr w:type="spellEnd"/>
      <w:r w:rsidRPr="003159E6">
        <w:rPr>
          <w:rFonts w:cs="Times New Roman"/>
        </w:rPr>
        <w:t xml:space="preserve"> JJ.A. concurring), 2013 ONCA 530</w:t>
      </w:r>
      <w:r>
        <w:rPr>
          <w:rFonts w:cs="Times New Roman"/>
        </w:rPr>
        <w:t>, 367 D.L.R. (4th) 415</w:t>
      </w:r>
      <w:r w:rsidRPr="003159E6">
        <w:rPr>
          <w:rFonts w:cs="Times New Roman"/>
        </w:rPr>
        <w:t xml:space="preserve">) </w:t>
      </w:r>
    </w:p>
    <w:p w:rsidR="001C2A5E" w:rsidRPr="003159E6" w:rsidRDefault="001C2A5E" w:rsidP="001C2A5E">
      <w:pPr>
        <w:pStyle w:val="ParaNoNdepar-AltN"/>
        <w:rPr>
          <w:rFonts w:cs="Times New Roman"/>
        </w:rPr>
      </w:pPr>
      <w:r w:rsidRPr="003159E6">
        <w:rPr>
          <w:rFonts w:cs="Times New Roman"/>
        </w:rPr>
        <w:t>The Court of Appeal unanimously allowed the appeal and restored the initial contempt finding.  The motions judge had erred, the Court of Appeal found, in setting it aside.  Mr. Carey had inappropriately used the second stage of the contempt proceedings to attack the motions judge’s earlier findings and based this attack on evidence he ought to have filed at the first hearing. While the appeal could have been resolved on these procedural grounds</w:t>
      </w:r>
      <w:r>
        <w:rPr>
          <w:rFonts w:cs="Times New Roman"/>
        </w:rPr>
        <w:t>, the c</w:t>
      </w:r>
      <w:r w:rsidRPr="003159E6">
        <w:rPr>
          <w:rFonts w:cs="Times New Roman"/>
        </w:rPr>
        <w:t xml:space="preserve">ourt went on to hold that the motions judge erred in finding Mr. Carey was not in contempt. </w:t>
      </w:r>
    </w:p>
    <w:p w:rsidR="001C2A5E" w:rsidRPr="003159E6" w:rsidRDefault="001C2A5E" w:rsidP="001C2A5E">
      <w:pPr>
        <w:pStyle w:val="ParaNoNdepar-AltN"/>
        <w:rPr>
          <w:rFonts w:cs="Times New Roman"/>
        </w:rPr>
      </w:pPr>
      <w:r w:rsidRPr="003159E6">
        <w:rPr>
          <w:rFonts w:cs="Times New Roman"/>
        </w:rPr>
        <w:t xml:space="preserve">The Court of Appeal accepted that Mr. Carey did not desire or knowingly choose to disobey the order, but found that it is unnecessary to establish this in order to find him liable for civil contempt. Mr. Carey knew of a clear court order and he committed an act that violated it. This </w:t>
      </w:r>
      <w:r>
        <w:rPr>
          <w:rFonts w:cs="Times New Roman"/>
        </w:rPr>
        <w:t xml:space="preserve">was sufficient to constitute </w:t>
      </w:r>
      <w:r w:rsidRPr="003159E6">
        <w:rPr>
          <w:rFonts w:cs="Times New Roman"/>
        </w:rPr>
        <w:t>civil</w:t>
      </w:r>
      <w:r>
        <w:rPr>
          <w:rFonts w:cs="Times New Roman"/>
        </w:rPr>
        <w:t xml:space="preserve"> contempt. </w:t>
      </w:r>
    </w:p>
    <w:p w:rsidR="001C2A5E" w:rsidRPr="003159E6" w:rsidRDefault="001C2A5E" w:rsidP="001C2A5E">
      <w:pPr>
        <w:pStyle w:val="Title1LevelTitre1Niveau-AltL"/>
        <w:rPr>
          <w:rFonts w:cs="Times New Roman"/>
        </w:rPr>
      </w:pPr>
      <w:r w:rsidRPr="003159E6">
        <w:rPr>
          <w:rFonts w:cs="Times New Roman"/>
        </w:rPr>
        <w:lastRenderedPageBreak/>
        <w:t>Analysis</w:t>
      </w:r>
    </w:p>
    <w:p w:rsidR="001C2A5E" w:rsidRPr="003159E6" w:rsidRDefault="001C2A5E" w:rsidP="001C2A5E">
      <w:pPr>
        <w:pStyle w:val="Title2LevelTitre2Niveau"/>
        <w:rPr>
          <w:rFonts w:cs="Times New Roman"/>
        </w:rPr>
      </w:pPr>
      <w:r w:rsidRPr="003159E6">
        <w:rPr>
          <w:rFonts w:cs="Times New Roman"/>
        </w:rPr>
        <w:t xml:space="preserve">First Issue: To </w:t>
      </w:r>
      <w:r>
        <w:rPr>
          <w:rFonts w:cs="Times New Roman"/>
        </w:rPr>
        <w:t>Have Committed C</w:t>
      </w:r>
      <w:r w:rsidRPr="003159E6">
        <w:rPr>
          <w:rFonts w:cs="Times New Roman"/>
        </w:rPr>
        <w:t>ontempt</w:t>
      </w:r>
      <w:r>
        <w:rPr>
          <w:rFonts w:cs="Times New Roman"/>
        </w:rPr>
        <w:t>, D</w:t>
      </w:r>
      <w:r w:rsidRPr="003159E6">
        <w:rPr>
          <w:rFonts w:cs="Times New Roman"/>
        </w:rPr>
        <w:t xml:space="preserve">id Mr. Carey </w:t>
      </w:r>
      <w:r>
        <w:rPr>
          <w:rFonts w:cs="Times New Roman"/>
        </w:rPr>
        <w:t>H</w:t>
      </w:r>
      <w:r w:rsidRPr="003159E6">
        <w:rPr>
          <w:rFonts w:cs="Times New Roman"/>
        </w:rPr>
        <w:t xml:space="preserve">ave to </w:t>
      </w:r>
      <w:r>
        <w:rPr>
          <w:rFonts w:cs="Times New Roman"/>
        </w:rPr>
        <w:t>I</w:t>
      </w:r>
      <w:r w:rsidRPr="003159E6">
        <w:rPr>
          <w:rFonts w:cs="Times New Roman"/>
        </w:rPr>
        <w:t xml:space="preserve">ntend to </w:t>
      </w:r>
      <w:r>
        <w:rPr>
          <w:rFonts w:cs="Times New Roman"/>
        </w:rPr>
        <w:t>I</w:t>
      </w:r>
      <w:r w:rsidRPr="003159E6">
        <w:rPr>
          <w:rFonts w:cs="Times New Roman"/>
        </w:rPr>
        <w:t>nterfere</w:t>
      </w:r>
      <w:r>
        <w:rPr>
          <w:rFonts w:cs="Times New Roman"/>
        </w:rPr>
        <w:t xml:space="preserve"> W</w:t>
      </w:r>
      <w:r w:rsidRPr="003159E6">
        <w:rPr>
          <w:rFonts w:cs="Times New Roman"/>
        </w:rPr>
        <w:t xml:space="preserve">ith the </w:t>
      </w:r>
      <w:r>
        <w:rPr>
          <w:rFonts w:cs="Times New Roman"/>
        </w:rPr>
        <w:t>A</w:t>
      </w:r>
      <w:r w:rsidRPr="003159E6">
        <w:rPr>
          <w:rFonts w:cs="Times New Roman"/>
        </w:rPr>
        <w:t xml:space="preserve">dministration of </w:t>
      </w:r>
      <w:r>
        <w:rPr>
          <w:rFonts w:cs="Times New Roman"/>
        </w:rPr>
        <w:t>J</w:t>
      </w:r>
      <w:r w:rsidRPr="003159E6">
        <w:rPr>
          <w:rFonts w:cs="Times New Roman"/>
        </w:rPr>
        <w:t>ustice?</w:t>
      </w:r>
    </w:p>
    <w:p w:rsidR="001C2A5E" w:rsidRPr="003159E6" w:rsidRDefault="001C2A5E" w:rsidP="001C2A5E">
      <w:pPr>
        <w:pStyle w:val="Title3LevelTitre3Niveau"/>
        <w:rPr>
          <w:rFonts w:cs="Times New Roman"/>
        </w:rPr>
      </w:pPr>
      <w:r w:rsidRPr="003159E6">
        <w:rPr>
          <w:rFonts w:cs="Times New Roman"/>
        </w:rPr>
        <w:t>Overview</w:t>
      </w:r>
    </w:p>
    <w:p w:rsidR="001C2A5E" w:rsidRPr="003159E6" w:rsidRDefault="001C2A5E" w:rsidP="001C2A5E">
      <w:pPr>
        <w:pStyle w:val="ParaNoNdepar-AltN"/>
        <w:rPr>
          <w:rFonts w:cs="Times New Roman"/>
        </w:rPr>
      </w:pPr>
      <w:r w:rsidRPr="003159E6">
        <w:rPr>
          <w:rFonts w:cs="Times New Roman"/>
        </w:rPr>
        <w:t xml:space="preserve">At the initial contempt hearing, Roberts J. stated, in my view correctly, that “civil contempt consists of the intentional doing of an act which is in fact prohibited by the order”: </w:t>
      </w:r>
      <w:r>
        <w:rPr>
          <w:rFonts w:cs="Times New Roman"/>
        </w:rPr>
        <w:t>2011 ONSC 5892, at para. 24</w:t>
      </w:r>
      <w:r w:rsidRPr="003159E6">
        <w:rPr>
          <w:rFonts w:cs="Times New Roman"/>
        </w:rPr>
        <w:t>. However, she subsequently set aside her earlier finding of contempt. She held:</w:t>
      </w:r>
    </w:p>
    <w:p w:rsidR="001C2A5E" w:rsidRPr="003159E6" w:rsidRDefault="001C2A5E" w:rsidP="001C2A5E">
      <w:pPr>
        <w:pStyle w:val="Citation-AltC"/>
        <w:ind w:firstLine="274"/>
      </w:pPr>
      <w:r w:rsidRPr="003159E6">
        <w:t xml:space="preserve">Based on Mr. Carey’s oral evidence, because of the protracted history between Mr. Carey’s clients and the plaintiff and the way that Mr. Carey viewed the merits of the plaintiffs </w:t>
      </w:r>
      <w:r w:rsidR="000930AA">
        <w:t>[</w:t>
      </w:r>
      <w:r w:rsidR="000930AA" w:rsidRPr="000930AA">
        <w:rPr>
          <w:i/>
        </w:rPr>
        <w:t>sic</w:t>
      </w:r>
      <w:r w:rsidR="000930AA">
        <w:t xml:space="preserve">] </w:t>
      </w:r>
      <w:r w:rsidRPr="003159E6">
        <w:t xml:space="preserve">claim, the unusual form of the May 4, 2006 </w:t>
      </w:r>
      <w:proofErr w:type="spellStart"/>
      <w:r w:rsidRPr="003159E6">
        <w:t>Mareva</w:t>
      </w:r>
      <w:proofErr w:type="spellEnd"/>
      <w:r w:rsidRPr="003159E6">
        <w:t xml:space="preserve"> Order, and the variations discussed and agreed upon between counsel, which were not set out in one document by formal amendment, </w:t>
      </w:r>
      <w:r w:rsidRPr="003159E6">
        <w:rPr>
          <w:u w:val="single"/>
        </w:rPr>
        <w:t xml:space="preserve">I have a reasonable doubt as to whether the terms of the May 4, 2006 </w:t>
      </w:r>
      <w:proofErr w:type="spellStart"/>
      <w:r w:rsidRPr="003159E6">
        <w:rPr>
          <w:u w:val="single"/>
        </w:rPr>
        <w:t>Mareva</w:t>
      </w:r>
      <w:proofErr w:type="spellEnd"/>
      <w:r w:rsidRPr="003159E6">
        <w:rPr>
          <w:u w:val="single"/>
        </w:rPr>
        <w:t xml:space="preserve"> Order were completely clear to Mr. Carey</w:t>
      </w:r>
      <w:r w:rsidRPr="003159E6">
        <w:t xml:space="preserve">, and I am </w:t>
      </w:r>
      <w:r w:rsidRPr="003159E6">
        <w:rPr>
          <w:u w:val="single"/>
        </w:rPr>
        <w:t xml:space="preserve">not satisfied beyond a reasonable doubt that Mr. Carey’s interpretation of the May 4, 2006 </w:t>
      </w:r>
      <w:proofErr w:type="spellStart"/>
      <w:r w:rsidRPr="003159E6">
        <w:rPr>
          <w:u w:val="single"/>
        </w:rPr>
        <w:t>Mareva</w:t>
      </w:r>
      <w:proofErr w:type="spellEnd"/>
      <w:r w:rsidRPr="003159E6">
        <w:rPr>
          <w:u w:val="single"/>
        </w:rPr>
        <w:t xml:space="preserve"> Order was deliberately and willfully blind</w:t>
      </w:r>
      <w:r w:rsidRPr="003159E6">
        <w:t>. [</w:t>
      </w:r>
      <w:r>
        <w:t xml:space="preserve">Emphasis added; 2012 ONSC 7252, at </w:t>
      </w:r>
      <w:r w:rsidRPr="003159E6">
        <w:t>para. 36</w:t>
      </w:r>
      <w:r>
        <w:t>.</w:t>
      </w:r>
      <w:r w:rsidRPr="003159E6">
        <w:t>]</w:t>
      </w:r>
    </w:p>
    <w:p w:rsidR="001C2A5E" w:rsidRPr="003159E6" w:rsidRDefault="001C2A5E" w:rsidP="001C2A5E">
      <w:pPr>
        <w:pStyle w:val="ParaNoNdepar-AltN"/>
        <w:rPr>
          <w:rFonts w:cs="Times New Roman"/>
        </w:rPr>
      </w:pPr>
      <w:r w:rsidRPr="003159E6">
        <w:rPr>
          <w:rFonts w:cs="Times New Roman"/>
        </w:rPr>
        <w:t>The Court of Appeal, however, held that it was an error of law to conclude that Mr. Carey could not be found in contempt because he did not deliberately breach the order</w:t>
      </w:r>
      <w:r>
        <w:rPr>
          <w:rFonts w:cs="Times New Roman"/>
        </w:rPr>
        <w:t xml:space="preserve">.  </w:t>
      </w:r>
      <w:r w:rsidRPr="003159E6">
        <w:rPr>
          <w:rFonts w:cs="Times New Roman"/>
        </w:rPr>
        <w:t xml:space="preserve">Ms. </w:t>
      </w:r>
      <w:proofErr w:type="spellStart"/>
      <w:r w:rsidRPr="003159E6">
        <w:rPr>
          <w:rFonts w:cs="Times New Roman"/>
        </w:rPr>
        <w:t>Laiken</w:t>
      </w:r>
      <w:proofErr w:type="spellEnd"/>
      <w:r w:rsidRPr="003159E6">
        <w:rPr>
          <w:rFonts w:cs="Times New Roman"/>
        </w:rPr>
        <w:t xml:space="preserve"> did not have to prove that Mr. Carey had “deliberately” breached the order or, as the </w:t>
      </w:r>
      <w:r>
        <w:rPr>
          <w:rFonts w:cs="Times New Roman"/>
        </w:rPr>
        <w:t>c</w:t>
      </w:r>
      <w:r w:rsidRPr="003159E6">
        <w:rPr>
          <w:rFonts w:cs="Times New Roman"/>
        </w:rPr>
        <w:t xml:space="preserve">ourt put it elsewhere in </w:t>
      </w:r>
      <w:r>
        <w:rPr>
          <w:rFonts w:cs="Times New Roman"/>
        </w:rPr>
        <w:t xml:space="preserve">its reasons, to establish </w:t>
      </w:r>
      <w:r w:rsidRPr="003159E6">
        <w:rPr>
          <w:rFonts w:cs="Times New Roman"/>
        </w:rPr>
        <w:t>“contumacious intent”: para</w:t>
      </w:r>
      <w:r>
        <w:rPr>
          <w:rFonts w:cs="Times New Roman"/>
        </w:rPr>
        <w:t>s. 65</w:t>
      </w:r>
      <w:r w:rsidR="00250AA7">
        <w:rPr>
          <w:rFonts w:cs="Times New Roman"/>
        </w:rPr>
        <w:t xml:space="preserve"> and</w:t>
      </w:r>
      <w:r>
        <w:rPr>
          <w:rFonts w:cs="Times New Roman"/>
        </w:rPr>
        <w:t xml:space="preserve"> </w:t>
      </w:r>
      <w:r w:rsidRPr="003159E6">
        <w:rPr>
          <w:rFonts w:cs="Times New Roman"/>
        </w:rPr>
        <w:t xml:space="preserve">62. The order clearly prohibited dealing in trust funds belonging to Mr. </w:t>
      </w:r>
      <w:proofErr w:type="spellStart"/>
      <w:r w:rsidRPr="003159E6">
        <w:rPr>
          <w:rFonts w:cs="Times New Roman"/>
        </w:rPr>
        <w:t>Sabourin</w:t>
      </w:r>
      <w:proofErr w:type="spellEnd"/>
      <w:r w:rsidRPr="003159E6">
        <w:rPr>
          <w:rFonts w:cs="Times New Roman"/>
        </w:rPr>
        <w:t xml:space="preserve">, </w:t>
      </w:r>
      <w:r>
        <w:rPr>
          <w:rFonts w:cs="Times New Roman"/>
        </w:rPr>
        <w:t xml:space="preserve">yet </w:t>
      </w:r>
      <w:r w:rsidRPr="003159E6">
        <w:rPr>
          <w:rFonts w:cs="Times New Roman"/>
        </w:rPr>
        <w:t xml:space="preserve">Mr. Carey knew of the order and </w:t>
      </w:r>
      <w:r w:rsidRPr="003159E6">
        <w:rPr>
          <w:rFonts w:cs="Times New Roman"/>
        </w:rPr>
        <w:lastRenderedPageBreak/>
        <w:t xml:space="preserve">he intentionally transferred the funds, an act that was contrary to the order. This is all that is required to establish the elements of civil contempt. </w:t>
      </w:r>
    </w:p>
    <w:p w:rsidR="001C2A5E" w:rsidRPr="003159E6" w:rsidRDefault="001C2A5E" w:rsidP="001C2A5E">
      <w:pPr>
        <w:pStyle w:val="ParaNoNdepar-AltN"/>
        <w:rPr>
          <w:rFonts w:cs="Times New Roman"/>
        </w:rPr>
      </w:pPr>
      <w:r w:rsidRPr="003159E6">
        <w:rPr>
          <w:rFonts w:cs="Times New Roman"/>
        </w:rPr>
        <w:t>Before this Court, the parties devoted a substantial portion of their written submissions to the mental element of civil contempt. Mr. Carey’s position is that in various circumstances</w:t>
      </w:r>
      <w:r>
        <w:rPr>
          <w:rFonts w:cs="Times New Roman"/>
        </w:rPr>
        <w:t xml:space="preserve"> —</w:t>
      </w:r>
      <w:r w:rsidRPr="003159E6">
        <w:rPr>
          <w:rFonts w:cs="Times New Roman"/>
        </w:rPr>
        <w:t xml:space="preserve"> namely, where the alleged contemnor cannot “purge” his contempt, is a lawyer or is a</w:t>
      </w:r>
      <w:r>
        <w:rPr>
          <w:rFonts w:cs="Times New Roman"/>
        </w:rPr>
        <w:t xml:space="preserve"> third party to an order —</w:t>
      </w:r>
      <w:r w:rsidRPr="003159E6">
        <w:rPr>
          <w:rFonts w:cs="Times New Roman"/>
        </w:rPr>
        <w:t xml:space="preserve"> proof of an intention to interfere with the administration of justice is required</w:t>
      </w:r>
      <w:r>
        <w:rPr>
          <w:rFonts w:cs="Times New Roman"/>
        </w:rPr>
        <w:t>.</w:t>
      </w:r>
      <w:r w:rsidRPr="003159E6">
        <w:rPr>
          <w:rFonts w:cs="Times New Roman"/>
        </w:rPr>
        <w:t xml:space="preserve"> In othe</w:t>
      </w:r>
      <w:r>
        <w:rPr>
          <w:rFonts w:cs="Times New Roman"/>
        </w:rPr>
        <w:t>r words, in these circumstances</w:t>
      </w:r>
      <w:r w:rsidRPr="003159E6">
        <w:rPr>
          <w:rFonts w:cs="Times New Roman"/>
        </w:rPr>
        <w:t xml:space="preserve"> contumacy</w:t>
      </w:r>
      <w:r>
        <w:rPr>
          <w:rFonts w:cs="Times New Roman"/>
        </w:rPr>
        <w:t xml:space="preserve"> </w:t>
      </w:r>
      <w:r w:rsidRPr="003159E6">
        <w:rPr>
          <w:rFonts w:cs="Times New Roman"/>
        </w:rPr>
        <w:t xml:space="preserve">or intent to breach the order is an element of the offence. Ms. </w:t>
      </w:r>
      <w:proofErr w:type="spellStart"/>
      <w:r w:rsidRPr="003159E6">
        <w:rPr>
          <w:rFonts w:cs="Times New Roman"/>
        </w:rPr>
        <w:t>Laiken</w:t>
      </w:r>
      <w:proofErr w:type="spellEnd"/>
      <w:r w:rsidRPr="003159E6">
        <w:rPr>
          <w:rFonts w:cs="Times New Roman"/>
        </w:rPr>
        <w:t xml:space="preserve"> frames the issue slightly differently. Rather than viewing the question as one turning on the elements of civil contempt, she submits that lack of contumacious intent is not a defence in civil contempt proceedings, regardless of the alleged contemnor’s circumstances</w:t>
      </w:r>
      <w:r>
        <w:rPr>
          <w:rFonts w:cs="Times New Roman"/>
        </w:rPr>
        <w:t>.</w:t>
      </w:r>
      <w:r w:rsidRPr="003159E6">
        <w:rPr>
          <w:rFonts w:cs="Times New Roman"/>
        </w:rPr>
        <w:t xml:space="preserve"> </w:t>
      </w:r>
    </w:p>
    <w:p w:rsidR="001C2A5E" w:rsidRPr="003159E6" w:rsidRDefault="001C2A5E" w:rsidP="001C2A5E">
      <w:pPr>
        <w:pStyle w:val="ParaNoNdepar-AltN"/>
        <w:rPr>
          <w:rFonts w:cs="Times New Roman"/>
        </w:rPr>
      </w:pPr>
      <w:r w:rsidRPr="003159E6">
        <w:rPr>
          <w:rFonts w:cs="Times New Roman"/>
        </w:rPr>
        <w:t xml:space="preserve">However framed, the issue boils down to the required intent for a finding of civil contempt. Canadian jurisprudence clearly sets out the requirements for establishing civil contempt, of which I provide an overview below. Contumacy </w:t>
      </w:r>
      <w:r>
        <w:rPr>
          <w:rFonts w:cs="Times New Roman"/>
        </w:rPr>
        <w:t>—</w:t>
      </w:r>
      <w:r w:rsidRPr="003159E6">
        <w:rPr>
          <w:rFonts w:cs="Times New Roman"/>
        </w:rPr>
        <w:t xml:space="preserve"> the intent to interfere with the administration of justice </w:t>
      </w:r>
      <w:r>
        <w:rPr>
          <w:rFonts w:cs="Times New Roman"/>
        </w:rPr>
        <w:t>—</w:t>
      </w:r>
      <w:r w:rsidRPr="003159E6">
        <w:rPr>
          <w:rFonts w:cs="Times New Roman"/>
        </w:rPr>
        <w:t xml:space="preserve"> is not an element of civil contempt and lack of contumacy is therefore not a defence. I do not accept Mr. Carey’s position that a different rule should apply to individuals who cannot purge their contempt, to lawyers </w:t>
      </w:r>
      <w:r>
        <w:rPr>
          <w:rFonts w:cs="Times New Roman"/>
        </w:rPr>
        <w:t>and</w:t>
      </w:r>
      <w:r w:rsidRPr="003159E6">
        <w:rPr>
          <w:rFonts w:cs="Times New Roman"/>
        </w:rPr>
        <w:t xml:space="preserve"> to third parties. </w:t>
      </w:r>
    </w:p>
    <w:p w:rsidR="001C2A5E" w:rsidRPr="003159E6" w:rsidRDefault="001C2A5E" w:rsidP="001C2A5E">
      <w:pPr>
        <w:pStyle w:val="Title3LevelTitre3Niveau"/>
        <w:rPr>
          <w:rFonts w:cs="Times New Roman"/>
        </w:rPr>
      </w:pPr>
      <w:r w:rsidRPr="003159E6">
        <w:rPr>
          <w:rFonts w:cs="Times New Roman"/>
        </w:rPr>
        <w:t>The Canadian Common Law of Civil Contempt</w:t>
      </w:r>
    </w:p>
    <w:p w:rsidR="001C2A5E" w:rsidRPr="003159E6" w:rsidRDefault="001C2A5E" w:rsidP="001C2A5E">
      <w:pPr>
        <w:pStyle w:val="ParaNoNdepar-AltN"/>
        <w:rPr>
          <w:rFonts w:cs="Times New Roman"/>
        </w:rPr>
      </w:pPr>
      <w:r w:rsidRPr="003159E6">
        <w:rPr>
          <w:rFonts w:cs="Times New Roman"/>
          <w:b/>
        </w:rPr>
        <w:lastRenderedPageBreak/>
        <w:t xml:space="preserve"> </w:t>
      </w:r>
      <w:r w:rsidRPr="003159E6">
        <w:rPr>
          <w:rFonts w:cs="Times New Roman"/>
        </w:rPr>
        <w:t>Contempt of court “rest[s] on the power of the court to uphold its dignity and process</w:t>
      </w:r>
      <w:r>
        <w:rPr>
          <w:rFonts w:cs="Times New Roman"/>
        </w:rPr>
        <w:t xml:space="preserve">. . . .  </w:t>
      </w:r>
      <w:r w:rsidRPr="003159E6">
        <w:rPr>
          <w:rFonts w:cs="Times New Roman"/>
        </w:rPr>
        <w:t xml:space="preserve">The rule of law is directly dependent on the ability of the courts to enforce their process and maintain their dignity and respect”: </w:t>
      </w:r>
      <w:r w:rsidRPr="003159E6">
        <w:rPr>
          <w:rFonts w:cs="Times New Roman"/>
          <w:i/>
        </w:rPr>
        <w:t>United Nurses of Alberta v. Alberta (Attorney General)</w:t>
      </w:r>
      <w:r w:rsidRPr="003159E6">
        <w:rPr>
          <w:rFonts w:cs="Times New Roman"/>
        </w:rPr>
        <w:t>, [1992] 1 S.C.R. 901</w:t>
      </w:r>
      <w:r>
        <w:rPr>
          <w:rFonts w:cs="Times New Roman"/>
        </w:rPr>
        <w:t>,</w:t>
      </w:r>
      <w:r w:rsidRPr="003159E6">
        <w:rPr>
          <w:rFonts w:cs="Times New Roman"/>
        </w:rPr>
        <w:t xml:space="preserve"> at</w:t>
      </w:r>
      <w:r>
        <w:rPr>
          <w:rFonts w:cs="Times New Roman"/>
        </w:rPr>
        <w:t xml:space="preserve"> p.</w:t>
      </w:r>
      <w:r w:rsidR="00E43CC0">
        <w:rPr>
          <w:rFonts w:cs="Times New Roman"/>
        </w:rPr>
        <w:t xml:space="preserve"> 931. It is well </w:t>
      </w:r>
      <w:r w:rsidRPr="003159E6">
        <w:rPr>
          <w:rFonts w:cs="Times New Roman"/>
        </w:rPr>
        <w:t>established that the purpose of a contempt order is “first and foremost a declaration that a p</w:t>
      </w:r>
      <w:r>
        <w:rPr>
          <w:rFonts w:cs="Times New Roman"/>
        </w:rPr>
        <w:t>arty has acted in defiance of a court</w:t>
      </w:r>
      <w:r w:rsidRPr="003159E6">
        <w:rPr>
          <w:rFonts w:cs="Times New Roman"/>
        </w:rPr>
        <w:t xml:space="preserve"> order”: </w:t>
      </w:r>
      <w:r w:rsidRPr="003159E6">
        <w:rPr>
          <w:rFonts w:cs="Times New Roman"/>
          <w:i/>
        </w:rPr>
        <w:t xml:space="preserve">Pro Swing Inc. v. </w:t>
      </w:r>
      <w:proofErr w:type="spellStart"/>
      <w:r w:rsidRPr="003159E6">
        <w:rPr>
          <w:rFonts w:cs="Times New Roman"/>
          <w:i/>
        </w:rPr>
        <w:t>Elta</w:t>
      </w:r>
      <w:proofErr w:type="spellEnd"/>
      <w:r w:rsidRPr="003159E6">
        <w:rPr>
          <w:rFonts w:cs="Times New Roman"/>
          <w:i/>
        </w:rPr>
        <w:t xml:space="preserve"> Golf Inc.</w:t>
      </w:r>
      <w:r w:rsidRPr="003159E6">
        <w:rPr>
          <w:rFonts w:cs="Times New Roman"/>
        </w:rPr>
        <w:t xml:space="preserve">, </w:t>
      </w:r>
      <w:r>
        <w:rPr>
          <w:rFonts w:cs="Times New Roman"/>
        </w:rPr>
        <w:t xml:space="preserve">2006 SCC 52, </w:t>
      </w:r>
      <w:r w:rsidRPr="003159E6">
        <w:rPr>
          <w:rFonts w:cs="Times New Roman"/>
        </w:rPr>
        <w:t>[2006] 2 S.C.R. 612</w:t>
      </w:r>
      <w:r>
        <w:rPr>
          <w:rFonts w:cs="Times New Roman"/>
        </w:rPr>
        <w:t>,</w:t>
      </w:r>
      <w:r w:rsidRPr="003159E6">
        <w:rPr>
          <w:rFonts w:cs="Times New Roman"/>
          <w:i/>
        </w:rPr>
        <w:t xml:space="preserve"> </w:t>
      </w:r>
      <w:r w:rsidRPr="003159E6">
        <w:rPr>
          <w:rFonts w:cs="Times New Roman"/>
        </w:rPr>
        <w:t xml:space="preserve">at para. 35, cited in </w:t>
      </w:r>
      <w:r w:rsidRPr="003159E6">
        <w:rPr>
          <w:rFonts w:cs="Times New Roman"/>
          <w:i/>
        </w:rPr>
        <w:t xml:space="preserve">Bell ExpressVu Limited Partnership v. </w:t>
      </w:r>
      <w:proofErr w:type="spellStart"/>
      <w:r w:rsidRPr="003159E6">
        <w:rPr>
          <w:rFonts w:cs="Times New Roman"/>
          <w:i/>
        </w:rPr>
        <w:t>Torroni</w:t>
      </w:r>
      <w:proofErr w:type="spellEnd"/>
      <w:r w:rsidRPr="003159E6">
        <w:rPr>
          <w:rFonts w:cs="Times New Roman"/>
        </w:rPr>
        <w:t>, 2009 ONCA 85, 94 O.R. (3d) 614</w:t>
      </w:r>
      <w:r>
        <w:rPr>
          <w:rFonts w:cs="Times New Roman"/>
        </w:rPr>
        <w:t>,</w:t>
      </w:r>
      <w:r w:rsidRPr="003159E6">
        <w:rPr>
          <w:rFonts w:cs="Times New Roman"/>
        </w:rPr>
        <w:t xml:space="preserve"> at para. 20.</w:t>
      </w:r>
    </w:p>
    <w:p w:rsidR="001C2A5E" w:rsidRPr="003159E6" w:rsidRDefault="001C2A5E" w:rsidP="001C2A5E">
      <w:pPr>
        <w:pStyle w:val="ParaNoNdepar-AltN"/>
        <w:rPr>
          <w:rFonts w:cs="Times New Roman"/>
        </w:rPr>
      </w:pPr>
      <w:r w:rsidRPr="003159E6">
        <w:rPr>
          <w:rFonts w:cs="Times New Roman"/>
        </w:rPr>
        <w:t xml:space="preserve">The common law has developed to recognize two forms of contempt of court: criminal contempt and civil contempt. The distinction, which the parties to this appeal accept, rests on the element of public defiance accompanying criminal contempt: see, </w:t>
      </w:r>
      <w:r w:rsidRPr="000818B9">
        <w:rPr>
          <w:rFonts w:cs="Times New Roman"/>
        </w:rPr>
        <w:t xml:space="preserve">e.g., </w:t>
      </w:r>
      <w:r w:rsidRPr="003159E6">
        <w:rPr>
          <w:rFonts w:cs="Times New Roman"/>
          <w:i/>
        </w:rPr>
        <w:t>United Nurses</w:t>
      </w:r>
      <w:r>
        <w:rPr>
          <w:rFonts w:cs="Times New Roman"/>
        </w:rPr>
        <w:t>,</w:t>
      </w:r>
      <w:r w:rsidRPr="003159E6">
        <w:rPr>
          <w:rFonts w:cs="Times New Roman"/>
          <w:i/>
        </w:rPr>
        <w:t xml:space="preserve"> </w:t>
      </w:r>
      <w:r w:rsidRPr="003159E6">
        <w:rPr>
          <w:rFonts w:cs="Times New Roman"/>
        </w:rPr>
        <w:t xml:space="preserve">at </w:t>
      </w:r>
      <w:r>
        <w:rPr>
          <w:rFonts w:cs="Times New Roman"/>
        </w:rPr>
        <w:t xml:space="preserve">p. </w:t>
      </w:r>
      <w:r w:rsidRPr="003159E6">
        <w:rPr>
          <w:rFonts w:cs="Times New Roman"/>
        </w:rPr>
        <w:t xml:space="preserve">931; </w:t>
      </w:r>
      <w:proofErr w:type="spellStart"/>
      <w:r w:rsidRPr="003159E6">
        <w:rPr>
          <w:rFonts w:cs="Times New Roman"/>
          <w:i/>
        </w:rPr>
        <w:t>Poje</w:t>
      </w:r>
      <w:proofErr w:type="spellEnd"/>
      <w:r w:rsidRPr="003159E6">
        <w:rPr>
          <w:rFonts w:cs="Times New Roman"/>
          <w:i/>
        </w:rPr>
        <w:t xml:space="preserve"> v. Attorney General for British Columbia</w:t>
      </w:r>
      <w:r w:rsidRPr="003159E6">
        <w:rPr>
          <w:rFonts w:cs="Times New Roman"/>
        </w:rPr>
        <w:t>, [1953] 1 S.C.R. 516</w:t>
      </w:r>
      <w:r>
        <w:rPr>
          <w:rFonts w:cs="Times New Roman"/>
        </w:rPr>
        <w:t>,</w:t>
      </w:r>
      <w:r w:rsidRPr="003159E6">
        <w:rPr>
          <w:rFonts w:cs="Times New Roman"/>
        </w:rPr>
        <w:t xml:space="preserve"> at</w:t>
      </w:r>
      <w:r>
        <w:rPr>
          <w:rFonts w:cs="Times New Roman"/>
        </w:rPr>
        <w:t xml:space="preserve"> p.</w:t>
      </w:r>
      <w:r w:rsidRPr="003159E6">
        <w:rPr>
          <w:rFonts w:cs="Times New Roman"/>
        </w:rPr>
        <w:t xml:space="preserve"> 522. With civil contempt, where there is no element of public defiance, the </w:t>
      </w:r>
      <w:r>
        <w:rPr>
          <w:rFonts w:cs="Times New Roman"/>
        </w:rPr>
        <w:t>matter is generally seen “</w:t>
      </w:r>
      <w:r w:rsidRPr="003159E6">
        <w:rPr>
          <w:rFonts w:cs="Times New Roman"/>
        </w:rPr>
        <w:t>primarily</w:t>
      </w:r>
      <w:r>
        <w:rPr>
          <w:rFonts w:cs="Times New Roman"/>
        </w:rPr>
        <w:t xml:space="preserve"> as</w:t>
      </w:r>
      <w:r w:rsidRPr="003159E6">
        <w:rPr>
          <w:rFonts w:cs="Times New Roman"/>
        </w:rPr>
        <w:t xml:space="preserve"> coercive rather than punitive</w:t>
      </w:r>
      <w:r>
        <w:rPr>
          <w:rFonts w:cs="Times New Roman"/>
        </w:rPr>
        <w:t>”</w:t>
      </w:r>
      <w:r w:rsidRPr="003159E6">
        <w:rPr>
          <w:rFonts w:cs="Times New Roman"/>
        </w:rPr>
        <w:t>: R</w:t>
      </w:r>
      <w:r>
        <w:rPr>
          <w:rFonts w:cs="Times New Roman"/>
        </w:rPr>
        <w:t xml:space="preserve">. </w:t>
      </w:r>
      <w:r w:rsidRPr="003159E6">
        <w:rPr>
          <w:rFonts w:cs="Times New Roman"/>
        </w:rPr>
        <w:t xml:space="preserve">J. Sharpe, </w:t>
      </w:r>
      <w:r w:rsidRPr="003159E6">
        <w:rPr>
          <w:rFonts w:cs="Times New Roman"/>
          <w:i/>
        </w:rPr>
        <w:t>Injunctions and Specific Performance</w:t>
      </w:r>
      <w:r>
        <w:rPr>
          <w:rFonts w:cs="Times New Roman"/>
          <w:i/>
        </w:rPr>
        <w:t xml:space="preserve"> </w:t>
      </w:r>
      <w:r>
        <w:rPr>
          <w:rFonts w:cs="Times New Roman"/>
        </w:rPr>
        <w:t>(2nd ed.</w:t>
      </w:r>
      <w:r w:rsidRPr="003159E6">
        <w:rPr>
          <w:rFonts w:cs="Times New Roman"/>
        </w:rPr>
        <w:t xml:space="preserve"> (loose-leaf)</w:t>
      </w:r>
      <w:r>
        <w:rPr>
          <w:rFonts w:cs="Times New Roman"/>
        </w:rPr>
        <w:t>),</w:t>
      </w:r>
      <w:r w:rsidRPr="003159E6">
        <w:rPr>
          <w:rFonts w:cs="Times New Roman"/>
        </w:rPr>
        <w:t xml:space="preserve"> at </w:t>
      </w:r>
      <w:r>
        <w:rPr>
          <w:rFonts w:cs="Times New Roman"/>
        </w:rPr>
        <w:t xml:space="preserve">¶ </w:t>
      </w:r>
      <w:r w:rsidRPr="003159E6">
        <w:rPr>
          <w:rFonts w:cs="Times New Roman"/>
        </w:rPr>
        <w:t xml:space="preserve">6.100. However, one purpose of sentencing for civil contempt is punishment for breaching a court order: </w:t>
      </w:r>
      <w:r w:rsidRPr="003159E6">
        <w:rPr>
          <w:rFonts w:cs="Times New Roman"/>
          <w:i/>
        </w:rPr>
        <w:t>Chiang (Trustee of) v. Chiang</w:t>
      </w:r>
      <w:r w:rsidRPr="003159E6">
        <w:rPr>
          <w:rFonts w:cs="Times New Roman"/>
        </w:rPr>
        <w:t>, 2009 ONCA 3, 305 D.L.R. (4th) 655</w:t>
      </w:r>
      <w:r>
        <w:rPr>
          <w:rFonts w:cs="Times New Roman"/>
        </w:rPr>
        <w:t>,</w:t>
      </w:r>
      <w:r w:rsidRPr="003159E6">
        <w:rPr>
          <w:rFonts w:cs="Times New Roman"/>
        </w:rPr>
        <w:t xml:space="preserve"> at para. 117. Courts sometimes impose substantial fines to match the gravity of the contempt, to deter the contemnor’s continuing conduct and to deter others from comparable conduct: Sharpe</w:t>
      </w:r>
      <w:r>
        <w:rPr>
          <w:rFonts w:cs="Times New Roman"/>
        </w:rPr>
        <w:t>,</w:t>
      </w:r>
      <w:r w:rsidRPr="003159E6">
        <w:rPr>
          <w:rFonts w:cs="Times New Roman"/>
        </w:rPr>
        <w:t xml:space="preserve"> at </w:t>
      </w:r>
      <w:r>
        <w:rPr>
          <w:rFonts w:cs="Times New Roman"/>
        </w:rPr>
        <w:t xml:space="preserve">¶ </w:t>
      </w:r>
      <w:r w:rsidRPr="003159E6">
        <w:rPr>
          <w:rFonts w:cs="Times New Roman"/>
        </w:rPr>
        <w:t>6.100.</w:t>
      </w:r>
    </w:p>
    <w:p w:rsidR="001C2A5E" w:rsidRPr="003159E6" w:rsidRDefault="001C2A5E" w:rsidP="001C2A5E">
      <w:pPr>
        <w:pStyle w:val="ParaNoNdepar-AltN"/>
        <w:rPr>
          <w:rFonts w:cs="Times New Roman"/>
        </w:rPr>
      </w:pPr>
      <w:r w:rsidRPr="003159E6">
        <w:rPr>
          <w:rFonts w:cs="Times New Roman"/>
        </w:rPr>
        <w:t xml:space="preserve">Civil contempt has three elements which must be established beyond a reasonable doubt: </w:t>
      </w:r>
      <w:r w:rsidRPr="003159E6">
        <w:rPr>
          <w:rFonts w:cs="Times New Roman"/>
          <w:i/>
        </w:rPr>
        <w:t xml:space="preserve">Prescott-Russell Services for Children and Adults v. G. (N.) </w:t>
      </w:r>
      <w:r w:rsidRPr="003159E6">
        <w:rPr>
          <w:rFonts w:cs="Times New Roman"/>
        </w:rPr>
        <w:t>(200</w:t>
      </w:r>
      <w:r w:rsidR="00250AA7">
        <w:rPr>
          <w:rFonts w:cs="Times New Roman"/>
        </w:rPr>
        <w:t>6</w:t>
      </w:r>
      <w:r w:rsidRPr="003159E6">
        <w:rPr>
          <w:rFonts w:cs="Times New Roman"/>
        </w:rPr>
        <w:t xml:space="preserve">), </w:t>
      </w:r>
      <w:r w:rsidRPr="003159E6">
        <w:rPr>
          <w:rFonts w:cs="Times New Roman"/>
        </w:rPr>
        <w:lastRenderedPageBreak/>
        <w:t xml:space="preserve">82 O.R. (3d) 686 </w:t>
      </w:r>
      <w:r>
        <w:rPr>
          <w:rFonts w:cs="Times New Roman"/>
        </w:rPr>
        <w:t xml:space="preserve">(C.A.), </w:t>
      </w:r>
      <w:r w:rsidRPr="003159E6">
        <w:rPr>
          <w:rFonts w:cs="Times New Roman"/>
        </w:rPr>
        <w:t>at para. 27</w:t>
      </w:r>
      <w:r>
        <w:rPr>
          <w:rFonts w:cs="Times New Roman"/>
        </w:rPr>
        <w:t>;</w:t>
      </w:r>
      <w:r w:rsidRPr="003159E6">
        <w:rPr>
          <w:rFonts w:cs="Times New Roman"/>
        </w:rPr>
        <w:t xml:space="preserve"> </w:t>
      </w:r>
      <w:r w:rsidRPr="003159E6">
        <w:rPr>
          <w:rFonts w:cs="Times New Roman"/>
          <w:i/>
        </w:rPr>
        <w:t>College of Optometrists</w:t>
      </w:r>
      <w:r>
        <w:rPr>
          <w:rFonts w:cs="Times New Roman"/>
          <w:i/>
        </w:rPr>
        <w:t>,</w:t>
      </w:r>
      <w:r w:rsidRPr="003159E6">
        <w:rPr>
          <w:rFonts w:cs="Times New Roman"/>
          <w:i/>
        </w:rPr>
        <w:t xml:space="preserve"> </w:t>
      </w:r>
      <w:r>
        <w:rPr>
          <w:rFonts w:cs="Times New Roman"/>
        </w:rPr>
        <w:t>at para. 71;</w:t>
      </w:r>
      <w:r w:rsidRPr="003159E6">
        <w:rPr>
          <w:rFonts w:cs="Times New Roman"/>
        </w:rPr>
        <w:t xml:space="preserve"> </w:t>
      </w:r>
      <w:proofErr w:type="spellStart"/>
      <w:r w:rsidRPr="003159E6">
        <w:rPr>
          <w:rFonts w:cs="Times New Roman"/>
          <w:i/>
        </w:rPr>
        <w:t>Bhatnager</w:t>
      </w:r>
      <w:proofErr w:type="spellEnd"/>
      <w:r w:rsidRPr="003159E6">
        <w:rPr>
          <w:rFonts w:cs="Times New Roman"/>
          <w:i/>
        </w:rPr>
        <w:t xml:space="preserve"> v. Canada (Minister of Employment and Immigration)</w:t>
      </w:r>
      <w:r w:rsidRPr="003159E6">
        <w:rPr>
          <w:rFonts w:cs="Times New Roman"/>
        </w:rPr>
        <w:t>, [1990] 2 S.C.R. 217</w:t>
      </w:r>
      <w:r>
        <w:rPr>
          <w:rFonts w:cs="Times New Roman"/>
        </w:rPr>
        <w:t>,</w:t>
      </w:r>
      <w:r w:rsidRPr="003159E6">
        <w:rPr>
          <w:rFonts w:cs="Times New Roman"/>
        </w:rPr>
        <w:t xml:space="preserve"> at </w:t>
      </w:r>
      <w:r>
        <w:rPr>
          <w:rFonts w:cs="Times New Roman"/>
        </w:rPr>
        <w:t>pp. 224-</w:t>
      </w:r>
      <w:r w:rsidRPr="003159E6">
        <w:rPr>
          <w:rFonts w:cs="Times New Roman"/>
        </w:rPr>
        <w:t>25</w:t>
      </w:r>
      <w:r>
        <w:rPr>
          <w:rFonts w:cs="Times New Roman"/>
        </w:rPr>
        <w:t>;</w:t>
      </w:r>
      <w:r w:rsidRPr="003159E6">
        <w:rPr>
          <w:rFonts w:cs="Times New Roman"/>
        </w:rPr>
        <w:t xml:space="preserve"> </w:t>
      </w:r>
      <w:r w:rsidRPr="003159E6">
        <w:rPr>
          <w:rFonts w:cs="Times New Roman"/>
          <w:i/>
        </w:rPr>
        <w:t>Jackson v. Honey</w:t>
      </w:r>
      <w:r w:rsidRPr="003159E6">
        <w:rPr>
          <w:rFonts w:cs="Times New Roman"/>
        </w:rPr>
        <w:t>, 2009 BCCA 112, 267 B.C.A.C. 210</w:t>
      </w:r>
      <w:r>
        <w:rPr>
          <w:rFonts w:cs="Times New Roman"/>
        </w:rPr>
        <w:t>,</w:t>
      </w:r>
      <w:r w:rsidRPr="003159E6">
        <w:rPr>
          <w:rFonts w:cs="Times New Roman"/>
        </w:rPr>
        <w:t xml:space="preserve"> at paras. 12-13</w:t>
      </w:r>
      <w:r>
        <w:rPr>
          <w:rFonts w:cs="Times New Roman"/>
        </w:rPr>
        <w:t>;</w:t>
      </w:r>
      <w:r w:rsidRPr="003159E6">
        <w:rPr>
          <w:rFonts w:cs="Times New Roman"/>
        </w:rPr>
        <w:t xml:space="preserve"> </w:t>
      </w:r>
      <w:r w:rsidRPr="003159E6">
        <w:rPr>
          <w:rFonts w:cs="Times New Roman"/>
          <w:i/>
        </w:rPr>
        <w:t>TG Industries</w:t>
      </w:r>
      <w:r>
        <w:rPr>
          <w:rFonts w:cs="Times New Roman"/>
          <w:i/>
        </w:rPr>
        <w:t xml:space="preserve"> Ltd. v. Williams</w:t>
      </w:r>
      <w:r>
        <w:rPr>
          <w:rFonts w:cs="Times New Roman"/>
        </w:rPr>
        <w:t>, 2001 NSCA 105, 196 N.S.R. (2d) 35,</w:t>
      </w:r>
      <w:r w:rsidRPr="003159E6">
        <w:rPr>
          <w:rFonts w:cs="Times New Roman"/>
        </w:rPr>
        <w:t xml:space="preserve"> at paras. 17 and 32</w:t>
      </w:r>
      <w:r>
        <w:rPr>
          <w:rFonts w:cs="Times New Roman"/>
        </w:rPr>
        <w:t>;</w:t>
      </w:r>
      <w:r w:rsidRPr="003159E6">
        <w:rPr>
          <w:rFonts w:cs="Times New Roman"/>
        </w:rPr>
        <w:t xml:space="preserve"> </w:t>
      </w:r>
      <w:r w:rsidRPr="003159E6">
        <w:rPr>
          <w:rFonts w:cs="Times New Roman"/>
          <w:i/>
        </w:rPr>
        <w:t>Godin v. Godin</w:t>
      </w:r>
      <w:r w:rsidRPr="003159E6">
        <w:rPr>
          <w:rFonts w:cs="Times New Roman"/>
        </w:rPr>
        <w:t>, 2012 NSCA 54</w:t>
      </w:r>
      <w:r>
        <w:rPr>
          <w:rFonts w:cs="Times New Roman"/>
        </w:rPr>
        <w:t>, 317 N.S.R. (2d) 204,</w:t>
      </w:r>
      <w:r w:rsidRPr="003159E6">
        <w:rPr>
          <w:rFonts w:cs="Times New Roman"/>
          <w:i/>
        </w:rPr>
        <w:t xml:space="preserve"> </w:t>
      </w:r>
      <w:r>
        <w:rPr>
          <w:rFonts w:cs="Times New Roman"/>
        </w:rPr>
        <w:t xml:space="preserve">at para. 47; </w:t>
      </w:r>
      <w:proofErr w:type="spellStart"/>
      <w:r w:rsidRPr="003159E6">
        <w:rPr>
          <w:rFonts w:cs="Times New Roman"/>
          <w:i/>
        </w:rPr>
        <w:t>Soper</w:t>
      </w:r>
      <w:proofErr w:type="spellEnd"/>
      <w:r w:rsidRPr="003159E6">
        <w:rPr>
          <w:rFonts w:cs="Times New Roman"/>
          <w:i/>
        </w:rPr>
        <w:t xml:space="preserve"> v. Gaudet</w:t>
      </w:r>
      <w:r w:rsidRPr="003159E6">
        <w:rPr>
          <w:rFonts w:cs="Times New Roman"/>
        </w:rPr>
        <w:t>, 2011 NSCA 11</w:t>
      </w:r>
      <w:r>
        <w:rPr>
          <w:rFonts w:cs="Times New Roman"/>
        </w:rPr>
        <w:t>, 298 N.S.R. (2d) 303,</w:t>
      </w:r>
      <w:r w:rsidRPr="003159E6">
        <w:rPr>
          <w:rFonts w:cs="Times New Roman"/>
        </w:rPr>
        <w:t xml:space="preserve"> at para. 2</w:t>
      </w:r>
      <w:r>
        <w:rPr>
          <w:rFonts w:cs="Times New Roman"/>
        </w:rPr>
        <w:t>3</w:t>
      </w:r>
      <w:r w:rsidRPr="003159E6">
        <w:rPr>
          <w:rFonts w:cs="Times New Roman"/>
        </w:rPr>
        <w:t xml:space="preserve">. These three elements, coupled with the heightened standard of proof, help to ensure that the potential penal consequences of a contempt finding ensue only in appropriate cases: </w:t>
      </w:r>
      <w:r w:rsidRPr="003159E6">
        <w:rPr>
          <w:rFonts w:cs="Times New Roman"/>
          <w:i/>
        </w:rPr>
        <w:t>Bell ExpressVu</w:t>
      </w:r>
      <w:r>
        <w:rPr>
          <w:rFonts w:cs="Times New Roman"/>
        </w:rPr>
        <w:t>,</w:t>
      </w:r>
      <w:r w:rsidRPr="003159E6">
        <w:rPr>
          <w:rFonts w:cs="Times New Roman"/>
        </w:rPr>
        <w:t xml:space="preserve"> at para. 22</w:t>
      </w:r>
      <w:r>
        <w:rPr>
          <w:rFonts w:cs="Times New Roman"/>
        </w:rPr>
        <w:t>;</w:t>
      </w:r>
      <w:r w:rsidRPr="003159E6">
        <w:rPr>
          <w:rFonts w:cs="Times New Roman"/>
        </w:rPr>
        <w:t xml:space="preserve"> </w:t>
      </w:r>
      <w:r w:rsidRPr="003159E6">
        <w:rPr>
          <w:rFonts w:cs="Times New Roman"/>
          <w:i/>
        </w:rPr>
        <w:t>Chiang</w:t>
      </w:r>
      <w:r>
        <w:rPr>
          <w:rFonts w:cs="Times New Roman"/>
        </w:rPr>
        <w:t>,</w:t>
      </w:r>
      <w:r w:rsidRPr="003159E6">
        <w:rPr>
          <w:rFonts w:cs="Times New Roman"/>
        </w:rPr>
        <w:t xml:space="preserve"> at paras. 10-11. </w:t>
      </w:r>
    </w:p>
    <w:p w:rsidR="001C2A5E" w:rsidRPr="003159E6" w:rsidRDefault="001C2A5E" w:rsidP="001C2A5E">
      <w:pPr>
        <w:pStyle w:val="ParaNoNdepar-AltN"/>
        <w:rPr>
          <w:rFonts w:cs="Times New Roman"/>
          <w:i/>
        </w:rPr>
      </w:pPr>
      <w:r w:rsidRPr="003159E6">
        <w:rPr>
          <w:rFonts w:cs="Times New Roman"/>
        </w:rPr>
        <w:t xml:space="preserve">The first element is that the order alleged to have been breached “must state clearly and unequivocally what should and should not be done”: </w:t>
      </w:r>
      <w:r w:rsidRPr="003159E6">
        <w:rPr>
          <w:rFonts w:cs="Times New Roman"/>
          <w:i/>
        </w:rPr>
        <w:t>Prescott-Russell</w:t>
      </w:r>
      <w:r>
        <w:rPr>
          <w:rFonts w:cs="Times New Roman"/>
        </w:rPr>
        <w:t>,</w:t>
      </w:r>
      <w:r w:rsidRPr="003159E6">
        <w:rPr>
          <w:rFonts w:cs="Times New Roman"/>
        </w:rPr>
        <w:t xml:space="preserve"> at para. 27; </w:t>
      </w:r>
      <w:r w:rsidRPr="003159E6">
        <w:rPr>
          <w:rFonts w:cs="Times New Roman"/>
          <w:i/>
        </w:rPr>
        <w:t>Bell ExpressVu</w:t>
      </w:r>
      <w:r>
        <w:rPr>
          <w:rFonts w:cs="Times New Roman"/>
        </w:rPr>
        <w:t>,</w:t>
      </w:r>
      <w:r w:rsidRPr="003159E6">
        <w:rPr>
          <w:rFonts w:cs="Times New Roman"/>
        </w:rPr>
        <w:t xml:space="preserve"> at para. 28, citing with approval </w:t>
      </w:r>
      <w:proofErr w:type="spellStart"/>
      <w:r w:rsidRPr="003159E6">
        <w:rPr>
          <w:rFonts w:cs="Times New Roman"/>
          <w:i/>
        </w:rPr>
        <w:t>Jaskhs</w:t>
      </w:r>
      <w:proofErr w:type="spellEnd"/>
      <w:r w:rsidRPr="003159E6">
        <w:rPr>
          <w:rFonts w:cs="Times New Roman"/>
          <w:i/>
        </w:rPr>
        <w:t xml:space="preserve"> Enterprises Inc. v. Indus Corp.</w:t>
      </w:r>
      <w:r w:rsidRPr="003159E6">
        <w:rPr>
          <w:rFonts w:cs="Times New Roman"/>
        </w:rPr>
        <w:t xml:space="preserve">, 2004 </w:t>
      </w:r>
      <w:proofErr w:type="spellStart"/>
      <w:r w:rsidRPr="003159E6">
        <w:rPr>
          <w:rFonts w:cs="Times New Roman"/>
        </w:rPr>
        <w:t>CanLII</w:t>
      </w:r>
      <w:proofErr w:type="spellEnd"/>
      <w:r w:rsidRPr="003159E6">
        <w:rPr>
          <w:rFonts w:cs="Times New Roman"/>
        </w:rPr>
        <w:t xml:space="preserve"> 32262 (Ont.</w:t>
      </w:r>
      <w:r>
        <w:rPr>
          <w:rFonts w:cs="Times New Roman"/>
        </w:rPr>
        <w:t xml:space="preserve"> S.C.J.</w:t>
      </w:r>
      <w:r w:rsidRPr="003159E6">
        <w:rPr>
          <w:rFonts w:cs="Times New Roman"/>
        </w:rPr>
        <w:t>)</w:t>
      </w:r>
      <w:r>
        <w:rPr>
          <w:rFonts w:cs="Times New Roman"/>
        </w:rPr>
        <w:t>, at para. 40</w:t>
      </w:r>
      <w:r w:rsidRPr="003159E6">
        <w:rPr>
          <w:rFonts w:cs="Times New Roman"/>
        </w:rPr>
        <w:t>. This requirement of clarity ensures that a party will not be found in contempt</w:t>
      </w:r>
      <w:r>
        <w:rPr>
          <w:rFonts w:cs="Times New Roman"/>
        </w:rPr>
        <w:t xml:space="preserve"> where an order is unclear:</w:t>
      </w:r>
      <w:r w:rsidRPr="003159E6">
        <w:rPr>
          <w:rFonts w:cs="Times New Roman"/>
        </w:rPr>
        <w:t xml:space="preserve"> </w:t>
      </w:r>
      <w:r w:rsidRPr="003159E6">
        <w:rPr>
          <w:rFonts w:cs="Times New Roman"/>
          <w:i/>
        </w:rPr>
        <w:t>Pro Swing</w:t>
      </w:r>
      <w:r>
        <w:rPr>
          <w:rFonts w:cs="Times New Roman"/>
        </w:rPr>
        <w:t>,</w:t>
      </w:r>
      <w:r w:rsidRPr="003159E6">
        <w:rPr>
          <w:rFonts w:cs="Times New Roman"/>
        </w:rPr>
        <w:t xml:space="preserve"> at para. 24</w:t>
      </w:r>
      <w:r>
        <w:rPr>
          <w:rFonts w:cs="Times New Roman"/>
        </w:rPr>
        <w:t>;</w:t>
      </w:r>
      <w:r w:rsidRPr="003159E6">
        <w:rPr>
          <w:rFonts w:cs="Times New Roman"/>
        </w:rPr>
        <w:t xml:space="preserve"> </w:t>
      </w:r>
      <w:r w:rsidRPr="003159E6">
        <w:rPr>
          <w:rFonts w:cs="Times New Roman"/>
          <w:i/>
        </w:rPr>
        <w:t>Bell ExpressVu</w:t>
      </w:r>
      <w:r>
        <w:rPr>
          <w:rFonts w:cs="Times New Roman"/>
        </w:rPr>
        <w:t>, at</w:t>
      </w:r>
      <w:r w:rsidRPr="003159E6">
        <w:rPr>
          <w:rFonts w:cs="Times New Roman"/>
        </w:rPr>
        <w:t xml:space="preserve"> para. 22. An order may be found to</w:t>
      </w:r>
      <w:r>
        <w:rPr>
          <w:rFonts w:cs="Times New Roman"/>
        </w:rPr>
        <w:t xml:space="preserve"> be unclear</w:t>
      </w:r>
      <w:r w:rsidRPr="003159E6">
        <w:rPr>
          <w:rFonts w:cs="Times New Roman"/>
        </w:rPr>
        <w:t xml:space="preserve"> if, for example, it is missing an essential detail about where, when or to whom it applies; if it incorporates overly broad language; or if external circumstances have obscured its meaning: </w:t>
      </w:r>
      <w:proofErr w:type="spellStart"/>
      <w:r w:rsidRPr="003159E6">
        <w:rPr>
          <w:rFonts w:cs="Times New Roman"/>
          <w:i/>
        </w:rPr>
        <w:t>Culligan</w:t>
      </w:r>
      <w:proofErr w:type="spellEnd"/>
      <w:r w:rsidRPr="003159E6">
        <w:rPr>
          <w:rFonts w:cs="Times New Roman"/>
          <w:i/>
        </w:rPr>
        <w:t xml:space="preserve"> Canada Ltd. v. Fettes</w:t>
      </w:r>
      <w:r w:rsidRPr="003159E6">
        <w:rPr>
          <w:rFonts w:cs="Times New Roman"/>
        </w:rPr>
        <w:t>, 2010 SKCA 151, 326 D.L.R. (4th) 463</w:t>
      </w:r>
      <w:r>
        <w:rPr>
          <w:rFonts w:cs="Times New Roman"/>
        </w:rPr>
        <w:t>,</w:t>
      </w:r>
      <w:r w:rsidRPr="003159E6">
        <w:rPr>
          <w:rFonts w:cs="Times New Roman"/>
        </w:rPr>
        <w:t xml:space="preserve"> at para. 21.</w:t>
      </w:r>
    </w:p>
    <w:p w:rsidR="001C2A5E" w:rsidRPr="003159E6" w:rsidRDefault="001C2A5E" w:rsidP="001C2A5E">
      <w:pPr>
        <w:pStyle w:val="ParaNoNdepar-AltN"/>
        <w:rPr>
          <w:rFonts w:cs="Times New Roman"/>
        </w:rPr>
      </w:pPr>
      <w:r w:rsidRPr="003159E6">
        <w:rPr>
          <w:rFonts w:cs="Times New Roman"/>
        </w:rPr>
        <w:t xml:space="preserve">The second element is that the party alleged to have breached the order must have had actual knowledge of it: </w:t>
      </w:r>
      <w:proofErr w:type="spellStart"/>
      <w:r w:rsidRPr="003159E6">
        <w:rPr>
          <w:rFonts w:cs="Times New Roman"/>
          <w:i/>
        </w:rPr>
        <w:t>Bhatnager</w:t>
      </w:r>
      <w:proofErr w:type="spellEnd"/>
      <w:r>
        <w:rPr>
          <w:rFonts w:cs="Times New Roman"/>
        </w:rPr>
        <w:t>,</w:t>
      </w:r>
      <w:r w:rsidRPr="003159E6">
        <w:rPr>
          <w:rFonts w:cs="Times New Roman"/>
          <w:i/>
        </w:rPr>
        <w:t xml:space="preserve"> </w:t>
      </w:r>
      <w:r w:rsidRPr="003159E6">
        <w:rPr>
          <w:rFonts w:cs="Times New Roman"/>
        </w:rPr>
        <w:t>at</w:t>
      </w:r>
      <w:r>
        <w:rPr>
          <w:rFonts w:cs="Times New Roman"/>
        </w:rPr>
        <w:t xml:space="preserve"> p.</w:t>
      </w:r>
      <w:r w:rsidRPr="003159E6">
        <w:rPr>
          <w:rFonts w:cs="Times New Roman"/>
        </w:rPr>
        <w:t xml:space="preserve"> 226</w:t>
      </w:r>
      <w:r>
        <w:rPr>
          <w:rFonts w:cs="Times New Roman"/>
        </w:rPr>
        <w:t>;</w:t>
      </w:r>
      <w:r w:rsidRPr="003159E6">
        <w:rPr>
          <w:rFonts w:cs="Times New Roman"/>
        </w:rPr>
        <w:t xml:space="preserve"> </w:t>
      </w:r>
      <w:r>
        <w:rPr>
          <w:rFonts w:cs="Times New Roman"/>
          <w:i/>
        </w:rPr>
        <w:t>College of Optometrists</w:t>
      </w:r>
      <w:r>
        <w:rPr>
          <w:rFonts w:cs="Times New Roman"/>
        </w:rPr>
        <w:t>,</w:t>
      </w:r>
      <w:r w:rsidRPr="003159E6">
        <w:rPr>
          <w:rFonts w:cs="Times New Roman"/>
        </w:rPr>
        <w:t xml:space="preserve"> </w:t>
      </w:r>
      <w:r w:rsidRPr="003159E6">
        <w:rPr>
          <w:rFonts w:cs="Times New Roman"/>
        </w:rPr>
        <w:lastRenderedPageBreak/>
        <w:t>at para. 71. It may be possible to infer knowledge in the circumstances</w:t>
      </w:r>
      <w:r>
        <w:rPr>
          <w:rFonts w:cs="Times New Roman"/>
        </w:rPr>
        <w:t>,</w:t>
      </w:r>
      <w:r w:rsidRPr="003159E6">
        <w:rPr>
          <w:rFonts w:cs="Times New Roman"/>
        </w:rPr>
        <w:t xml:space="preserve"> or an alleged contemnor may attract liability on the basis of the wilful blindness doctrine</w:t>
      </w:r>
      <w:r>
        <w:rPr>
          <w:rFonts w:cs="Times New Roman"/>
        </w:rPr>
        <w:t xml:space="preserve"> (</w:t>
      </w:r>
      <w:r>
        <w:rPr>
          <w:rFonts w:cs="Times New Roman"/>
          <w:i/>
        </w:rPr>
        <w:t>ibid.</w:t>
      </w:r>
      <w:r>
        <w:rPr>
          <w:rFonts w:cs="Times New Roman"/>
        </w:rPr>
        <w:t>).</w:t>
      </w:r>
    </w:p>
    <w:p w:rsidR="001C2A5E" w:rsidRPr="003159E6" w:rsidRDefault="001C2A5E" w:rsidP="001C2A5E">
      <w:pPr>
        <w:pStyle w:val="ParaNoNdepar-AltN"/>
        <w:rPr>
          <w:rFonts w:cs="Times New Roman"/>
          <w:i/>
        </w:rPr>
      </w:pPr>
      <w:r w:rsidRPr="003159E6">
        <w:rPr>
          <w:rFonts w:cs="Times New Roman"/>
        </w:rPr>
        <w:t xml:space="preserve">Finally, the party allegedly in breach must have intentionally done the act that the order prohibits or intentionally failed to do the act that the order compels: </w:t>
      </w:r>
      <w:r w:rsidRPr="003159E6">
        <w:rPr>
          <w:rFonts w:cs="Times New Roman"/>
          <w:i/>
        </w:rPr>
        <w:t>Sheppard v. Sheppard</w:t>
      </w:r>
      <w:r>
        <w:rPr>
          <w:rFonts w:cs="Times New Roman"/>
        </w:rPr>
        <w:t xml:space="preserve"> (1976</w:t>
      </w:r>
      <w:r w:rsidRPr="003159E6">
        <w:rPr>
          <w:rFonts w:cs="Times New Roman"/>
        </w:rPr>
        <w:t>), 12 O.R. (2d) 4 (C.A.)</w:t>
      </w:r>
      <w:r w:rsidR="00250AA7">
        <w:rPr>
          <w:rFonts w:cs="Times New Roman"/>
        </w:rPr>
        <w:t>,</w:t>
      </w:r>
      <w:r>
        <w:rPr>
          <w:rFonts w:cs="Times New Roman"/>
        </w:rPr>
        <w:t xml:space="preserve"> at p. 8</w:t>
      </w:r>
      <w:r w:rsidRPr="003159E6">
        <w:rPr>
          <w:rFonts w:cs="Times New Roman"/>
        </w:rPr>
        <w:t>. The meaning of this element is one of the main points in contention on appeal and I will turn to consider it in more detail momentarily.</w:t>
      </w:r>
    </w:p>
    <w:p w:rsidR="001C2A5E" w:rsidRPr="003159E6" w:rsidRDefault="001C2A5E" w:rsidP="001C2A5E">
      <w:pPr>
        <w:pStyle w:val="ParaNoNdepar-AltN"/>
        <w:rPr>
          <w:rFonts w:cs="Times New Roman"/>
        </w:rPr>
      </w:pPr>
      <w:r w:rsidRPr="003159E6">
        <w:rPr>
          <w:rFonts w:cs="Times New Roman"/>
        </w:rPr>
        <w:t>The contempt power is discretionary and courts have consistently discouraged its routine use to obtain compliance with court orders: see</w:t>
      </w:r>
      <w:r>
        <w:rPr>
          <w:rFonts w:cs="Times New Roman"/>
        </w:rPr>
        <w:t>,</w:t>
      </w:r>
      <w:r w:rsidRPr="003159E6">
        <w:rPr>
          <w:rFonts w:cs="Times New Roman"/>
        </w:rPr>
        <w:t xml:space="preserve"> </w:t>
      </w:r>
      <w:r w:rsidRPr="000818B9">
        <w:rPr>
          <w:rFonts w:cs="Times New Roman"/>
        </w:rPr>
        <w:t>e.g.,</w:t>
      </w:r>
      <w:r w:rsidRPr="003159E6">
        <w:rPr>
          <w:rFonts w:cs="Times New Roman"/>
        </w:rPr>
        <w:t xml:space="preserve"> </w:t>
      </w:r>
      <w:proofErr w:type="spellStart"/>
      <w:r w:rsidRPr="003159E6">
        <w:rPr>
          <w:rFonts w:cs="Times New Roman"/>
          <w:i/>
        </w:rPr>
        <w:t>Hefkey</w:t>
      </w:r>
      <w:proofErr w:type="spellEnd"/>
      <w:r w:rsidRPr="003159E6">
        <w:rPr>
          <w:rFonts w:cs="Times New Roman"/>
          <w:i/>
        </w:rPr>
        <w:t xml:space="preserve"> v. </w:t>
      </w:r>
      <w:proofErr w:type="spellStart"/>
      <w:r w:rsidRPr="003159E6">
        <w:rPr>
          <w:rFonts w:cs="Times New Roman"/>
          <w:i/>
        </w:rPr>
        <w:t>Hefkey</w:t>
      </w:r>
      <w:proofErr w:type="spellEnd"/>
      <w:r w:rsidRPr="003159E6">
        <w:rPr>
          <w:rFonts w:cs="Times New Roman"/>
        </w:rPr>
        <w:t>, 2013 ONCA 44</w:t>
      </w:r>
      <w:r>
        <w:rPr>
          <w:rFonts w:cs="Times New Roman"/>
        </w:rPr>
        <w:t>, 30 R.F.L. (7th) 65,</w:t>
      </w:r>
      <w:r w:rsidRPr="003159E6">
        <w:rPr>
          <w:rFonts w:cs="Times New Roman"/>
        </w:rPr>
        <w:t xml:space="preserve"> at para. 3. If contempt is found too easily, “a court’s outrage might be treated as just so much bluster that might ultimately cheapen the role and authority of the very judicial power it seeks to protect”: </w:t>
      </w:r>
      <w:r w:rsidRPr="003159E6">
        <w:rPr>
          <w:rFonts w:cs="Times New Roman"/>
          <w:i/>
        </w:rPr>
        <w:t xml:space="preserve">Centre commercial Les </w:t>
      </w:r>
      <w:proofErr w:type="spellStart"/>
      <w:r w:rsidRPr="003159E6">
        <w:rPr>
          <w:rFonts w:cs="Times New Roman"/>
          <w:i/>
        </w:rPr>
        <w:t>Rivières</w:t>
      </w:r>
      <w:proofErr w:type="spellEnd"/>
      <w:r w:rsidRPr="003159E6">
        <w:rPr>
          <w:rFonts w:cs="Times New Roman"/>
          <w:i/>
        </w:rPr>
        <w:t xml:space="preserve"> </w:t>
      </w:r>
      <w:proofErr w:type="spellStart"/>
      <w:r w:rsidRPr="003159E6">
        <w:rPr>
          <w:rFonts w:cs="Times New Roman"/>
          <w:i/>
        </w:rPr>
        <w:t>ltée</w:t>
      </w:r>
      <w:proofErr w:type="spellEnd"/>
      <w:r w:rsidRPr="003159E6">
        <w:rPr>
          <w:rFonts w:cs="Times New Roman"/>
          <w:i/>
        </w:rPr>
        <w:t xml:space="preserve"> v. Jean Bleu inc.</w:t>
      </w:r>
      <w:r w:rsidRPr="003159E6">
        <w:rPr>
          <w:rFonts w:cs="Times New Roman"/>
        </w:rPr>
        <w:t>, 2012 QCCA 1663</w:t>
      </w:r>
      <w:r>
        <w:rPr>
          <w:rFonts w:cs="Times New Roman"/>
        </w:rPr>
        <w:t>,</w:t>
      </w:r>
      <w:r w:rsidRPr="003159E6">
        <w:rPr>
          <w:rFonts w:cs="Times New Roman"/>
        </w:rPr>
        <w:t xml:space="preserve"> at para. 7. As this Court has affirmed, “contempt of court cannot be reduced to a mere means of enforcing judgments”: </w:t>
      </w:r>
      <w:proofErr w:type="spellStart"/>
      <w:r w:rsidRPr="003159E6">
        <w:rPr>
          <w:rFonts w:cs="Times New Roman"/>
          <w:i/>
        </w:rPr>
        <w:t>Vidéotron</w:t>
      </w:r>
      <w:proofErr w:type="spellEnd"/>
      <w:r w:rsidRPr="003159E6">
        <w:rPr>
          <w:rFonts w:cs="Times New Roman"/>
          <w:i/>
        </w:rPr>
        <w:t xml:space="preserve"> </w:t>
      </w:r>
      <w:proofErr w:type="spellStart"/>
      <w:r w:rsidRPr="003159E6">
        <w:rPr>
          <w:rFonts w:cs="Times New Roman"/>
          <w:i/>
        </w:rPr>
        <w:t>Ltée</w:t>
      </w:r>
      <w:proofErr w:type="spellEnd"/>
      <w:r w:rsidRPr="003159E6">
        <w:rPr>
          <w:rFonts w:cs="Times New Roman"/>
          <w:i/>
        </w:rPr>
        <w:t xml:space="preserve"> v. Industries </w:t>
      </w:r>
      <w:proofErr w:type="spellStart"/>
      <w:r w:rsidRPr="003159E6">
        <w:rPr>
          <w:rFonts w:cs="Times New Roman"/>
          <w:i/>
        </w:rPr>
        <w:t>Microlec</w:t>
      </w:r>
      <w:proofErr w:type="spellEnd"/>
      <w:r w:rsidRPr="003159E6">
        <w:rPr>
          <w:rFonts w:cs="Times New Roman"/>
          <w:i/>
        </w:rPr>
        <w:t xml:space="preserve"> </w:t>
      </w:r>
      <w:proofErr w:type="spellStart"/>
      <w:r w:rsidRPr="003159E6">
        <w:rPr>
          <w:rFonts w:cs="Times New Roman"/>
          <w:i/>
        </w:rPr>
        <w:t>Produits</w:t>
      </w:r>
      <w:proofErr w:type="spellEnd"/>
      <w:r w:rsidRPr="003159E6">
        <w:rPr>
          <w:rFonts w:cs="Times New Roman"/>
          <w:i/>
        </w:rPr>
        <w:t xml:space="preserve"> </w:t>
      </w:r>
      <w:proofErr w:type="spellStart"/>
      <w:r w:rsidRPr="003159E6">
        <w:rPr>
          <w:rFonts w:cs="Times New Roman"/>
          <w:i/>
        </w:rPr>
        <w:t>Électroniques</w:t>
      </w:r>
      <w:proofErr w:type="spellEnd"/>
      <w:r w:rsidRPr="003159E6">
        <w:rPr>
          <w:rFonts w:cs="Times New Roman"/>
          <w:i/>
        </w:rPr>
        <w:t xml:space="preserve"> Inc.</w:t>
      </w:r>
      <w:r w:rsidRPr="003159E6">
        <w:rPr>
          <w:rFonts w:cs="Times New Roman"/>
        </w:rPr>
        <w:t>, [1992] 2 S.C.R. 1065</w:t>
      </w:r>
      <w:r>
        <w:rPr>
          <w:rFonts w:cs="Times New Roman"/>
        </w:rPr>
        <w:t>,</w:t>
      </w:r>
      <w:r w:rsidRPr="003159E6">
        <w:rPr>
          <w:rFonts w:cs="Times New Roman"/>
        </w:rPr>
        <w:t xml:space="preserve"> at </w:t>
      </w:r>
      <w:r>
        <w:rPr>
          <w:rFonts w:cs="Times New Roman"/>
        </w:rPr>
        <w:t xml:space="preserve">p. </w:t>
      </w:r>
      <w:r w:rsidRPr="003159E6">
        <w:rPr>
          <w:rFonts w:cs="Times New Roman"/>
        </w:rPr>
        <w:t xml:space="preserve">1078, citing </w:t>
      </w:r>
      <w:r>
        <w:rPr>
          <w:rFonts w:cs="Times New Roman"/>
          <w:i/>
        </w:rPr>
        <w:t>Daigle v</w:t>
      </w:r>
      <w:r w:rsidRPr="003159E6">
        <w:rPr>
          <w:rFonts w:cs="Times New Roman"/>
          <w:i/>
        </w:rPr>
        <w:t>. St-Gabriel-de-Brandon (</w:t>
      </w:r>
      <w:proofErr w:type="spellStart"/>
      <w:r w:rsidRPr="003159E6">
        <w:rPr>
          <w:rFonts w:cs="Times New Roman"/>
          <w:i/>
        </w:rPr>
        <w:t>Paroisse</w:t>
      </w:r>
      <w:proofErr w:type="spellEnd"/>
      <w:r w:rsidRPr="003159E6">
        <w:rPr>
          <w:rFonts w:cs="Times New Roman"/>
          <w:i/>
        </w:rPr>
        <w:t>)</w:t>
      </w:r>
      <w:r w:rsidRPr="003159E6">
        <w:rPr>
          <w:rFonts w:cs="Times New Roman"/>
        </w:rPr>
        <w:t>,</w:t>
      </w:r>
      <w:r>
        <w:rPr>
          <w:rFonts w:cs="Times New Roman"/>
        </w:rPr>
        <w:t xml:space="preserve"> [1991] R.D.J. 249 (Que. C.A.)</w:t>
      </w:r>
      <w:r w:rsidRPr="003159E6">
        <w:rPr>
          <w:rFonts w:cs="Times New Roman"/>
        </w:rPr>
        <w:t xml:space="preserve">. Rather, it should be used “cautiously and with great restraint”: </w:t>
      </w:r>
      <w:r w:rsidRPr="003159E6">
        <w:rPr>
          <w:rFonts w:cs="Times New Roman"/>
          <w:i/>
        </w:rPr>
        <w:t>TG Industries</w:t>
      </w:r>
      <w:r>
        <w:rPr>
          <w:rFonts w:cs="Times New Roman"/>
        </w:rPr>
        <w:t>,</w:t>
      </w:r>
      <w:r w:rsidRPr="003159E6">
        <w:rPr>
          <w:rFonts w:cs="Times New Roman"/>
          <w:i/>
        </w:rPr>
        <w:t xml:space="preserve"> </w:t>
      </w:r>
      <w:r w:rsidRPr="003159E6">
        <w:rPr>
          <w:rFonts w:cs="Times New Roman"/>
        </w:rPr>
        <w:t xml:space="preserve">at para. 32. It is an enforcement power of last rather than first resort: </w:t>
      </w:r>
      <w:proofErr w:type="spellStart"/>
      <w:r w:rsidRPr="003159E6">
        <w:rPr>
          <w:rFonts w:cs="Times New Roman"/>
          <w:i/>
        </w:rPr>
        <w:t>Hefkey</w:t>
      </w:r>
      <w:proofErr w:type="spellEnd"/>
      <w:r>
        <w:rPr>
          <w:rFonts w:cs="Times New Roman"/>
        </w:rPr>
        <w:t>,</w:t>
      </w:r>
      <w:r w:rsidRPr="003159E6">
        <w:rPr>
          <w:rFonts w:cs="Times New Roman"/>
          <w:i/>
        </w:rPr>
        <w:t xml:space="preserve"> </w:t>
      </w:r>
      <w:r w:rsidRPr="003159E6">
        <w:rPr>
          <w:rFonts w:cs="Times New Roman"/>
        </w:rPr>
        <w:t xml:space="preserve">at para. 3; </w:t>
      </w:r>
      <w:r w:rsidRPr="003159E6">
        <w:rPr>
          <w:rFonts w:cs="Times New Roman"/>
          <w:i/>
        </w:rPr>
        <w:t>St. Elizabeth Home Society v. Hamilton (City)</w:t>
      </w:r>
      <w:r w:rsidRPr="003159E6">
        <w:rPr>
          <w:rFonts w:cs="Times New Roman"/>
        </w:rPr>
        <w:t>, 2008 ONCA 182, 89 O.R. (3d) 81</w:t>
      </w:r>
      <w:r>
        <w:rPr>
          <w:rFonts w:cs="Times New Roman"/>
        </w:rPr>
        <w:t>,</w:t>
      </w:r>
      <w:r w:rsidRPr="003159E6">
        <w:rPr>
          <w:rFonts w:cs="Times New Roman"/>
        </w:rPr>
        <w:t xml:space="preserve"> at paras. </w:t>
      </w:r>
      <w:r w:rsidRPr="003159E6">
        <w:rPr>
          <w:rFonts w:cs="Times New Roman"/>
          <w:lang w:val="fr-FR"/>
        </w:rPr>
        <w:t xml:space="preserve">41-43; </w:t>
      </w:r>
      <w:r w:rsidRPr="003159E6">
        <w:rPr>
          <w:rFonts w:cs="Times New Roman"/>
          <w:i/>
          <w:lang w:val="fr-FR"/>
        </w:rPr>
        <w:t xml:space="preserve">Centre commercial Les Rivières </w:t>
      </w:r>
      <w:proofErr w:type="spellStart"/>
      <w:r w:rsidRPr="003159E6">
        <w:rPr>
          <w:rFonts w:cs="Times New Roman"/>
          <w:i/>
          <w:lang w:val="fr-FR"/>
        </w:rPr>
        <w:t>ltée</w:t>
      </w:r>
      <w:proofErr w:type="spellEnd"/>
      <w:r>
        <w:rPr>
          <w:rFonts w:cs="Times New Roman"/>
          <w:lang w:val="fr-FR"/>
        </w:rPr>
        <w:t>,</w:t>
      </w:r>
      <w:r w:rsidRPr="003159E6">
        <w:rPr>
          <w:rFonts w:cs="Times New Roman"/>
          <w:i/>
          <w:lang w:val="fr-FR"/>
        </w:rPr>
        <w:t xml:space="preserve"> </w:t>
      </w:r>
      <w:r w:rsidRPr="003159E6">
        <w:rPr>
          <w:rFonts w:cs="Times New Roman"/>
          <w:lang w:val="fr-FR"/>
        </w:rPr>
        <w:t xml:space="preserve">at para. </w:t>
      </w:r>
      <w:r w:rsidRPr="003159E6">
        <w:rPr>
          <w:rFonts w:cs="Times New Roman"/>
        </w:rPr>
        <w:t xml:space="preserve">64. </w:t>
      </w:r>
    </w:p>
    <w:p w:rsidR="001C2A5E" w:rsidRPr="003159E6" w:rsidRDefault="001C2A5E" w:rsidP="001C2A5E">
      <w:pPr>
        <w:pStyle w:val="ParaNoNdepar-AltN"/>
        <w:rPr>
          <w:rFonts w:cs="Times New Roman"/>
        </w:rPr>
      </w:pPr>
      <w:r w:rsidRPr="003159E6">
        <w:rPr>
          <w:rFonts w:cs="Times New Roman"/>
        </w:rPr>
        <w:lastRenderedPageBreak/>
        <w:t>For example, where an alleged contemnor acted in good faith in taking reasonable steps to comply with the order, the judge entertaining a contempt motion generally retains some discretion to decline to make a finding of contempt: see</w:t>
      </w:r>
      <w:r>
        <w:rPr>
          <w:rFonts w:cs="Times New Roman"/>
        </w:rPr>
        <w:t>,</w:t>
      </w:r>
      <w:r w:rsidRPr="003159E6">
        <w:rPr>
          <w:rFonts w:cs="Times New Roman"/>
          <w:i/>
        </w:rPr>
        <w:t xml:space="preserve"> </w:t>
      </w:r>
      <w:r w:rsidRPr="00674FBD">
        <w:rPr>
          <w:rFonts w:cs="Times New Roman"/>
        </w:rPr>
        <w:t>e.g.,</w:t>
      </w:r>
      <w:r w:rsidRPr="003159E6">
        <w:rPr>
          <w:rFonts w:cs="Times New Roman"/>
          <w:i/>
        </w:rPr>
        <w:t xml:space="preserve"> Morrow, Power v. Newfoundland Telephone Co.</w:t>
      </w:r>
      <w:r>
        <w:rPr>
          <w:rFonts w:cs="Times New Roman"/>
        </w:rPr>
        <w:t xml:space="preserve"> (1994)</w:t>
      </w:r>
      <w:r w:rsidRPr="003159E6">
        <w:rPr>
          <w:rFonts w:cs="Times New Roman"/>
        </w:rPr>
        <w:t>, 121 Nfld. &amp; P.E.I.R. 334 (Nfld. C.A.)</w:t>
      </w:r>
      <w:r>
        <w:rPr>
          <w:rFonts w:cs="Times New Roman"/>
        </w:rPr>
        <w:t>, at para. 20</w:t>
      </w:r>
      <w:r w:rsidRPr="003159E6">
        <w:rPr>
          <w:rFonts w:cs="Times New Roman"/>
        </w:rPr>
        <w:t>;</w:t>
      </w:r>
      <w:r w:rsidRPr="003159E6">
        <w:rPr>
          <w:rFonts w:cs="Times New Roman"/>
          <w:i/>
        </w:rPr>
        <w:t xml:space="preserve"> TG Industries</w:t>
      </w:r>
      <w:r>
        <w:rPr>
          <w:rFonts w:cs="Times New Roman"/>
        </w:rPr>
        <w:t>,</w:t>
      </w:r>
      <w:r w:rsidRPr="003159E6">
        <w:rPr>
          <w:rFonts w:cs="Times New Roman"/>
          <w:i/>
        </w:rPr>
        <w:t xml:space="preserve"> </w:t>
      </w:r>
      <w:r w:rsidRPr="003159E6">
        <w:rPr>
          <w:rFonts w:cs="Times New Roman"/>
        </w:rPr>
        <w:t>at para. 31. While I prefer not to delineate the full scope of this discretion, given that the issue was not argued before us, I wish to leave open the possibility that a judge may properly exercise</w:t>
      </w:r>
      <w:r>
        <w:rPr>
          <w:rFonts w:cs="Times New Roman"/>
        </w:rPr>
        <w:t xml:space="preserve"> his or</w:t>
      </w:r>
      <w:r w:rsidRPr="003159E6">
        <w:rPr>
          <w:rFonts w:cs="Times New Roman"/>
        </w:rPr>
        <w:t xml:space="preserve"> her discretion to decline to impose a contempt finding where it would work an injustice in the circumstances of the case.</w:t>
      </w:r>
    </w:p>
    <w:p w:rsidR="001C2A5E" w:rsidRPr="003159E6" w:rsidRDefault="001C2A5E" w:rsidP="001C2A5E">
      <w:pPr>
        <w:pStyle w:val="Title3LevelTitre3Niveau"/>
        <w:rPr>
          <w:rFonts w:cs="Times New Roman"/>
        </w:rPr>
      </w:pPr>
      <w:r>
        <w:rPr>
          <w:rFonts w:cs="Times New Roman"/>
        </w:rPr>
        <w:t>The R</w:t>
      </w:r>
      <w:r w:rsidRPr="003159E6">
        <w:rPr>
          <w:rFonts w:cs="Times New Roman"/>
        </w:rPr>
        <w:t>equired “</w:t>
      </w:r>
      <w:r>
        <w:rPr>
          <w:rFonts w:cs="Times New Roman"/>
        </w:rPr>
        <w:t>I</w:t>
      </w:r>
      <w:r w:rsidRPr="003159E6">
        <w:rPr>
          <w:rFonts w:cs="Times New Roman"/>
        </w:rPr>
        <w:t xml:space="preserve">ntent”  </w:t>
      </w:r>
    </w:p>
    <w:p w:rsidR="001C2A5E" w:rsidRPr="003159E6" w:rsidRDefault="001C2A5E" w:rsidP="001C2A5E">
      <w:pPr>
        <w:pStyle w:val="ParaNoNdepar-AltN"/>
        <w:rPr>
          <w:rFonts w:cs="Times New Roman"/>
        </w:rPr>
      </w:pPr>
      <w:r w:rsidRPr="003159E6">
        <w:rPr>
          <w:rFonts w:cs="Times New Roman"/>
        </w:rPr>
        <w:t xml:space="preserve">It is well settled in Canadian common law that all that is required to establish civil contempt is proof beyond a reasonable doubt of an intentional act or omission that is in fact in breach of a clear order of which the alleged contemnor has notice: </w:t>
      </w:r>
      <w:r w:rsidRPr="003159E6">
        <w:rPr>
          <w:rFonts w:cs="Times New Roman"/>
          <w:i/>
        </w:rPr>
        <w:t>Prescott-Russell</w:t>
      </w:r>
      <w:r>
        <w:rPr>
          <w:rFonts w:cs="Times New Roman"/>
        </w:rPr>
        <w:t>,</w:t>
      </w:r>
      <w:r w:rsidRPr="003159E6">
        <w:rPr>
          <w:rFonts w:cs="Times New Roman"/>
          <w:i/>
        </w:rPr>
        <w:t xml:space="preserve"> </w:t>
      </w:r>
      <w:r>
        <w:rPr>
          <w:rFonts w:cs="Times New Roman"/>
        </w:rPr>
        <w:t>at para. 27;</w:t>
      </w:r>
      <w:r w:rsidRPr="003159E6">
        <w:rPr>
          <w:rFonts w:cs="Times New Roman"/>
        </w:rPr>
        <w:t xml:space="preserve"> </w:t>
      </w:r>
      <w:r w:rsidRPr="00FA6621">
        <w:rPr>
          <w:rFonts w:cs="Times New Roman"/>
          <w:i/>
        </w:rPr>
        <w:t>College of Optometrists</w:t>
      </w:r>
      <w:r>
        <w:rPr>
          <w:rFonts w:cs="Times New Roman"/>
        </w:rPr>
        <w:t>, at para. 71;</w:t>
      </w:r>
      <w:r w:rsidRPr="003159E6">
        <w:rPr>
          <w:rFonts w:cs="Times New Roman"/>
        </w:rPr>
        <w:t xml:space="preserve"> </w:t>
      </w:r>
      <w:r w:rsidRPr="003159E6">
        <w:rPr>
          <w:rFonts w:cs="Times New Roman"/>
          <w:i/>
        </w:rPr>
        <w:t>Sheppard</w:t>
      </w:r>
      <w:r>
        <w:rPr>
          <w:rFonts w:cs="Times New Roman"/>
        </w:rPr>
        <w:t>,</w:t>
      </w:r>
      <w:r w:rsidRPr="003159E6">
        <w:rPr>
          <w:rFonts w:cs="Times New Roman"/>
          <w:i/>
        </w:rPr>
        <w:t xml:space="preserve"> </w:t>
      </w:r>
      <w:r w:rsidRPr="003159E6">
        <w:rPr>
          <w:rFonts w:cs="Times New Roman"/>
        </w:rPr>
        <w:t>at</w:t>
      </w:r>
      <w:r>
        <w:rPr>
          <w:rFonts w:cs="Times New Roman"/>
        </w:rPr>
        <w:t xml:space="preserve"> p. 8; </w:t>
      </w:r>
      <w:r w:rsidRPr="003159E6">
        <w:rPr>
          <w:rFonts w:cs="Times New Roman"/>
          <w:i/>
        </w:rPr>
        <w:t>TG Industries</w:t>
      </w:r>
      <w:r>
        <w:rPr>
          <w:rFonts w:cs="Times New Roman"/>
        </w:rPr>
        <w:t>,</w:t>
      </w:r>
      <w:r w:rsidRPr="003159E6">
        <w:rPr>
          <w:rFonts w:cs="Times New Roman"/>
        </w:rPr>
        <w:t xml:space="preserve"> at paras. 17 and 32</w:t>
      </w:r>
      <w:r>
        <w:rPr>
          <w:rFonts w:cs="Times New Roman"/>
        </w:rPr>
        <w:t>;</w:t>
      </w:r>
      <w:r w:rsidRPr="003159E6">
        <w:rPr>
          <w:rFonts w:cs="Times New Roman"/>
        </w:rPr>
        <w:t xml:space="preserve"> </w:t>
      </w:r>
      <w:proofErr w:type="spellStart"/>
      <w:r w:rsidRPr="003159E6">
        <w:rPr>
          <w:rFonts w:cs="Times New Roman"/>
          <w:i/>
        </w:rPr>
        <w:t>Bhatnager</w:t>
      </w:r>
      <w:proofErr w:type="spellEnd"/>
      <w:r>
        <w:rPr>
          <w:rFonts w:cs="Times New Roman"/>
        </w:rPr>
        <w:t>,</w:t>
      </w:r>
      <w:r w:rsidRPr="003159E6">
        <w:rPr>
          <w:rFonts w:cs="Times New Roman"/>
          <w:i/>
        </w:rPr>
        <w:t xml:space="preserve"> </w:t>
      </w:r>
      <w:r w:rsidRPr="003159E6">
        <w:rPr>
          <w:rFonts w:cs="Times New Roman"/>
        </w:rPr>
        <w:t xml:space="preserve">at </w:t>
      </w:r>
      <w:r>
        <w:rPr>
          <w:rFonts w:cs="Times New Roman"/>
        </w:rPr>
        <w:t xml:space="preserve">pp. </w:t>
      </w:r>
      <w:r w:rsidR="000F5498">
        <w:rPr>
          <w:rFonts w:cs="Times New Roman"/>
        </w:rPr>
        <w:t>224-25;</w:t>
      </w:r>
      <w:r w:rsidRPr="003159E6">
        <w:rPr>
          <w:rFonts w:cs="Times New Roman"/>
        </w:rPr>
        <w:t xml:space="preserve"> Sharpe</w:t>
      </w:r>
      <w:r>
        <w:rPr>
          <w:rFonts w:cs="Times New Roman"/>
        </w:rPr>
        <w:t>,</w:t>
      </w:r>
      <w:r w:rsidRPr="003159E6">
        <w:rPr>
          <w:rFonts w:cs="Times New Roman"/>
        </w:rPr>
        <w:t xml:space="preserve"> at </w:t>
      </w:r>
      <w:r>
        <w:rPr>
          <w:rFonts w:cs="Times New Roman"/>
        </w:rPr>
        <w:t xml:space="preserve">¶ </w:t>
      </w:r>
      <w:r w:rsidRPr="003159E6">
        <w:rPr>
          <w:rFonts w:cs="Times New Roman"/>
        </w:rPr>
        <w:t>6.190. The Court of Appeal followed this approach. As it noted, to require a contemnor to have intended to disobey the order would put the test “too high” and result in “mistakes of law [becoming] a defence to an allegation of civil contempt but not to a murder charge” (para. 59)</w:t>
      </w:r>
      <w:r>
        <w:rPr>
          <w:rFonts w:cs="Times New Roman"/>
        </w:rPr>
        <w:t>.</w:t>
      </w:r>
      <w:r w:rsidRPr="003159E6">
        <w:rPr>
          <w:rFonts w:cs="Times New Roman"/>
        </w:rPr>
        <w:t xml:space="preserve">  Instead, contumacy or lack thereof goes to the penalty to be imposed following a finding of contempt: para. 62; see also </w:t>
      </w:r>
      <w:r w:rsidRPr="003159E6">
        <w:rPr>
          <w:rFonts w:cs="Times New Roman"/>
          <w:i/>
        </w:rPr>
        <w:t>Sheppard</w:t>
      </w:r>
      <w:r w:rsidR="000F5498" w:rsidRPr="000F5498">
        <w:rPr>
          <w:rFonts w:cs="Times New Roman"/>
        </w:rPr>
        <w:t xml:space="preserve">; </w:t>
      </w:r>
      <w:r w:rsidRPr="003159E6">
        <w:rPr>
          <w:rFonts w:cs="Times New Roman"/>
        </w:rPr>
        <w:t>and Sharpe</w:t>
      </w:r>
      <w:r>
        <w:rPr>
          <w:rFonts w:cs="Times New Roman"/>
        </w:rPr>
        <w:t>,</w:t>
      </w:r>
      <w:r w:rsidRPr="003159E6">
        <w:rPr>
          <w:rFonts w:cs="Times New Roman"/>
        </w:rPr>
        <w:t xml:space="preserve"> at </w:t>
      </w:r>
      <w:r>
        <w:rPr>
          <w:rFonts w:cs="Times New Roman"/>
        </w:rPr>
        <w:t xml:space="preserve">¶ </w:t>
      </w:r>
      <w:r w:rsidRPr="003159E6">
        <w:rPr>
          <w:rFonts w:cs="Times New Roman"/>
        </w:rPr>
        <w:t>6.200.</w:t>
      </w:r>
    </w:p>
    <w:p w:rsidR="001C2A5E" w:rsidRPr="003159E6" w:rsidRDefault="001C2A5E" w:rsidP="001C2A5E">
      <w:pPr>
        <w:pStyle w:val="ParaNoNdepar-AltN"/>
        <w:rPr>
          <w:rFonts w:cs="Times New Roman"/>
        </w:rPr>
      </w:pPr>
      <w:r w:rsidRPr="003159E6">
        <w:rPr>
          <w:rFonts w:cs="Times New Roman"/>
        </w:rPr>
        <w:lastRenderedPageBreak/>
        <w:t>The appellant submits, however, that in situations in which the alleged contemnor cannot “purge” the contempt, is a lawyer or is a third party to</w:t>
      </w:r>
      <w:r>
        <w:rPr>
          <w:rFonts w:cs="Times New Roman"/>
        </w:rPr>
        <w:t xml:space="preserve"> the</w:t>
      </w:r>
      <w:r w:rsidRPr="003159E6">
        <w:rPr>
          <w:rFonts w:cs="Times New Roman"/>
        </w:rPr>
        <w:t xml:space="preserve"> order, the intent to interfere with the administration of justice must be proved. I understand this to mean that “the intention to disobey, in the sense of desiring or knowingly choosing to disobey the order” must be established: </w:t>
      </w:r>
      <w:r w:rsidRPr="003159E6">
        <w:rPr>
          <w:rFonts w:cs="Times New Roman"/>
          <w:i/>
        </w:rPr>
        <w:t>TG Industries</w:t>
      </w:r>
      <w:r>
        <w:rPr>
          <w:rFonts w:cs="Times New Roman"/>
        </w:rPr>
        <w:t>,</w:t>
      </w:r>
      <w:r w:rsidRPr="003159E6">
        <w:rPr>
          <w:rFonts w:cs="Times New Roman"/>
        </w:rPr>
        <w:t xml:space="preserve"> at para. 17. This is sometimes also referred to as “contumacious” intent.</w:t>
      </w:r>
    </w:p>
    <w:p w:rsidR="001C2A5E" w:rsidRPr="003159E6" w:rsidRDefault="001C2A5E" w:rsidP="001C2A5E">
      <w:pPr>
        <w:pStyle w:val="ParaNoNdepar-AltN"/>
        <w:rPr>
          <w:rFonts w:cs="Times New Roman"/>
        </w:rPr>
      </w:pPr>
      <w:r w:rsidRPr="003159E6">
        <w:rPr>
          <w:rFonts w:cs="Times New Roman"/>
        </w:rPr>
        <w:t xml:space="preserve">The appellant submits that the mental element of civil contempt must address at least one of the two goals of civil contempt: securing compliance </w:t>
      </w:r>
      <w:r>
        <w:rPr>
          <w:rFonts w:cs="Times New Roman"/>
        </w:rPr>
        <w:t xml:space="preserve">with court orders </w:t>
      </w:r>
      <w:r w:rsidRPr="003159E6">
        <w:rPr>
          <w:rFonts w:cs="Times New Roman"/>
        </w:rPr>
        <w:t xml:space="preserve">or protecting the integrity of the administration of justice. Finding a party in contempt where he </w:t>
      </w:r>
      <w:r>
        <w:rPr>
          <w:rFonts w:cs="Times New Roman"/>
        </w:rPr>
        <w:t xml:space="preserve">or she </w:t>
      </w:r>
      <w:r w:rsidRPr="003159E6">
        <w:rPr>
          <w:rFonts w:cs="Times New Roman"/>
        </w:rPr>
        <w:t xml:space="preserve">cannot purge (either because the act that constituted the contempt cannot be undone or because a conflicting legal duty prevents compliance with the order) furthers neither of these goals absent some heightened mental element for contempt. Only if the person is shown to have had the intent to interfere with the administration of justice would one of these purposes </w:t>
      </w:r>
      <w:r>
        <w:rPr>
          <w:rFonts w:cs="Times New Roman"/>
        </w:rPr>
        <w:t>—</w:t>
      </w:r>
      <w:r w:rsidRPr="003159E6">
        <w:rPr>
          <w:rFonts w:cs="Times New Roman"/>
        </w:rPr>
        <w:t xml:space="preserve"> protecting the integrity of the administration of justice </w:t>
      </w:r>
      <w:r>
        <w:rPr>
          <w:rFonts w:cs="Times New Roman"/>
        </w:rPr>
        <w:t>—</w:t>
      </w:r>
      <w:r w:rsidRPr="003159E6">
        <w:rPr>
          <w:rFonts w:cs="Times New Roman"/>
        </w:rPr>
        <w:t xml:space="preserve"> be served. </w:t>
      </w:r>
    </w:p>
    <w:p w:rsidR="001C2A5E" w:rsidRPr="003159E6" w:rsidRDefault="001C2A5E" w:rsidP="001C2A5E">
      <w:pPr>
        <w:pStyle w:val="ParaNoNdepar-AltN"/>
        <w:rPr>
          <w:rFonts w:cs="Times New Roman"/>
        </w:rPr>
      </w:pPr>
      <w:r w:rsidRPr="003159E6">
        <w:rPr>
          <w:rFonts w:cs="Times New Roman"/>
        </w:rPr>
        <w:t xml:space="preserve">I cannot accept this position. There is no principled reason to depart from the established elements of civil contempt in situations in which compliance has become impossible for either of the reasons referred to by the appellant. Where, as here, the person’s own actions contrary to the terms of a court order make future compliance impossible, I fail to see the logic or justice of requiring proof of some higher degree of fault in order to establish contempt. The appellant’s submission also overlooks the point that one of the purposes of the contempt power is to deter </w:t>
      </w:r>
      <w:r w:rsidRPr="003159E6">
        <w:rPr>
          <w:rFonts w:cs="Times New Roman"/>
        </w:rPr>
        <w:lastRenderedPageBreak/>
        <w:t xml:space="preserve">violations of court orders, thereby encouraging respect for the administration of justice. It undermines that purpose to treat with special charity people whose acts in violation of an order make subsequent compliance impossible. It seems to me that the existing discretion not to enter a contempt finding and the defence of impossibility of compliance provide better answers than a heightened degree of fault where a party is unable to purge his or her contempt for the reasons the appellant outlines: </w:t>
      </w:r>
      <w:r w:rsidRPr="003159E6">
        <w:rPr>
          <w:rFonts w:cs="Times New Roman"/>
          <w:i/>
        </w:rPr>
        <w:t>Jackson</w:t>
      </w:r>
      <w:r w:rsidR="00250AA7" w:rsidRPr="00250AA7">
        <w:rPr>
          <w:rFonts w:cs="Times New Roman"/>
        </w:rPr>
        <w:t>,</w:t>
      </w:r>
      <w:r w:rsidRPr="003159E6">
        <w:rPr>
          <w:rFonts w:cs="Times New Roman"/>
        </w:rPr>
        <w:t xml:space="preserve"> at para. 14</w:t>
      </w:r>
      <w:r>
        <w:rPr>
          <w:rFonts w:cs="Times New Roman"/>
        </w:rPr>
        <w:t>;</w:t>
      </w:r>
      <w:r w:rsidRPr="003159E6">
        <w:rPr>
          <w:rFonts w:cs="Times New Roman"/>
        </w:rPr>
        <w:t xml:space="preserve"> </w:t>
      </w:r>
      <w:r w:rsidRPr="003159E6">
        <w:rPr>
          <w:rFonts w:cs="Times New Roman"/>
          <w:i/>
        </w:rPr>
        <w:t xml:space="preserve">Sussex Group Ltd. v. </w:t>
      </w:r>
      <w:proofErr w:type="spellStart"/>
      <w:r w:rsidRPr="003159E6">
        <w:rPr>
          <w:rFonts w:cs="Times New Roman"/>
          <w:i/>
        </w:rPr>
        <w:t>Fangeat</w:t>
      </w:r>
      <w:proofErr w:type="spellEnd"/>
      <w:r>
        <w:rPr>
          <w:rFonts w:cs="Times New Roman"/>
        </w:rPr>
        <w:t>, 42 C.P.C. (5th) 274</w:t>
      </w:r>
      <w:r w:rsidR="000F5498">
        <w:rPr>
          <w:rFonts w:cs="Times New Roman"/>
        </w:rPr>
        <w:t xml:space="preserve"> </w:t>
      </w:r>
      <w:r w:rsidR="000F5498" w:rsidRPr="003159E6">
        <w:rPr>
          <w:rFonts w:cs="Times New Roman"/>
        </w:rPr>
        <w:t>(</w:t>
      </w:r>
      <w:r w:rsidR="000F5498">
        <w:rPr>
          <w:rFonts w:cs="Times New Roman"/>
        </w:rPr>
        <w:t>Ont. S.C.J.)</w:t>
      </w:r>
      <w:r>
        <w:rPr>
          <w:rFonts w:cs="Times New Roman"/>
        </w:rPr>
        <w:t>, at</w:t>
      </w:r>
      <w:r w:rsidRPr="003159E6">
        <w:rPr>
          <w:rFonts w:cs="Times New Roman"/>
        </w:rPr>
        <w:t xml:space="preserve"> para. 56</w:t>
      </w:r>
      <w:r>
        <w:rPr>
          <w:rFonts w:cs="Times New Roman"/>
        </w:rPr>
        <w:t>.</w:t>
      </w:r>
      <w:r w:rsidRPr="003159E6">
        <w:rPr>
          <w:rFonts w:cs="Times New Roman"/>
        </w:rPr>
        <w:t xml:space="preserve"> </w:t>
      </w:r>
    </w:p>
    <w:p w:rsidR="001C2A5E" w:rsidRPr="003159E6" w:rsidRDefault="001C2A5E" w:rsidP="001C2A5E">
      <w:pPr>
        <w:pStyle w:val="ParaNoNdepar-AltN"/>
        <w:rPr>
          <w:rFonts w:cs="Times New Roman"/>
        </w:rPr>
      </w:pPr>
      <w:r w:rsidRPr="003159E6">
        <w:rPr>
          <w:rFonts w:cs="Times New Roman"/>
        </w:rPr>
        <w:t>The appellant correctly notes that civil contempt is quasi-criminal in nature, which he says justifies a higher fault element where contempt cannot be purged. But civil contempt is always quasi-criminal</w:t>
      </w:r>
      <w:r>
        <w:rPr>
          <w:rFonts w:cs="Times New Roman"/>
        </w:rPr>
        <w:t>,</w:t>
      </w:r>
      <w:r w:rsidRPr="003159E6">
        <w:rPr>
          <w:rFonts w:cs="Times New Roman"/>
        </w:rPr>
        <w:t xml:space="preserve"> so this provides no justification for carving out a distinct mental element for particular types of civil contempt cases. As I have already discussed, requiring contumacious intent would open the door to mistakes of law providing a defence to an allegation of civil contempt. It could also permit an alleged contemnor to rely on a misinterpretation of a clear order to avoid a contempt finding, which would significantly undermine the authority of court orders. </w:t>
      </w:r>
    </w:p>
    <w:p w:rsidR="001C2A5E" w:rsidRPr="003159E6" w:rsidRDefault="001C2A5E" w:rsidP="001C2A5E">
      <w:pPr>
        <w:pStyle w:val="ParaNoNdepar-AltN"/>
        <w:rPr>
          <w:rFonts w:cs="Times New Roman"/>
        </w:rPr>
      </w:pPr>
      <w:r w:rsidRPr="003159E6">
        <w:rPr>
          <w:rFonts w:cs="Times New Roman"/>
        </w:rPr>
        <w:t xml:space="preserve">Further, adopting the appellant’s proposal would in effect make the required mental element dependent on the nature of the order alleged to have been breached. Those who breach a prohibitory order would benefit from this heightened mental element disproportionately, due to subsequent impossibility of compliance, as compared to those who breach a mandatory order, with which the alleged contemnor will </w:t>
      </w:r>
      <w:r>
        <w:rPr>
          <w:rFonts w:cs="Times New Roman"/>
        </w:rPr>
        <w:t xml:space="preserve">be able to subsequently comply </w:t>
      </w:r>
      <w:r w:rsidRPr="003159E6">
        <w:rPr>
          <w:rFonts w:cs="Times New Roman"/>
        </w:rPr>
        <w:t xml:space="preserve">absent a conflicting legal duty. I see no principled basis for creating this distinction. </w:t>
      </w:r>
    </w:p>
    <w:p w:rsidR="001C2A5E" w:rsidRPr="003159E6" w:rsidRDefault="001C2A5E" w:rsidP="001C2A5E">
      <w:pPr>
        <w:pStyle w:val="ParaNoNdepar-AltN"/>
        <w:rPr>
          <w:rFonts w:cs="Times New Roman"/>
        </w:rPr>
      </w:pPr>
      <w:r w:rsidRPr="003159E6">
        <w:rPr>
          <w:rFonts w:cs="Times New Roman"/>
        </w:rPr>
        <w:lastRenderedPageBreak/>
        <w:t>The appellant also submits that lawyers should benefit from a heightened fault requirement, but I do not agree. As the Court of Appeal recognized, reliance on legal advice does not shield a party from a finding of contempt</w:t>
      </w:r>
      <w:r>
        <w:rPr>
          <w:rFonts w:cs="Times New Roman"/>
        </w:rPr>
        <w:t>:</w:t>
      </w:r>
      <w:r w:rsidRPr="003159E6">
        <w:rPr>
          <w:rFonts w:cs="Times New Roman"/>
        </w:rPr>
        <w:t xml:space="preserve"> para. 61, citing </w:t>
      </w:r>
      <w:r w:rsidRPr="003159E6">
        <w:rPr>
          <w:rFonts w:cs="Times New Roman"/>
          <w:i/>
        </w:rPr>
        <w:t>Re Tyre Manufacturers’ Agreement</w:t>
      </w:r>
      <w:r w:rsidRPr="003159E6">
        <w:rPr>
          <w:rFonts w:cs="Times New Roman"/>
        </w:rPr>
        <w:t>, [1966] 2 All E.R. 849</w:t>
      </w:r>
      <w:r>
        <w:rPr>
          <w:rFonts w:cs="Times New Roman"/>
        </w:rPr>
        <w:t xml:space="preserve"> (R.P.C.),</w:t>
      </w:r>
      <w:r w:rsidRPr="003159E6">
        <w:rPr>
          <w:rFonts w:cs="Times New Roman"/>
        </w:rPr>
        <w:t xml:space="preserve"> at </w:t>
      </w:r>
      <w:r>
        <w:rPr>
          <w:rFonts w:cs="Times New Roman"/>
        </w:rPr>
        <w:t>p. 862;</w:t>
      </w:r>
      <w:r w:rsidRPr="003159E6">
        <w:rPr>
          <w:rFonts w:cs="Times New Roman"/>
        </w:rPr>
        <w:t xml:space="preserve"> </w:t>
      </w:r>
      <w:r w:rsidRPr="003159E6">
        <w:rPr>
          <w:rFonts w:cs="Times New Roman"/>
          <w:i/>
        </w:rPr>
        <w:t>Canada Metal Co. v. C.B.C. (No. 2)</w:t>
      </w:r>
      <w:r>
        <w:rPr>
          <w:rFonts w:cs="Times New Roman"/>
        </w:rPr>
        <w:t xml:space="preserve"> (1974), 48 D.L.R. (3</w:t>
      </w:r>
      <w:r w:rsidRPr="003159E6">
        <w:rPr>
          <w:rFonts w:cs="Times New Roman"/>
        </w:rPr>
        <w:t>d) 641</w:t>
      </w:r>
      <w:r w:rsidR="0082203A">
        <w:rPr>
          <w:rFonts w:cs="Times New Roman"/>
        </w:rPr>
        <w:t xml:space="preserve"> (Ont. H.C.J.)</w:t>
      </w:r>
      <w:r>
        <w:rPr>
          <w:rFonts w:cs="Times New Roman"/>
        </w:rPr>
        <w:t>,</w:t>
      </w:r>
      <w:r w:rsidRPr="003159E6">
        <w:rPr>
          <w:rFonts w:cs="Times New Roman"/>
        </w:rPr>
        <w:t xml:space="preserve"> at </w:t>
      </w:r>
      <w:r>
        <w:rPr>
          <w:rFonts w:cs="Times New Roman"/>
        </w:rPr>
        <w:t xml:space="preserve">p. </w:t>
      </w:r>
      <w:r w:rsidRPr="003159E6">
        <w:rPr>
          <w:rFonts w:cs="Times New Roman"/>
        </w:rPr>
        <w:t>661, aff’d</w:t>
      </w:r>
      <w:r>
        <w:rPr>
          <w:rFonts w:cs="Times New Roman"/>
        </w:rPr>
        <w:t xml:space="preserve"> (1975),</w:t>
      </w:r>
      <w:r w:rsidRPr="003159E6">
        <w:rPr>
          <w:rFonts w:cs="Times New Roman"/>
        </w:rPr>
        <w:t xml:space="preserve"> 65 D.L.R. (3d) 231 (Ont. C.A.). Still less should the law permit lawyers to escape a finding of contempt because they have, in effect, relied on their own legal advice. </w:t>
      </w:r>
    </w:p>
    <w:p w:rsidR="001C2A5E" w:rsidRPr="003159E6" w:rsidRDefault="001C2A5E" w:rsidP="001C2A5E">
      <w:pPr>
        <w:pStyle w:val="ParaNoNdepar-AltN"/>
        <w:rPr>
          <w:rFonts w:cs="Times New Roman"/>
        </w:rPr>
      </w:pPr>
      <w:r w:rsidRPr="003159E6">
        <w:rPr>
          <w:rFonts w:cs="Times New Roman"/>
        </w:rPr>
        <w:t xml:space="preserve">As for third parties, the appellant points to some authority in the United Kingdom and Australia to the effect that intent to interfere with the administration of justice is a prerequisite for finding a third party in contempt: </w:t>
      </w:r>
      <w:r w:rsidR="00887B99">
        <w:rPr>
          <w:rFonts w:cs="Times New Roman"/>
        </w:rPr>
        <w:t xml:space="preserve">see, </w:t>
      </w:r>
      <w:r w:rsidRPr="008B37B5">
        <w:rPr>
          <w:rFonts w:cs="Times New Roman"/>
        </w:rPr>
        <w:t>e.g.,</w:t>
      </w:r>
      <w:r w:rsidRPr="003159E6">
        <w:rPr>
          <w:rFonts w:cs="Times New Roman"/>
        </w:rPr>
        <w:t xml:space="preserve"> </w:t>
      </w:r>
      <w:r w:rsidRPr="003159E6">
        <w:rPr>
          <w:rFonts w:cs="Times New Roman"/>
          <w:i/>
        </w:rPr>
        <w:t>Customs and Excise Commissioners v. Barclays Bank</w:t>
      </w:r>
      <w:r>
        <w:rPr>
          <w:rFonts w:cs="Times New Roman"/>
          <w:i/>
        </w:rPr>
        <w:t xml:space="preserve"> </w:t>
      </w:r>
      <w:r w:rsidR="00250AA7">
        <w:rPr>
          <w:rFonts w:cs="Times New Roman"/>
          <w:i/>
        </w:rPr>
        <w:t>p</w:t>
      </w:r>
      <w:r>
        <w:rPr>
          <w:rFonts w:cs="Times New Roman"/>
          <w:i/>
        </w:rPr>
        <w:t>lc</w:t>
      </w:r>
      <w:r w:rsidRPr="008B37B5">
        <w:rPr>
          <w:rFonts w:cs="Times New Roman"/>
        </w:rPr>
        <w:t>,</w:t>
      </w:r>
      <w:r w:rsidRPr="003159E6">
        <w:rPr>
          <w:rFonts w:cs="Times New Roman"/>
          <w:i/>
        </w:rPr>
        <w:t xml:space="preserve"> </w:t>
      </w:r>
      <w:r w:rsidRPr="003159E6">
        <w:rPr>
          <w:rFonts w:cs="Times New Roman"/>
        </w:rPr>
        <w:t>[2006] UKHL 28, [2007] 1 A.C. 181</w:t>
      </w:r>
      <w:r>
        <w:rPr>
          <w:rFonts w:cs="Times New Roman"/>
        </w:rPr>
        <w:t>,</w:t>
      </w:r>
      <w:r w:rsidRPr="003159E6">
        <w:rPr>
          <w:rFonts w:cs="Times New Roman"/>
        </w:rPr>
        <w:t xml:space="preserve"> at para. 29; </w:t>
      </w:r>
      <w:r w:rsidRPr="003159E6">
        <w:rPr>
          <w:rFonts w:cs="Times New Roman"/>
          <w:i/>
        </w:rPr>
        <w:t>Attorney General v. Punch Ltd.</w:t>
      </w:r>
      <w:r w:rsidRPr="003159E6">
        <w:rPr>
          <w:rFonts w:cs="Times New Roman"/>
        </w:rPr>
        <w:t xml:space="preserve">, </w:t>
      </w:r>
      <w:r>
        <w:rPr>
          <w:rFonts w:cs="Times New Roman"/>
        </w:rPr>
        <w:t xml:space="preserve">[2002] UKHL 50, </w:t>
      </w:r>
      <w:r w:rsidRPr="003159E6">
        <w:rPr>
          <w:rFonts w:cs="Times New Roman"/>
        </w:rPr>
        <w:t>[2003] 1 A.C. 1046</w:t>
      </w:r>
      <w:r>
        <w:rPr>
          <w:rFonts w:cs="Times New Roman"/>
        </w:rPr>
        <w:t>,</w:t>
      </w:r>
      <w:r w:rsidRPr="003159E6">
        <w:rPr>
          <w:rFonts w:cs="Times New Roman"/>
        </w:rPr>
        <w:t xml:space="preserve"> at para. 87; </w:t>
      </w:r>
      <w:r w:rsidRPr="003159E6">
        <w:rPr>
          <w:rFonts w:cs="Times New Roman"/>
          <w:i/>
        </w:rPr>
        <w:t>Z Ltd. v. A-Z</w:t>
      </w:r>
      <w:r w:rsidRPr="003159E6">
        <w:rPr>
          <w:rFonts w:cs="Times New Roman"/>
        </w:rPr>
        <w:t xml:space="preserve">, [1982] </w:t>
      </w:r>
      <w:r w:rsidR="00887B99">
        <w:rPr>
          <w:rFonts w:cs="Times New Roman"/>
        </w:rPr>
        <w:t>1 Q.B. 558 (C.A.)</w:t>
      </w:r>
      <w:r>
        <w:rPr>
          <w:rFonts w:cs="Times New Roman"/>
        </w:rPr>
        <w:t>,</w:t>
      </w:r>
      <w:r w:rsidRPr="003159E6">
        <w:rPr>
          <w:rFonts w:cs="Times New Roman"/>
        </w:rPr>
        <w:t xml:space="preserve"> at </w:t>
      </w:r>
      <w:r>
        <w:rPr>
          <w:rFonts w:cs="Times New Roman"/>
        </w:rPr>
        <w:t xml:space="preserve">p. </w:t>
      </w:r>
      <w:r w:rsidR="00053E51">
        <w:rPr>
          <w:rFonts w:cs="Times New Roman"/>
        </w:rPr>
        <w:t>583</w:t>
      </w:r>
      <w:r>
        <w:rPr>
          <w:rFonts w:cs="Times New Roman"/>
        </w:rPr>
        <w:t>;</w:t>
      </w:r>
      <w:r w:rsidRPr="003159E6">
        <w:rPr>
          <w:rFonts w:cs="Times New Roman"/>
        </w:rPr>
        <w:t xml:space="preserve"> </w:t>
      </w:r>
      <w:r w:rsidRPr="003159E6">
        <w:rPr>
          <w:rFonts w:cs="Times New Roman"/>
          <w:i/>
        </w:rPr>
        <w:t>Baker v. Paul</w:t>
      </w:r>
      <w:r w:rsidRPr="003159E6">
        <w:rPr>
          <w:rFonts w:cs="Times New Roman"/>
        </w:rPr>
        <w:t>, [2013] NSWCA 426</w:t>
      </w:r>
      <w:r>
        <w:rPr>
          <w:rFonts w:cs="Times New Roman"/>
        </w:rPr>
        <w:t>,</w:t>
      </w:r>
      <w:r w:rsidRPr="003159E6">
        <w:rPr>
          <w:rFonts w:cs="Times New Roman"/>
        </w:rPr>
        <w:t xml:space="preserve"> at para. 19. It has also been noted that “[</w:t>
      </w:r>
      <w:proofErr w:type="spellStart"/>
      <w:r w:rsidRPr="003159E6">
        <w:rPr>
          <w:rFonts w:cs="Times New Roman"/>
        </w:rPr>
        <w:t>i</w:t>
      </w:r>
      <w:proofErr w:type="spellEnd"/>
      <w:r w:rsidRPr="003159E6">
        <w:rPr>
          <w:rFonts w:cs="Times New Roman"/>
        </w:rPr>
        <w:t>]t would appear that a higher degree of intention is required to make a non-party liable for contempt”: Sharpe</w:t>
      </w:r>
      <w:r>
        <w:rPr>
          <w:rFonts w:cs="Times New Roman"/>
        </w:rPr>
        <w:t>,</w:t>
      </w:r>
      <w:r w:rsidRPr="003159E6">
        <w:rPr>
          <w:rFonts w:cs="Times New Roman"/>
        </w:rPr>
        <w:t xml:space="preserve"> at</w:t>
      </w:r>
      <w:r>
        <w:rPr>
          <w:rFonts w:cs="Times New Roman"/>
        </w:rPr>
        <w:t xml:space="preserve"> ¶</w:t>
      </w:r>
      <w:r w:rsidRPr="003159E6">
        <w:rPr>
          <w:rFonts w:cs="Times New Roman"/>
        </w:rPr>
        <w:t xml:space="preserve"> 6.210.</w:t>
      </w:r>
    </w:p>
    <w:p w:rsidR="001C2A5E" w:rsidRPr="003159E6" w:rsidRDefault="001C2A5E" w:rsidP="001C2A5E">
      <w:pPr>
        <w:pStyle w:val="ParaNoNdepar-AltN"/>
        <w:rPr>
          <w:rFonts w:cs="Times New Roman"/>
        </w:rPr>
      </w:pPr>
      <w:r w:rsidRPr="003159E6">
        <w:rPr>
          <w:rFonts w:cs="Times New Roman"/>
        </w:rPr>
        <w:t xml:space="preserve">The short answer to this point is that, even accepting this line of authority, Mr. Carey is not in the same category as the third parties discussed in this line of authority. I would respectfully adopt as my own the following excerpt on this point from the reasons of Sharpe J.A. in the Court of Appeal: </w:t>
      </w:r>
    </w:p>
    <w:p w:rsidR="001C2A5E" w:rsidRPr="003159E6" w:rsidRDefault="001C2A5E" w:rsidP="001C2A5E">
      <w:pPr>
        <w:pStyle w:val="Citation-AltC"/>
      </w:pPr>
      <w:r w:rsidRPr="003159E6">
        <w:lastRenderedPageBreak/>
        <w:t xml:space="preserve">The solicitor-client bond creates a community of interest between Carey and </w:t>
      </w:r>
      <w:proofErr w:type="spellStart"/>
      <w:r w:rsidRPr="003159E6">
        <w:t>Sabourin</w:t>
      </w:r>
      <w:proofErr w:type="spellEnd"/>
      <w:r w:rsidRPr="003159E6">
        <w:t xml:space="preserve"> that is plainly distinguishable from the situation of a stranger to the litigation who is apprised of the court order. As an officer of the court, a solicitor of record is duty-bound to take scrupulous care to ensure respect for court orders</w:t>
      </w:r>
      <w:r>
        <w:t>. . . .</w:t>
      </w:r>
      <w:r w:rsidRPr="003159E6">
        <w:t xml:space="preserve"> [A]s the solicitor of record in the case, Carey should be held to the same standard of compliance as his client who was a party. [para</w:t>
      </w:r>
      <w:r>
        <w:t>.</w:t>
      </w:r>
      <w:r w:rsidRPr="003159E6">
        <w:t xml:space="preserve"> 64]</w:t>
      </w:r>
    </w:p>
    <w:p w:rsidR="001C2A5E" w:rsidRPr="003159E6" w:rsidRDefault="001C2A5E" w:rsidP="001C2A5E">
      <w:pPr>
        <w:pStyle w:val="Title3LevelTitre3Niveau"/>
        <w:rPr>
          <w:rFonts w:cs="Times New Roman"/>
        </w:rPr>
      </w:pPr>
      <w:r w:rsidRPr="003159E6">
        <w:rPr>
          <w:rFonts w:cs="Times New Roman"/>
        </w:rPr>
        <w:t xml:space="preserve">Conclusion </w:t>
      </w:r>
    </w:p>
    <w:p w:rsidR="001C2A5E" w:rsidRPr="003159E6" w:rsidRDefault="001C2A5E" w:rsidP="001C2A5E">
      <w:pPr>
        <w:pStyle w:val="ParaNoNdepar-AltN"/>
        <w:rPr>
          <w:rFonts w:cs="Times New Roman"/>
        </w:rPr>
      </w:pPr>
      <w:r w:rsidRPr="003159E6">
        <w:rPr>
          <w:rFonts w:cs="Times New Roman"/>
        </w:rPr>
        <w:t>I conclude that “contumacious” intent was not required in this case</w:t>
      </w:r>
      <w:r>
        <w:rPr>
          <w:rFonts w:cs="Times New Roman"/>
        </w:rPr>
        <w:t>,</w:t>
      </w:r>
      <w:r w:rsidRPr="003159E6">
        <w:rPr>
          <w:rFonts w:cs="Times New Roman"/>
        </w:rPr>
        <w:t xml:space="preserve"> and to the extent that the judge at first instance found otherwise in overturning her earlier finding of contempt, she erred in law.</w:t>
      </w:r>
    </w:p>
    <w:p w:rsidR="001C2A5E" w:rsidRPr="003159E6" w:rsidRDefault="001C2A5E" w:rsidP="001C2A5E">
      <w:pPr>
        <w:pStyle w:val="Title2LevelTitre2Niveau"/>
        <w:rPr>
          <w:rFonts w:cs="Times New Roman"/>
        </w:rPr>
      </w:pPr>
      <w:r w:rsidRPr="003159E6">
        <w:rPr>
          <w:rFonts w:cs="Times New Roman"/>
        </w:rPr>
        <w:t xml:space="preserve">Second </w:t>
      </w:r>
      <w:r>
        <w:rPr>
          <w:rFonts w:cs="Times New Roman"/>
        </w:rPr>
        <w:t>I</w:t>
      </w:r>
      <w:r w:rsidRPr="003159E6">
        <w:rPr>
          <w:rFonts w:cs="Times New Roman"/>
        </w:rPr>
        <w:t xml:space="preserve">ssue: Was Mr. Carey in </w:t>
      </w:r>
      <w:r>
        <w:rPr>
          <w:rFonts w:cs="Times New Roman"/>
        </w:rPr>
        <w:t>C</w:t>
      </w:r>
      <w:r w:rsidRPr="003159E6">
        <w:rPr>
          <w:rFonts w:cs="Times New Roman"/>
        </w:rPr>
        <w:t>ontempt?</w:t>
      </w:r>
    </w:p>
    <w:p w:rsidR="001C2A5E" w:rsidRPr="003159E6" w:rsidRDefault="001C2A5E" w:rsidP="001C2A5E">
      <w:pPr>
        <w:pStyle w:val="ParaNoNdepar-AltN"/>
        <w:rPr>
          <w:rFonts w:cs="Times New Roman"/>
        </w:rPr>
      </w:pPr>
      <w:r w:rsidRPr="003159E6">
        <w:rPr>
          <w:rFonts w:cs="Times New Roman"/>
        </w:rPr>
        <w:t xml:space="preserve">Mr. Carey submits that he was not in contempt, making two main points.  He submits first that the payment of funds from his trust account to Mr. </w:t>
      </w:r>
      <w:proofErr w:type="spellStart"/>
      <w:r w:rsidRPr="003159E6">
        <w:rPr>
          <w:rFonts w:cs="Times New Roman"/>
        </w:rPr>
        <w:t>Sabourin</w:t>
      </w:r>
      <w:proofErr w:type="spellEnd"/>
      <w:r w:rsidRPr="003159E6">
        <w:rPr>
          <w:rFonts w:cs="Times New Roman"/>
        </w:rPr>
        <w:t xml:space="preserve"> was not a “transfer” within the meaning of the order, either because beneficial ownership of the funds did not change or because it amounted to a permissible return of an overpayment of legal fees that informal variations to the order permitted</w:t>
      </w:r>
      <w:r>
        <w:rPr>
          <w:rFonts w:cs="Times New Roman"/>
        </w:rPr>
        <w:t>.</w:t>
      </w:r>
      <w:r w:rsidRPr="003159E6">
        <w:rPr>
          <w:rFonts w:cs="Times New Roman"/>
        </w:rPr>
        <w:t xml:space="preserve"> Second, he also says that his conduct complied with his solicitor-client obligations and that such compliance cannot be considered to have been in breach of the </w:t>
      </w:r>
      <w:proofErr w:type="spellStart"/>
      <w:r w:rsidRPr="003159E6">
        <w:rPr>
          <w:rFonts w:cs="Times New Roman"/>
          <w:i/>
        </w:rPr>
        <w:t>Mareva</w:t>
      </w:r>
      <w:proofErr w:type="spellEnd"/>
      <w:r w:rsidRPr="003159E6">
        <w:rPr>
          <w:rFonts w:cs="Times New Roman"/>
        </w:rPr>
        <w:t xml:space="preserve"> injunction</w:t>
      </w:r>
      <w:r>
        <w:rPr>
          <w:rFonts w:cs="Times New Roman"/>
        </w:rPr>
        <w:t xml:space="preserve">. </w:t>
      </w:r>
      <w:r w:rsidRPr="003159E6">
        <w:rPr>
          <w:rFonts w:cs="Times New Roman"/>
        </w:rPr>
        <w:t xml:space="preserve">The existence of Mr. </w:t>
      </w:r>
      <w:proofErr w:type="spellStart"/>
      <w:r w:rsidRPr="003159E6">
        <w:rPr>
          <w:rFonts w:cs="Times New Roman"/>
        </w:rPr>
        <w:t>Sabourin’s</w:t>
      </w:r>
      <w:proofErr w:type="spellEnd"/>
      <w:r w:rsidRPr="003159E6">
        <w:rPr>
          <w:rFonts w:cs="Times New Roman"/>
        </w:rPr>
        <w:t xml:space="preserve"> funds in his trust account attracted solicitor-client privilege and, as such, Mr. Carey was bound not to disclose that</w:t>
      </w:r>
      <w:r>
        <w:rPr>
          <w:rFonts w:cs="Times New Roman"/>
        </w:rPr>
        <w:t xml:space="preserve"> the funds were in his account.</w:t>
      </w:r>
      <w:r w:rsidRPr="003159E6">
        <w:rPr>
          <w:rFonts w:cs="Times New Roman"/>
        </w:rPr>
        <w:t xml:space="preserve"> But, he submits, leaving the funds where they were and maintaining the privilege would have sheltered them from execution. He maintains that his only </w:t>
      </w:r>
      <w:r w:rsidRPr="003159E6">
        <w:rPr>
          <w:rFonts w:cs="Times New Roman"/>
        </w:rPr>
        <w:lastRenderedPageBreak/>
        <w:t xml:space="preserve">option that was consistent with both his professional obligations to his client and to the court was to return the funds to Mr. </w:t>
      </w:r>
      <w:proofErr w:type="spellStart"/>
      <w:r w:rsidRPr="003159E6">
        <w:rPr>
          <w:rFonts w:cs="Times New Roman"/>
        </w:rPr>
        <w:t>Sabourin</w:t>
      </w:r>
      <w:proofErr w:type="spellEnd"/>
      <w:r w:rsidRPr="003159E6">
        <w:rPr>
          <w:rFonts w:cs="Times New Roman"/>
        </w:rPr>
        <w:t xml:space="preserve"> as he did. The privileged nature of the funds precluded him from seeking advice about the proper course of action from the </w:t>
      </w:r>
      <w:r>
        <w:rPr>
          <w:rFonts w:cs="Times New Roman"/>
        </w:rPr>
        <w:t>c</w:t>
      </w:r>
      <w:r w:rsidRPr="003159E6">
        <w:rPr>
          <w:rFonts w:cs="Times New Roman"/>
        </w:rPr>
        <w:t xml:space="preserve">ourt. </w:t>
      </w:r>
    </w:p>
    <w:p w:rsidR="001C2A5E" w:rsidRPr="003159E6" w:rsidRDefault="001C2A5E" w:rsidP="001C2A5E">
      <w:pPr>
        <w:pStyle w:val="ParaNoNdepar-AltN"/>
        <w:rPr>
          <w:rFonts w:cs="Times New Roman"/>
        </w:rPr>
      </w:pPr>
      <w:r w:rsidRPr="003159E6">
        <w:rPr>
          <w:rFonts w:cs="Times New Roman"/>
        </w:rPr>
        <w:t>Respectfully, neither of these points withstands careful scrutiny.</w:t>
      </w:r>
    </w:p>
    <w:p w:rsidR="001C2A5E" w:rsidRPr="003159E6" w:rsidRDefault="001C2A5E" w:rsidP="001C2A5E">
      <w:pPr>
        <w:pStyle w:val="Title3LevelTitre3Niveau"/>
        <w:rPr>
          <w:rFonts w:cs="Times New Roman"/>
        </w:rPr>
      </w:pPr>
      <w:r w:rsidRPr="003159E6">
        <w:rPr>
          <w:rFonts w:cs="Times New Roman"/>
        </w:rPr>
        <w:t>The “</w:t>
      </w:r>
      <w:r>
        <w:rPr>
          <w:rFonts w:cs="Times New Roman"/>
        </w:rPr>
        <w:t>T</w:t>
      </w:r>
      <w:r w:rsidRPr="003159E6">
        <w:rPr>
          <w:rFonts w:cs="Times New Roman"/>
        </w:rPr>
        <w:t>ransfer”</w:t>
      </w:r>
    </w:p>
    <w:p w:rsidR="001C2A5E" w:rsidRPr="003159E6" w:rsidRDefault="001C2A5E" w:rsidP="001C2A5E">
      <w:pPr>
        <w:pStyle w:val="ParaNoNdepar-AltN"/>
        <w:rPr>
          <w:rFonts w:cs="Times New Roman"/>
        </w:rPr>
      </w:pPr>
      <w:r w:rsidRPr="003159E6">
        <w:rPr>
          <w:rFonts w:cs="Times New Roman"/>
        </w:rPr>
        <w:t xml:space="preserve">Mr. Carey contends that there was no transfer of funds within the meaning of the order because there was no change in beneficial ownership when he returned them to Mr. </w:t>
      </w:r>
      <w:proofErr w:type="spellStart"/>
      <w:r w:rsidRPr="003159E6">
        <w:rPr>
          <w:rFonts w:cs="Times New Roman"/>
        </w:rPr>
        <w:t>Sabourin</w:t>
      </w:r>
      <w:proofErr w:type="spellEnd"/>
      <w:r w:rsidRPr="003159E6">
        <w:rPr>
          <w:rFonts w:cs="Times New Roman"/>
        </w:rPr>
        <w:t xml:space="preserve">. As the Court of Appeal pointed out, the purpose of the order was to prevent dealings with Mr. </w:t>
      </w:r>
      <w:proofErr w:type="spellStart"/>
      <w:r w:rsidRPr="003159E6">
        <w:rPr>
          <w:rFonts w:cs="Times New Roman"/>
        </w:rPr>
        <w:t>Sabourin’s</w:t>
      </w:r>
      <w:proofErr w:type="spellEnd"/>
      <w:r w:rsidRPr="003159E6">
        <w:rPr>
          <w:rFonts w:cs="Times New Roman"/>
        </w:rPr>
        <w:t xml:space="preserve"> assets that w</w:t>
      </w:r>
      <w:r>
        <w:rPr>
          <w:rFonts w:cs="Times New Roman"/>
        </w:rPr>
        <w:t>ould defeat the court’s process</w:t>
      </w:r>
      <w:r w:rsidRPr="003159E6">
        <w:rPr>
          <w:rFonts w:cs="Times New Roman"/>
        </w:rPr>
        <w:t xml:space="preserve"> </w:t>
      </w:r>
      <w:r>
        <w:rPr>
          <w:rFonts w:cs="Times New Roman"/>
        </w:rPr>
        <w:t>(</w:t>
      </w:r>
      <w:r w:rsidRPr="003159E6">
        <w:rPr>
          <w:rFonts w:cs="Times New Roman"/>
        </w:rPr>
        <w:t>para</w:t>
      </w:r>
      <w:r>
        <w:rPr>
          <w:rFonts w:cs="Times New Roman"/>
        </w:rPr>
        <w:t>.</w:t>
      </w:r>
      <w:r w:rsidRPr="003159E6">
        <w:rPr>
          <w:rFonts w:cs="Times New Roman"/>
        </w:rPr>
        <w:t xml:space="preserve"> 50</w:t>
      </w:r>
      <w:r>
        <w:rPr>
          <w:rFonts w:cs="Times New Roman"/>
        </w:rPr>
        <w:t>)</w:t>
      </w:r>
      <w:r w:rsidRPr="003159E6">
        <w:rPr>
          <w:rFonts w:cs="Times New Roman"/>
        </w:rPr>
        <w:t xml:space="preserve">. Mr. Carey’s position, if accepted, would mean the </w:t>
      </w:r>
      <w:r>
        <w:rPr>
          <w:rFonts w:cs="Times New Roman"/>
        </w:rPr>
        <w:t>o</w:t>
      </w:r>
      <w:r w:rsidRPr="003159E6">
        <w:rPr>
          <w:rFonts w:cs="Times New Roman"/>
        </w:rPr>
        <w:t xml:space="preserve">rder actually permitted trustees of assets held for Mr. </w:t>
      </w:r>
      <w:proofErr w:type="spellStart"/>
      <w:r w:rsidRPr="003159E6">
        <w:rPr>
          <w:rFonts w:cs="Times New Roman"/>
        </w:rPr>
        <w:t>Sabourin’s</w:t>
      </w:r>
      <w:proofErr w:type="spellEnd"/>
      <w:r w:rsidRPr="003159E6">
        <w:rPr>
          <w:rFonts w:cs="Times New Roman"/>
        </w:rPr>
        <w:t xml:space="preserve"> benefit to freely transfer those assets between accounts and even between jurisdictions, putting those assets beyond the reach of the </w:t>
      </w:r>
      <w:r>
        <w:rPr>
          <w:rFonts w:cs="Times New Roman"/>
        </w:rPr>
        <w:t>c</w:t>
      </w:r>
      <w:r w:rsidRPr="003159E6">
        <w:rPr>
          <w:rFonts w:cs="Times New Roman"/>
        </w:rPr>
        <w:t xml:space="preserve">ourt in the event of execution, so long as Mr. </w:t>
      </w:r>
      <w:proofErr w:type="spellStart"/>
      <w:r w:rsidRPr="003159E6">
        <w:rPr>
          <w:rFonts w:cs="Times New Roman"/>
        </w:rPr>
        <w:t>Sabourin</w:t>
      </w:r>
      <w:proofErr w:type="spellEnd"/>
      <w:r w:rsidRPr="003159E6">
        <w:rPr>
          <w:rFonts w:cs="Times New Roman"/>
        </w:rPr>
        <w:t xml:space="preserve"> retained beneficial ownership of the assets. An interpretation of the order that permitted this would be illogical: it would clearly defeat the purpose of the order and would also run counter to the plain language of the order specifically prohibiting those with knowledge of it from “dealing with” Mr. </w:t>
      </w:r>
      <w:proofErr w:type="spellStart"/>
      <w:r w:rsidRPr="003159E6">
        <w:rPr>
          <w:rFonts w:cs="Times New Roman"/>
        </w:rPr>
        <w:t>Sabourin’s</w:t>
      </w:r>
      <w:proofErr w:type="spellEnd"/>
      <w:r w:rsidRPr="003159E6">
        <w:rPr>
          <w:rFonts w:cs="Times New Roman"/>
        </w:rPr>
        <w:t xml:space="preserve"> assets. For these reasons, I cannot accept Mr. Carey’s position. </w:t>
      </w:r>
    </w:p>
    <w:p w:rsidR="001C2A5E" w:rsidRPr="003159E6" w:rsidRDefault="001C2A5E" w:rsidP="001C2A5E">
      <w:pPr>
        <w:pStyle w:val="ParaNoNdepar-AltN"/>
        <w:rPr>
          <w:rFonts w:cs="Times New Roman"/>
        </w:rPr>
      </w:pPr>
      <w:r w:rsidRPr="003159E6">
        <w:rPr>
          <w:rFonts w:cs="Times New Roman"/>
        </w:rPr>
        <w:lastRenderedPageBreak/>
        <w:t xml:space="preserve">Mr. Carey also submits that the return of the funds to Mr. </w:t>
      </w:r>
      <w:proofErr w:type="spellStart"/>
      <w:r w:rsidRPr="003159E6">
        <w:rPr>
          <w:rFonts w:cs="Times New Roman"/>
        </w:rPr>
        <w:t>Sabourin</w:t>
      </w:r>
      <w:proofErr w:type="spellEnd"/>
      <w:r w:rsidRPr="003159E6">
        <w:rPr>
          <w:rFonts w:cs="Times New Roman"/>
        </w:rPr>
        <w:t xml:space="preserve"> did not constitute a “transfer” within the meaning of the injunction because it amounted simply to returning an overpayment of reasonable legal fees, the payment of which was permitted by the informal variations to the order agreed to by counsel. Mr</w:t>
      </w:r>
      <w:r>
        <w:rPr>
          <w:rFonts w:cs="Times New Roman"/>
        </w:rPr>
        <w:t>.</w:t>
      </w:r>
      <w:r w:rsidRPr="003159E6">
        <w:rPr>
          <w:rFonts w:cs="Times New Roman"/>
        </w:rPr>
        <w:t xml:space="preserve"> Carey also contends that returning the overpayment was consistent with the standard of practice of the profession at the time</w:t>
      </w:r>
      <w:r>
        <w:rPr>
          <w:rFonts w:cs="Times New Roman"/>
        </w:rPr>
        <w:t>.</w:t>
      </w:r>
      <w:r w:rsidRPr="003159E6">
        <w:rPr>
          <w:rFonts w:cs="Times New Roman"/>
        </w:rPr>
        <w:t xml:space="preserve"> Moreover, if moving funds from the trust account to Mr. </w:t>
      </w:r>
      <w:proofErr w:type="spellStart"/>
      <w:r w:rsidRPr="003159E6">
        <w:rPr>
          <w:rFonts w:cs="Times New Roman"/>
        </w:rPr>
        <w:t>Sabourin</w:t>
      </w:r>
      <w:proofErr w:type="spellEnd"/>
      <w:r w:rsidRPr="003159E6">
        <w:rPr>
          <w:rFonts w:cs="Times New Roman"/>
        </w:rPr>
        <w:t xml:space="preserve"> did constitute a “transfer”, then it actually corrected a violation of the order that would have occurred when Mr. </w:t>
      </w:r>
      <w:proofErr w:type="spellStart"/>
      <w:r w:rsidRPr="003159E6">
        <w:rPr>
          <w:rFonts w:cs="Times New Roman"/>
        </w:rPr>
        <w:t>Sabourin</w:t>
      </w:r>
      <w:proofErr w:type="spellEnd"/>
      <w:r w:rsidRPr="003159E6">
        <w:rPr>
          <w:rFonts w:cs="Times New Roman"/>
        </w:rPr>
        <w:t xml:space="preserve"> originally transferred funds to Mr. Carey and he deposited them in his trust account. </w:t>
      </w:r>
    </w:p>
    <w:p w:rsidR="001C2A5E" w:rsidRPr="003159E6" w:rsidRDefault="001C2A5E" w:rsidP="001C2A5E">
      <w:pPr>
        <w:pStyle w:val="ParaNoNdepar-AltN"/>
        <w:rPr>
          <w:rFonts w:cs="Times New Roman"/>
        </w:rPr>
      </w:pPr>
      <w:r w:rsidRPr="003159E6">
        <w:rPr>
          <w:rFonts w:cs="Times New Roman"/>
        </w:rPr>
        <w:t xml:space="preserve">Mr. Carey’s characterization of the $500,000 in his trust account as an “overpayment” of “reasonable legal fees” in the circumstances of this case is artificial in the extreme.  Moreover, even if I were to accept that characterization (and I do not), the clear terms of this order still prohibited any transfer of those “excess” funds. Further, while the question of whether Mr. </w:t>
      </w:r>
      <w:proofErr w:type="spellStart"/>
      <w:r w:rsidRPr="003159E6">
        <w:rPr>
          <w:rFonts w:cs="Times New Roman"/>
        </w:rPr>
        <w:t>Sabourin’s</w:t>
      </w:r>
      <w:proofErr w:type="spellEnd"/>
      <w:r w:rsidRPr="003159E6">
        <w:rPr>
          <w:rFonts w:cs="Times New Roman"/>
        </w:rPr>
        <w:t xml:space="preserve"> initial transfer of the funds to Mr. Carey breached the order is not before us, I reject Mr. Carey’s submission that if it were a breach, this justifies a subsequent violation of the order by returning the money to Mr. </w:t>
      </w:r>
      <w:proofErr w:type="spellStart"/>
      <w:r w:rsidRPr="003159E6">
        <w:rPr>
          <w:rFonts w:cs="Times New Roman"/>
        </w:rPr>
        <w:t>Sabourin</w:t>
      </w:r>
      <w:proofErr w:type="spellEnd"/>
      <w:r w:rsidRPr="003159E6">
        <w:rPr>
          <w:rFonts w:cs="Times New Roman"/>
        </w:rPr>
        <w:t>.</w:t>
      </w:r>
    </w:p>
    <w:p w:rsidR="001C2A5E" w:rsidRPr="003159E6" w:rsidRDefault="001C2A5E" w:rsidP="001C2A5E">
      <w:pPr>
        <w:pStyle w:val="ParaNoNdepar-AltN"/>
        <w:rPr>
          <w:rFonts w:cs="Times New Roman"/>
        </w:rPr>
      </w:pPr>
      <w:r w:rsidRPr="003159E6">
        <w:rPr>
          <w:rFonts w:cs="Times New Roman"/>
        </w:rPr>
        <w:t>In my view, Mr. Carey’s submissions on this issue rely on alleged uncertainty where none in fact exists. The order clearly prohibited, as the Court of Appeal held</w:t>
      </w:r>
      <w:r w:rsidR="00220113">
        <w:rPr>
          <w:rFonts w:cs="Times New Roman"/>
        </w:rPr>
        <w:t>,</w:t>
      </w:r>
      <w:r w:rsidRPr="003159E6">
        <w:rPr>
          <w:rFonts w:cs="Times New Roman"/>
        </w:rPr>
        <w:t xml:space="preserve"> at para. 49, dealing with money held in trust. Mr. Carey’s other conduct showed that he understood that, even taking into account the variations informally agreed to by counsel to permit payment of legal and ordinary living expenses, the </w:t>
      </w:r>
      <w:r w:rsidRPr="003159E6">
        <w:rPr>
          <w:rFonts w:cs="Times New Roman"/>
        </w:rPr>
        <w:lastRenderedPageBreak/>
        <w:t xml:space="preserve">order was in full force and was binding on him. He unsuccessfully tried to vary the order to permit payments to third party creditors and he rightly declined, on the basis of the order, to carry out Mr. </w:t>
      </w:r>
      <w:proofErr w:type="spellStart"/>
      <w:r w:rsidRPr="003159E6">
        <w:rPr>
          <w:rFonts w:cs="Times New Roman"/>
        </w:rPr>
        <w:t>Sabourin’s</w:t>
      </w:r>
      <w:proofErr w:type="spellEnd"/>
      <w:r w:rsidRPr="003159E6">
        <w:rPr>
          <w:rFonts w:cs="Times New Roman"/>
        </w:rPr>
        <w:t xml:space="preserve"> instructions to use the trust money to settle the Brown claims.  </w:t>
      </w:r>
    </w:p>
    <w:p w:rsidR="001C2A5E" w:rsidRPr="003159E6" w:rsidRDefault="001C2A5E" w:rsidP="001C2A5E">
      <w:pPr>
        <w:pStyle w:val="Title3LevelTitre3Niveau"/>
        <w:rPr>
          <w:rFonts w:cs="Times New Roman"/>
        </w:rPr>
      </w:pPr>
      <w:r>
        <w:rPr>
          <w:rFonts w:cs="Times New Roman"/>
        </w:rPr>
        <w:t>Solicitor-C</w:t>
      </w:r>
      <w:r w:rsidRPr="003159E6">
        <w:rPr>
          <w:rFonts w:cs="Times New Roman"/>
        </w:rPr>
        <w:t xml:space="preserve">lient </w:t>
      </w:r>
      <w:r>
        <w:rPr>
          <w:rFonts w:cs="Times New Roman"/>
        </w:rPr>
        <w:t>P</w:t>
      </w:r>
      <w:r w:rsidRPr="003159E6">
        <w:rPr>
          <w:rFonts w:cs="Times New Roman"/>
        </w:rPr>
        <w:t>rivilege</w:t>
      </w:r>
    </w:p>
    <w:p w:rsidR="001C2A5E" w:rsidRPr="003159E6" w:rsidRDefault="001C2A5E" w:rsidP="001C2A5E">
      <w:pPr>
        <w:pStyle w:val="ParaNoNdepar-AltN"/>
        <w:rPr>
          <w:rFonts w:cs="Times New Roman"/>
        </w:rPr>
      </w:pPr>
      <w:r w:rsidRPr="003159E6">
        <w:rPr>
          <w:rFonts w:cs="Times New Roman"/>
        </w:rPr>
        <w:t xml:space="preserve"> I am not persuaded by Mr. Carey’s arguments before this Court that there was a true conflict between the order and his professional duties such that he had no option but to transfer the trust funds back to Mr. </w:t>
      </w:r>
      <w:proofErr w:type="spellStart"/>
      <w:r w:rsidRPr="003159E6">
        <w:rPr>
          <w:rFonts w:cs="Times New Roman"/>
        </w:rPr>
        <w:t>Sabourin</w:t>
      </w:r>
      <w:proofErr w:type="spellEnd"/>
      <w:r w:rsidRPr="003159E6">
        <w:rPr>
          <w:rFonts w:cs="Times New Roman"/>
        </w:rPr>
        <w:t>.</w:t>
      </w:r>
    </w:p>
    <w:p w:rsidR="001C2A5E" w:rsidRPr="003159E6" w:rsidRDefault="001C2A5E" w:rsidP="001C2A5E">
      <w:pPr>
        <w:pStyle w:val="ParaNoNdepar-AltN"/>
        <w:rPr>
          <w:rFonts w:cs="Times New Roman"/>
        </w:rPr>
      </w:pPr>
      <w:r w:rsidRPr="003159E6">
        <w:rPr>
          <w:rFonts w:cs="Times New Roman"/>
        </w:rPr>
        <w:t>I will assume, but not decide, that the existence of the funds was privileged at the time of the transfer. There are certainly arguments to be considered that the privilege never attached in the first place</w:t>
      </w:r>
      <w:r>
        <w:rPr>
          <w:rFonts w:cs="Times New Roman"/>
        </w:rPr>
        <w:t>,</w:t>
      </w:r>
      <w:r w:rsidRPr="003159E6">
        <w:rPr>
          <w:rFonts w:cs="Times New Roman"/>
        </w:rPr>
        <w:t xml:space="preserve"> or that it was waived by Mr. </w:t>
      </w:r>
      <w:proofErr w:type="spellStart"/>
      <w:r w:rsidRPr="003159E6">
        <w:rPr>
          <w:rFonts w:cs="Times New Roman"/>
        </w:rPr>
        <w:t>Sabourin’s</w:t>
      </w:r>
      <w:proofErr w:type="spellEnd"/>
      <w:r w:rsidRPr="003159E6">
        <w:rPr>
          <w:rFonts w:cs="Times New Roman"/>
        </w:rPr>
        <w:t xml:space="preserve"> disclosure of the funds’ existence to a third party adverse in interest, as Ms. </w:t>
      </w:r>
      <w:proofErr w:type="spellStart"/>
      <w:r w:rsidRPr="003159E6">
        <w:rPr>
          <w:rFonts w:cs="Times New Roman"/>
        </w:rPr>
        <w:t>Laiken</w:t>
      </w:r>
      <w:proofErr w:type="spellEnd"/>
      <w:r w:rsidRPr="003159E6">
        <w:rPr>
          <w:rFonts w:cs="Times New Roman"/>
        </w:rPr>
        <w:t xml:space="preserve"> submits was the case. Moreover, Mr. Carey’s claim in this litigation that the funds’ existence was privileged is undermined by his disclosure of that fact in response to a request from the receiver in the unrelated litigation for a full accounting of trust funds, a disclosure which he indicated he believed could be made without even any danger of violating any privilege. Mr. Carey wrote: </w:t>
      </w:r>
    </w:p>
    <w:p w:rsidR="001C2A5E" w:rsidRPr="003159E6" w:rsidRDefault="001C2A5E" w:rsidP="001C2A5E">
      <w:pPr>
        <w:pStyle w:val="Citation-AltC"/>
      </w:pPr>
      <w:r>
        <w:t xml:space="preserve">. . . </w:t>
      </w:r>
      <w:r w:rsidRPr="003159E6">
        <w:t xml:space="preserve">I believe I can provide you with the following information </w:t>
      </w:r>
      <w:r w:rsidRPr="003159E6">
        <w:rPr>
          <w:u w:val="single"/>
        </w:rPr>
        <w:t>without danger of violating any privilege</w:t>
      </w:r>
      <w:r w:rsidRPr="003159E6">
        <w:t xml:space="preserve">: on September 21, 2006 our firm was provided with a cheque for $500,000.00 from Peter </w:t>
      </w:r>
      <w:proofErr w:type="spellStart"/>
      <w:r w:rsidRPr="003159E6">
        <w:t>Sabourin</w:t>
      </w:r>
      <w:proofErr w:type="spellEnd"/>
      <w:r w:rsidRPr="003159E6">
        <w:t xml:space="preserve">. Subsequently, on October 25, 2006, at the request of Mr. </w:t>
      </w:r>
      <w:proofErr w:type="spellStart"/>
      <w:r w:rsidRPr="003159E6">
        <w:t>Sabourin</w:t>
      </w:r>
      <w:proofErr w:type="spellEnd"/>
      <w:r w:rsidRPr="003159E6">
        <w:t xml:space="preserve">, we returned $400,000.00, by way of four (4) Bank Drafts, payable to </w:t>
      </w:r>
      <w:proofErr w:type="gramStart"/>
      <w:r w:rsidR="00250AA7">
        <w:t xml:space="preserve">Peter </w:t>
      </w:r>
      <w:r w:rsidRPr="003159E6">
        <w:t xml:space="preserve"> </w:t>
      </w:r>
      <w:proofErr w:type="spellStart"/>
      <w:r w:rsidRPr="003159E6">
        <w:t>Sabourin</w:t>
      </w:r>
      <w:proofErr w:type="spellEnd"/>
      <w:proofErr w:type="gramEnd"/>
      <w:r w:rsidRPr="003159E6">
        <w:t xml:space="preserve">. On November 30, 2006 we returned another $40,000.00 to </w:t>
      </w:r>
      <w:r w:rsidRPr="003159E6">
        <w:lastRenderedPageBreak/>
        <w:t xml:space="preserve">Peter </w:t>
      </w:r>
      <w:proofErr w:type="spellStart"/>
      <w:r w:rsidRPr="003159E6">
        <w:t>Sabourin</w:t>
      </w:r>
      <w:proofErr w:type="spellEnd"/>
      <w:r w:rsidRPr="003159E6">
        <w:t>. The balance of the monies were kept in the Trust account and used to pay legal fees resulting in the balance tha</w:t>
      </w:r>
      <w:r>
        <w:t xml:space="preserve">t is currently in our account. [Emphasis added; </w:t>
      </w:r>
      <w:r w:rsidRPr="003159E6">
        <w:t xml:space="preserve">Letter from Mr. Carey to </w:t>
      </w:r>
      <w:r>
        <w:t>r</w:t>
      </w:r>
      <w:r w:rsidRPr="003159E6">
        <w:t>eceiver, November 1, 2007; A</w:t>
      </w:r>
      <w:r>
        <w:t>.</w:t>
      </w:r>
      <w:r w:rsidRPr="003159E6">
        <w:t>R</w:t>
      </w:r>
      <w:r>
        <w:t>.,</w:t>
      </w:r>
      <w:r w:rsidRPr="003159E6">
        <w:t xml:space="preserve"> </w:t>
      </w:r>
      <w:r>
        <w:t>v</w:t>
      </w:r>
      <w:r w:rsidRPr="003159E6">
        <w:t>ol. IV</w:t>
      </w:r>
      <w:r>
        <w:t>,</w:t>
      </w:r>
      <w:r w:rsidRPr="003159E6">
        <w:t xml:space="preserve"> at </w:t>
      </w:r>
      <w:r>
        <w:t xml:space="preserve">p. </w:t>
      </w:r>
      <w:r w:rsidRPr="003159E6">
        <w:t>145</w:t>
      </w:r>
      <w:r>
        <w:t>.]</w:t>
      </w:r>
    </w:p>
    <w:p w:rsidR="001C2A5E" w:rsidRPr="003159E6" w:rsidRDefault="001C2A5E" w:rsidP="001C2A5E">
      <w:pPr>
        <w:pStyle w:val="ParaNoNdepar-AltN"/>
        <w:rPr>
          <w:rFonts w:cs="Times New Roman"/>
        </w:rPr>
      </w:pPr>
      <w:r w:rsidRPr="003159E6">
        <w:rPr>
          <w:rFonts w:cs="Times New Roman"/>
        </w:rPr>
        <w:t xml:space="preserve">Be that as it may, Mr. Carey’s assumed duty to guard solicitor-client privilege did not conflict with his duty to comply with the order. To fulfill both, he needed only to leave the funds in his trust account once they had been deposited there. In doing so, he would have respected any obligations arising from solicitor-client privilege to maintain the confidentiality of the funds and he would have abided by the terms of the </w:t>
      </w:r>
      <w:proofErr w:type="spellStart"/>
      <w:r w:rsidRPr="003159E6">
        <w:rPr>
          <w:rFonts w:cs="Times New Roman"/>
          <w:i/>
        </w:rPr>
        <w:t>Mareva</w:t>
      </w:r>
      <w:proofErr w:type="spellEnd"/>
      <w:r w:rsidRPr="003159E6">
        <w:rPr>
          <w:rFonts w:cs="Times New Roman"/>
        </w:rPr>
        <w:t xml:space="preserve"> order not to transfer funds held in trust for Mr. </w:t>
      </w:r>
      <w:proofErr w:type="spellStart"/>
      <w:r w:rsidRPr="003159E6">
        <w:rPr>
          <w:rFonts w:cs="Times New Roman"/>
        </w:rPr>
        <w:t>Sabourin</w:t>
      </w:r>
      <w:proofErr w:type="spellEnd"/>
      <w:r w:rsidRPr="003159E6">
        <w:rPr>
          <w:rFonts w:cs="Times New Roman"/>
        </w:rPr>
        <w:t>.</w:t>
      </w:r>
    </w:p>
    <w:p w:rsidR="001C2A5E" w:rsidRPr="003159E6" w:rsidRDefault="001C2A5E" w:rsidP="001C2A5E">
      <w:pPr>
        <w:pStyle w:val="ParaNoNdepar-AltN"/>
        <w:rPr>
          <w:rFonts w:cs="Times New Roman"/>
        </w:rPr>
      </w:pPr>
      <w:r w:rsidRPr="003159E6">
        <w:rPr>
          <w:rFonts w:cs="Times New Roman"/>
        </w:rPr>
        <w:t xml:space="preserve">In my view, leaving the funds in his trust account would not have conflicted with other asserted professional obligations. Mr. Carey expressed concern that if he left the funds where they were, he would be assisting in shielding them from execution in the event that Ms. </w:t>
      </w:r>
      <w:proofErr w:type="spellStart"/>
      <w:r w:rsidRPr="003159E6">
        <w:rPr>
          <w:rFonts w:cs="Times New Roman"/>
        </w:rPr>
        <w:t>Laiken</w:t>
      </w:r>
      <w:proofErr w:type="spellEnd"/>
      <w:r w:rsidRPr="003159E6">
        <w:rPr>
          <w:rFonts w:cs="Times New Roman"/>
        </w:rPr>
        <w:t xml:space="preserve"> succeeded in her action against Mr. </w:t>
      </w:r>
      <w:proofErr w:type="spellStart"/>
      <w:r w:rsidRPr="003159E6">
        <w:rPr>
          <w:rFonts w:cs="Times New Roman"/>
        </w:rPr>
        <w:t>Sabourin</w:t>
      </w:r>
      <w:proofErr w:type="spellEnd"/>
      <w:r w:rsidRPr="003159E6">
        <w:rPr>
          <w:rFonts w:cs="Times New Roman"/>
        </w:rPr>
        <w:t xml:space="preserve">. This position is not only illogical, but ironic in view of the fact that returning them certainly had that effect. It is true that had Mr. Carey retained the funds, a conflict might have developed at the point </w:t>
      </w:r>
      <w:r>
        <w:rPr>
          <w:rFonts w:cs="Times New Roman"/>
        </w:rPr>
        <w:t xml:space="preserve">when </w:t>
      </w:r>
      <w:r w:rsidRPr="003159E6">
        <w:rPr>
          <w:rFonts w:cs="Times New Roman"/>
        </w:rPr>
        <w:t xml:space="preserve">Ms. </w:t>
      </w:r>
      <w:proofErr w:type="spellStart"/>
      <w:r w:rsidRPr="003159E6">
        <w:rPr>
          <w:rFonts w:cs="Times New Roman"/>
        </w:rPr>
        <w:t>Laiken</w:t>
      </w:r>
      <w:proofErr w:type="spellEnd"/>
      <w:r w:rsidRPr="003159E6">
        <w:rPr>
          <w:rFonts w:cs="Times New Roman"/>
        </w:rPr>
        <w:t xml:space="preserve"> obtained judgment against Mr. </w:t>
      </w:r>
      <w:proofErr w:type="spellStart"/>
      <w:r w:rsidRPr="003159E6">
        <w:rPr>
          <w:rFonts w:cs="Times New Roman"/>
        </w:rPr>
        <w:t>Sabourin</w:t>
      </w:r>
      <w:proofErr w:type="spellEnd"/>
      <w:r w:rsidRPr="003159E6">
        <w:rPr>
          <w:rFonts w:cs="Times New Roman"/>
        </w:rPr>
        <w:t xml:space="preserve">. Then Mr. Carey might have had an ethical dilemma on his hands: how would he comply with any solicitor-client privilege obligations (assuming the existence of the funds in trust was privileged), with the </w:t>
      </w:r>
      <w:proofErr w:type="spellStart"/>
      <w:r w:rsidRPr="003159E6">
        <w:rPr>
          <w:rFonts w:cs="Times New Roman"/>
          <w:i/>
        </w:rPr>
        <w:t>Mareva</w:t>
      </w:r>
      <w:proofErr w:type="spellEnd"/>
      <w:r w:rsidRPr="003159E6">
        <w:rPr>
          <w:rFonts w:cs="Times New Roman"/>
        </w:rPr>
        <w:t xml:space="preserve"> order and with any duty to avoid assisting his client in evading execution arising from the judgment</w:t>
      </w:r>
      <w:r>
        <w:rPr>
          <w:rFonts w:cs="Times New Roman"/>
        </w:rPr>
        <w:t xml:space="preserve">? </w:t>
      </w:r>
      <w:r w:rsidRPr="003159E6">
        <w:rPr>
          <w:rFonts w:cs="Times New Roman"/>
        </w:rPr>
        <w:t xml:space="preserve">But it is not an answer for Mr. Carey to say that he breached the order so that he would avoid the possibility of a future ethical dilemma. </w:t>
      </w:r>
    </w:p>
    <w:p w:rsidR="001C2A5E" w:rsidRPr="003159E6" w:rsidRDefault="001C2A5E" w:rsidP="001C2A5E">
      <w:pPr>
        <w:pStyle w:val="ParaNoNdepar-AltN"/>
        <w:rPr>
          <w:rFonts w:cs="Times New Roman"/>
        </w:rPr>
      </w:pPr>
      <w:r w:rsidRPr="003159E6">
        <w:rPr>
          <w:rFonts w:cs="Times New Roman"/>
        </w:rPr>
        <w:lastRenderedPageBreak/>
        <w:t>Accepting that Mr. Carey believed</w:t>
      </w:r>
      <w:r>
        <w:rPr>
          <w:rFonts w:cs="Times New Roman"/>
        </w:rPr>
        <w:t xml:space="preserve"> —</w:t>
      </w:r>
      <w:r w:rsidRPr="003159E6">
        <w:rPr>
          <w:rFonts w:cs="Times New Roman"/>
        </w:rPr>
        <w:t xml:space="preserve"> albeit mistakenly </w:t>
      </w:r>
      <w:r>
        <w:rPr>
          <w:rFonts w:cs="Times New Roman"/>
        </w:rPr>
        <w:t>—</w:t>
      </w:r>
      <w:r w:rsidRPr="003159E6">
        <w:rPr>
          <w:rFonts w:cs="Times New Roman"/>
        </w:rPr>
        <w:t xml:space="preserve"> that there was a true conflict, there were appropriate avenues open to him other than making a unilateral decision to breach the order. The unilateral approach that he adopted gave no weight to the important principle that “a court order, made by a court having jurisdiction to make it, stands and is binding and conclusive unless it is set aside on appeal or lawfully quashed”: </w:t>
      </w:r>
      <w:r w:rsidRPr="003159E6">
        <w:rPr>
          <w:rFonts w:cs="Times New Roman"/>
          <w:i/>
        </w:rPr>
        <w:t xml:space="preserve">Wilson v. </w:t>
      </w:r>
      <w:r>
        <w:rPr>
          <w:rFonts w:cs="Times New Roman"/>
          <w:i/>
        </w:rPr>
        <w:t>The Queen</w:t>
      </w:r>
      <w:r w:rsidRPr="003159E6">
        <w:rPr>
          <w:rFonts w:cs="Times New Roman"/>
        </w:rPr>
        <w:t>, [1983] 2 S.C.R. 594</w:t>
      </w:r>
      <w:r>
        <w:rPr>
          <w:rFonts w:cs="Times New Roman"/>
        </w:rPr>
        <w:t>,</w:t>
      </w:r>
      <w:r w:rsidRPr="003159E6">
        <w:rPr>
          <w:rFonts w:cs="Times New Roman"/>
        </w:rPr>
        <w:t xml:space="preserve"> at</w:t>
      </w:r>
      <w:r>
        <w:rPr>
          <w:rFonts w:cs="Times New Roman"/>
        </w:rPr>
        <w:t xml:space="preserve"> p.</w:t>
      </w:r>
      <w:r w:rsidRPr="003159E6">
        <w:rPr>
          <w:rFonts w:cs="Times New Roman"/>
        </w:rPr>
        <w:t xml:space="preserve"> 599</w:t>
      </w:r>
      <w:r>
        <w:rPr>
          <w:rFonts w:cs="Times New Roman"/>
        </w:rPr>
        <w:t>.</w:t>
      </w:r>
      <w:r w:rsidRPr="003159E6">
        <w:rPr>
          <w:rFonts w:cs="Times New Roman"/>
        </w:rPr>
        <w:t xml:space="preserve"> </w:t>
      </w:r>
      <w:r>
        <w:rPr>
          <w:rFonts w:cs="Times New Roman"/>
        </w:rPr>
        <w:t xml:space="preserve"> S</w:t>
      </w:r>
      <w:r w:rsidRPr="003159E6">
        <w:rPr>
          <w:rFonts w:cs="Times New Roman"/>
        </w:rPr>
        <w:t xml:space="preserve">ee also </w:t>
      </w:r>
      <w:r w:rsidRPr="003159E6">
        <w:rPr>
          <w:rFonts w:cs="Times New Roman"/>
          <w:i/>
        </w:rPr>
        <w:t xml:space="preserve">Ontario (Attorney General) v. Paul </w:t>
      </w:r>
      <w:proofErr w:type="spellStart"/>
      <w:r w:rsidRPr="003159E6">
        <w:rPr>
          <w:rFonts w:cs="Times New Roman"/>
          <w:i/>
        </w:rPr>
        <w:t>Magder</w:t>
      </w:r>
      <w:proofErr w:type="spellEnd"/>
      <w:r w:rsidRPr="003159E6">
        <w:rPr>
          <w:rFonts w:cs="Times New Roman"/>
          <w:i/>
        </w:rPr>
        <w:t xml:space="preserve"> Furs Ltd.</w:t>
      </w:r>
      <w:r w:rsidRPr="003159E6">
        <w:rPr>
          <w:rFonts w:cs="Times New Roman"/>
        </w:rPr>
        <w:t xml:space="preserve"> (1991), 6 O.R. (3d) 188</w:t>
      </w:r>
      <w:r>
        <w:rPr>
          <w:rFonts w:cs="Times New Roman"/>
        </w:rPr>
        <w:t xml:space="preserve"> (C.A.),</w:t>
      </w:r>
      <w:r w:rsidRPr="003159E6">
        <w:rPr>
          <w:rFonts w:cs="Times New Roman"/>
        </w:rPr>
        <w:t xml:space="preserve"> at </w:t>
      </w:r>
      <w:r>
        <w:rPr>
          <w:rFonts w:cs="Times New Roman"/>
        </w:rPr>
        <w:t xml:space="preserve">p. </w:t>
      </w:r>
      <w:r w:rsidRPr="003159E6">
        <w:rPr>
          <w:rFonts w:cs="Times New Roman"/>
        </w:rPr>
        <w:t xml:space="preserve">192: “It is elementary that so long </w:t>
      </w:r>
      <w:proofErr w:type="gramStart"/>
      <w:r w:rsidRPr="003159E6">
        <w:rPr>
          <w:rFonts w:cs="Times New Roman"/>
        </w:rPr>
        <w:t>as</w:t>
      </w:r>
      <w:r>
        <w:rPr>
          <w:rFonts w:cs="Times New Roman"/>
        </w:rPr>
        <w:t xml:space="preserve"> .</w:t>
      </w:r>
      <w:proofErr w:type="gramEnd"/>
      <w:r>
        <w:rPr>
          <w:rFonts w:cs="Times New Roman"/>
        </w:rPr>
        <w:t xml:space="preserve"> . . </w:t>
      </w:r>
      <w:r w:rsidRPr="003159E6">
        <w:rPr>
          <w:rFonts w:cs="Times New Roman"/>
        </w:rPr>
        <w:t xml:space="preserve">an order of the court remains in force it must be obeyed.” </w:t>
      </w:r>
    </w:p>
    <w:p w:rsidR="001C2A5E" w:rsidRDefault="001C2A5E" w:rsidP="001C2A5E">
      <w:pPr>
        <w:pStyle w:val="ParaNoNdepar-AltN"/>
        <w:rPr>
          <w:rFonts w:cs="Times New Roman"/>
        </w:rPr>
      </w:pPr>
      <w:r w:rsidRPr="003159E6">
        <w:rPr>
          <w:rFonts w:cs="Times New Roman"/>
        </w:rPr>
        <w:t xml:space="preserve">For one thing, Mr. Carey could have obtained a determination about whether the existence of the funds in trust was covered by solicitor-client privilege. Only if it was would a true conflict potentially exist. He himself at one point thought that information about the funds’ existence could be released without any danger of violating solicitor-client privilege. He could have asked his client to waive any privilege over the existence of the funds. Had his client agreed, that would have put an end to any potential future conflict. Mr. Carey also could have sought a variation of the order or direction from the </w:t>
      </w:r>
      <w:r>
        <w:rPr>
          <w:rFonts w:cs="Times New Roman"/>
        </w:rPr>
        <w:t>c</w:t>
      </w:r>
      <w:r w:rsidRPr="003159E6">
        <w:rPr>
          <w:rFonts w:cs="Times New Roman"/>
        </w:rPr>
        <w:t xml:space="preserve">ourt on an </w:t>
      </w:r>
      <w:r w:rsidRPr="003159E6">
        <w:rPr>
          <w:rFonts w:cs="Times New Roman"/>
          <w:i/>
        </w:rPr>
        <w:t xml:space="preserve">ex parte </w:t>
      </w:r>
      <w:r w:rsidRPr="003159E6">
        <w:rPr>
          <w:rFonts w:cs="Times New Roman"/>
        </w:rPr>
        <w:t xml:space="preserve">and </w:t>
      </w:r>
      <w:r w:rsidRPr="003159E6">
        <w:rPr>
          <w:rFonts w:cs="Times New Roman"/>
          <w:i/>
        </w:rPr>
        <w:t>in camera</w:t>
      </w:r>
      <w:r w:rsidRPr="003159E6">
        <w:rPr>
          <w:rFonts w:cs="Times New Roman"/>
        </w:rPr>
        <w:t xml:space="preserve"> basis. But there is no evidence that Mr. Carey took or even considered taking any of these steps.</w:t>
      </w:r>
      <w:r w:rsidRPr="003159E6">
        <w:rPr>
          <w:rFonts w:cs="Times New Roman"/>
          <w:i/>
        </w:rPr>
        <w:t xml:space="preserve"> </w:t>
      </w:r>
      <w:r w:rsidRPr="003159E6">
        <w:rPr>
          <w:rFonts w:cs="Times New Roman"/>
        </w:rPr>
        <w:t xml:space="preserve"> </w:t>
      </w:r>
    </w:p>
    <w:p w:rsidR="001C2A5E" w:rsidRPr="00083D97" w:rsidRDefault="001C2A5E" w:rsidP="001C2A5E">
      <w:pPr>
        <w:pStyle w:val="ParaNoNdepar-AltN"/>
        <w:rPr>
          <w:rFonts w:cs="Times New Roman"/>
        </w:rPr>
      </w:pPr>
      <w:r w:rsidRPr="00083D97">
        <w:rPr>
          <w:rFonts w:cs="Times New Roman"/>
        </w:rPr>
        <w:t>In any event, we do not need to make any final pronouncements on what Mr. Carey should have done instead of unilaterally deciding to give the money back. One thing is crystal clear</w:t>
      </w:r>
      <w:r>
        <w:rPr>
          <w:rFonts w:cs="Times New Roman"/>
        </w:rPr>
        <w:t>:</w:t>
      </w:r>
      <w:r w:rsidRPr="00083D97">
        <w:rPr>
          <w:rFonts w:cs="Times New Roman"/>
        </w:rPr>
        <w:t xml:space="preserve"> there was no legal or ethical duty that compelled Mr. Carey to breach the injunction by transferring the trust funds back to Mr. </w:t>
      </w:r>
      <w:proofErr w:type="spellStart"/>
      <w:r w:rsidRPr="00083D97">
        <w:rPr>
          <w:rFonts w:cs="Times New Roman"/>
        </w:rPr>
        <w:t>Sabourin</w:t>
      </w:r>
      <w:proofErr w:type="spellEnd"/>
      <w:r w:rsidRPr="00083D97">
        <w:rPr>
          <w:rFonts w:cs="Times New Roman"/>
        </w:rPr>
        <w:t xml:space="preserve"> or that </w:t>
      </w:r>
      <w:r w:rsidRPr="00083D97">
        <w:rPr>
          <w:rFonts w:cs="Times New Roman"/>
        </w:rPr>
        <w:lastRenderedPageBreak/>
        <w:t xml:space="preserve">conflicted with obeying the order. </w:t>
      </w:r>
      <w:r w:rsidRPr="00083D97">
        <w:t xml:space="preserve">Although I accept that Mr. Carey did not breach the order maliciously or with </w:t>
      </w:r>
      <w:r>
        <w:t xml:space="preserve">the </w:t>
      </w:r>
      <w:r w:rsidRPr="00083D97">
        <w:t xml:space="preserve">intent </w:t>
      </w:r>
      <w:r w:rsidRPr="00083D97">
        <w:rPr>
          <w:bCs/>
        </w:rPr>
        <w:t>to interfere with the administration of justice</w:t>
      </w:r>
      <w:r w:rsidRPr="00083D97">
        <w:t>, the law does not require that he have done so in order to satisfy the elements of civil c</w:t>
      </w:r>
      <w:r>
        <w:t>ontempt.</w:t>
      </w:r>
    </w:p>
    <w:p w:rsidR="001C2A5E" w:rsidRPr="003159E6" w:rsidRDefault="001C2A5E" w:rsidP="001C2A5E">
      <w:pPr>
        <w:pStyle w:val="Title2LevelTitre2Niveau"/>
        <w:jc w:val="both"/>
        <w:rPr>
          <w:rFonts w:cs="Times New Roman"/>
        </w:rPr>
      </w:pPr>
      <w:r>
        <w:rPr>
          <w:rFonts w:cs="Times New Roman"/>
        </w:rPr>
        <w:t>Third I</w:t>
      </w:r>
      <w:r w:rsidRPr="003159E6">
        <w:rPr>
          <w:rFonts w:cs="Times New Roman"/>
        </w:rPr>
        <w:t xml:space="preserve">ssue: </w:t>
      </w:r>
      <w:r>
        <w:rPr>
          <w:rFonts w:cs="Times New Roman"/>
        </w:rPr>
        <w:t>Was It O</w:t>
      </w:r>
      <w:r w:rsidRPr="003159E6">
        <w:rPr>
          <w:rFonts w:cs="Times New Roman"/>
        </w:rPr>
        <w:t xml:space="preserve">pen to the </w:t>
      </w:r>
      <w:r>
        <w:rPr>
          <w:rFonts w:cs="Times New Roman"/>
        </w:rPr>
        <w:t>M</w:t>
      </w:r>
      <w:r w:rsidRPr="003159E6">
        <w:rPr>
          <w:rFonts w:cs="Times New Roman"/>
        </w:rPr>
        <w:t xml:space="preserve">otions </w:t>
      </w:r>
      <w:r>
        <w:rPr>
          <w:rFonts w:cs="Times New Roman"/>
        </w:rPr>
        <w:t>J</w:t>
      </w:r>
      <w:r w:rsidRPr="003159E6">
        <w:rPr>
          <w:rFonts w:cs="Times New Roman"/>
        </w:rPr>
        <w:t>udge to</w:t>
      </w:r>
      <w:r>
        <w:rPr>
          <w:rFonts w:cs="Times New Roman"/>
        </w:rPr>
        <w:t xml:space="preserve"> S</w:t>
      </w:r>
      <w:r w:rsidRPr="003159E6">
        <w:rPr>
          <w:rFonts w:cs="Times New Roman"/>
        </w:rPr>
        <w:t xml:space="preserve">et </w:t>
      </w:r>
      <w:r>
        <w:rPr>
          <w:rFonts w:cs="Times New Roman"/>
        </w:rPr>
        <w:t>A</w:t>
      </w:r>
      <w:r w:rsidRPr="003159E6">
        <w:rPr>
          <w:rFonts w:cs="Times New Roman"/>
        </w:rPr>
        <w:t xml:space="preserve">side </w:t>
      </w:r>
      <w:r>
        <w:rPr>
          <w:rFonts w:cs="Times New Roman"/>
        </w:rPr>
        <w:t>H</w:t>
      </w:r>
      <w:r w:rsidRPr="003159E6">
        <w:rPr>
          <w:rFonts w:cs="Times New Roman"/>
        </w:rPr>
        <w:t xml:space="preserve">er </w:t>
      </w:r>
      <w:r>
        <w:rPr>
          <w:rFonts w:cs="Times New Roman"/>
        </w:rPr>
        <w:t>I</w:t>
      </w:r>
      <w:r w:rsidRPr="003159E6">
        <w:rPr>
          <w:rFonts w:cs="Times New Roman"/>
        </w:rPr>
        <w:t xml:space="preserve">nitial </w:t>
      </w:r>
      <w:r>
        <w:rPr>
          <w:rFonts w:cs="Times New Roman"/>
        </w:rPr>
        <w:t>C</w:t>
      </w:r>
      <w:r w:rsidRPr="003159E6">
        <w:rPr>
          <w:rFonts w:cs="Times New Roman"/>
        </w:rPr>
        <w:t xml:space="preserve">ontempt </w:t>
      </w:r>
      <w:r>
        <w:rPr>
          <w:rFonts w:cs="Times New Roman"/>
        </w:rPr>
        <w:t>F</w:t>
      </w:r>
      <w:r w:rsidRPr="003159E6">
        <w:rPr>
          <w:rFonts w:cs="Times New Roman"/>
        </w:rPr>
        <w:t>inding?</w:t>
      </w:r>
    </w:p>
    <w:p w:rsidR="001C2A5E" w:rsidRPr="003159E6" w:rsidRDefault="001C2A5E" w:rsidP="001C2A5E">
      <w:pPr>
        <w:pStyle w:val="ParaNoNdepar-AltN"/>
        <w:spacing w:before="240"/>
        <w:rPr>
          <w:rFonts w:cs="Times New Roman"/>
        </w:rPr>
      </w:pPr>
      <w:r w:rsidRPr="003159E6">
        <w:rPr>
          <w:rFonts w:cs="Times New Roman"/>
        </w:rPr>
        <w:t xml:space="preserve">The Court of Appeal held that the motions judge erred in setting aside her initial contempt finding. Neither the </w:t>
      </w:r>
      <w:r w:rsidRPr="00ED5754">
        <w:rPr>
          <w:rFonts w:cs="Times New Roman"/>
          <w:i/>
        </w:rPr>
        <w:t>Rules</w:t>
      </w:r>
      <w:r w:rsidRPr="003159E6">
        <w:rPr>
          <w:rFonts w:cs="Times New Roman"/>
        </w:rPr>
        <w:t xml:space="preserve"> nor the case law contemplates the procedure the motions</w:t>
      </w:r>
      <w:r>
        <w:rPr>
          <w:rFonts w:cs="Times New Roman"/>
        </w:rPr>
        <w:t xml:space="preserve"> judge followed. </w:t>
      </w:r>
      <w:r w:rsidRPr="003159E6">
        <w:rPr>
          <w:rFonts w:cs="Times New Roman"/>
        </w:rPr>
        <w:t>The interests of justice are best served when the principle of finality is respected. Mr. Carey used the second stage of the proceedings to attack the motions judge’s findings and declaration of contempt. This</w:t>
      </w:r>
      <w:r>
        <w:rPr>
          <w:rFonts w:cs="Times New Roman"/>
        </w:rPr>
        <w:t xml:space="preserve"> was inappropriate (paras. 30-</w:t>
      </w:r>
      <w:r w:rsidR="00250AA7">
        <w:rPr>
          <w:rFonts w:cs="Times New Roman"/>
        </w:rPr>
        <w:t>3</w:t>
      </w:r>
      <w:r w:rsidRPr="003159E6">
        <w:rPr>
          <w:rFonts w:cs="Times New Roman"/>
        </w:rPr>
        <w:t>2)</w:t>
      </w:r>
      <w:r w:rsidR="00250AA7">
        <w:rPr>
          <w:rFonts w:cs="Times New Roman"/>
        </w:rPr>
        <w:t>.</w:t>
      </w:r>
    </w:p>
    <w:p w:rsidR="001C2A5E" w:rsidRPr="003159E6" w:rsidRDefault="001C2A5E" w:rsidP="001C2A5E">
      <w:pPr>
        <w:pStyle w:val="ParaNoNdepar-AltN"/>
        <w:rPr>
          <w:rFonts w:cs="Times New Roman"/>
        </w:rPr>
      </w:pPr>
      <w:r>
        <w:rPr>
          <w:rFonts w:cs="Times New Roman"/>
        </w:rPr>
        <w:t>The c</w:t>
      </w:r>
      <w:r w:rsidRPr="003159E6">
        <w:rPr>
          <w:rFonts w:cs="Times New Roman"/>
        </w:rPr>
        <w:t xml:space="preserve">ourt identified two qualifications to the general rule that a contempt finding at the </w:t>
      </w:r>
      <w:r w:rsidR="00220113">
        <w:rPr>
          <w:rFonts w:cs="Times New Roman"/>
        </w:rPr>
        <w:t>first hearing is final. First, r</w:t>
      </w:r>
      <w:r w:rsidRPr="003159E6">
        <w:rPr>
          <w:rFonts w:cs="Times New Roman"/>
        </w:rPr>
        <w:t>ule 60.11 contemplates that a judge may set aside a finding of contempt if the contemnor purges the contempt, since the contempt proceedings have secured compliance with the</w:t>
      </w:r>
      <w:r>
        <w:rPr>
          <w:rFonts w:cs="Times New Roman"/>
        </w:rPr>
        <w:t xml:space="preserve"> court order. </w:t>
      </w:r>
      <w:r w:rsidRPr="003159E6">
        <w:rPr>
          <w:rFonts w:cs="Times New Roman"/>
        </w:rPr>
        <w:t>Second, contempt proceedings are subject to the standard prin</w:t>
      </w:r>
      <w:r>
        <w:rPr>
          <w:rFonts w:cs="Times New Roman"/>
        </w:rPr>
        <w:t>ciples that allow parties to re</w:t>
      </w:r>
      <w:r w:rsidRPr="003159E6">
        <w:rPr>
          <w:rFonts w:cs="Times New Roman"/>
        </w:rPr>
        <w:t xml:space="preserve">open findings in exceptional circumstances to permit consideration of fresh evidence or new </w:t>
      </w:r>
      <w:r>
        <w:rPr>
          <w:rFonts w:cs="Times New Roman"/>
        </w:rPr>
        <w:t xml:space="preserve">facts that were not before the court at the first hearing. </w:t>
      </w:r>
    </w:p>
    <w:p w:rsidR="001C2A5E" w:rsidRPr="003159E6" w:rsidRDefault="001C2A5E" w:rsidP="001C2A5E">
      <w:pPr>
        <w:pStyle w:val="ParaNoNdepar-AltN"/>
        <w:rPr>
          <w:rFonts w:cs="Times New Roman"/>
        </w:rPr>
      </w:pPr>
      <w:r w:rsidRPr="003159E6">
        <w:rPr>
          <w:rFonts w:cs="Times New Roman"/>
        </w:rPr>
        <w:t>The appellant submits that the Court of Appeal was wr</w:t>
      </w:r>
      <w:r w:rsidR="00A14B37">
        <w:rPr>
          <w:rFonts w:cs="Times New Roman"/>
        </w:rPr>
        <w:t>ong for two principal reasons: r</w:t>
      </w:r>
      <w:r w:rsidRPr="003159E6">
        <w:rPr>
          <w:rFonts w:cs="Times New Roman"/>
        </w:rPr>
        <w:t xml:space="preserve">ule 60.11(8) grants the court discretion to set aside a contempt </w:t>
      </w:r>
      <w:r w:rsidRPr="003159E6">
        <w:rPr>
          <w:rFonts w:cs="Times New Roman"/>
        </w:rPr>
        <w:lastRenderedPageBreak/>
        <w:t>finding and the quasi-criminal nature of civil contempt proceedings demands that judges retain discretion to set aside a finding on the basis of new material evidence. The appellant submits that the motions judge properly exercised her discretion to set aside the contempt finding in this case.</w:t>
      </w:r>
    </w:p>
    <w:p w:rsidR="001C2A5E" w:rsidRPr="003159E6" w:rsidRDefault="001C2A5E" w:rsidP="001C2A5E">
      <w:pPr>
        <w:pStyle w:val="ParaNoNdepar-AltN"/>
        <w:rPr>
          <w:rFonts w:cs="Times New Roman"/>
        </w:rPr>
      </w:pPr>
      <w:r w:rsidRPr="003159E6">
        <w:rPr>
          <w:rFonts w:cs="Times New Roman"/>
        </w:rPr>
        <w:t xml:space="preserve">I do not accept these submissions and I agree with the Court of Appeal, for substantially the reasons it gave. </w:t>
      </w:r>
    </w:p>
    <w:p w:rsidR="001C2A5E" w:rsidRPr="003159E6" w:rsidRDefault="001C2A5E" w:rsidP="001C2A5E">
      <w:pPr>
        <w:pStyle w:val="ParaNoNdepar-AltN"/>
        <w:rPr>
          <w:rFonts w:cs="Times New Roman"/>
        </w:rPr>
      </w:pPr>
      <w:r w:rsidRPr="003159E6">
        <w:rPr>
          <w:rFonts w:cs="Times New Roman"/>
        </w:rPr>
        <w:t>The starting point is that, in civil contempt proceedings, once a finding of contempt has been made at the first stage of a bifurcated proceeding, that finding is usually final. As the Court of Appeal stated, “[a] party faced with a contempt motion is not entitled to present a partial defence [at the liability stage] and then, if the initial gambit fails, have a second ‘bite at the cherry’”</w:t>
      </w:r>
      <w:r>
        <w:rPr>
          <w:rFonts w:cs="Times New Roman"/>
        </w:rPr>
        <w:t xml:space="preserve"> at the penalty stage</w:t>
      </w:r>
      <w:r w:rsidRPr="003159E6">
        <w:rPr>
          <w:rFonts w:cs="Times New Roman"/>
        </w:rPr>
        <w:t xml:space="preserve"> (para. 32)</w:t>
      </w:r>
      <w:r>
        <w:rPr>
          <w:rFonts w:cs="Times New Roman"/>
        </w:rPr>
        <w:t>.</w:t>
      </w:r>
      <w:r w:rsidRPr="003159E6">
        <w:rPr>
          <w:rFonts w:cs="Times New Roman"/>
        </w:rPr>
        <w:t xml:space="preserve"> This would defeat the purpose of the first hearing. This is what the judge at first instance erroneously permitted Mr. Carey to do.</w:t>
      </w:r>
    </w:p>
    <w:p w:rsidR="001C2A5E" w:rsidRPr="003159E6" w:rsidRDefault="001C2A5E" w:rsidP="001C2A5E">
      <w:pPr>
        <w:pStyle w:val="ParaNoNdepar-AltN"/>
        <w:rPr>
          <w:rFonts w:cs="Times New Roman"/>
        </w:rPr>
      </w:pPr>
      <w:r w:rsidRPr="003159E6">
        <w:rPr>
          <w:rFonts w:cs="Times New Roman"/>
        </w:rPr>
        <w:t>Without exhaustively outlining the circumstances in which a judge may properly revisit an initial contempt finding, I agree with the Court of Appeal that</w:t>
      </w:r>
      <w:r>
        <w:rPr>
          <w:rFonts w:cs="Times New Roman"/>
        </w:rPr>
        <w:t xml:space="preserve"> he or</w:t>
      </w:r>
      <w:r w:rsidRPr="003159E6">
        <w:rPr>
          <w:rFonts w:cs="Times New Roman"/>
        </w:rPr>
        <w:t xml:space="preserve"> she may do so where the contemnor subsequently complies with the order or otherwise purges his or her contempt or, in exceptional circumstances, where new facts or evidence have come to light after the contempt finding was made</w:t>
      </w:r>
      <w:r>
        <w:rPr>
          <w:rFonts w:cs="Times New Roman"/>
        </w:rPr>
        <w:t>.</w:t>
      </w:r>
      <w:r w:rsidRPr="003159E6">
        <w:rPr>
          <w:rFonts w:cs="Times New Roman"/>
        </w:rPr>
        <w:t xml:space="preserve">  </w:t>
      </w:r>
    </w:p>
    <w:p w:rsidR="001C2A5E" w:rsidRPr="003159E6" w:rsidRDefault="001C2A5E" w:rsidP="001C2A5E">
      <w:pPr>
        <w:pStyle w:val="ParaNoNdepar-AltN"/>
        <w:rPr>
          <w:rFonts w:cs="Times New Roman"/>
        </w:rPr>
      </w:pPr>
      <w:r w:rsidRPr="003159E6">
        <w:rPr>
          <w:rFonts w:cs="Times New Roman"/>
        </w:rPr>
        <w:t xml:space="preserve">Although the motions judge was concerned that refusing to consider the new evidence would lead to a miscarriage of justice, I agree that neither Rule 60.11 </w:t>
      </w:r>
      <w:r w:rsidRPr="003159E6">
        <w:rPr>
          <w:rFonts w:cs="Times New Roman"/>
        </w:rPr>
        <w:lastRenderedPageBreak/>
        <w:t>nor the case law permitted her to revisit her earlier finding in t</w:t>
      </w:r>
      <w:r w:rsidR="007641E7">
        <w:rPr>
          <w:rFonts w:cs="Times New Roman"/>
        </w:rPr>
        <w:t xml:space="preserve">he circumstances of this case. </w:t>
      </w:r>
      <w:proofErr w:type="gramStart"/>
      <w:r w:rsidR="007641E7">
        <w:rPr>
          <w:rFonts w:cs="Times New Roman"/>
        </w:rPr>
        <w:t>r</w:t>
      </w:r>
      <w:r w:rsidRPr="003159E6">
        <w:rPr>
          <w:rFonts w:cs="Times New Roman"/>
        </w:rPr>
        <w:t>ule</w:t>
      </w:r>
      <w:proofErr w:type="gramEnd"/>
      <w:r w:rsidRPr="003159E6">
        <w:rPr>
          <w:rFonts w:cs="Times New Roman"/>
        </w:rPr>
        <w:t xml:space="preserve"> 60.11(8) allows a judge, on motion, to “discharge, set aside, vary or give directions in respect of an ord</w:t>
      </w:r>
      <w:r>
        <w:rPr>
          <w:rFonts w:cs="Times New Roman"/>
        </w:rPr>
        <w:t xml:space="preserve">er under </w:t>
      </w:r>
      <w:proofErr w:type="spellStart"/>
      <w:r>
        <w:rPr>
          <w:rFonts w:cs="Times New Roman"/>
        </w:rPr>
        <w:t>subrule</w:t>
      </w:r>
      <w:proofErr w:type="spellEnd"/>
      <w:r>
        <w:rPr>
          <w:rFonts w:cs="Times New Roman"/>
        </w:rPr>
        <w:t xml:space="preserve"> (5) or (6) and . . . </w:t>
      </w:r>
      <w:r w:rsidRPr="003159E6">
        <w:rPr>
          <w:rFonts w:cs="Times New Roman"/>
        </w:rPr>
        <w:t>grant such other relief and make such other order as is just”</w:t>
      </w:r>
      <w:r>
        <w:rPr>
          <w:rFonts w:cs="Times New Roman"/>
        </w:rPr>
        <w:t>.</w:t>
      </w:r>
      <w:r w:rsidRPr="003159E6">
        <w:rPr>
          <w:rFonts w:cs="Times New Roman"/>
        </w:rPr>
        <w:t xml:space="preserve"> Relying on the Court of Appeal’s comments in its stay decision, the motions judge thought that there was no need to “reopen” Ms. </w:t>
      </w:r>
      <w:proofErr w:type="spellStart"/>
      <w:r w:rsidRPr="003159E6">
        <w:rPr>
          <w:rFonts w:cs="Times New Roman"/>
        </w:rPr>
        <w:t>Laiken’s</w:t>
      </w:r>
      <w:proofErr w:type="spellEnd"/>
      <w:r w:rsidRPr="003159E6">
        <w:rPr>
          <w:rFonts w:cs="Times New Roman"/>
        </w:rPr>
        <w:t xml:space="preserve"> motion for contempt, as it was not yet completed: </w:t>
      </w:r>
      <w:r>
        <w:rPr>
          <w:rFonts w:cs="Times New Roman"/>
        </w:rPr>
        <w:t xml:space="preserve">2012 ONSC 7252, </w:t>
      </w:r>
      <w:r w:rsidRPr="003159E6">
        <w:rPr>
          <w:rFonts w:cs="Times New Roman"/>
        </w:rPr>
        <w:t xml:space="preserve">at para. 8. I agree with the Court of Appeal that the motions judge misinterpreted this aspect of the stay decision. The Court of Appeal correctly held that in these circumstances, the motions judge </w:t>
      </w:r>
      <w:r w:rsidRPr="003159E6">
        <w:rPr>
          <w:rFonts w:cs="Times New Roman"/>
          <w:lang w:val="en-US"/>
        </w:rPr>
        <w:t xml:space="preserve">erred in exercising her discretion to permit Mr. Carey to </w:t>
      </w:r>
      <w:proofErr w:type="spellStart"/>
      <w:r w:rsidRPr="003159E6">
        <w:rPr>
          <w:rFonts w:cs="Times New Roman"/>
          <w:lang w:val="en-US"/>
        </w:rPr>
        <w:t>relitigate</w:t>
      </w:r>
      <w:proofErr w:type="spellEnd"/>
      <w:r w:rsidRPr="003159E6">
        <w:rPr>
          <w:rFonts w:cs="Times New Roman"/>
          <w:lang w:val="en-US"/>
        </w:rPr>
        <w:t xml:space="preserve"> the initial contempt finding and erred in setting that finding aside.</w:t>
      </w:r>
      <w:r w:rsidRPr="003159E6">
        <w:rPr>
          <w:rFonts w:cs="Times New Roman"/>
        </w:rPr>
        <w:t xml:space="preserve"> </w:t>
      </w:r>
    </w:p>
    <w:p w:rsidR="001C2A5E" w:rsidRPr="003159E6" w:rsidRDefault="001C2A5E" w:rsidP="001C2A5E">
      <w:pPr>
        <w:pStyle w:val="Title1LevelTitre1Niveau-AltL"/>
        <w:rPr>
          <w:rFonts w:cs="Times New Roman"/>
        </w:rPr>
      </w:pPr>
      <w:r w:rsidRPr="003159E6">
        <w:rPr>
          <w:rFonts w:cs="Times New Roman"/>
        </w:rPr>
        <w:t>Disposition</w:t>
      </w:r>
    </w:p>
    <w:p w:rsidR="001C2A5E" w:rsidRPr="003159E6" w:rsidRDefault="001C2A5E" w:rsidP="001C2A5E">
      <w:pPr>
        <w:pStyle w:val="ParaNoNdepar-AltN"/>
        <w:rPr>
          <w:rFonts w:cs="Times New Roman"/>
        </w:rPr>
      </w:pPr>
      <w:r w:rsidRPr="003159E6">
        <w:rPr>
          <w:rFonts w:cs="Times New Roman"/>
        </w:rPr>
        <w:t xml:space="preserve">I would dismiss the appeal with costs. </w:t>
      </w:r>
    </w:p>
    <w:p w:rsidR="009B57B3" w:rsidRPr="006D40E2" w:rsidRDefault="00071E02" w:rsidP="00E21EE7">
      <w:pPr>
        <w:pStyle w:val="SCCNormalDoubleSpacing"/>
        <w:spacing w:after="480"/>
      </w:pPr>
      <w:r w:rsidRPr="006D40E2">
        <w:tab/>
      </w:r>
      <w:r w:rsidR="00656313" w:rsidRPr="006D40E2">
        <w:rPr>
          <w:i/>
        </w:rPr>
        <w:t>Appea</w:t>
      </w:r>
      <w:r w:rsidRPr="006D40E2">
        <w:rPr>
          <w:i/>
        </w:rPr>
        <w:t xml:space="preserve">l </w:t>
      </w:r>
      <w:r w:rsidR="002E7712" w:rsidRPr="006D40E2">
        <w:rPr>
          <w:i/>
        </w:rPr>
        <w:t>dismissed with costs</w:t>
      </w:r>
      <w:r w:rsidRPr="006D40E2">
        <w:rPr>
          <w:i/>
        </w:rPr>
        <w:t>.</w:t>
      </w:r>
    </w:p>
    <w:p w:rsidR="00071E02" w:rsidRPr="006D40E2" w:rsidRDefault="00B45138" w:rsidP="00E21EE7">
      <w:pPr>
        <w:pStyle w:val="SCCLawFirm"/>
        <w:spacing w:after="480"/>
        <w:outlineLvl w:val="0"/>
      </w:pPr>
      <w:r w:rsidRPr="006D40E2">
        <w:tab/>
      </w:r>
      <w:r w:rsidR="00F8666D" w:rsidRPr="006D40E2">
        <w:t>Solicitors for the appellant:</w:t>
      </w:r>
      <w:r w:rsidR="001C2A5E">
        <w:t xml:space="preserve"> </w:t>
      </w:r>
      <w:proofErr w:type="spellStart"/>
      <w:r w:rsidR="00071E02" w:rsidRPr="006D40E2">
        <w:t>Torys</w:t>
      </w:r>
      <w:proofErr w:type="spellEnd"/>
      <w:r w:rsidR="00071E02" w:rsidRPr="006D40E2">
        <w:t>, Toronto.</w:t>
      </w:r>
    </w:p>
    <w:p w:rsidR="009B57B3" w:rsidRDefault="00071E02" w:rsidP="001C2A5E">
      <w:pPr>
        <w:pStyle w:val="SCCLawFirm"/>
        <w:outlineLvl w:val="0"/>
        <w:rPr>
          <w:b/>
          <w:i w:val="0"/>
        </w:rPr>
      </w:pPr>
      <w:r w:rsidRPr="006D40E2">
        <w:tab/>
        <w:t>Solicitors for the resp</w:t>
      </w:r>
      <w:r w:rsidR="00E00149" w:rsidRPr="006D40E2">
        <w:t>ond</w:t>
      </w:r>
      <w:r w:rsidR="00F8666D" w:rsidRPr="006D40E2">
        <w:t>ent:</w:t>
      </w:r>
      <w:r w:rsidR="001C2A5E">
        <w:t xml:space="preserve"> </w:t>
      </w:r>
      <w:proofErr w:type="spellStart"/>
      <w:r w:rsidRPr="006D40E2">
        <w:t>Brauti</w:t>
      </w:r>
      <w:proofErr w:type="spellEnd"/>
      <w:r w:rsidRPr="006D40E2">
        <w:t xml:space="preserve"> </w:t>
      </w:r>
      <w:proofErr w:type="spellStart"/>
      <w:r w:rsidRPr="006D40E2">
        <w:t>Thorning</w:t>
      </w:r>
      <w:proofErr w:type="spellEnd"/>
      <w:r w:rsidRPr="006D40E2">
        <w:t xml:space="preserve"> </w:t>
      </w:r>
      <w:proofErr w:type="spellStart"/>
      <w:r w:rsidRPr="006D40E2">
        <w:t>Zibarras</w:t>
      </w:r>
      <w:proofErr w:type="spellEnd"/>
      <w:r w:rsidRPr="006D40E2">
        <w:t>, Toronto.</w:t>
      </w:r>
    </w:p>
    <w:p w:rsidR="001C2A5E" w:rsidRPr="001C2A5E" w:rsidRDefault="001C2A5E" w:rsidP="001C2A5E">
      <w:pPr>
        <w:pStyle w:val="SCCNormalDoubleSpacing"/>
      </w:pPr>
    </w:p>
    <w:sectPr w:rsidR="001C2A5E" w:rsidRPr="001C2A5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EE" w:rsidRDefault="000562EE">
      <w:r>
        <w:separator/>
      </w:r>
    </w:p>
  </w:endnote>
  <w:endnote w:type="continuationSeparator" w:id="0">
    <w:p w:rsidR="000562EE" w:rsidRDefault="0005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EE" w:rsidRDefault="000562EE">
      <w:r>
        <w:separator/>
      </w:r>
    </w:p>
  </w:footnote>
  <w:footnote w:type="continuationSeparator" w:id="0">
    <w:p w:rsidR="000562EE" w:rsidRDefault="00056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2EE" w:rsidRPr="00450352" w:rsidRDefault="000562EE"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4366FD"/>
    <w:multiLevelType w:val="hybridMultilevel"/>
    <w:tmpl w:val="6C940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E32A00"/>
    <w:multiLevelType w:val="hybridMultilevel"/>
    <w:tmpl w:val="F56E2A5C"/>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7" w15:restartNumberingAfterBreak="0">
    <w:nsid w:val="54283EE8"/>
    <w:multiLevelType w:val="multilevel"/>
    <w:tmpl w:val="4F94569E"/>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7A2AF5"/>
    <w:multiLevelType w:val="hybridMultilevel"/>
    <w:tmpl w:val="49304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941567"/>
    <w:multiLevelType w:val="hybridMultilevel"/>
    <w:tmpl w:val="A0767FE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7E3F1C79"/>
    <w:multiLevelType w:val="hybridMultilevel"/>
    <w:tmpl w:val="18721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5"/>
  </w:num>
  <w:num w:numId="6">
    <w:abstractNumId w:val="7"/>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num>
  <w:num w:numId="10">
    <w:abstractNumId w:val="6"/>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414F"/>
    <w:rsid w:val="00025198"/>
    <w:rsid w:val="00025335"/>
    <w:rsid w:val="00025CD2"/>
    <w:rsid w:val="0002612B"/>
    <w:rsid w:val="00031A9D"/>
    <w:rsid w:val="000346EA"/>
    <w:rsid w:val="00047DBF"/>
    <w:rsid w:val="00053C7D"/>
    <w:rsid w:val="00053E51"/>
    <w:rsid w:val="000562EE"/>
    <w:rsid w:val="000578A3"/>
    <w:rsid w:val="000648CC"/>
    <w:rsid w:val="00071E02"/>
    <w:rsid w:val="000814D5"/>
    <w:rsid w:val="000923AE"/>
    <w:rsid w:val="000930AA"/>
    <w:rsid w:val="000C59B8"/>
    <w:rsid w:val="000C626A"/>
    <w:rsid w:val="000C6AF0"/>
    <w:rsid w:val="000D40DC"/>
    <w:rsid w:val="000F5498"/>
    <w:rsid w:val="00100815"/>
    <w:rsid w:val="00104F33"/>
    <w:rsid w:val="00111DE2"/>
    <w:rsid w:val="00116B38"/>
    <w:rsid w:val="00135406"/>
    <w:rsid w:val="00135972"/>
    <w:rsid w:val="0013697E"/>
    <w:rsid w:val="001426A9"/>
    <w:rsid w:val="00154D7C"/>
    <w:rsid w:val="001570B0"/>
    <w:rsid w:val="0015752C"/>
    <w:rsid w:val="00157737"/>
    <w:rsid w:val="00160ECD"/>
    <w:rsid w:val="00165277"/>
    <w:rsid w:val="00167572"/>
    <w:rsid w:val="00170592"/>
    <w:rsid w:val="00176E7D"/>
    <w:rsid w:val="00186351"/>
    <w:rsid w:val="0019230E"/>
    <w:rsid w:val="00193A0F"/>
    <w:rsid w:val="00195D83"/>
    <w:rsid w:val="001A00C1"/>
    <w:rsid w:val="001B0466"/>
    <w:rsid w:val="001B33E0"/>
    <w:rsid w:val="001B4573"/>
    <w:rsid w:val="001C2A5E"/>
    <w:rsid w:val="001C779F"/>
    <w:rsid w:val="001D2AC1"/>
    <w:rsid w:val="001D4E88"/>
    <w:rsid w:val="001D6E04"/>
    <w:rsid w:val="0020490F"/>
    <w:rsid w:val="00211DC3"/>
    <w:rsid w:val="002172F5"/>
    <w:rsid w:val="00220113"/>
    <w:rsid w:val="00220FC2"/>
    <w:rsid w:val="002222F4"/>
    <w:rsid w:val="00224FC0"/>
    <w:rsid w:val="00225EA4"/>
    <w:rsid w:val="00226EAF"/>
    <w:rsid w:val="00231476"/>
    <w:rsid w:val="00231F3A"/>
    <w:rsid w:val="0023366D"/>
    <w:rsid w:val="00234199"/>
    <w:rsid w:val="002406EE"/>
    <w:rsid w:val="00243EC8"/>
    <w:rsid w:val="00250AA7"/>
    <w:rsid w:val="00270D93"/>
    <w:rsid w:val="002745CC"/>
    <w:rsid w:val="002762A8"/>
    <w:rsid w:val="0029063C"/>
    <w:rsid w:val="00291F38"/>
    <w:rsid w:val="002B142A"/>
    <w:rsid w:val="002B1782"/>
    <w:rsid w:val="002B23C2"/>
    <w:rsid w:val="002B7924"/>
    <w:rsid w:val="002C75BC"/>
    <w:rsid w:val="002D28C3"/>
    <w:rsid w:val="002D39A4"/>
    <w:rsid w:val="002E6705"/>
    <w:rsid w:val="002E7712"/>
    <w:rsid w:val="002F3C5E"/>
    <w:rsid w:val="00301D08"/>
    <w:rsid w:val="0030329A"/>
    <w:rsid w:val="0031086F"/>
    <w:rsid w:val="0031380A"/>
    <w:rsid w:val="0031414C"/>
    <w:rsid w:val="00314E01"/>
    <w:rsid w:val="0032089D"/>
    <w:rsid w:val="00327BA7"/>
    <w:rsid w:val="003310DE"/>
    <w:rsid w:val="003323B0"/>
    <w:rsid w:val="00337F9A"/>
    <w:rsid w:val="003400FE"/>
    <w:rsid w:val="00342D1E"/>
    <w:rsid w:val="0035169A"/>
    <w:rsid w:val="0035259D"/>
    <w:rsid w:val="00360128"/>
    <w:rsid w:val="00364B18"/>
    <w:rsid w:val="003725E5"/>
    <w:rsid w:val="00386067"/>
    <w:rsid w:val="00393571"/>
    <w:rsid w:val="00395BCF"/>
    <w:rsid w:val="003A125D"/>
    <w:rsid w:val="003A4C70"/>
    <w:rsid w:val="003B17C3"/>
    <w:rsid w:val="003B215F"/>
    <w:rsid w:val="003C3664"/>
    <w:rsid w:val="003C799C"/>
    <w:rsid w:val="003D0399"/>
    <w:rsid w:val="003E14F3"/>
    <w:rsid w:val="003E1C71"/>
    <w:rsid w:val="003F327B"/>
    <w:rsid w:val="00406166"/>
    <w:rsid w:val="0040704B"/>
    <w:rsid w:val="00410A55"/>
    <w:rsid w:val="00411300"/>
    <w:rsid w:val="00415417"/>
    <w:rsid w:val="00426659"/>
    <w:rsid w:val="00450352"/>
    <w:rsid w:val="00454BDB"/>
    <w:rsid w:val="00464800"/>
    <w:rsid w:val="00465132"/>
    <w:rsid w:val="004728A8"/>
    <w:rsid w:val="00480C90"/>
    <w:rsid w:val="0048396F"/>
    <w:rsid w:val="00493C18"/>
    <w:rsid w:val="004961F5"/>
    <w:rsid w:val="004A2148"/>
    <w:rsid w:val="004A4124"/>
    <w:rsid w:val="004A600C"/>
    <w:rsid w:val="004A6118"/>
    <w:rsid w:val="004B7D6E"/>
    <w:rsid w:val="004C224C"/>
    <w:rsid w:val="004C478D"/>
    <w:rsid w:val="004D264D"/>
    <w:rsid w:val="004E0209"/>
    <w:rsid w:val="004E056C"/>
    <w:rsid w:val="004E2C26"/>
    <w:rsid w:val="004F0D2E"/>
    <w:rsid w:val="004F2AF7"/>
    <w:rsid w:val="004F36FF"/>
    <w:rsid w:val="005125A8"/>
    <w:rsid w:val="00514DE6"/>
    <w:rsid w:val="00521AE8"/>
    <w:rsid w:val="00527180"/>
    <w:rsid w:val="0054201E"/>
    <w:rsid w:val="00555291"/>
    <w:rsid w:val="00556078"/>
    <w:rsid w:val="00566AD1"/>
    <w:rsid w:val="005717B0"/>
    <w:rsid w:val="00583200"/>
    <w:rsid w:val="00583EDE"/>
    <w:rsid w:val="00586ADE"/>
    <w:rsid w:val="005A6079"/>
    <w:rsid w:val="005B5FCD"/>
    <w:rsid w:val="005C4BE3"/>
    <w:rsid w:val="005D0ED7"/>
    <w:rsid w:val="005E4698"/>
    <w:rsid w:val="005F70FD"/>
    <w:rsid w:val="00610539"/>
    <w:rsid w:val="00613969"/>
    <w:rsid w:val="00616D11"/>
    <w:rsid w:val="0062305F"/>
    <w:rsid w:val="00625C35"/>
    <w:rsid w:val="00656313"/>
    <w:rsid w:val="006565F4"/>
    <w:rsid w:val="00684EEA"/>
    <w:rsid w:val="0069689B"/>
    <w:rsid w:val="006975BA"/>
    <w:rsid w:val="006A1551"/>
    <w:rsid w:val="006A766F"/>
    <w:rsid w:val="006B1395"/>
    <w:rsid w:val="006B2315"/>
    <w:rsid w:val="006B5FF5"/>
    <w:rsid w:val="006D0D80"/>
    <w:rsid w:val="006D39EC"/>
    <w:rsid w:val="006D40E2"/>
    <w:rsid w:val="006E75CB"/>
    <w:rsid w:val="006F30AF"/>
    <w:rsid w:val="006F6D77"/>
    <w:rsid w:val="00701759"/>
    <w:rsid w:val="0070393D"/>
    <w:rsid w:val="00705C15"/>
    <w:rsid w:val="007157CE"/>
    <w:rsid w:val="0071600E"/>
    <w:rsid w:val="007208D1"/>
    <w:rsid w:val="00723712"/>
    <w:rsid w:val="00736D58"/>
    <w:rsid w:val="0074016A"/>
    <w:rsid w:val="00744B44"/>
    <w:rsid w:val="00746BAE"/>
    <w:rsid w:val="00747288"/>
    <w:rsid w:val="00747DD3"/>
    <w:rsid w:val="007549C8"/>
    <w:rsid w:val="00754A0B"/>
    <w:rsid w:val="00762F43"/>
    <w:rsid w:val="007641E7"/>
    <w:rsid w:val="00765404"/>
    <w:rsid w:val="00766D14"/>
    <w:rsid w:val="00767A0F"/>
    <w:rsid w:val="00793F74"/>
    <w:rsid w:val="00794669"/>
    <w:rsid w:val="007A05F6"/>
    <w:rsid w:val="007A5991"/>
    <w:rsid w:val="007B6F4A"/>
    <w:rsid w:val="007E1C47"/>
    <w:rsid w:val="007E337A"/>
    <w:rsid w:val="007E5C70"/>
    <w:rsid w:val="007F2FF5"/>
    <w:rsid w:val="007F3F08"/>
    <w:rsid w:val="00804CC6"/>
    <w:rsid w:val="00806BAA"/>
    <w:rsid w:val="00815007"/>
    <w:rsid w:val="00817190"/>
    <w:rsid w:val="00820EE5"/>
    <w:rsid w:val="0082203A"/>
    <w:rsid w:val="008260E2"/>
    <w:rsid w:val="0083201B"/>
    <w:rsid w:val="008322BD"/>
    <w:rsid w:val="00833E0A"/>
    <w:rsid w:val="00834F73"/>
    <w:rsid w:val="00837A72"/>
    <w:rsid w:val="00864CF8"/>
    <w:rsid w:val="00866E30"/>
    <w:rsid w:val="00871EE7"/>
    <w:rsid w:val="00872819"/>
    <w:rsid w:val="00874914"/>
    <w:rsid w:val="00877D00"/>
    <w:rsid w:val="00884FB9"/>
    <w:rsid w:val="00887B99"/>
    <w:rsid w:val="00891422"/>
    <w:rsid w:val="00892E1A"/>
    <w:rsid w:val="008A3F29"/>
    <w:rsid w:val="008B660A"/>
    <w:rsid w:val="008C01DA"/>
    <w:rsid w:val="008E0F27"/>
    <w:rsid w:val="008E182F"/>
    <w:rsid w:val="008E1BEA"/>
    <w:rsid w:val="008F40EF"/>
    <w:rsid w:val="008F5089"/>
    <w:rsid w:val="008F78E9"/>
    <w:rsid w:val="00905214"/>
    <w:rsid w:val="00911989"/>
    <w:rsid w:val="009162AE"/>
    <w:rsid w:val="009179F9"/>
    <w:rsid w:val="00933E5E"/>
    <w:rsid w:val="00935218"/>
    <w:rsid w:val="009403F3"/>
    <w:rsid w:val="00943774"/>
    <w:rsid w:val="009555B7"/>
    <w:rsid w:val="009567AA"/>
    <w:rsid w:val="00957240"/>
    <w:rsid w:val="00967374"/>
    <w:rsid w:val="00971883"/>
    <w:rsid w:val="009735CC"/>
    <w:rsid w:val="0098052E"/>
    <w:rsid w:val="00997B5B"/>
    <w:rsid w:val="009A343A"/>
    <w:rsid w:val="009A7962"/>
    <w:rsid w:val="009B2F23"/>
    <w:rsid w:val="009B57B3"/>
    <w:rsid w:val="009B79C8"/>
    <w:rsid w:val="009C5B92"/>
    <w:rsid w:val="009D2920"/>
    <w:rsid w:val="009D56D6"/>
    <w:rsid w:val="009D5AEB"/>
    <w:rsid w:val="009D61C2"/>
    <w:rsid w:val="009E5CC3"/>
    <w:rsid w:val="009F0234"/>
    <w:rsid w:val="009F0E33"/>
    <w:rsid w:val="00A030CE"/>
    <w:rsid w:val="00A11F19"/>
    <w:rsid w:val="00A149DF"/>
    <w:rsid w:val="00A14B37"/>
    <w:rsid w:val="00A1755C"/>
    <w:rsid w:val="00A21B90"/>
    <w:rsid w:val="00A41805"/>
    <w:rsid w:val="00A42DCD"/>
    <w:rsid w:val="00A52AFB"/>
    <w:rsid w:val="00A548CB"/>
    <w:rsid w:val="00A5521C"/>
    <w:rsid w:val="00A57B71"/>
    <w:rsid w:val="00A60BB2"/>
    <w:rsid w:val="00A643E7"/>
    <w:rsid w:val="00A6567B"/>
    <w:rsid w:val="00A66792"/>
    <w:rsid w:val="00A73C38"/>
    <w:rsid w:val="00A916BE"/>
    <w:rsid w:val="00A9678A"/>
    <w:rsid w:val="00AB2324"/>
    <w:rsid w:val="00AB670D"/>
    <w:rsid w:val="00AD7CE4"/>
    <w:rsid w:val="00AF03C5"/>
    <w:rsid w:val="00AF5499"/>
    <w:rsid w:val="00B000D8"/>
    <w:rsid w:val="00B00F75"/>
    <w:rsid w:val="00B145B6"/>
    <w:rsid w:val="00B27678"/>
    <w:rsid w:val="00B279EB"/>
    <w:rsid w:val="00B41E90"/>
    <w:rsid w:val="00B45138"/>
    <w:rsid w:val="00B50C81"/>
    <w:rsid w:val="00B557F8"/>
    <w:rsid w:val="00B6094F"/>
    <w:rsid w:val="00B815FC"/>
    <w:rsid w:val="00B93FBC"/>
    <w:rsid w:val="00BA70CD"/>
    <w:rsid w:val="00BA7DA0"/>
    <w:rsid w:val="00BB2EE4"/>
    <w:rsid w:val="00BC2108"/>
    <w:rsid w:val="00BD0E9E"/>
    <w:rsid w:val="00BD1BEC"/>
    <w:rsid w:val="00BD32FF"/>
    <w:rsid w:val="00BD56B3"/>
    <w:rsid w:val="00C02092"/>
    <w:rsid w:val="00C159E9"/>
    <w:rsid w:val="00C24D91"/>
    <w:rsid w:val="00C25B7A"/>
    <w:rsid w:val="00C36D76"/>
    <w:rsid w:val="00C53F14"/>
    <w:rsid w:val="00C600CF"/>
    <w:rsid w:val="00C6084F"/>
    <w:rsid w:val="00C62A66"/>
    <w:rsid w:val="00C71458"/>
    <w:rsid w:val="00C77613"/>
    <w:rsid w:val="00C8115D"/>
    <w:rsid w:val="00C818EB"/>
    <w:rsid w:val="00C828E7"/>
    <w:rsid w:val="00C86719"/>
    <w:rsid w:val="00C921DD"/>
    <w:rsid w:val="00CA516A"/>
    <w:rsid w:val="00CA6391"/>
    <w:rsid w:val="00CA7D74"/>
    <w:rsid w:val="00CC34BD"/>
    <w:rsid w:val="00CD6639"/>
    <w:rsid w:val="00CD6C11"/>
    <w:rsid w:val="00CE161A"/>
    <w:rsid w:val="00CE3171"/>
    <w:rsid w:val="00CE63B0"/>
    <w:rsid w:val="00CF1601"/>
    <w:rsid w:val="00D0172F"/>
    <w:rsid w:val="00D05501"/>
    <w:rsid w:val="00D068A7"/>
    <w:rsid w:val="00D17476"/>
    <w:rsid w:val="00D32086"/>
    <w:rsid w:val="00D37A3F"/>
    <w:rsid w:val="00D4431D"/>
    <w:rsid w:val="00D4667A"/>
    <w:rsid w:val="00D63A1C"/>
    <w:rsid w:val="00D70B5F"/>
    <w:rsid w:val="00D7516F"/>
    <w:rsid w:val="00D8579F"/>
    <w:rsid w:val="00D93FDE"/>
    <w:rsid w:val="00D95F8E"/>
    <w:rsid w:val="00DA0590"/>
    <w:rsid w:val="00DB7BEA"/>
    <w:rsid w:val="00DC1739"/>
    <w:rsid w:val="00DC1788"/>
    <w:rsid w:val="00DE319C"/>
    <w:rsid w:val="00DE4DA4"/>
    <w:rsid w:val="00DF0CA8"/>
    <w:rsid w:val="00DF2B48"/>
    <w:rsid w:val="00DF32CC"/>
    <w:rsid w:val="00DF49A7"/>
    <w:rsid w:val="00E00149"/>
    <w:rsid w:val="00E01EF6"/>
    <w:rsid w:val="00E07EE2"/>
    <w:rsid w:val="00E07FD1"/>
    <w:rsid w:val="00E21EE7"/>
    <w:rsid w:val="00E23DA3"/>
    <w:rsid w:val="00E24573"/>
    <w:rsid w:val="00E25E1E"/>
    <w:rsid w:val="00E27EE7"/>
    <w:rsid w:val="00E35404"/>
    <w:rsid w:val="00E368E1"/>
    <w:rsid w:val="00E43CC0"/>
    <w:rsid w:val="00E45109"/>
    <w:rsid w:val="00E47B7A"/>
    <w:rsid w:val="00E53729"/>
    <w:rsid w:val="00E56A44"/>
    <w:rsid w:val="00E60269"/>
    <w:rsid w:val="00E77932"/>
    <w:rsid w:val="00E924FC"/>
    <w:rsid w:val="00E97830"/>
    <w:rsid w:val="00EA054F"/>
    <w:rsid w:val="00EA4456"/>
    <w:rsid w:val="00EC09FA"/>
    <w:rsid w:val="00ED781A"/>
    <w:rsid w:val="00EE643C"/>
    <w:rsid w:val="00EF0683"/>
    <w:rsid w:val="00EF416F"/>
    <w:rsid w:val="00EF69D2"/>
    <w:rsid w:val="00EF766E"/>
    <w:rsid w:val="00F0070C"/>
    <w:rsid w:val="00F00EB7"/>
    <w:rsid w:val="00F11D8F"/>
    <w:rsid w:val="00F36AB6"/>
    <w:rsid w:val="00F37A09"/>
    <w:rsid w:val="00F409CE"/>
    <w:rsid w:val="00F4379D"/>
    <w:rsid w:val="00F50D2D"/>
    <w:rsid w:val="00F55A65"/>
    <w:rsid w:val="00F56C8B"/>
    <w:rsid w:val="00F66810"/>
    <w:rsid w:val="00F728C6"/>
    <w:rsid w:val="00F7588C"/>
    <w:rsid w:val="00F846D9"/>
    <w:rsid w:val="00F84DF4"/>
    <w:rsid w:val="00F85C97"/>
    <w:rsid w:val="00F8666D"/>
    <w:rsid w:val="00FB1B8C"/>
    <w:rsid w:val="00FB37D2"/>
    <w:rsid w:val="00FC3C03"/>
    <w:rsid w:val="00FC4EFB"/>
    <w:rsid w:val="00FD068D"/>
    <w:rsid w:val="00FD4F28"/>
    <w:rsid w:val="00FE6784"/>
    <w:rsid w:val="00FE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AB2324"/>
    <w:rPr>
      <w:sz w:val="16"/>
      <w:szCs w:val="16"/>
    </w:rPr>
  </w:style>
  <w:style w:type="paragraph" w:styleId="CommentText">
    <w:name w:val="annotation text"/>
    <w:basedOn w:val="Normal"/>
    <w:link w:val="CommentTextChar"/>
    <w:uiPriority w:val="99"/>
    <w:unhideWhenUsed/>
    <w:rsid w:val="00AB2324"/>
    <w:rPr>
      <w:sz w:val="20"/>
    </w:rPr>
  </w:style>
  <w:style w:type="character" w:customStyle="1" w:styleId="CommentTextChar">
    <w:name w:val="Comment Text Char"/>
    <w:basedOn w:val="DefaultParagraphFont"/>
    <w:link w:val="CommentText"/>
    <w:uiPriority w:val="99"/>
    <w:rsid w:val="00AB2324"/>
  </w:style>
  <w:style w:type="paragraph" w:styleId="CommentSubject">
    <w:name w:val="annotation subject"/>
    <w:basedOn w:val="CommentText"/>
    <w:next w:val="CommentText"/>
    <w:link w:val="CommentSubjectChar"/>
    <w:uiPriority w:val="99"/>
    <w:semiHidden/>
    <w:unhideWhenUsed/>
    <w:rsid w:val="00AB2324"/>
    <w:rPr>
      <w:b/>
      <w:bCs/>
    </w:rPr>
  </w:style>
  <w:style w:type="character" w:customStyle="1" w:styleId="CommentSubjectChar">
    <w:name w:val="Comment Subject Char"/>
    <w:basedOn w:val="CommentTextChar"/>
    <w:link w:val="CommentSubject"/>
    <w:uiPriority w:val="99"/>
    <w:semiHidden/>
    <w:rsid w:val="00AB2324"/>
    <w:rPr>
      <w:b/>
      <w:bCs/>
    </w:rPr>
  </w:style>
  <w:style w:type="paragraph" w:styleId="DocumentMap">
    <w:name w:val="Document Map"/>
    <w:basedOn w:val="Normal"/>
    <w:link w:val="DocumentMapChar"/>
    <w:uiPriority w:val="99"/>
    <w:semiHidden/>
    <w:unhideWhenUsed/>
    <w:rsid w:val="00815007"/>
    <w:rPr>
      <w:rFonts w:ascii="Tahoma" w:hAnsi="Tahoma" w:cs="Tahoma"/>
      <w:sz w:val="16"/>
      <w:szCs w:val="16"/>
    </w:rPr>
  </w:style>
  <w:style w:type="character" w:customStyle="1" w:styleId="DocumentMapChar">
    <w:name w:val="Document Map Char"/>
    <w:basedOn w:val="DefaultParagraphFont"/>
    <w:link w:val="DocumentMap"/>
    <w:uiPriority w:val="99"/>
    <w:semiHidden/>
    <w:rsid w:val="00815007"/>
    <w:rPr>
      <w:rFonts w:ascii="Tahoma" w:hAnsi="Tahoma" w:cs="Tahoma"/>
      <w:sz w:val="16"/>
      <w:szCs w:val="16"/>
    </w:rPr>
  </w:style>
  <w:style w:type="paragraph" w:customStyle="1" w:styleId="SCCLsocOtherPartyRoleSeparator">
    <w:name w:val="SCC.Lsoc.OtherPartyRoleSeparator"/>
    <w:basedOn w:val="Normal"/>
    <w:next w:val="Normal"/>
    <w:link w:val="SCCLsocOtherPartyRoleSeparatorChar"/>
    <w:rsid w:val="001C2A5E"/>
    <w:pPr>
      <w:spacing w:after="480"/>
    </w:pPr>
    <w:rPr>
      <w:rFonts w:eastAsiaTheme="minorHAnsi" w:cstheme="minorBidi"/>
      <w:szCs w:val="22"/>
      <w:lang w:eastAsia="en-US"/>
    </w:rPr>
  </w:style>
  <w:style w:type="paragraph" w:customStyle="1" w:styleId="SCCCoram">
    <w:name w:val="SCC.Coram"/>
    <w:basedOn w:val="Normal"/>
    <w:next w:val="Normal"/>
    <w:link w:val="SCCCoramChar"/>
    <w:rsid w:val="001C2A5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C2A5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C2A5E"/>
    <w:rPr>
      <w:rFonts w:eastAsiaTheme="minorHAnsi" w:cstheme="minorBidi"/>
      <w:sz w:val="24"/>
      <w:szCs w:val="22"/>
      <w:lang w:eastAsia="en-US"/>
    </w:rPr>
  </w:style>
  <w:style w:type="character" w:customStyle="1" w:styleId="SCCBanSummaryChar">
    <w:name w:val="SCC.BanSummary Char"/>
    <w:basedOn w:val="DefaultParagraphFont"/>
    <w:link w:val="SCCBanSummary"/>
    <w:rsid w:val="001C2A5E"/>
    <w:rPr>
      <w:b/>
      <w:sz w:val="24"/>
    </w:rPr>
  </w:style>
  <w:style w:type="table" w:styleId="TableGrid">
    <w:name w:val="Table Grid"/>
    <w:basedOn w:val="TableNormal"/>
    <w:uiPriority w:val="59"/>
    <w:rsid w:val="001C2A5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C2A5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C2A5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C2A5E"/>
    <w:pPr>
      <w:tabs>
        <w:tab w:val="left" w:pos="1166"/>
      </w:tabs>
      <w:spacing w:after="480" w:line="480" w:lineRule="auto"/>
    </w:pPr>
    <w:rPr>
      <w:smallCaps/>
      <w:sz w:val="24"/>
      <w:szCs w:val="24"/>
    </w:rPr>
  </w:style>
  <w:style w:type="paragraph" w:customStyle="1" w:styleId="ParaNoNdepar-AltN">
    <w:name w:val="Para. No. / Nº de par. - Alt N"/>
    <w:qFormat/>
    <w:rsid w:val="001C2A5E"/>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C2A5E"/>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C2A5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C2A5E"/>
    <w:pPr>
      <w:numPr>
        <w:ilvl w:val="2"/>
      </w:numPr>
    </w:pPr>
  </w:style>
  <w:style w:type="paragraph" w:customStyle="1" w:styleId="Title4LevelTitre4Niveau">
    <w:name w:val="Title 4 Level / Titre 4 Niveau"/>
    <w:basedOn w:val="Title3LevelTitre3Niveau"/>
    <w:next w:val="ParaNoNdepar-AltN"/>
    <w:uiPriority w:val="4"/>
    <w:qFormat/>
    <w:rsid w:val="001C2A5E"/>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1C2A5E"/>
    <w:pPr>
      <w:numPr>
        <w:ilvl w:val="4"/>
      </w:numPr>
    </w:pPr>
  </w:style>
  <w:style w:type="paragraph" w:styleId="TOC1">
    <w:name w:val="toc 1"/>
    <w:basedOn w:val="Normal"/>
    <w:next w:val="Normal"/>
    <w:autoRedefine/>
    <w:uiPriority w:val="39"/>
    <w:unhideWhenUsed/>
    <w:rsid w:val="001C2A5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C2A5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C2A5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C2A5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C2A5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C2A5E"/>
    <w:pPr>
      <w:tabs>
        <w:tab w:val="left" w:pos="2160"/>
        <w:tab w:val="right" w:leader="dot" w:pos="8270"/>
      </w:tabs>
      <w:spacing w:after="100"/>
      <w:ind w:left="1800"/>
    </w:pPr>
    <w:rPr>
      <w:noProof/>
    </w:rPr>
  </w:style>
  <w:style w:type="table" w:customStyle="1" w:styleId="TableGrid1">
    <w:name w:val="Table Grid1"/>
    <w:basedOn w:val="TableNormal"/>
    <w:uiPriority w:val="59"/>
    <w:rsid w:val="001C2A5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C2A5E"/>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C2A5E"/>
    <w:pPr>
      <w:numPr>
        <w:ilvl w:val="5"/>
      </w:numPr>
    </w:pPr>
    <w:rPr>
      <w:i/>
      <w:u w:val="none"/>
    </w:rPr>
  </w:style>
  <w:style w:type="paragraph" w:styleId="ListParagraph">
    <w:name w:val="List Paragraph"/>
    <w:basedOn w:val="Normal"/>
    <w:uiPriority w:val="34"/>
    <w:rsid w:val="001C2A5E"/>
    <w:pPr>
      <w:ind w:left="720"/>
      <w:contextualSpacing/>
    </w:pPr>
    <w:rPr>
      <w:szCs w:val="24"/>
    </w:rPr>
  </w:style>
  <w:style w:type="character" w:styleId="Hyperlink">
    <w:name w:val="Hyperlink"/>
    <w:basedOn w:val="DefaultParagraphFont"/>
    <w:uiPriority w:val="99"/>
    <w:semiHidden/>
    <w:unhideWhenUsed/>
    <w:rsid w:val="001C2A5E"/>
    <w:rPr>
      <w:rFonts w:ascii="Verdana" w:hAnsi="Verdana" w:hint="default"/>
      <w:strike w:val="0"/>
      <w:dstrike w:val="0"/>
      <w:color w:val="004B91"/>
      <w:u w:val="none"/>
      <w:effect w:val="none"/>
    </w:rPr>
  </w:style>
  <w:style w:type="character" w:customStyle="1" w:styleId="italic1">
    <w:name w:val="italic1"/>
    <w:basedOn w:val="DefaultParagraphFont"/>
    <w:rsid w:val="001C2A5E"/>
    <w:rPr>
      <w:i/>
      <w:iCs/>
    </w:rPr>
  </w:style>
  <w:style w:type="paragraph" w:customStyle="1" w:styleId="loose">
    <w:name w:val="loose"/>
    <w:basedOn w:val="Normal"/>
    <w:rsid w:val="001C2A5E"/>
    <w:pPr>
      <w:spacing w:before="210"/>
    </w:pPr>
    <w:rPr>
      <w:szCs w:val="24"/>
    </w:rPr>
  </w:style>
  <w:style w:type="paragraph" w:styleId="Revision">
    <w:name w:val="Revision"/>
    <w:hidden/>
    <w:uiPriority w:val="99"/>
    <w:semiHidden/>
    <w:rsid w:val="001C2A5E"/>
    <w:rPr>
      <w:sz w:val="24"/>
      <w:szCs w:val="24"/>
    </w:rPr>
  </w:style>
  <w:style w:type="character" w:customStyle="1" w:styleId="bold1">
    <w:name w:val="bold1"/>
    <w:basedOn w:val="DefaultParagraphFont"/>
    <w:rsid w:val="001C2A5E"/>
    <w:rPr>
      <w:b/>
      <w:bCs/>
    </w:rPr>
  </w:style>
  <w:style w:type="character" w:customStyle="1" w:styleId="SCCLsocPartyRoleChar">
    <w:name w:val="SCC.Lsoc.PartyRole Char"/>
    <w:basedOn w:val="DefaultParagraphFont"/>
    <w:rsid w:val="00291F38"/>
    <w:rPr>
      <w:lang w:val="en-CA"/>
    </w:rPr>
  </w:style>
  <w:style w:type="paragraph" w:customStyle="1" w:styleId="SCCLsocPrefix">
    <w:name w:val="SCC.Lsoc.Prefix"/>
    <w:basedOn w:val="Normal"/>
    <w:next w:val="Normal"/>
    <w:link w:val="SCCLsocPrefixChar"/>
    <w:rsid w:val="00291F38"/>
    <w:rPr>
      <w:rFonts w:eastAsiaTheme="minorHAnsi" w:cstheme="minorBidi"/>
      <w:b/>
      <w:smallCaps/>
      <w:szCs w:val="24"/>
      <w:lang w:eastAsia="en-US"/>
    </w:rPr>
  </w:style>
  <w:style w:type="character" w:customStyle="1" w:styleId="SCCLsocPrefixChar">
    <w:name w:val="SCC.Lsoc.Prefix Char"/>
    <w:basedOn w:val="DefaultParagraphFont"/>
    <w:link w:val="SCCLsocPrefix"/>
    <w:rsid w:val="00291F3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7525</Words>
  <Characters>42894</Characters>
  <Application>Microsoft Office Word</Application>
  <DocSecurity>0</DocSecurity>
  <Lines>357</Lines>
  <Paragraphs>100</Paragraphs>
  <ScaleCrop>false</ScaleCrop>
  <LinksUpToDate>false</LinksUpToDate>
  <CharactersWithSpaces>50319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2015-04-21T19:21:00Z</dcterms:created>
  <dcterms:modified xsi:type="dcterms:W3CDTF">2015-10-02T18:35:00Z</dcterms:modified>
</cp:coreProperties>
</file>