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1D" w:rsidRDefault="00480F1D" w:rsidP="00480F1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302960" r:id="rId9"/>
        </w:object>
      </w:r>
      <w:r>
        <w:t xml:space="preserve"> </w:t>
      </w:r>
      <w:r>
        <w:ptab w:relativeTo="margin" w:alignment="right" w:leader="none"/>
      </w:r>
    </w:p>
    <w:p w:rsidR="00480F1D" w:rsidRDefault="00480F1D" w:rsidP="00480F1D">
      <w:pPr>
        <w:pStyle w:val="Header"/>
      </w:pPr>
    </w:p>
    <w:p w:rsidR="00480F1D" w:rsidRPr="006B210C" w:rsidRDefault="00480F1D" w:rsidP="00480F1D">
      <w:pPr>
        <w:jc w:val="center"/>
        <w:rPr>
          <w:b/>
        </w:rPr>
      </w:pPr>
      <w:r w:rsidRPr="006B210C">
        <w:rPr>
          <w:b/>
        </w:rPr>
        <w:t>SUPREME COURT OF CANADA</w:t>
      </w:r>
    </w:p>
    <w:p w:rsidR="00480F1D" w:rsidRDefault="00480F1D" w:rsidP="00480F1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480F1D" w:rsidRPr="006B210C" w:rsidTr="00E10F5F">
        <w:trPr>
          <w:cantSplit/>
        </w:trPr>
        <w:tc>
          <w:tcPr>
            <w:tcW w:w="6768" w:type="dxa"/>
          </w:tcPr>
          <w:p w:rsidR="00480F1D" w:rsidRPr="006B210C" w:rsidRDefault="00480F1D" w:rsidP="00E10F5F">
            <w:r w:rsidRPr="006B210C">
              <w:rPr>
                <w:b/>
                <w:smallCaps/>
              </w:rPr>
              <w:t>Citation</w:t>
            </w:r>
            <w:r>
              <w:rPr>
                <w:b/>
                <w:smallCaps/>
              </w:rPr>
              <w:t>:</w:t>
            </w:r>
            <w:r w:rsidRPr="006B210C">
              <w:t xml:space="preserve"> </w:t>
            </w:r>
            <w:proofErr w:type="spellStart"/>
            <w:r w:rsidRPr="005A314D">
              <w:t>Theratechnologies</w:t>
            </w:r>
            <w:proofErr w:type="spellEnd"/>
            <w:r w:rsidRPr="005A314D">
              <w:t xml:space="preserve"> </w:t>
            </w:r>
            <w:proofErr w:type="spellStart"/>
            <w:r w:rsidRPr="005A314D">
              <w:t>inc.</w:t>
            </w:r>
            <w:proofErr w:type="spellEnd"/>
            <w:r w:rsidRPr="005A314D">
              <w:t xml:space="preserve"> </w:t>
            </w:r>
            <w:r w:rsidRPr="005A314D">
              <w:rPr>
                <w:i/>
              </w:rPr>
              <w:t>v.</w:t>
            </w:r>
            <w:r w:rsidRPr="005A314D">
              <w:t xml:space="preserve"> 121851 Canada </w:t>
            </w:r>
            <w:proofErr w:type="spellStart"/>
            <w:r w:rsidRPr="005A314D">
              <w:t>inc.</w:t>
            </w:r>
            <w:proofErr w:type="spellEnd"/>
            <w:r>
              <w:t>, 2015 SCC 18</w:t>
            </w:r>
            <w:r>
              <w:t>, [2015] 2 S.C.R. 106</w:t>
            </w:r>
          </w:p>
        </w:tc>
        <w:tc>
          <w:tcPr>
            <w:tcW w:w="2808" w:type="dxa"/>
          </w:tcPr>
          <w:p w:rsidR="00480F1D" w:rsidRPr="006B210C" w:rsidRDefault="00480F1D" w:rsidP="00E10F5F">
            <w:r w:rsidRPr="006B210C">
              <w:rPr>
                <w:b/>
                <w:smallCaps/>
              </w:rPr>
              <w:t>Date</w:t>
            </w:r>
            <w:r>
              <w:rPr>
                <w:b/>
                <w:smallCaps/>
              </w:rPr>
              <w:t>:</w:t>
            </w:r>
            <w:r w:rsidRPr="006B210C">
              <w:t xml:space="preserve"> </w:t>
            </w:r>
            <w:r>
              <w:t>20150417</w:t>
            </w:r>
          </w:p>
          <w:p w:rsidR="00480F1D" w:rsidRPr="006B210C" w:rsidRDefault="00480F1D" w:rsidP="00E10F5F">
            <w:r w:rsidRPr="006B210C">
              <w:rPr>
                <w:b/>
                <w:smallCaps/>
              </w:rPr>
              <w:t>Docket</w:t>
            </w:r>
            <w:r>
              <w:rPr>
                <w:b/>
                <w:smallCaps/>
              </w:rPr>
              <w:t>:</w:t>
            </w:r>
            <w:r w:rsidRPr="006B210C">
              <w:t xml:space="preserve"> </w:t>
            </w:r>
            <w:r>
              <w:t>35550</w:t>
            </w:r>
          </w:p>
        </w:tc>
      </w:tr>
    </w:tbl>
    <w:p w:rsidR="00480F1D" w:rsidRPr="006B210C" w:rsidRDefault="00480F1D" w:rsidP="00480F1D"/>
    <w:p w:rsidR="00480F1D" w:rsidRDefault="00480F1D" w:rsidP="00480F1D">
      <w:pPr>
        <w:pStyle w:val="SCCLsocPrefix"/>
      </w:pPr>
      <w:r>
        <w:t>Between:</w:t>
      </w:r>
    </w:p>
    <w:p w:rsidR="00480F1D" w:rsidRPr="00480F1D" w:rsidRDefault="00480F1D" w:rsidP="00480F1D">
      <w:pPr>
        <w:pStyle w:val="SCCLsocParty"/>
        <w:jc w:val="center"/>
        <w:rPr>
          <w:lang w:val="fr-CA"/>
        </w:rPr>
      </w:pPr>
      <w:proofErr w:type="spellStart"/>
      <w:r w:rsidRPr="00480F1D">
        <w:rPr>
          <w:lang w:val="fr-CA"/>
        </w:rPr>
        <w:t>Theratechnologies</w:t>
      </w:r>
      <w:proofErr w:type="spellEnd"/>
      <w:r w:rsidRPr="00480F1D">
        <w:rPr>
          <w:lang w:val="fr-CA"/>
        </w:rPr>
        <w:t xml:space="preserve"> </w:t>
      </w:r>
      <w:proofErr w:type="spellStart"/>
      <w:r w:rsidRPr="00480F1D">
        <w:rPr>
          <w:lang w:val="fr-CA"/>
        </w:rPr>
        <w:t>inc.</w:t>
      </w:r>
      <w:proofErr w:type="spellEnd"/>
      <w:r w:rsidRPr="00480F1D">
        <w:rPr>
          <w:lang w:val="fr-CA"/>
        </w:rPr>
        <w:t xml:space="preserve">, Yves </w:t>
      </w:r>
      <w:proofErr w:type="spellStart"/>
      <w:r w:rsidRPr="00480F1D">
        <w:rPr>
          <w:lang w:val="fr-CA"/>
        </w:rPr>
        <w:t>Rosconi</w:t>
      </w:r>
      <w:proofErr w:type="spellEnd"/>
      <w:r w:rsidRPr="00480F1D">
        <w:rPr>
          <w:lang w:val="fr-CA"/>
        </w:rPr>
        <w:t xml:space="preserve"> and Paul Pommier</w:t>
      </w:r>
    </w:p>
    <w:p w:rsidR="00480F1D" w:rsidRPr="00480F1D" w:rsidRDefault="00480F1D" w:rsidP="00480F1D">
      <w:pPr>
        <w:jc w:val="center"/>
        <w:rPr>
          <w:lang w:val="fr-CA"/>
        </w:rPr>
      </w:pPr>
      <w:proofErr w:type="spellStart"/>
      <w:r w:rsidRPr="00480F1D">
        <w:rPr>
          <w:lang w:val="fr-CA"/>
        </w:rPr>
        <w:t>Appellants</w:t>
      </w:r>
      <w:proofErr w:type="spellEnd"/>
    </w:p>
    <w:p w:rsidR="00480F1D" w:rsidRPr="00480F1D" w:rsidRDefault="00480F1D" w:rsidP="00480F1D">
      <w:pPr>
        <w:pStyle w:val="SCCLsocVersus"/>
        <w:spacing w:after="0"/>
        <w:jc w:val="center"/>
        <w:rPr>
          <w:i w:val="0"/>
        </w:rPr>
      </w:pPr>
      <w:proofErr w:type="gramStart"/>
      <w:r w:rsidRPr="00480F1D">
        <w:rPr>
          <w:i w:val="0"/>
        </w:rPr>
        <w:t>and</w:t>
      </w:r>
      <w:proofErr w:type="gramEnd"/>
    </w:p>
    <w:p w:rsidR="00480F1D" w:rsidRDefault="00480F1D" w:rsidP="00480F1D">
      <w:pPr>
        <w:pStyle w:val="SCCLsocParty"/>
        <w:jc w:val="center"/>
      </w:pPr>
      <w:r>
        <w:t xml:space="preserve">121851 Canada </w:t>
      </w:r>
      <w:proofErr w:type="spellStart"/>
      <w:proofErr w:type="gramStart"/>
      <w:r>
        <w:t>inc</w:t>
      </w:r>
      <w:proofErr w:type="gramEnd"/>
      <w:r>
        <w:t>.</w:t>
      </w:r>
      <w:proofErr w:type="spellEnd"/>
    </w:p>
    <w:p w:rsidR="00480F1D" w:rsidRDefault="00480F1D" w:rsidP="00480F1D">
      <w:pPr>
        <w:jc w:val="center"/>
      </w:pPr>
      <w:r>
        <w:t>Respondent</w:t>
      </w:r>
    </w:p>
    <w:p w:rsidR="00480F1D" w:rsidRDefault="00480F1D" w:rsidP="00480F1D">
      <w:pPr>
        <w:pStyle w:val="SCCLsocOtherPartySeparator"/>
        <w:spacing w:after="0"/>
        <w:jc w:val="center"/>
      </w:pPr>
      <w:r>
        <w:t xml:space="preserve">- </w:t>
      </w:r>
      <w:proofErr w:type="gramStart"/>
      <w:r>
        <w:t>and</w:t>
      </w:r>
      <w:proofErr w:type="gramEnd"/>
      <w:r>
        <w:t xml:space="preserve"> -</w:t>
      </w:r>
    </w:p>
    <w:p w:rsidR="00480F1D" w:rsidRPr="00AD6FF3" w:rsidRDefault="00480F1D" w:rsidP="00480F1D">
      <w:pPr>
        <w:pStyle w:val="SCCLsocParty"/>
        <w:jc w:val="center"/>
        <w:rPr>
          <w:lang w:val="fr-CA"/>
        </w:rPr>
      </w:pPr>
      <w:r w:rsidRPr="00AD6FF3">
        <w:rPr>
          <w:lang w:val="fr-CA"/>
        </w:rPr>
        <w:t>Mouvement d’éducation et de défense des actionnaires</w:t>
      </w:r>
    </w:p>
    <w:p w:rsidR="00480F1D" w:rsidRDefault="00480F1D" w:rsidP="00480F1D">
      <w:pPr>
        <w:jc w:val="center"/>
      </w:pPr>
      <w:r>
        <w:t>Intervener</w:t>
      </w:r>
    </w:p>
    <w:p w:rsidR="00480F1D" w:rsidRDefault="00480F1D" w:rsidP="00480F1D"/>
    <w:p w:rsidR="00480F1D" w:rsidRPr="006B210C" w:rsidRDefault="00480F1D" w:rsidP="00480F1D"/>
    <w:p w:rsidR="00480F1D" w:rsidRPr="006B210C" w:rsidRDefault="00480F1D" w:rsidP="00480F1D">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480F1D" w:rsidRPr="006B210C" w:rsidRDefault="00480F1D" w:rsidP="00480F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80F1D" w:rsidRPr="006B210C" w:rsidTr="00E10F5F">
        <w:trPr>
          <w:cantSplit/>
        </w:trPr>
        <w:tc>
          <w:tcPr>
            <w:tcW w:w="3618" w:type="dxa"/>
          </w:tcPr>
          <w:p w:rsidR="00480F1D" w:rsidRDefault="00480F1D" w:rsidP="00E10F5F">
            <w:pPr>
              <w:rPr>
                <w:b/>
                <w:smallCaps/>
              </w:rPr>
            </w:pPr>
            <w:r w:rsidRPr="006B210C">
              <w:rPr>
                <w:b/>
                <w:smallCaps/>
              </w:rPr>
              <w:t>Reasons for Judgment</w:t>
            </w:r>
            <w:r>
              <w:rPr>
                <w:b/>
                <w:smallCaps/>
              </w:rPr>
              <w:t>:</w:t>
            </w:r>
          </w:p>
          <w:p w:rsidR="00480F1D" w:rsidRPr="006B210C" w:rsidRDefault="00480F1D" w:rsidP="00E10F5F">
            <w:r>
              <w:t xml:space="preserve">(paras. 1 to </w:t>
            </w:r>
            <w:r w:rsidRPr="001948B0">
              <w:t>56</w:t>
            </w:r>
            <w:r>
              <w:t>)</w:t>
            </w:r>
          </w:p>
        </w:tc>
        <w:tc>
          <w:tcPr>
            <w:tcW w:w="5958" w:type="dxa"/>
          </w:tcPr>
          <w:p w:rsidR="00480F1D" w:rsidRPr="006B210C" w:rsidRDefault="00480F1D" w:rsidP="00E10F5F">
            <w:proofErr w:type="spellStart"/>
            <w:r>
              <w:t>Abella</w:t>
            </w:r>
            <w:proofErr w:type="spellEnd"/>
            <w:r>
              <w:t xml:space="preserve"> J. (</w:t>
            </w:r>
            <w:proofErr w:type="spellStart"/>
            <w:r>
              <w:t>McLachlin</w:t>
            </w:r>
            <w:proofErr w:type="spellEnd"/>
            <w:r>
              <w:t xml:space="preserve"> C.J. and Rothstein, Cromwell, </w:t>
            </w:r>
            <w:proofErr w:type="spellStart"/>
            <w:r>
              <w:t>Moldaver</w:t>
            </w:r>
            <w:proofErr w:type="spellEnd"/>
            <w:r>
              <w:t xml:space="preserve">, </w:t>
            </w:r>
            <w:proofErr w:type="spellStart"/>
            <w:r>
              <w:t>Karakatsanis</w:t>
            </w:r>
            <w:proofErr w:type="spellEnd"/>
            <w:r>
              <w:t xml:space="preserve"> and Wagner JJ. concurring)</w:t>
            </w:r>
          </w:p>
        </w:tc>
      </w:tr>
    </w:tbl>
    <w:p w:rsidR="00480F1D" w:rsidRDefault="00480F1D" w:rsidP="00480F1D"/>
    <w:p w:rsidR="00480F1D" w:rsidRPr="006B210C" w:rsidRDefault="00480F1D" w:rsidP="00480F1D">
      <w:bookmarkStart w:id="0" w:name="_GoBack"/>
      <w:bookmarkEnd w:id="0"/>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480F1D" w:rsidRPr="00480F1D" w:rsidRDefault="00480F1D" w:rsidP="003A7BEF">
      <w:pPr>
        <w:spacing w:after="720"/>
        <w:jc w:val="both"/>
      </w:pPr>
    </w:p>
    <w:p w:rsidR="008322BD" w:rsidRPr="00610913" w:rsidRDefault="00610913" w:rsidP="003A7BEF">
      <w:pPr>
        <w:spacing w:after="720"/>
        <w:jc w:val="both"/>
        <w:rPr>
          <w:lang w:val="fr-CA"/>
        </w:rPr>
      </w:pPr>
      <w:proofErr w:type="spellStart"/>
      <w:r>
        <w:rPr>
          <w:lang w:val="fr-CA"/>
        </w:rPr>
        <w:t>T</w:t>
      </w:r>
      <w:r w:rsidR="008F78E9" w:rsidRPr="00610913">
        <w:rPr>
          <w:lang w:val="fr-CA"/>
        </w:rPr>
        <w:t>heratechnologies</w:t>
      </w:r>
      <w:proofErr w:type="spellEnd"/>
      <w:r w:rsidR="008F78E9" w:rsidRPr="00610913">
        <w:rPr>
          <w:lang w:val="fr-CA"/>
        </w:rPr>
        <w:t xml:space="preserve"> </w:t>
      </w:r>
      <w:proofErr w:type="spellStart"/>
      <w:r w:rsidR="008F78E9" w:rsidRPr="00610913">
        <w:rPr>
          <w:lang w:val="fr-CA"/>
        </w:rPr>
        <w:t>inc.</w:t>
      </w:r>
      <w:proofErr w:type="spellEnd"/>
      <w:r w:rsidR="008F78E9" w:rsidRPr="00610913">
        <w:rPr>
          <w:lang w:val="fr-CA"/>
        </w:rPr>
        <w:t xml:space="preserve"> </w:t>
      </w:r>
      <w:r w:rsidR="009B57B3" w:rsidRPr="00610913">
        <w:rPr>
          <w:i/>
          <w:lang w:val="fr-CA"/>
        </w:rPr>
        <w:t>v.</w:t>
      </w:r>
      <w:r w:rsidR="00FE3442" w:rsidRPr="00610913">
        <w:rPr>
          <w:lang w:val="fr-CA"/>
        </w:rPr>
        <w:t xml:space="preserve"> </w:t>
      </w:r>
      <w:r>
        <w:rPr>
          <w:lang w:val="fr-CA"/>
        </w:rPr>
        <w:t>121851 C</w:t>
      </w:r>
      <w:r w:rsidR="008F78E9" w:rsidRPr="00610913">
        <w:rPr>
          <w:lang w:val="fr-CA"/>
        </w:rPr>
        <w:t xml:space="preserve">anada </w:t>
      </w:r>
      <w:proofErr w:type="spellStart"/>
      <w:r w:rsidR="008F78E9" w:rsidRPr="00610913">
        <w:rPr>
          <w:lang w:val="fr-CA"/>
        </w:rPr>
        <w:t>inc.</w:t>
      </w:r>
      <w:proofErr w:type="spellEnd"/>
      <w:r>
        <w:rPr>
          <w:lang w:val="fr-CA"/>
        </w:rPr>
        <w:t xml:space="preserve">, </w:t>
      </w:r>
      <w:r w:rsidRPr="00480F1D">
        <w:rPr>
          <w:lang w:val="fr-CA"/>
        </w:rPr>
        <w:t>2015 SCC 18, [2015] 2 S.C.R. 106</w:t>
      </w:r>
    </w:p>
    <w:p w:rsidR="00E418BD" w:rsidRPr="00250B2B" w:rsidRDefault="00FE3442" w:rsidP="00B14033">
      <w:pPr>
        <w:pStyle w:val="SCCLsocParty"/>
        <w:outlineLvl w:val="0"/>
        <w:rPr>
          <w:lang w:val="fr-CA"/>
        </w:rPr>
      </w:pPr>
      <w:proofErr w:type="spellStart"/>
      <w:r w:rsidRPr="00250B2B">
        <w:rPr>
          <w:lang w:val="fr-CA"/>
        </w:rPr>
        <w:t>Theratechnologies</w:t>
      </w:r>
      <w:proofErr w:type="spellEnd"/>
      <w:r w:rsidRPr="00250B2B">
        <w:rPr>
          <w:lang w:val="fr-CA"/>
        </w:rPr>
        <w:t xml:space="preserve"> </w:t>
      </w:r>
      <w:proofErr w:type="spellStart"/>
      <w:r w:rsidRPr="00250B2B">
        <w:rPr>
          <w:lang w:val="fr-CA"/>
        </w:rPr>
        <w:t>inc.</w:t>
      </w:r>
      <w:proofErr w:type="spellEnd"/>
      <w:r w:rsidRPr="00250B2B">
        <w:rPr>
          <w:lang w:val="fr-CA"/>
        </w:rPr>
        <w:t>,</w:t>
      </w:r>
    </w:p>
    <w:p w:rsidR="00E418BD" w:rsidRPr="00250B2B" w:rsidRDefault="00B55E3F">
      <w:pPr>
        <w:pStyle w:val="SCCLsocLastPartyInRole"/>
        <w:rPr>
          <w:lang w:val="fr-CA"/>
        </w:rPr>
      </w:pPr>
      <w:r w:rsidRPr="00250B2B">
        <w:rPr>
          <w:lang w:val="fr-CA"/>
        </w:rPr>
        <w:t>Yves Rosconi and Paul Pommier</w:t>
      </w:r>
      <w:r w:rsidRPr="00250B2B">
        <w:rPr>
          <w:rStyle w:val="SCCLsocPartyRole"/>
          <w:lang w:val="fr-CA"/>
        </w:rPr>
        <w:tab/>
        <w:t>Appellants</w:t>
      </w:r>
    </w:p>
    <w:p w:rsidR="00E418BD" w:rsidRPr="00250B2B" w:rsidRDefault="00B55E3F">
      <w:pPr>
        <w:pStyle w:val="SCCLsocVersus"/>
        <w:rPr>
          <w:lang w:val="fr-CA"/>
        </w:rPr>
      </w:pPr>
      <w:r w:rsidRPr="00250B2B">
        <w:rPr>
          <w:lang w:val="fr-CA"/>
        </w:rPr>
        <w:t>v.</w:t>
      </w:r>
    </w:p>
    <w:p w:rsidR="00E418BD" w:rsidRPr="00250B2B" w:rsidRDefault="00B55E3F">
      <w:pPr>
        <w:pStyle w:val="SCCLsocLastPartyInRole"/>
        <w:rPr>
          <w:lang w:val="fr-CA"/>
        </w:rPr>
      </w:pPr>
      <w:r w:rsidRPr="00250B2B">
        <w:rPr>
          <w:lang w:val="fr-CA"/>
        </w:rPr>
        <w:t>121851 Canada inc.</w:t>
      </w:r>
      <w:r w:rsidRPr="00250B2B">
        <w:rPr>
          <w:rStyle w:val="SCCLsocPartyRole"/>
          <w:lang w:val="fr-CA"/>
        </w:rPr>
        <w:tab/>
        <w:t>Respondent</w:t>
      </w:r>
    </w:p>
    <w:p w:rsidR="00E418BD" w:rsidRPr="00250B2B" w:rsidRDefault="00B55E3F">
      <w:pPr>
        <w:pStyle w:val="SCCLsocOtherPartySeparator"/>
        <w:rPr>
          <w:lang w:val="fr-CA"/>
        </w:rPr>
      </w:pPr>
      <w:proofErr w:type="gramStart"/>
      <w:r w:rsidRPr="00250B2B">
        <w:rPr>
          <w:lang w:val="fr-CA"/>
        </w:rPr>
        <w:lastRenderedPageBreak/>
        <w:t>and</w:t>
      </w:r>
      <w:proofErr w:type="gramEnd"/>
    </w:p>
    <w:p w:rsidR="00E418BD" w:rsidRPr="00250B2B" w:rsidRDefault="00B55E3F" w:rsidP="003A7BEF">
      <w:pPr>
        <w:pStyle w:val="SCCLsocLastPartyInRole"/>
        <w:rPr>
          <w:lang w:val="fr-CA"/>
        </w:rPr>
      </w:pPr>
      <w:r w:rsidRPr="00250B2B">
        <w:rPr>
          <w:lang w:val="fr-CA"/>
        </w:rPr>
        <w:t>Mouvement d</w:t>
      </w:r>
      <w:r w:rsidR="00FE3442" w:rsidRPr="00250B2B">
        <w:rPr>
          <w:lang w:val="fr-CA"/>
        </w:rPr>
        <w:t>’</w:t>
      </w:r>
      <w:r w:rsidR="00BE4C6A" w:rsidRPr="00250B2B">
        <w:rPr>
          <w:lang w:val="fr-CA"/>
        </w:rPr>
        <w:t>é</w:t>
      </w:r>
      <w:r w:rsidRPr="00250B2B">
        <w:rPr>
          <w:lang w:val="fr-CA"/>
        </w:rPr>
        <w:t xml:space="preserve">ducation et de défense des </w:t>
      </w:r>
      <w:r w:rsidR="00BE4C6A" w:rsidRPr="00250B2B">
        <w:rPr>
          <w:lang w:val="fr-CA"/>
        </w:rPr>
        <w:t>a</w:t>
      </w:r>
      <w:r w:rsidRPr="00250B2B">
        <w:rPr>
          <w:lang w:val="fr-CA"/>
        </w:rPr>
        <w:t>ctionnaires</w:t>
      </w:r>
      <w:r w:rsidRPr="00250B2B">
        <w:rPr>
          <w:rStyle w:val="SCCLsocPartyRole"/>
          <w:lang w:val="fr-CA"/>
        </w:rPr>
        <w:tab/>
        <w:t>Intervener</w:t>
      </w:r>
    </w:p>
    <w:p w:rsidR="00426659" w:rsidRPr="00250B2B" w:rsidRDefault="00426659" w:rsidP="00B14033">
      <w:pPr>
        <w:spacing w:after="720"/>
        <w:jc w:val="both"/>
        <w:outlineLvl w:val="0"/>
        <w:rPr>
          <w:b/>
        </w:rPr>
      </w:pPr>
      <w:r w:rsidRPr="00250B2B">
        <w:rPr>
          <w:b/>
        </w:rPr>
        <w:t xml:space="preserve">Indexed as: </w:t>
      </w:r>
      <w:proofErr w:type="spellStart"/>
      <w:r w:rsidRPr="00250B2B">
        <w:rPr>
          <w:b/>
        </w:rPr>
        <w:t>Theratechnologies</w:t>
      </w:r>
      <w:proofErr w:type="spellEnd"/>
      <w:r w:rsidRPr="00250B2B">
        <w:rPr>
          <w:b/>
        </w:rPr>
        <w:t xml:space="preserve"> </w:t>
      </w:r>
      <w:proofErr w:type="spellStart"/>
      <w:r w:rsidRPr="00250B2B">
        <w:rPr>
          <w:b/>
        </w:rPr>
        <w:t>inc.</w:t>
      </w:r>
      <w:proofErr w:type="spellEnd"/>
      <w:r w:rsidRPr="00250B2B">
        <w:rPr>
          <w:b/>
        </w:rPr>
        <w:t xml:space="preserve"> </w:t>
      </w:r>
      <w:r w:rsidRPr="00250B2B">
        <w:rPr>
          <w:b/>
          <w:i/>
        </w:rPr>
        <w:t>v.</w:t>
      </w:r>
      <w:r w:rsidRPr="00250B2B">
        <w:rPr>
          <w:b/>
        </w:rPr>
        <w:t xml:space="preserve"> 121851 Canada </w:t>
      </w:r>
      <w:proofErr w:type="gramStart"/>
      <w:r w:rsidRPr="00250B2B">
        <w:rPr>
          <w:b/>
        </w:rPr>
        <w:t>inc</w:t>
      </w:r>
      <w:proofErr w:type="gramEnd"/>
      <w:r w:rsidRPr="00250B2B">
        <w:rPr>
          <w:b/>
        </w:rPr>
        <w:t>.</w:t>
      </w:r>
    </w:p>
    <w:p w:rsidR="00426659" w:rsidRPr="00250B2B" w:rsidRDefault="004F36FF" w:rsidP="00B14033">
      <w:pPr>
        <w:pStyle w:val="SCCSystemYear"/>
        <w:spacing w:after="720"/>
        <w:jc w:val="both"/>
        <w:outlineLvl w:val="0"/>
      </w:pPr>
      <w:r w:rsidRPr="00250B2B">
        <w:t>2015</w:t>
      </w:r>
      <w:r w:rsidR="003D0399" w:rsidRPr="00250B2B">
        <w:t xml:space="preserve"> </w:t>
      </w:r>
      <w:r w:rsidR="009B0E3E" w:rsidRPr="00250B2B">
        <w:t>SCC</w:t>
      </w:r>
      <w:r w:rsidR="00391DB6">
        <w:t xml:space="preserve"> </w:t>
      </w:r>
      <w:r w:rsidR="009B0E3E" w:rsidRPr="00250B2B">
        <w:t>18</w:t>
      </w:r>
    </w:p>
    <w:p w:rsidR="008322BD" w:rsidRPr="00250B2B" w:rsidRDefault="002E65D3" w:rsidP="003A7BEF">
      <w:pPr>
        <w:spacing w:after="720"/>
        <w:jc w:val="both"/>
      </w:pPr>
      <w:r w:rsidRPr="00250B2B">
        <w:t xml:space="preserve">File No.: </w:t>
      </w:r>
      <w:r w:rsidR="009B57B3" w:rsidRPr="00250B2B">
        <w:t>35550.</w:t>
      </w:r>
    </w:p>
    <w:p w:rsidR="008322BD" w:rsidRPr="00250B2B" w:rsidRDefault="002E65D3" w:rsidP="003A7BEF">
      <w:pPr>
        <w:spacing w:after="720"/>
        <w:jc w:val="both"/>
      </w:pPr>
      <w:r w:rsidRPr="00250B2B">
        <w:t>2014:</w:t>
      </w:r>
      <w:r w:rsidR="00391DB6">
        <w:t xml:space="preserve"> </w:t>
      </w:r>
      <w:r w:rsidR="00F03E0E" w:rsidRPr="00250B2B">
        <w:t>December</w:t>
      </w:r>
      <w:r w:rsidR="00391DB6">
        <w:t xml:space="preserve"> </w:t>
      </w:r>
      <w:r w:rsidR="004F36FF" w:rsidRPr="00250B2B">
        <w:t>1</w:t>
      </w:r>
      <w:r w:rsidR="009B57B3" w:rsidRPr="00250B2B">
        <w:t xml:space="preserve">; </w:t>
      </w:r>
      <w:r w:rsidR="009C009E" w:rsidRPr="00250B2B">
        <w:t>2015:</w:t>
      </w:r>
      <w:r w:rsidR="00391DB6">
        <w:t xml:space="preserve"> </w:t>
      </w:r>
      <w:r w:rsidR="009C009E" w:rsidRPr="00250B2B">
        <w:t>April</w:t>
      </w:r>
      <w:r w:rsidR="00391DB6">
        <w:t xml:space="preserve"> </w:t>
      </w:r>
      <w:r w:rsidR="009C009E" w:rsidRPr="00250B2B">
        <w:t>17</w:t>
      </w:r>
      <w:r w:rsidR="009B57B3" w:rsidRPr="00250B2B">
        <w:t>.</w:t>
      </w:r>
    </w:p>
    <w:p w:rsidR="008322BD" w:rsidRPr="00250B2B" w:rsidRDefault="009B57B3" w:rsidP="003A7BEF">
      <w:pPr>
        <w:spacing w:after="720"/>
        <w:jc w:val="both"/>
      </w:pPr>
      <w:r w:rsidRPr="00250B2B">
        <w:t xml:space="preserve">Present: </w:t>
      </w:r>
      <w:proofErr w:type="spellStart"/>
      <w:r w:rsidRPr="00250B2B">
        <w:t>McLachlin</w:t>
      </w:r>
      <w:proofErr w:type="spellEnd"/>
      <w:r w:rsidR="00391DB6">
        <w:t xml:space="preserve"> </w:t>
      </w:r>
      <w:r w:rsidRPr="00250B2B">
        <w:t xml:space="preserve">C.J. and </w:t>
      </w:r>
      <w:proofErr w:type="spellStart"/>
      <w:r w:rsidRPr="00250B2B">
        <w:t>Abella</w:t>
      </w:r>
      <w:proofErr w:type="spellEnd"/>
      <w:r w:rsidRPr="00250B2B">
        <w:t xml:space="preserve">, Rothstein, Cromwell, </w:t>
      </w:r>
      <w:proofErr w:type="spellStart"/>
      <w:r w:rsidRPr="00250B2B">
        <w:t>Moldaver</w:t>
      </w:r>
      <w:proofErr w:type="spellEnd"/>
      <w:r w:rsidRPr="00250B2B">
        <w:t xml:space="preserve">, </w:t>
      </w:r>
      <w:proofErr w:type="spellStart"/>
      <w:r w:rsidRPr="00250B2B">
        <w:t>Karakatsanis</w:t>
      </w:r>
      <w:proofErr w:type="spellEnd"/>
      <w:r w:rsidRPr="00250B2B">
        <w:t xml:space="preserve"> and Wagner</w:t>
      </w:r>
      <w:r w:rsidR="00391DB6">
        <w:t xml:space="preserve"> </w:t>
      </w:r>
      <w:r w:rsidRPr="00250B2B">
        <w:t>JJ.</w:t>
      </w:r>
    </w:p>
    <w:p w:rsidR="008322BD" w:rsidRPr="00250B2B" w:rsidRDefault="00656313" w:rsidP="00B14033">
      <w:pPr>
        <w:pStyle w:val="SCCLowerCourtNameLowercase"/>
        <w:spacing w:after="720" w:line="240" w:lineRule="auto"/>
        <w:outlineLvl w:val="0"/>
      </w:pPr>
      <w:r w:rsidRPr="00250B2B">
        <w:t>o</w:t>
      </w:r>
      <w:r w:rsidR="00170592" w:rsidRPr="00250B2B">
        <w:t>n</w:t>
      </w:r>
      <w:r w:rsidR="00224FC0" w:rsidRPr="00250B2B">
        <w:t xml:space="preserve"> </w:t>
      </w:r>
      <w:r w:rsidRPr="00250B2B">
        <w:t>a</w:t>
      </w:r>
      <w:r w:rsidR="00170592" w:rsidRPr="00250B2B">
        <w:t>ppeal</w:t>
      </w:r>
      <w:r w:rsidR="00224FC0" w:rsidRPr="00250B2B">
        <w:t xml:space="preserve"> </w:t>
      </w:r>
      <w:r w:rsidR="00170592" w:rsidRPr="00250B2B">
        <w:t>from</w:t>
      </w:r>
      <w:r w:rsidR="009567AA" w:rsidRPr="00250B2B">
        <w:t xml:space="preserve"> the</w:t>
      </w:r>
      <w:r w:rsidR="00224FC0" w:rsidRPr="00250B2B">
        <w:t xml:space="preserve"> </w:t>
      </w:r>
      <w:r w:rsidR="009B57B3" w:rsidRPr="00250B2B">
        <w:t>cour</w:t>
      </w:r>
      <w:r w:rsidR="00BE4C6A" w:rsidRPr="00250B2B">
        <w:t xml:space="preserve">t of appeal for </w:t>
      </w:r>
      <w:proofErr w:type="spellStart"/>
      <w:r w:rsidR="00BE4C6A" w:rsidRPr="00250B2B">
        <w:t>quebec</w:t>
      </w:r>
      <w:proofErr w:type="spellEnd"/>
    </w:p>
    <w:p w:rsidR="004B5BA0" w:rsidRPr="00250B2B" w:rsidRDefault="004B5BA0" w:rsidP="004B5BA0">
      <w:pPr>
        <w:pStyle w:val="SCCNormalDoubleSpacing"/>
        <w:spacing w:after="480"/>
        <w:rPr>
          <w:i/>
        </w:rPr>
      </w:pPr>
      <w:r w:rsidRPr="00250B2B">
        <w:tab/>
      </w:r>
      <w:r w:rsidRPr="00250B2B">
        <w:rPr>
          <w:i/>
        </w:rPr>
        <w:t xml:space="preserve">Securities — Statutory disclosure obligations — Action for damages — Prior judicial authorization — Pharmaceutical company in process of obtaining approval to market new drug — Questions on drug’s potential side effects raised as part of approval process — Questions publicized by stock quotation enterprises resulting in drop of pharmaceutical company’s share price — Corporate shareholder seeking to institute class action for breach of company’s disclosure obligation — Action requiring prior judicial authorization based on whether there is a “reasonable possibility that it will be resolved in plaintiff’s favour” — Securities Act, </w:t>
      </w:r>
      <w:r w:rsidR="009C67D2" w:rsidRPr="00250B2B">
        <w:rPr>
          <w:i/>
        </w:rPr>
        <w:t>CQLR</w:t>
      </w:r>
      <w:r w:rsidR="00E4001B" w:rsidRPr="00250B2B">
        <w:rPr>
          <w:i/>
        </w:rPr>
        <w:t>,</w:t>
      </w:r>
      <w:r w:rsidRPr="00250B2B">
        <w:rPr>
          <w:i/>
        </w:rPr>
        <w:t xml:space="preserve"> c.</w:t>
      </w:r>
      <w:r w:rsidR="00391DB6">
        <w:rPr>
          <w:i/>
        </w:rPr>
        <w:t xml:space="preserve"> </w:t>
      </w:r>
      <w:r w:rsidRPr="00250B2B">
        <w:rPr>
          <w:i/>
        </w:rPr>
        <w:t>V</w:t>
      </w:r>
      <w:r w:rsidR="00391DB6">
        <w:rPr>
          <w:i/>
        </w:rPr>
        <w:t>-</w:t>
      </w:r>
      <w:r w:rsidRPr="00250B2B">
        <w:rPr>
          <w:i/>
        </w:rPr>
        <w:t>1.1, ss.</w:t>
      </w:r>
      <w:r w:rsidR="00391DB6">
        <w:rPr>
          <w:i/>
        </w:rPr>
        <w:t xml:space="preserve"> </w:t>
      </w:r>
      <w:r w:rsidRPr="00250B2B">
        <w:rPr>
          <w:i/>
        </w:rPr>
        <w:t>5.3, 73, 225.4.</w:t>
      </w:r>
    </w:p>
    <w:p w:rsidR="004B5BA0" w:rsidRPr="00250B2B" w:rsidRDefault="004B5BA0" w:rsidP="004B5BA0">
      <w:pPr>
        <w:pStyle w:val="SCCNormalDoubleSpacing"/>
        <w:spacing w:after="480"/>
      </w:pPr>
      <w:r w:rsidRPr="00250B2B">
        <w:lastRenderedPageBreak/>
        <w:tab/>
        <w:t xml:space="preserve">In the spring of 2010, </w:t>
      </w:r>
      <w:proofErr w:type="spellStart"/>
      <w:r w:rsidRPr="00250B2B">
        <w:t>Theratechnologies</w:t>
      </w:r>
      <w:proofErr w:type="spellEnd"/>
      <w:r w:rsidRPr="00250B2B">
        <w:t xml:space="preserve"> </w:t>
      </w:r>
      <w:proofErr w:type="spellStart"/>
      <w:r w:rsidRPr="00250B2B">
        <w:t>inc.</w:t>
      </w:r>
      <w:proofErr w:type="spellEnd"/>
      <w:r w:rsidRPr="00250B2B">
        <w:t xml:space="preserve"> (Thera) was awaiting the approval of the United States Food and Drug Administration (FDA) for a new drug to reduce excess abdominal fat among HIV patients. As its application proceeded, Thera regularly updated its shareholders and the Commission des </w:t>
      </w:r>
      <w:proofErr w:type="spellStart"/>
      <w:r w:rsidRPr="00250B2B">
        <w:t>valeurs</w:t>
      </w:r>
      <w:proofErr w:type="spellEnd"/>
      <w:r w:rsidRPr="00250B2B">
        <w:t xml:space="preserve"> </w:t>
      </w:r>
      <w:proofErr w:type="spellStart"/>
      <w:r w:rsidRPr="00250B2B">
        <w:rPr>
          <w:szCs w:val="24"/>
        </w:rPr>
        <w:t>mobilières</w:t>
      </w:r>
      <w:proofErr w:type="spellEnd"/>
      <w:r w:rsidRPr="00250B2B">
        <w:rPr>
          <w:szCs w:val="24"/>
        </w:rPr>
        <w:t xml:space="preserve"> du Québec</w:t>
      </w:r>
      <w:r w:rsidRPr="00250B2B">
        <w:t xml:space="preserve"> about developments in the FDA process. </w:t>
      </w:r>
      <w:r w:rsidRPr="00250B2B">
        <w:rPr>
          <w:szCs w:val="24"/>
        </w:rPr>
        <w:t>It also regularly informed its shareholders about the results of its clinical trials measuring the safety and efficacy of the drug, including potential side effects. The trials indicated that the benefits of the drug could be “achieved without significant side effects”.</w:t>
      </w:r>
    </w:p>
    <w:p w:rsidR="004B5BA0" w:rsidRPr="00250B2B" w:rsidRDefault="004B5BA0" w:rsidP="004B5BA0">
      <w:pPr>
        <w:pStyle w:val="ParaNoNdepar-AltN"/>
        <w:numPr>
          <w:ilvl w:val="0"/>
          <w:numId w:val="0"/>
        </w:numPr>
        <w:tabs>
          <w:tab w:val="left" w:pos="1170"/>
        </w:tabs>
        <w:rPr>
          <w:rFonts w:cs="Times New Roman"/>
        </w:rPr>
      </w:pPr>
      <w:r w:rsidRPr="00250B2B">
        <w:rPr>
          <w:rFonts w:cs="Times New Roman"/>
        </w:rPr>
        <w:tab/>
        <w:t>As is common during the new drug approval process, the FDA referred a number of questions about this drug to an expert Advisory Committee, including questions about its potential side effects. The FDA also made these questions public as part of a package of briefing materials on its website. Thera believed the briefing documents it had already provided to the FDA and the clinical results it had already made public to its investors offered a comprehensive response to the specific questions the FDA had posed. When the questions were publicized by stock quotation enterprises, the price of the company’s shares dropped. 121851 Canada inc.</w:t>
      </w:r>
      <w:r w:rsidR="000A3EA8">
        <w:rPr>
          <w:rFonts w:cs="Times New Roman"/>
        </w:rPr>
        <w:t>,</w:t>
      </w:r>
      <w:r w:rsidRPr="00250B2B">
        <w:rPr>
          <w:rFonts w:cs="Times New Roman"/>
        </w:rPr>
        <w:t xml:space="preserve"> a holding company, sold its shares </w:t>
      </w:r>
      <w:r w:rsidR="001A33FE" w:rsidRPr="00250B2B">
        <w:rPr>
          <w:rFonts w:cs="Times New Roman"/>
        </w:rPr>
        <w:t>in Thera</w:t>
      </w:r>
      <w:r w:rsidRPr="00250B2B">
        <w:rPr>
          <w:rFonts w:cs="Times New Roman"/>
        </w:rPr>
        <w:t xml:space="preserve"> during this period. Ultimately, the drug was </w:t>
      </w:r>
      <w:r w:rsidR="001A33FE" w:rsidRPr="00250B2B">
        <w:rPr>
          <w:rFonts w:cs="Times New Roman"/>
        </w:rPr>
        <w:t>approved by the FDA and Thera’s</w:t>
      </w:r>
      <w:r w:rsidRPr="00250B2B">
        <w:rPr>
          <w:rFonts w:cs="Times New Roman"/>
        </w:rPr>
        <w:t xml:space="preserve"> share price recovered.</w:t>
      </w:r>
    </w:p>
    <w:p w:rsidR="004B5BA0" w:rsidRPr="00250B2B" w:rsidRDefault="004B5BA0" w:rsidP="004B5BA0">
      <w:pPr>
        <w:pStyle w:val="ParaNoNdepar-AltN"/>
        <w:numPr>
          <w:ilvl w:val="0"/>
          <w:numId w:val="0"/>
        </w:numPr>
        <w:tabs>
          <w:tab w:val="left" w:pos="1166"/>
        </w:tabs>
        <w:rPr>
          <w:rFonts w:cs="Times New Roman"/>
        </w:rPr>
      </w:pPr>
      <w:r w:rsidRPr="00250B2B">
        <w:rPr>
          <w:rFonts w:cs="Times New Roman"/>
        </w:rPr>
        <w:tab/>
        <w:t>121851 s</w:t>
      </w:r>
      <w:r w:rsidR="00524109" w:rsidRPr="00250B2B">
        <w:rPr>
          <w:rFonts w:cs="Times New Roman"/>
        </w:rPr>
        <w:t>ought authorization under s.</w:t>
      </w:r>
      <w:r w:rsidR="00391DB6">
        <w:rPr>
          <w:rFonts w:cs="Times New Roman"/>
        </w:rPr>
        <w:t xml:space="preserve"> </w:t>
      </w:r>
      <w:r w:rsidRPr="00250B2B">
        <w:rPr>
          <w:rFonts w:cs="Times New Roman"/>
        </w:rPr>
        <w:t xml:space="preserve">225.4 of the </w:t>
      </w:r>
      <w:r w:rsidRPr="00250B2B">
        <w:rPr>
          <w:rFonts w:cs="Times New Roman"/>
          <w:i/>
        </w:rPr>
        <w:t>Securities Act</w:t>
      </w:r>
      <w:r w:rsidRPr="00250B2B">
        <w:rPr>
          <w:rFonts w:cs="Times New Roman"/>
        </w:rPr>
        <w:t xml:space="preserve"> to bring a class action for damages against Thera, </w:t>
      </w:r>
      <w:r w:rsidR="001A33FE" w:rsidRPr="00250B2B">
        <w:rPr>
          <w:rFonts w:cs="Times New Roman"/>
        </w:rPr>
        <w:t xml:space="preserve">claiming that the information </w:t>
      </w:r>
      <w:r w:rsidRPr="00250B2B">
        <w:rPr>
          <w:rFonts w:cs="Times New Roman"/>
        </w:rPr>
        <w:t xml:space="preserve">about the potential side effects of the drug and the FDA’s questions about those side effects </w:t>
      </w:r>
      <w:r w:rsidRPr="00250B2B">
        <w:rPr>
          <w:rFonts w:cs="Times New Roman"/>
        </w:rPr>
        <w:lastRenderedPageBreak/>
        <w:t xml:space="preserve">amounted to a material change in Thera’s business, operations or capital, triggering timely </w:t>
      </w:r>
      <w:r w:rsidR="00524109" w:rsidRPr="00250B2B">
        <w:rPr>
          <w:rFonts w:cs="Times New Roman"/>
        </w:rPr>
        <w:t>disclosure obligations under s.</w:t>
      </w:r>
      <w:r w:rsidR="00391DB6">
        <w:rPr>
          <w:rFonts w:cs="Times New Roman"/>
        </w:rPr>
        <w:t xml:space="preserve"> </w:t>
      </w:r>
      <w:r w:rsidRPr="00250B2B">
        <w:rPr>
          <w:rFonts w:cs="Times New Roman"/>
        </w:rPr>
        <w:t xml:space="preserve">73 of the </w:t>
      </w:r>
      <w:r w:rsidRPr="00250B2B">
        <w:rPr>
          <w:rFonts w:cs="Times New Roman"/>
          <w:i/>
        </w:rPr>
        <w:t>Securities Act</w:t>
      </w:r>
      <w:r w:rsidRPr="00250B2B">
        <w:rPr>
          <w:rFonts w:cs="Times New Roman"/>
        </w:rPr>
        <w:t xml:space="preserve">. </w:t>
      </w:r>
    </w:p>
    <w:p w:rsidR="004B5BA0" w:rsidRPr="00250B2B" w:rsidRDefault="001A33FE" w:rsidP="004B5BA0">
      <w:pPr>
        <w:pStyle w:val="ParaNoNdepar-AltN"/>
        <w:numPr>
          <w:ilvl w:val="0"/>
          <w:numId w:val="0"/>
        </w:numPr>
        <w:tabs>
          <w:tab w:val="left" w:pos="1166"/>
        </w:tabs>
        <w:rPr>
          <w:rFonts w:cs="Times New Roman"/>
        </w:rPr>
      </w:pPr>
      <w:r w:rsidRPr="00250B2B">
        <w:rPr>
          <w:rFonts w:cs="Times New Roman"/>
        </w:rPr>
        <w:tab/>
      </w:r>
      <w:r w:rsidR="00524109" w:rsidRPr="00250B2B">
        <w:rPr>
          <w:rFonts w:cs="Times New Roman"/>
        </w:rPr>
        <w:t>Under s.</w:t>
      </w:r>
      <w:r w:rsidR="00391DB6">
        <w:rPr>
          <w:rFonts w:cs="Times New Roman"/>
        </w:rPr>
        <w:t xml:space="preserve"> </w:t>
      </w:r>
      <w:r w:rsidR="004B5BA0" w:rsidRPr="00250B2B">
        <w:rPr>
          <w:rFonts w:cs="Times New Roman"/>
        </w:rPr>
        <w:t xml:space="preserve">225.4, the court is a gatekeeper, and grants </w:t>
      </w:r>
      <w:r w:rsidRPr="00250B2B">
        <w:rPr>
          <w:rFonts w:cs="Times New Roman"/>
        </w:rPr>
        <w:t>authorization</w:t>
      </w:r>
      <w:r w:rsidR="004B5BA0" w:rsidRPr="00250B2B">
        <w:rPr>
          <w:rFonts w:cs="Times New Roman"/>
        </w:rPr>
        <w:t xml:space="preserve"> “if it deems that the action is in good faith and there is a reasonable possibility that it will be resolved in favour of the plaintiff”. The </w:t>
      </w:r>
      <w:r w:rsidR="000A3EA8">
        <w:rPr>
          <w:rFonts w:cs="Times New Roman"/>
        </w:rPr>
        <w:t>M</w:t>
      </w:r>
      <w:r w:rsidR="004B5BA0" w:rsidRPr="00250B2B">
        <w:rPr>
          <w:rFonts w:cs="Times New Roman"/>
        </w:rPr>
        <w:t xml:space="preserve">otions </w:t>
      </w:r>
      <w:r w:rsidR="000A3EA8">
        <w:rPr>
          <w:rFonts w:cs="Times New Roman"/>
        </w:rPr>
        <w:t>J</w:t>
      </w:r>
      <w:r w:rsidR="004B5BA0" w:rsidRPr="00250B2B">
        <w:rPr>
          <w:rFonts w:cs="Times New Roman"/>
        </w:rPr>
        <w:t>udge concluded that th</w:t>
      </w:r>
      <w:r w:rsidR="00524109" w:rsidRPr="00250B2B">
        <w:rPr>
          <w:rFonts w:cs="Times New Roman"/>
        </w:rPr>
        <w:t>e authorization mechanism in s.</w:t>
      </w:r>
      <w:r w:rsidR="00391DB6">
        <w:rPr>
          <w:rFonts w:cs="Times New Roman"/>
        </w:rPr>
        <w:t xml:space="preserve"> </w:t>
      </w:r>
      <w:r w:rsidR="004B5BA0" w:rsidRPr="00250B2B">
        <w:rPr>
          <w:rFonts w:cs="Times New Roman"/>
        </w:rPr>
        <w:t xml:space="preserve">225.4 of the </w:t>
      </w:r>
      <w:r w:rsidR="004B5BA0" w:rsidRPr="00250B2B">
        <w:rPr>
          <w:rFonts w:cs="Times New Roman"/>
          <w:i/>
        </w:rPr>
        <w:t>Securities Act</w:t>
      </w:r>
      <w:r w:rsidR="004B5BA0" w:rsidRPr="00250B2B">
        <w:rPr>
          <w:rFonts w:cs="Times New Roman"/>
        </w:rPr>
        <w:t xml:space="preserve"> imposed a higher threshold than art</w:t>
      </w:r>
      <w:r w:rsidR="00524109" w:rsidRPr="00250B2B">
        <w:rPr>
          <w:rFonts w:cs="Times New Roman"/>
        </w:rPr>
        <w:t>.</w:t>
      </w:r>
      <w:r w:rsidR="00391DB6">
        <w:rPr>
          <w:rFonts w:cs="Times New Roman"/>
        </w:rPr>
        <w:t xml:space="preserve"> </w:t>
      </w:r>
      <w:r w:rsidR="004B5BA0" w:rsidRPr="00250B2B">
        <w:rPr>
          <w:rFonts w:cs="Times New Roman"/>
        </w:rPr>
        <w:t xml:space="preserve">1003 of the </w:t>
      </w:r>
      <w:r w:rsidR="004B5BA0" w:rsidRPr="00250B2B">
        <w:rPr>
          <w:rFonts w:cs="Times New Roman"/>
          <w:i/>
        </w:rPr>
        <w:t>Code of Civil Procedure</w:t>
      </w:r>
      <w:r w:rsidR="004B5BA0" w:rsidRPr="00250B2B">
        <w:rPr>
          <w:rFonts w:cs="Times New Roman"/>
        </w:rPr>
        <w:t xml:space="preserve">, which deals with the authorization of class actions generally, but found sufficient evidence to support the conclusion that 121851’s action had a reasonable possibility of success. The Court of Appeal agreed with the </w:t>
      </w:r>
      <w:r w:rsidR="000A3EA8">
        <w:rPr>
          <w:rFonts w:cs="Times New Roman"/>
        </w:rPr>
        <w:t>M</w:t>
      </w:r>
      <w:r w:rsidR="004B5BA0" w:rsidRPr="00250B2B">
        <w:rPr>
          <w:rFonts w:cs="Times New Roman"/>
        </w:rPr>
        <w:t xml:space="preserve">otions </w:t>
      </w:r>
      <w:r w:rsidR="000A3EA8">
        <w:rPr>
          <w:rFonts w:cs="Times New Roman"/>
        </w:rPr>
        <w:t>J</w:t>
      </w:r>
      <w:r w:rsidR="004B5BA0" w:rsidRPr="00250B2B">
        <w:rPr>
          <w:rFonts w:cs="Times New Roman"/>
        </w:rPr>
        <w:t>udge that t</w:t>
      </w:r>
      <w:r w:rsidR="00524109" w:rsidRPr="00250B2B">
        <w:rPr>
          <w:rFonts w:cs="Times New Roman"/>
        </w:rPr>
        <w:t>he screening mechanism under s.</w:t>
      </w:r>
      <w:r w:rsidR="00391DB6">
        <w:rPr>
          <w:rFonts w:cs="Times New Roman"/>
        </w:rPr>
        <w:t xml:space="preserve"> </w:t>
      </w:r>
      <w:r w:rsidR="004B5BA0" w:rsidRPr="00250B2B">
        <w:rPr>
          <w:rFonts w:cs="Times New Roman"/>
        </w:rPr>
        <w:t>225.4 was more stringent than for the authorizati</w:t>
      </w:r>
      <w:r w:rsidR="00524109" w:rsidRPr="00250B2B">
        <w:rPr>
          <w:rFonts w:cs="Times New Roman"/>
        </w:rPr>
        <w:t>on of a class action under art.</w:t>
      </w:r>
      <w:r w:rsidR="00391DB6">
        <w:rPr>
          <w:rFonts w:cs="Times New Roman"/>
        </w:rPr>
        <w:t xml:space="preserve"> </w:t>
      </w:r>
      <w:r w:rsidR="004B5BA0" w:rsidRPr="00250B2B">
        <w:rPr>
          <w:rFonts w:cs="Times New Roman"/>
        </w:rPr>
        <w:t xml:space="preserve">1003 of the </w:t>
      </w:r>
      <w:r w:rsidR="004B5BA0" w:rsidRPr="00250B2B">
        <w:rPr>
          <w:rFonts w:cs="Times New Roman"/>
          <w:i/>
        </w:rPr>
        <w:t>Code of Civil Procedure</w:t>
      </w:r>
      <w:r w:rsidR="004B5BA0" w:rsidRPr="00250B2B">
        <w:rPr>
          <w:rFonts w:cs="Times New Roman"/>
        </w:rPr>
        <w:t xml:space="preserve"> and required more than a mere possibility of success. It also agreed that the threshold was met in this case.</w:t>
      </w:r>
    </w:p>
    <w:p w:rsidR="004B5BA0" w:rsidRPr="00250B2B" w:rsidRDefault="004B5BA0" w:rsidP="004B5BA0">
      <w:pPr>
        <w:pStyle w:val="SCCNormalDoubleSpacing"/>
        <w:spacing w:after="480"/>
      </w:pPr>
      <w:r w:rsidRPr="00250B2B">
        <w:tab/>
      </w:r>
      <w:r w:rsidRPr="00250B2B">
        <w:rPr>
          <w:i/>
        </w:rPr>
        <w:t>Held</w:t>
      </w:r>
      <w:r w:rsidRPr="00B14033">
        <w:t>:</w:t>
      </w:r>
      <w:r w:rsidRPr="00250B2B">
        <w:t xml:space="preserve"> The appeal should be allowed.</w:t>
      </w:r>
    </w:p>
    <w:p w:rsidR="004B5BA0" w:rsidRPr="00250B2B" w:rsidRDefault="004B5BA0" w:rsidP="004B5BA0">
      <w:pPr>
        <w:pStyle w:val="SCCNormalDoubleSpacing"/>
        <w:spacing w:after="480"/>
      </w:pPr>
      <w:r w:rsidRPr="00250B2B">
        <w:tab/>
        <w:t xml:space="preserve">Section 225.4 of the </w:t>
      </w:r>
      <w:r w:rsidRPr="00250B2B">
        <w:rPr>
          <w:i/>
        </w:rPr>
        <w:t>Securities Act</w:t>
      </w:r>
      <w:r w:rsidRPr="00250B2B">
        <w:t xml:space="preserve"> is part of a new regime to address breaches of continuous disclosure obligations in the secondary market, the market in which a company’s shares are traded publicly after they have been issued or distributed by the company. The reforms were inspired by the recommendations of the Allen Committee</w:t>
      </w:r>
      <w:r w:rsidR="001A33FE" w:rsidRPr="00250B2B">
        <w:t xml:space="preserve">, suggested after </w:t>
      </w:r>
      <w:r w:rsidRPr="00250B2B">
        <w:t xml:space="preserve">a number of high profile misrepresentations at publicly traded companies. The Committee concluded that the remedies available to investors injured by misleading disclosure in the secondary trading market were so </w:t>
      </w:r>
      <w:r w:rsidRPr="00250B2B">
        <w:lastRenderedPageBreak/>
        <w:t>difficult to pursue, that they were largely illusory. As a result, it recommended the creation of a statutory civil liability regime that would help investors sue issuers, directors, and officers who violated statutory disclosure obligations.</w:t>
      </w:r>
    </w:p>
    <w:p w:rsidR="004B5BA0" w:rsidRPr="00250B2B" w:rsidRDefault="004B5BA0" w:rsidP="004B5BA0">
      <w:pPr>
        <w:pStyle w:val="SCCNormalDoubleSpacing"/>
        <w:spacing w:after="480"/>
      </w:pPr>
      <w:r w:rsidRPr="00250B2B">
        <w:tab/>
      </w:r>
      <w:r w:rsidRPr="00250B2B">
        <w:rPr>
          <w:szCs w:val="24"/>
        </w:rPr>
        <w:t>Under Quebec’s new regime, when</w:t>
      </w:r>
      <w:r w:rsidRPr="00250B2B">
        <w:t xml:space="preserve"> a security is acquired or transferred at the time of a false declaration or omission of information that should have been disclosed, the fluctuation in the value of the security is presumed to be attributable to that fault. Investors are thereby released from the burden of demonstrating that the variation in the market price of the security was linked to the misinformation or omission, and from demonstrating that they personally relied on that misinformation or omission in buying or transferring the security. </w:t>
      </w:r>
      <w:r w:rsidRPr="00250B2B">
        <w:rPr>
          <w:szCs w:val="24"/>
        </w:rPr>
        <w:t>In order to discourage the kind of strike suits that had become common in the United States under more investor</w:t>
      </w:r>
      <w:r w:rsidR="00391DB6">
        <w:rPr>
          <w:szCs w:val="24"/>
        </w:rPr>
        <w:t>-</w:t>
      </w:r>
      <w:r w:rsidRPr="00250B2B">
        <w:rPr>
          <w:szCs w:val="24"/>
        </w:rPr>
        <w:t>friendly regimes,</w:t>
      </w:r>
      <w:r w:rsidRPr="00250B2B">
        <w:t xml:space="preserve"> the Quebec scheme established an authorization mechanism — </w:t>
      </w:r>
      <w:r w:rsidR="00524109" w:rsidRPr="00250B2B">
        <w:t>s.</w:t>
      </w:r>
      <w:r w:rsidR="00391DB6">
        <w:t xml:space="preserve"> </w:t>
      </w:r>
      <w:r w:rsidRPr="00250B2B">
        <w:t>225.4 — to permit only actions in good faith and with a “reasonable possibility” that the claim would be resolved “in favour of the plaintiff”. The regime reflected an attempt to strike a balance between preventing unmeritorious litigation and strike suits and, at the same time, ensuring that investors have a meaningful remedy when issuers breach disclosure obligations.</w:t>
      </w:r>
    </w:p>
    <w:p w:rsidR="004B5BA0" w:rsidRPr="00250B2B" w:rsidRDefault="004B5BA0" w:rsidP="004B5BA0">
      <w:pPr>
        <w:pStyle w:val="ParaNoNdepar-AltN"/>
        <w:numPr>
          <w:ilvl w:val="0"/>
          <w:numId w:val="0"/>
        </w:numPr>
        <w:tabs>
          <w:tab w:val="left" w:pos="1170"/>
        </w:tabs>
        <w:rPr>
          <w:rFonts w:cs="Times New Roman"/>
        </w:rPr>
      </w:pPr>
      <w:r w:rsidRPr="00250B2B">
        <w:rPr>
          <w:rFonts w:cs="Times New Roman"/>
        </w:rPr>
        <w:tab/>
        <w:t xml:space="preserve">The “reasonable possibility” that the claim would be resolved in favour of </w:t>
      </w:r>
      <w:r w:rsidR="00524109" w:rsidRPr="00250B2B">
        <w:rPr>
          <w:rFonts w:cs="Times New Roman"/>
        </w:rPr>
        <w:t>the plaintiff required under s.</w:t>
      </w:r>
      <w:r w:rsidR="00391DB6">
        <w:rPr>
          <w:rFonts w:cs="Times New Roman"/>
        </w:rPr>
        <w:t xml:space="preserve"> </w:t>
      </w:r>
      <w:r w:rsidRPr="00250B2B">
        <w:rPr>
          <w:rFonts w:cs="Times New Roman"/>
        </w:rPr>
        <w:t>225.4 sets out a different and higher standard than the general threshold for the authorizati</w:t>
      </w:r>
      <w:r w:rsidR="00524109" w:rsidRPr="00250B2B">
        <w:rPr>
          <w:rFonts w:cs="Times New Roman"/>
        </w:rPr>
        <w:t>on of a class action under art.</w:t>
      </w:r>
      <w:r w:rsidR="00391DB6">
        <w:rPr>
          <w:rFonts w:cs="Times New Roman"/>
        </w:rPr>
        <w:t xml:space="preserve"> </w:t>
      </w:r>
      <w:r w:rsidRPr="00250B2B">
        <w:rPr>
          <w:rFonts w:cs="Times New Roman"/>
        </w:rPr>
        <w:t xml:space="preserve">1003 of the </w:t>
      </w:r>
      <w:r w:rsidRPr="00250B2B">
        <w:rPr>
          <w:rFonts w:cs="Times New Roman"/>
          <w:i/>
        </w:rPr>
        <w:t>Code of Civil Procedure</w:t>
      </w:r>
      <w:r w:rsidRPr="00250B2B">
        <w:rPr>
          <w:rFonts w:cs="Times New Roman"/>
        </w:rPr>
        <w:t xml:space="preserve">. </w:t>
      </w:r>
      <w:r w:rsidR="00524109" w:rsidRPr="00250B2B">
        <w:rPr>
          <w:rFonts w:cs="Times New Roman"/>
        </w:rPr>
        <w:t>Under art.</w:t>
      </w:r>
      <w:r w:rsidR="00391DB6">
        <w:rPr>
          <w:rFonts w:cs="Times New Roman"/>
        </w:rPr>
        <w:t xml:space="preserve"> </w:t>
      </w:r>
      <w:r w:rsidRPr="00250B2B">
        <w:rPr>
          <w:rFonts w:cs="Times New Roman"/>
        </w:rPr>
        <w:t>1003, the court seeks only to identify whether “the facts alleged seem to</w:t>
      </w:r>
      <w:r w:rsidR="00524109" w:rsidRPr="00250B2B">
        <w:rPr>
          <w:rFonts w:cs="Times New Roman"/>
        </w:rPr>
        <w:t xml:space="preserve"> justify the conclusions sought</w:t>
      </w:r>
      <w:r w:rsidRPr="00250B2B">
        <w:rPr>
          <w:rFonts w:cs="Times New Roman"/>
        </w:rPr>
        <w:t>”</w:t>
      </w:r>
      <w:r w:rsidR="00524109" w:rsidRPr="00250B2B">
        <w:rPr>
          <w:rFonts w:cs="Times New Roman"/>
        </w:rPr>
        <w:t>,</w:t>
      </w:r>
      <w:r w:rsidRPr="00250B2B">
        <w:rPr>
          <w:rFonts w:cs="Times New Roman"/>
        </w:rPr>
        <w:t xml:space="preserve"> that is, whether the </w:t>
      </w:r>
      <w:r w:rsidRPr="00250B2B">
        <w:rPr>
          <w:rFonts w:cs="Times New Roman"/>
        </w:rPr>
        <w:lastRenderedPageBreak/>
        <w:t xml:space="preserve">applicant has established “a good colour of right”. </w:t>
      </w:r>
      <w:r w:rsidRPr="00250B2B">
        <w:rPr>
          <w:rFonts w:cs="Times New Roman"/>
          <w:lang w:eastAsia="en-CA"/>
        </w:rPr>
        <w:t>The Quebec legislature used different</w:t>
      </w:r>
      <w:r w:rsidR="00524109" w:rsidRPr="00250B2B">
        <w:rPr>
          <w:rFonts w:cs="Times New Roman"/>
        </w:rPr>
        <w:t xml:space="preserve"> language in s.</w:t>
      </w:r>
      <w:r w:rsidR="00391DB6">
        <w:rPr>
          <w:rFonts w:cs="Times New Roman"/>
        </w:rPr>
        <w:t xml:space="preserve"> </w:t>
      </w:r>
      <w:r w:rsidRPr="00250B2B">
        <w:rPr>
          <w:rFonts w:cs="Times New Roman"/>
        </w:rPr>
        <w:t xml:space="preserve">225.4 to create a more meaningful screening mechanism in the securities context so that costly strike suits and unmeritorious claims would be prevented. The threshold requires that there be a reasonable or realistic chance that the action will succeed. </w:t>
      </w:r>
    </w:p>
    <w:p w:rsidR="004B5BA0" w:rsidRPr="00250B2B" w:rsidRDefault="004B5BA0" w:rsidP="004B5BA0">
      <w:pPr>
        <w:pStyle w:val="ParaNoNdepar-AltN"/>
        <w:numPr>
          <w:ilvl w:val="0"/>
          <w:numId w:val="0"/>
        </w:numPr>
        <w:tabs>
          <w:tab w:val="left" w:pos="1166"/>
        </w:tabs>
        <w:rPr>
          <w:rFonts w:cs="Times New Roman"/>
        </w:rPr>
      </w:pPr>
      <w:r w:rsidRPr="00250B2B">
        <w:rPr>
          <w:rFonts w:cs="Times New Roman"/>
        </w:rPr>
        <w:tab/>
        <w:t>A case with a realistic chance of success requires the claimant to offer some credible evidence in support of the claim. Courts must therefore undertake a reasoned consideration of the evidence to ensure that the action has some merit, but t</w:t>
      </w:r>
      <w:r w:rsidR="00524109" w:rsidRPr="00250B2B">
        <w:rPr>
          <w:rFonts w:cs="Times New Roman"/>
        </w:rPr>
        <w:t>he authorization stage under s.</w:t>
      </w:r>
      <w:r w:rsidR="00391DB6">
        <w:rPr>
          <w:rFonts w:cs="Times New Roman"/>
        </w:rPr>
        <w:t xml:space="preserve"> </w:t>
      </w:r>
      <w:r w:rsidRPr="00250B2B">
        <w:rPr>
          <w:rFonts w:cs="Times New Roman"/>
        </w:rPr>
        <w:t>225.4 should not be treated as a mini</w:t>
      </w:r>
      <w:r w:rsidR="00391DB6">
        <w:rPr>
          <w:rFonts w:cs="Times New Roman"/>
        </w:rPr>
        <w:t>-</w:t>
      </w:r>
      <w:r w:rsidRPr="00250B2B">
        <w:rPr>
          <w:rFonts w:cs="Times New Roman"/>
        </w:rPr>
        <w:t xml:space="preserve">trial. If the goal of the screening mechanism is to prevent costly strike suits and litigation with little chance of success, it follows that the evidentiary requirements should not be so onerous as to essentially replicate the demands of a trial. A full analysis of the evidence is unnecessary. What </w:t>
      </w:r>
      <w:r w:rsidRPr="00250B2B">
        <w:rPr>
          <w:rFonts w:cs="Times New Roman"/>
          <w:i/>
        </w:rPr>
        <w:t>is</w:t>
      </w:r>
      <w:r w:rsidRPr="00250B2B">
        <w:rPr>
          <w:rFonts w:cs="Times New Roman"/>
        </w:rPr>
        <w:t xml:space="preserve"> required is sufficient evidence to persuade the court that there is a realistic chance that the action will be resolved in the claimant’s favour.</w:t>
      </w:r>
    </w:p>
    <w:p w:rsidR="004B5BA0" w:rsidRPr="00250B2B" w:rsidRDefault="004B5BA0" w:rsidP="004B5BA0">
      <w:pPr>
        <w:pStyle w:val="ParaNoNdepar-AltN"/>
        <w:numPr>
          <w:ilvl w:val="0"/>
          <w:numId w:val="0"/>
        </w:numPr>
        <w:tabs>
          <w:tab w:val="left" w:pos="1170"/>
        </w:tabs>
        <w:rPr>
          <w:rFonts w:cs="Times New Roman"/>
        </w:rPr>
      </w:pPr>
      <w:r w:rsidRPr="00250B2B">
        <w:rPr>
          <w:rFonts w:cs="Times New Roman"/>
        </w:rPr>
        <w:tab/>
        <w:t>12185</w:t>
      </w:r>
      <w:r w:rsidR="00524109" w:rsidRPr="00250B2B">
        <w:rPr>
          <w:rFonts w:cs="Times New Roman"/>
        </w:rPr>
        <w:t>1 claims that Thera breached s.</w:t>
      </w:r>
      <w:r w:rsidR="00391DB6">
        <w:rPr>
          <w:rFonts w:cs="Times New Roman"/>
        </w:rPr>
        <w:t xml:space="preserve"> </w:t>
      </w:r>
      <w:r w:rsidRPr="00250B2B">
        <w:rPr>
          <w:rFonts w:cs="Times New Roman"/>
        </w:rPr>
        <w:t xml:space="preserve">73 of the </w:t>
      </w:r>
      <w:r w:rsidRPr="00250B2B">
        <w:rPr>
          <w:rFonts w:cs="Times New Roman"/>
          <w:i/>
        </w:rPr>
        <w:t>Securities Act</w:t>
      </w:r>
      <w:r w:rsidRPr="00250B2B">
        <w:rPr>
          <w:rFonts w:cs="Times New Roman"/>
        </w:rPr>
        <w:t xml:space="preserve">, which requires issuers to provide timely disclosure of material changes to investors. A material change has two components. There must be a change in the business, operations or capital of the issuer and the change must be material, which means it would reasonably be expected to have a significant effect on the market price or value of the securities of the issuer. 121851 argues that when Thera received the FDA briefing materials for the Advisory Committee, it should have issued a responsive press release. But 121851 has not pointed to any evidence that could qualify as a </w:t>
      </w:r>
      <w:r w:rsidRPr="00250B2B">
        <w:rPr>
          <w:rFonts w:cs="Times New Roman"/>
        </w:rPr>
        <w:lastRenderedPageBreak/>
        <w:t>change in Thera’s operations, capital</w:t>
      </w:r>
      <w:r w:rsidR="00524109" w:rsidRPr="00250B2B">
        <w:rPr>
          <w:rFonts w:cs="Times New Roman"/>
        </w:rPr>
        <w:t xml:space="preserve"> or business as described in s.</w:t>
      </w:r>
      <w:r w:rsidR="00391DB6">
        <w:rPr>
          <w:rFonts w:cs="Times New Roman"/>
        </w:rPr>
        <w:t xml:space="preserve"> </w:t>
      </w:r>
      <w:r w:rsidRPr="00250B2B">
        <w:rPr>
          <w:rFonts w:cs="Times New Roman"/>
        </w:rPr>
        <w:t>5</w:t>
      </w:r>
      <w:r w:rsidR="002052D3" w:rsidRPr="00250B2B">
        <w:rPr>
          <w:rFonts w:cs="Times New Roman"/>
        </w:rPr>
        <w:t>.</w:t>
      </w:r>
      <w:r w:rsidRPr="00250B2B">
        <w:rPr>
          <w:rFonts w:cs="Times New Roman"/>
        </w:rPr>
        <w:t xml:space="preserve">3 of the </w:t>
      </w:r>
      <w:r w:rsidRPr="00250B2B">
        <w:rPr>
          <w:rFonts w:cs="Times New Roman"/>
          <w:i/>
        </w:rPr>
        <w:t>Securities Act</w:t>
      </w:r>
      <w:r w:rsidR="001A33FE" w:rsidRPr="00250B2B">
        <w:rPr>
          <w:rFonts w:cs="Times New Roman"/>
        </w:rPr>
        <w:t>.</w:t>
      </w:r>
      <w:r w:rsidRPr="00250B2B">
        <w:rPr>
          <w:rFonts w:cs="Times New Roman"/>
        </w:rPr>
        <w:t xml:space="preserve"> The results of the cli</w:t>
      </w:r>
      <w:r w:rsidR="001A33FE" w:rsidRPr="00250B2B">
        <w:rPr>
          <w:rFonts w:cs="Times New Roman"/>
        </w:rPr>
        <w:t xml:space="preserve">nical trials, </w:t>
      </w:r>
      <w:r w:rsidRPr="00250B2B">
        <w:rPr>
          <w:rFonts w:cs="Times New Roman"/>
        </w:rPr>
        <w:t>including potential side effects, were disclosed to shareholders as they became available. There was no new information about the side effects of the drug that required timely disclosure when the FDA mentioned those side effects in the briefing materials.</w:t>
      </w:r>
    </w:p>
    <w:p w:rsidR="004B5BA0" w:rsidRPr="00250B2B" w:rsidRDefault="004B5BA0" w:rsidP="004B5BA0">
      <w:pPr>
        <w:pStyle w:val="ParaNoNdepar-AltN"/>
        <w:numPr>
          <w:ilvl w:val="0"/>
          <w:numId w:val="0"/>
        </w:numPr>
        <w:tabs>
          <w:tab w:val="left" w:pos="1166"/>
        </w:tabs>
        <w:rPr>
          <w:rFonts w:cs="Times New Roman"/>
        </w:rPr>
      </w:pPr>
      <w:r w:rsidRPr="00250B2B">
        <w:rPr>
          <w:rFonts w:cs="Times New Roman"/>
        </w:rPr>
        <w:tab/>
        <w:t>Nor has 121851 pointed to any evidence to suggest that the questions the FDA posed to its advisory committee about these side effects, or the contents of its briefing package more generally, departed in any way from the regular and routine process through which the FDA assesses whether a drug should be approved. Rather, they are a routine step in the FDA’s work to determine whether a drug’</w:t>
      </w:r>
      <w:r w:rsidR="00524109" w:rsidRPr="00250B2B">
        <w:rPr>
          <w:rFonts w:cs="Times New Roman"/>
        </w:rPr>
        <w:t xml:space="preserve">s benefits outweigh its risks. </w:t>
      </w:r>
      <w:r w:rsidRPr="00250B2B">
        <w:rPr>
          <w:rFonts w:cs="Times New Roman"/>
        </w:rPr>
        <w:t>It is difficult to characterize these questions as any kind of change to Thera’s business, operations, or capital requiring a reassuring public response from Thera.</w:t>
      </w:r>
    </w:p>
    <w:p w:rsidR="00610539" w:rsidRPr="00250B2B" w:rsidRDefault="004B5BA0" w:rsidP="004B5BA0">
      <w:pPr>
        <w:pStyle w:val="ParaNoNdepar-AltN"/>
        <w:numPr>
          <w:ilvl w:val="0"/>
          <w:numId w:val="0"/>
        </w:numPr>
        <w:tabs>
          <w:tab w:val="left" w:pos="1166"/>
        </w:tabs>
        <w:rPr>
          <w:rFonts w:cs="Times New Roman"/>
        </w:rPr>
      </w:pPr>
      <w:r w:rsidRPr="00250B2B">
        <w:rPr>
          <w:rFonts w:cs="Times New Roman"/>
        </w:rPr>
        <w:tab/>
        <w:t>Because the evidence does not credibly point to a material change that could have triggered disclosure obligations, there is no reasonable possibility that 121851’s action under s</w:t>
      </w:r>
      <w:r w:rsidR="00524109" w:rsidRPr="00250B2B">
        <w:rPr>
          <w:rFonts w:cs="Times New Roman"/>
        </w:rPr>
        <w:t>.</w:t>
      </w:r>
      <w:r w:rsidR="00391DB6">
        <w:rPr>
          <w:rFonts w:cs="Times New Roman"/>
        </w:rPr>
        <w:t xml:space="preserve"> </w:t>
      </w:r>
      <w:r w:rsidRPr="00250B2B">
        <w:rPr>
          <w:rFonts w:cs="Times New Roman"/>
        </w:rPr>
        <w:t xml:space="preserve">73 of the </w:t>
      </w:r>
      <w:r w:rsidRPr="00250B2B">
        <w:rPr>
          <w:rFonts w:cs="Times New Roman"/>
          <w:i/>
        </w:rPr>
        <w:t>Securities Act</w:t>
      </w:r>
      <w:r w:rsidRPr="00250B2B">
        <w:rPr>
          <w:rFonts w:cs="Times New Roman"/>
        </w:rPr>
        <w:t xml:space="preserve"> could succeed.</w:t>
      </w:r>
    </w:p>
    <w:p w:rsidR="007E1C47" w:rsidRPr="00250B2B" w:rsidRDefault="002E6705" w:rsidP="00B14033">
      <w:pPr>
        <w:pStyle w:val="SCCNormalDoubleSpacing"/>
        <w:spacing w:after="720" w:line="240" w:lineRule="auto"/>
        <w:outlineLvl w:val="0"/>
        <w:rPr>
          <w:b/>
        </w:rPr>
      </w:pPr>
      <w:r w:rsidRPr="00250B2B">
        <w:rPr>
          <w:b/>
        </w:rPr>
        <w:t>Cases Cited</w:t>
      </w:r>
    </w:p>
    <w:p w:rsidR="004E2C26" w:rsidRPr="00250B2B" w:rsidRDefault="002E6705" w:rsidP="003A7BEF">
      <w:pPr>
        <w:pStyle w:val="SCCNormalDoubleSpacing"/>
        <w:spacing w:after="480"/>
      </w:pPr>
      <w:r w:rsidRPr="00250B2B">
        <w:tab/>
      </w:r>
      <w:r w:rsidR="00C902D4" w:rsidRPr="00250B2B">
        <w:rPr>
          <w:b/>
        </w:rPr>
        <w:t>Distinguished:</w:t>
      </w:r>
      <w:r w:rsidR="00C902D4" w:rsidRPr="00250B2B">
        <w:t xml:space="preserve"> </w:t>
      </w:r>
      <w:proofErr w:type="spellStart"/>
      <w:r w:rsidR="00C902D4" w:rsidRPr="00250B2B">
        <w:rPr>
          <w:i/>
        </w:rPr>
        <w:t>Pezim</w:t>
      </w:r>
      <w:proofErr w:type="spellEnd"/>
      <w:r w:rsidR="00C902D4" w:rsidRPr="00250B2B">
        <w:rPr>
          <w:i/>
        </w:rPr>
        <w:t xml:space="preserve"> v. British Columbia (Superintendent of Brokers)</w:t>
      </w:r>
      <w:r w:rsidR="00C902D4" w:rsidRPr="00250B2B">
        <w:t xml:space="preserve">, [1994] 2 S.C.R. 557; </w:t>
      </w:r>
      <w:r w:rsidR="00C902D4" w:rsidRPr="00250B2B">
        <w:rPr>
          <w:b/>
        </w:rPr>
        <w:t>r</w:t>
      </w:r>
      <w:r w:rsidRPr="00250B2B">
        <w:rPr>
          <w:b/>
        </w:rPr>
        <w:t>eferred to:</w:t>
      </w:r>
      <w:r w:rsidR="00BD0E9E" w:rsidRPr="00250B2B">
        <w:t xml:space="preserve"> </w:t>
      </w:r>
      <w:proofErr w:type="spellStart"/>
      <w:r w:rsidR="00C310E8" w:rsidRPr="00250B2B">
        <w:rPr>
          <w:i/>
        </w:rPr>
        <w:t>Cartaway</w:t>
      </w:r>
      <w:proofErr w:type="spellEnd"/>
      <w:r w:rsidR="00C310E8" w:rsidRPr="00250B2B">
        <w:rPr>
          <w:i/>
        </w:rPr>
        <w:t xml:space="preserve"> Resources Cor</w:t>
      </w:r>
      <w:r w:rsidR="00F03E0E" w:rsidRPr="00250B2B">
        <w:rPr>
          <w:i/>
        </w:rPr>
        <w:t>p.</w:t>
      </w:r>
      <w:r w:rsidR="00391DB6">
        <w:rPr>
          <w:i/>
        </w:rPr>
        <w:t xml:space="preserve"> </w:t>
      </w:r>
      <w:r w:rsidR="00033F4D" w:rsidRPr="00250B2B">
        <w:rPr>
          <w:i/>
        </w:rPr>
        <w:t>(Re)</w:t>
      </w:r>
      <w:r w:rsidR="00033F4D" w:rsidRPr="00250B2B">
        <w:t xml:space="preserve">, 2000 BCSECCOM 88, </w:t>
      </w:r>
      <w:r w:rsidR="00C310E8" w:rsidRPr="00250B2B">
        <w:t xml:space="preserve">[2000] </w:t>
      </w:r>
      <w:r w:rsidR="00033F4D" w:rsidRPr="00250B2B">
        <w:t>B.C.</w:t>
      </w:r>
      <w:r w:rsidR="00C310E8" w:rsidRPr="00250B2B">
        <w:t>S.</w:t>
      </w:r>
      <w:r w:rsidR="00033F4D" w:rsidRPr="00250B2B">
        <w:t>C.</w:t>
      </w:r>
      <w:r w:rsidR="00C310E8" w:rsidRPr="00250B2B">
        <w:t xml:space="preserve">D. </w:t>
      </w:r>
      <w:r w:rsidR="00F03E0E" w:rsidRPr="00250B2B">
        <w:t>No.</w:t>
      </w:r>
      <w:r w:rsidR="00391DB6">
        <w:t xml:space="preserve"> </w:t>
      </w:r>
      <w:r w:rsidR="00C310E8" w:rsidRPr="00250B2B">
        <w:t>92</w:t>
      </w:r>
      <w:r w:rsidR="00033F4D" w:rsidRPr="00250B2B">
        <w:t xml:space="preserve"> (QL)</w:t>
      </w:r>
      <w:r w:rsidR="00C310E8" w:rsidRPr="00250B2B">
        <w:t xml:space="preserve">; </w:t>
      </w:r>
      <w:r w:rsidR="00C310E8" w:rsidRPr="00250B2B">
        <w:rPr>
          <w:i/>
        </w:rPr>
        <w:t xml:space="preserve">Cornish v. Ontario Securities </w:t>
      </w:r>
      <w:r w:rsidR="00C310E8" w:rsidRPr="00250B2B">
        <w:rPr>
          <w:i/>
        </w:rPr>
        <w:lastRenderedPageBreak/>
        <w:t>Commission</w:t>
      </w:r>
      <w:r w:rsidR="00C310E8" w:rsidRPr="00250B2B">
        <w:t>, 2013 ONSC 1310</w:t>
      </w:r>
      <w:r w:rsidR="00AD6175" w:rsidRPr="00250B2B">
        <w:t>, 306 O.A.C. 107</w:t>
      </w:r>
      <w:r w:rsidR="00C310E8" w:rsidRPr="00250B2B">
        <w:t xml:space="preserve">; </w:t>
      </w:r>
      <w:r w:rsidR="002644F5" w:rsidRPr="00250B2B">
        <w:rPr>
          <w:i/>
        </w:rPr>
        <w:t xml:space="preserve">Infineon Technologies </w:t>
      </w:r>
      <w:r w:rsidR="00AD6175" w:rsidRPr="00250B2B">
        <w:rPr>
          <w:i/>
        </w:rPr>
        <w:t xml:space="preserve">AG </w:t>
      </w:r>
      <w:r w:rsidR="002644F5" w:rsidRPr="00250B2B">
        <w:rPr>
          <w:i/>
        </w:rPr>
        <w:t xml:space="preserve">v. Option </w:t>
      </w:r>
      <w:proofErr w:type="spellStart"/>
      <w:r w:rsidR="002644F5" w:rsidRPr="00250B2B">
        <w:rPr>
          <w:i/>
        </w:rPr>
        <w:t>consommateurs</w:t>
      </w:r>
      <w:proofErr w:type="spellEnd"/>
      <w:r w:rsidR="002644F5" w:rsidRPr="00250B2B">
        <w:t xml:space="preserve">, 2013 SCC </w:t>
      </w:r>
      <w:r w:rsidR="00AD6175" w:rsidRPr="00250B2B">
        <w:t>59</w:t>
      </w:r>
      <w:r w:rsidR="002644F5" w:rsidRPr="00250B2B">
        <w:t xml:space="preserve">, [2013] 3 S.C.R. 600; </w:t>
      </w:r>
      <w:proofErr w:type="spellStart"/>
      <w:r w:rsidR="002644F5" w:rsidRPr="00250B2B">
        <w:rPr>
          <w:i/>
        </w:rPr>
        <w:t>Guimond</w:t>
      </w:r>
      <w:proofErr w:type="spellEnd"/>
      <w:r w:rsidR="002644F5" w:rsidRPr="00250B2B">
        <w:rPr>
          <w:i/>
        </w:rPr>
        <w:t xml:space="preserve"> v. Quebec (Attorney General)</w:t>
      </w:r>
      <w:r w:rsidR="002644F5" w:rsidRPr="00250B2B">
        <w:t xml:space="preserve">, [1996] 3 S.C.R. 347; </w:t>
      </w:r>
      <w:proofErr w:type="spellStart"/>
      <w:r w:rsidR="002644F5" w:rsidRPr="00250B2B">
        <w:rPr>
          <w:i/>
        </w:rPr>
        <w:t>Marcotte</w:t>
      </w:r>
      <w:proofErr w:type="spellEnd"/>
      <w:r w:rsidR="002644F5" w:rsidRPr="00250B2B">
        <w:rPr>
          <w:i/>
        </w:rPr>
        <w:t xml:space="preserve"> v. </w:t>
      </w:r>
      <w:proofErr w:type="spellStart"/>
      <w:r w:rsidR="002644F5" w:rsidRPr="00250B2B">
        <w:rPr>
          <w:i/>
        </w:rPr>
        <w:t>Longue</w:t>
      </w:r>
      <w:r w:rsidR="00AD6175" w:rsidRPr="00250B2B">
        <w:rPr>
          <w:i/>
        </w:rPr>
        <w:t>u</w:t>
      </w:r>
      <w:r w:rsidR="002644F5" w:rsidRPr="00250B2B">
        <w:rPr>
          <w:i/>
        </w:rPr>
        <w:t>il</w:t>
      </w:r>
      <w:proofErr w:type="spellEnd"/>
      <w:r w:rsidR="00AD6175" w:rsidRPr="00250B2B">
        <w:rPr>
          <w:i/>
        </w:rPr>
        <w:t xml:space="preserve"> (City)</w:t>
      </w:r>
      <w:r w:rsidR="002644F5" w:rsidRPr="00250B2B">
        <w:t xml:space="preserve">, 2009 SCC </w:t>
      </w:r>
      <w:r w:rsidR="00AD6175" w:rsidRPr="00250B2B">
        <w:t>43</w:t>
      </w:r>
      <w:r w:rsidR="002644F5" w:rsidRPr="00250B2B">
        <w:t xml:space="preserve">, [2009] 3 S.C.R. 65; </w:t>
      </w:r>
      <w:r w:rsidR="00AD6175" w:rsidRPr="00250B2B">
        <w:rPr>
          <w:i/>
        </w:rPr>
        <w:t>Ironworkers Ontario Pension Fund (Trustee of)</w:t>
      </w:r>
      <w:r w:rsidR="008D6D46" w:rsidRPr="00250B2B">
        <w:rPr>
          <w:i/>
        </w:rPr>
        <w:t xml:space="preserve"> v. Manulife Financial</w:t>
      </w:r>
      <w:r w:rsidR="00AD6175" w:rsidRPr="00250B2B">
        <w:rPr>
          <w:i/>
        </w:rPr>
        <w:t xml:space="preserve"> Corp.</w:t>
      </w:r>
      <w:r w:rsidR="008D6D46" w:rsidRPr="00250B2B">
        <w:t>, 2013 ONSC 4083</w:t>
      </w:r>
      <w:r w:rsidR="00AD6175" w:rsidRPr="00250B2B">
        <w:t>, 44 C.P.C. (7th) 80</w:t>
      </w:r>
      <w:r w:rsidR="008D6D46" w:rsidRPr="00250B2B">
        <w:t xml:space="preserve">; </w:t>
      </w:r>
      <w:r w:rsidR="008D6D46" w:rsidRPr="00250B2B">
        <w:rPr>
          <w:i/>
        </w:rPr>
        <w:t>Silver v. Imax Cor</w:t>
      </w:r>
      <w:r w:rsidR="00F03E0E" w:rsidRPr="00250B2B">
        <w:rPr>
          <w:i/>
        </w:rPr>
        <w:t>p.</w:t>
      </w:r>
      <w:r w:rsidR="00391DB6">
        <w:rPr>
          <w:i/>
        </w:rPr>
        <w:t xml:space="preserve"> </w:t>
      </w:r>
      <w:r w:rsidR="00AD6175" w:rsidRPr="00250B2B">
        <w:t>(</w:t>
      </w:r>
      <w:r w:rsidR="008D6D46" w:rsidRPr="00250B2B">
        <w:t>2009</w:t>
      </w:r>
      <w:r w:rsidR="00AD6175" w:rsidRPr="00250B2B">
        <w:t>),</w:t>
      </w:r>
      <w:r w:rsidR="008D6D46" w:rsidRPr="00250B2B">
        <w:t xml:space="preserve"> </w:t>
      </w:r>
      <w:r w:rsidR="00AD6175" w:rsidRPr="00250B2B">
        <w:t>66 B.L.R. (4th) 222</w:t>
      </w:r>
      <w:r w:rsidR="008D6D46" w:rsidRPr="00250B2B">
        <w:t>, leave to appeal refused, 2011 ONSC 1035</w:t>
      </w:r>
      <w:r w:rsidR="00AD6175" w:rsidRPr="00250B2B">
        <w:t>, 105 O.R. (3d) 212</w:t>
      </w:r>
      <w:r w:rsidR="008D6D46" w:rsidRPr="00250B2B">
        <w:t xml:space="preserve">; </w:t>
      </w:r>
      <w:r w:rsidR="008D6D46" w:rsidRPr="00250B2B">
        <w:rPr>
          <w:i/>
        </w:rPr>
        <w:t>Dobbie v. Arctic Glacier Income Fund</w:t>
      </w:r>
      <w:r w:rsidR="008D6D46" w:rsidRPr="00250B2B">
        <w:t>, 2011 ONSC 25</w:t>
      </w:r>
      <w:r w:rsidR="00AD6175" w:rsidRPr="00250B2B">
        <w:t>, 3 C.P.C. (7th) 261</w:t>
      </w:r>
      <w:r w:rsidR="008D6D46" w:rsidRPr="00250B2B">
        <w:t xml:space="preserve">; </w:t>
      </w:r>
      <w:r w:rsidR="008D6D46" w:rsidRPr="00250B2B">
        <w:rPr>
          <w:i/>
        </w:rPr>
        <w:t xml:space="preserve">Round v. MacDonald, </w:t>
      </w:r>
      <w:proofErr w:type="spellStart"/>
      <w:r w:rsidR="008D6D46" w:rsidRPr="00250B2B">
        <w:rPr>
          <w:i/>
        </w:rPr>
        <w:t>Det</w:t>
      </w:r>
      <w:r w:rsidR="00AD6175" w:rsidRPr="00250B2B">
        <w:rPr>
          <w:i/>
        </w:rPr>
        <w:t>t</w:t>
      </w:r>
      <w:r w:rsidR="008D6D46" w:rsidRPr="00250B2B">
        <w:rPr>
          <w:i/>
        </w:rPr>
        <w:t>wiler</w:t>
      </w:r>
      <w:proofErr w:type="spellEnd"/>
      <w:r w:rsidR="008D6D46" w:rsidRPr="00250B2B">
        <w:rPr>
          <w:i/>
        </w:rPr>
        <w:t xml:space="preserve"> and Associates Ltd.</w:t>
      </w:r>
      <w:r w:rsidR="008D6D46" w:rsidRPr="00250B2B">
        <w:t xml:space="preserve">, 2011 BCSC 1416, </w:t>
      </w:r>
      <w:r w:rsidR="00AD6175" w:rsidRPr="00250B2B">
        <w:t>aff’d</w:t>
      </w:r>
      <w:r w:rsidR="008D6D46" w:rsidRPr="00250B2B">
        <w:t xml:space="preserve"> 2012 BCCA 456</w:t>
      </w:r>
      <w:r w:rsidR="00AD6175" w:rsidRPr="00250B2B">
        <w:t>, 39 B.C.L.R. (5th) 44</w:t>
      </w:r>
      <w:r w:rsidR="008D6D46" w:rsidRPr="00250B2B">
        <w:t xml:space="preserve">; </w:t>
      </w:r>
      <w:r w:rsidR="008D6D46" w:rsidRPr="00250B2B">
        <w:rPr>
          <w:i/>
        </w:rPr>
        <w:t>Millwright Regional Council of Ontario Pension Trust Fund (Trustees of) v. Celestica Inc</w:t>
      </w:r>
      <w:r w:rsidR="00AD6175" w:rsidRPr="00250B2B">
        <w:rPr>
          <w:i/>
        </w:rPr>
        <w:t>.</w:t>
      </w:r>
      <w:r w:rsidR="008D6D46" w:rsidRPr="00250B2B">
        <w:t>, 2014 ONSC 1057</w:t>
      </w:r>
      <w:r w:rsidR="00AD6175" w:rsidRPr="00250B2B">
        <w:t>, 49 C.P.C. (7th) 12</w:t>
      </w:r>
      <w:r w:rsidR="008D6D46" w:rsidRPr="00250B2B">
        <w:t xml:space="preserve">; </w:t>
      </w:r>
      <w:r w:rsidR="00AD6175" w:rsidRPr="00250B2B">
        <w:rPr>
          <w:i/>
        </w:rPr>
        <w:t>Millwright Regional Council of Ontario Pension Trust Fund (Trustees of) v. Celestica Inc.</w:t>
      </w:r>
      <w:r w:rsidR="008D6D46" w:rsidRPr="00250B2B">
        <w:t>, 2014 ONCA 90</w:t>
      </w:r>
      <w:r w:rsidR="00AD6175" w:rsidRPr="00250B2B">
        <w:t>, 118 O.R. (3d) 641</w:t>
      </w:r>
      <w:r w:rsidR="008D6D46" w:rsidRPr="00250B2B">
        <w:t xml:space="preserve">; </w:t>
      </w:r>
      <w:r w:rsidR="0028444A" w:rsidRPr="00250B2B">
        <w:rPr>
          <w:i/>
        </w:rPr>
        <w:t xml:space="preserve">Kerr v. </w:t>
      </w:r>
      <w:proofErr w:type="spellStart"/>
      <w:r w:rsidR="0028444A" w:rsidRPr="00250B2B">
        <w:rPr>
          <w:i/>
        </w:rPr>
        <w:t>Danier</w:t>
      </w:r>
      <w:proofErr w:type="spellEnd"/>
      <w:r w:rsidR="0028444A" w:rsidRPr="00250B2B">
        <w:rPr>
          <w:i/>
        </w:rPr>
        <w:t xml:space="preserve"> Leather</w:t>
      </w:r>
      <w:r w:rsidR="00AD6175" w:rsidRPr="00250B2B">
        <w:rPr>
          <w:i/>
        </w:rPr>
        <w:t xml:space="preserve"> Inc.</w:t>
      </w:r>
      <w:r w:rsidR="0028444A" w:rsidRPr="00250B2B">
        <w:t xml:space="preserve">, 2007 SCC </w:t>
      </w:r>
      <w:r w:rsidR="00AD6175" w:rsidRPr="00250B2B">
        <w:t>44</w:t>
      </w:r>
      <w:r w:rsidR="0028444A" w:rsidRPr="00250B2B">
        <w:t>, [2007] 3 S.C.R. 331</w:t>
      </w:r>
      <w:r w:rsidR="00F27687" w:rsidRPr="00250B2B">
        <w:t xml:space="preserve">; </w:t>
      </w:r>
      <w:r w:rsidR="00F27687" w:rsidRPr="00250B2B">
        <w:rPr>
          <w:i/>
        </w:rPr>
        <w:t>TSC Industries</w:t>
      </w:r>
      <w:r w:rsidR="00AD6175" w:rsidRPr="00250B2B">
        <w:rPr>
          <w:i/>
        </w:rPr>
        <w:t>, Inc.</w:t>
      </w:r>
      <w:r w:rsidR="00F27687" w:rsidRPr="00250B2B">
        <w:rPr>
          <w:i/>
        </w:rPr>
        <w:t xml:space="preserve"> v. Northway</w:t>
      </w:r>
      <w:r w:rsidR="00AD6175" w:rsidRPr="00250B2B">
        <w:rPr>
          <w:i/>
        </w:rPr>
        <w:t>,</w:t>
      </w:r>
      <w:r w:rsidR="00F27687" w:rsidRPr="00250B2B">
        <w:rPr>
          <w:i/>
        </w:rPr>
        <w:t xml:space="preserve"> Inc</w:t>
      </w:r>
      <w:r w:rsidR="00AD6175" w:rsidRPr="00250B2B">
        <w:rPr>
          <w:i/>
        </w:rPr>
        <w:t>.</w:t>
      </w:r>
      <w:r w:rsidR="00F27687" w:rsidRPr="00250B2B">
        <w:t>, 426 U.S. 438 (1976).</w:t>
      </w:r>
    </w:p>
    <w:p w:rsidR="003B215F" w:rsidRPr="00250B2B" w:rsidRDefault="002E6705" w:rsidP="00B14033">
      <w:pPr>
        <w:pStyle w:val="SCCNormalDoubleSpacing"/>
        <w:spacing w:after="720" w:line="240" w:lineRule="auto"/>
        <w:outlineLvl w:val="0"/>
      </w:pPr>
      <w:r w:rsidRPr="00250B2B">
        <w:rPr>
          <w:b/>
        </w:rPr>
        <w:t>Statutes and Regulations Cite</w:t>
      </w:r>
      <w:r w:rsidR="00A41805" w:rsidRPr="00250B2B">
        <w:rPr>
          <w:b/>
        </w:rPr>
        <w:t>d</w:t>
      </w:r>
    </w:p>
    <w:p w:rsidR="002644F5" w:rsidRPr="00250B2B" w:rsidRDefault="00EA6AB7" w:rsidP="003A7BEF">
      <w:pPr>
        <w:pStyle w:val="SCCNormalDoubleSpacing"/>
        <w:spacing w:after="240" w:line="240" w:lineRule="auto"/>
        <w:ind w:left="539" w:hanging="539"/>
      </w:pPr>
      <w:r w:rsidRPr="00250B2B">
        <w:rPr>
          <w:i/>
        </w:rPr>
        <w:t>Act to amend the Securities Act and other legislative provisions</w:t>
      </w:r>
      <w:r w:rsidR="002644F5" w:rsidRPr="00250B2B">
        <w:t>, S.Q. 2007, c.</w:t>
      </w:r>
      <w:r w:rsidR="00391DB6">
        <w:t xml:space="preserve"> </w:t>
      </w:r>
      <w:r w:rsidR="00B919F3" w:rsidRPr="00250B2B">
        <w:t>1</w:t>
      </w:r>
      <w:r w:rsidR="002644F5" w:rsidRPr="00250B2B">
        <w:t>5 [Bill</w:t>
      </w:r>
      <w:r w:rsidR="00391DB6">
        <w:t xml:space="preserve"> </w:t>
      </w:r>
      <w:r w:rsidR="002644F5" w:rsidRPr="00250B2B">
        <w:t>19].</w:t>
      </w:r>
    </w:p>
    <w:p w:rsidR="002644F5" w:rsidRPr="00250B2B" w:rsidRDefault="002644F5" w:rsidP="003A7BEF">
      <w:pPr>
        <w:pStyle w:val="SCCNormalDoubleSpacing"/>
        <w:spacing w:after="240" w:line="240" w:lineRule="auto"/>
        <w:ind w:left="539" w:hanging="539"/>
      </w:pPr>
      <w:r w:rsidRPr="00250B2B">
        <w:rPr>
          <w:i/>
        </w:rPr>
        <w:t>Civil Code of Qu</w:t>
      </w:r>
      <w:r w:rsidR="00EA6AB7" w:rsidRPr="00250B2B">
        <w:rPr>
          <w:i/>
        </w:rPr>
        <w:t>é</w:t>
      </w:r>
      <w:r w:rsidRPr="00250B2B">
        <w:rPr>
          <w:i/>
        </w:rPr>
        <w:t>bec</w:t>
      </w:r>
      <w:r w:rsidRPr="00250B2B">
        <w:t>, arts.</w:t>
      </w:r>
      <w:r w:rsidR="00391DB6">
        <w:t xml:space="preserve"> </w:t>
      </w:r>
      <w:r w:rsidRPr="00250B2B">
        <w:t>1457, 1607.</w:t>
      </w:r>
    </w:p>
    <w:p w:rsidR="004B3932" w:rsidRPr="00250B2B" w:rsidRDefault="004B3932" w:rsidP="003A7BEF">
      <w:pPr>
        <w:pStyle w:val="SCCNormalDoubleSpacing"/>
        <w:spacing w:after="240" w:line="240" w:lineRule="auto"/>
        <w:ind w:left="539" w:hanging="539"/>
      </w:pPr>
      <w:r w:rsidRPr="00250B2B">
        <w:rPr>
          <w:i/>
        </w:rPr>
        <w:t>Code of Civil Procedure</w:t>
      </w:r>
      <w:r w:rsidR="00F03E0E" w:rsidRPr="00250B2B">
        <w:t>, CQLR, c.</w:t>
      </w:r>
      <w:r w:rsidR="00391DB6">
        <w:t xml:space="preserve"> </w:t>
      </w:r>
      <w:r w:rsidRPr="00250B2B">
        <w:t>C</w:t>
      </w:r>
      <w:r w:rsidR="00391DB6">
        <w:t>-</w:t>
      </w:r>
      <w:r w:rsidRPr="00250B2B">
        <w:t xml:space="preserve">25, </w:t>
      </w:r>
      <w:r w:rsidR="00F03E0E" w:rsidRPr="00250B2B">
        <w:t>art.</w:t>
      </w:r>
      <w:r w:rsidR="00391DB6">
        <w:t xml:space="preserve"> </w:t>
      </w:r>
      <w:r w:rsidRPr="00250B2B">
        <w:t>1003.</w:t>
      </w:r>
    </w:p>
    <w:p w:rsidR="00A149DF" w:rsidRPr="00250B2B" w:rsidRDefault="004B3932" w:rsidP="003A7BEF">
      <w:pPr>
        <w:pStyle w:val="SCCNormalDoubleSpacing"/>
        <w:spacing w:after="240" w:line="240" w:lineRule="auto"/>
        <w:ind w:left="539" w:hanging="539"/>
      </w:pPr>
      <w:r w:rsidRPr="00250B2B">
        <w:rPr>
          <w:i/>
        </w:rPr>
        <w:t>Securities Act</w:t>
      </w:r>
      <w:r w:rsidR="00F03E0E" w:rsidRPr="00250B2B">
        <w:t>, CQLR, c.</w:t>
      </w:r>
      <w:r w:rsidR="00391DB6">
        <w:t xml:space="preserve"> </w:t>
      </w:r>
      <w:r w:rsidRPr="00250B2B">
        <w:t>V</w:t>
      </w:r>
      <w:r w:rsidR="00391DB6">
        <w:t>-</w:t>
      </w:r>
      <w:r w:rsidRPr="00250B2B">
        <w:t xml:space="preserve">1.1, </w:t>
      </w:r>
      <w:r w:rsidR="00F03E0E" w:rsidRPr="00250B2B">
        <w:t>ss.</w:t>
      </w:r>
      <w:r w:rsidR="00391DB6">
        <w:t xml:space="preserve"> </w:t>
      </w:r>
      <w:r w:rsidR="00C310E8" w:rsidRPr="00250B2B">
        <w:t>5</w:t>
      </w:r>
      <w:r w:rsidR="002D7F78" w:rsidRPr="00250B2B">
        <w:t xml:space="preserve"> “material fact”</w:t>
      </w:r>
      <w:r w:rsidR="00C310E8" w:rsidRPr="00250B2B">
        <w:t xml:space="preserve">, 5.3, </w:t>
      </w:r>
      <w:r w:rsidRPr="00250B2B">
        <w:t>73, 225.4.</w:t>
      </w:r>
    </w:p>
    <w:p w:rsidR="004B3932" w:rsidRPr="00250B2B" w:rsidRDefault="004B3932" w:rsidP="003A7BEF">
      <w:pPr>
        <w:pStyle w:val="SCCNormalDoubleSpacing"/>
        <w:spacing w:after="240" w:line="240" w:lineRule="auto"/>
        <w:ind w:left="539" w:hanging="539"/>
      </w:pPr>
      <w:r w:rsidRPr="00250B2B">
        <w:rPr>
          <w:i/>
        </w:rPr>
        <w:t>Securities Act</w:t>
      </w:r>
      <w:r w:rsidRPr="00250B2B">
        <w:t>, R.S.A. 2000, c.</w:t>
      </w:r>
      <w:r w:rsidR="00391DB6">
        <w:t xml:space="preserve"> </w:t>
      </w:r>
      <w:r w:rsidRPr="00250B2B">
        <w:t>S</w:t>
      </w:r>
      <w:r w:rsidR="00391DB6">
        <w:t>-</w:t>
      </w:r>
      <w:r w:rsidR="00F03E0E" w:rsidRPr="00250B2B">
        <w:t>4, s.</w:t>
      </w:r>
      <w:r w:rsidR="00391DB6">
        <w:t xml:space="preserve"> </w:t>
      </w:r>
      <w:r w:rsidRPr="00250B2B">
        <w:t>147.</w:t>
      </w:r>
    </w:p>
    <w:p w:rsidR="004B3932" w:rsidRPr="00250B2B" w:rsidRDefault="004B3932" w:rsidP="003A7BEF">
      <w:pPr>
        <w:pStyle w:val="SCCNormalDoubleSpacing"/>
        <w:spacing w:after="240" w:line="240" w:lineRule="auto"/>
        <w:ind w:left="539" w:hanging="539"/>
      </w:pPr>
      <w:r w:rsidRPr="00250B2B">
        <w:rPr>
          <w:i/>
        </w:rPr>
        <w:t>Securities Act</w:t>
      </w:r>
      <w:r w:rsidRPr="00250B2B">
        <w:t>, R.S.B.C</w:t>
      </w:r>
      <w:r w:rsidR="00B14033">
        <w:t>.</w:t>
      </w:r>
      <w:r w:rsidRPr="00250B2B">
        <w:t xml:space="preserve"> 1996, </w:t>
      </w:r>
      <w:r w:rsidR="00F03E0E" w:rsidRPr="00250B2B">
        <w:t>c.</w:t>
      </w:r>
      <w:r w:rsidR="00391DB6">
        <w:t xml:space="preserve"> </w:t>
      </w:r>
      <w:r w:rsidRPr="00250B2B">
        <w:t>418,</w:t>
      </w:r>
      <w:r w:rsidR="00F03E0E" w:rsidRPr="00250B2B">
        <w:t xml:space="preserve"> s.</w:t>
      </w:r>
      <w:r w:rsidR="00391DB6">
        <w:t xml:space="preserve"> </w:t>
      </w:r>
      <w:r w:rsidRPr="00250B2B">
        <w:t>85.</w:t>
      </w:r>
    </w:p>
    <w:p w:rsidR="004B3932" w:rsidRPr="00250B2B" w:rsidRDefault="004B3932" w:rsidP="003A7BEF">
      <w:pPr>
        <w:pStyle w:val="SCCNormalDoubleSpacing"/>
        <w:spacing w:after="240" w:line="240" w:lineRule="auto"/>
        <w:ind w:left="539" w:hanging="539"/>
      </w:pPr>
      <w:r w:rsidRPr="00250B2B">
        <w:rPr>
          <w:i/>
        </w:rPr>
        <w:t>Securities Act</w:t>
      </w:r>
      <w:r w:rsidRPr="00250B2B">
        <w:t xml:space="preserve">, R.S.N.S. 1989, </w:t>
      </w:r>
      <w:r w:rsidR="00F03E0E" w:rsidRPr="00250B2B">
        <w:t>c.</w:t>
      </w:r>
      <w:r w:rsidR="00391DB6">
        <w:t xml:space="preserve"> </w:t>
      </w:r>
      <w:r w:rsidR="00F03E0E" w:rsidRPr="00250B2B">
        <w:t>418, s.</w:t>
      </w:r>
      <w:r w:rsidR="00391DB6">
        <w:t xml:space="preserve"> </w:t>
      </w:r>
      <w:r w:rsidRPr="00250B2B">
        <w:t>81.</w:t>
      </w:r>
    </w:p>
    <w:p w:rsidR="004B3932" w:rsidRPr="00250B2B" w:rsidRDefault="004B3932" w:rsidP="003A7BEF">
      <w:pPr>
        <w:pStyle w:val="SCCNormalDoubleSpacing"/>
        <w:spacing w:after="240" w:line="240" w:lineRule="auto"/>
        <w:ind w:left="539" w:hanging="539"/>
      </w:pPr>
      <w:r w:rsidRPr="00250B2B">
        <w:rPr>
          <w:i/>
        </w:rPr>
        <w:t>Securities Act</w:t>
      </w:r>
      <w:r w:rsidRPr="00250B2B">
        <w:t>, R.S.O. 1990, c.</w:t>
      </w:r>
      <w:r w:rsidR="00391DB6">
        <w:t xml:space="preserve"> </w:t>
      </w:r>
      <w:r w:rsidRPr="00250B2B">
        <w:t xml:space="preserve">S.5, </w:t>
      </w:r>
      <w:r w:rsidR="00F03E0E" w:rsidRPr="00250B2B">
        <w:t>ss.</w:t>
      </w:r>
      <w:r w:rsidR="00391DB6">
        <w:t xml:space="preserve"> </w:t>
      </w:r>
      <w:r w:rsidRPr="00250B2B">
        <w:t>75</w:t>
      </w:r>
      <w:r w:rsidR="002644F5" w:rsidRPr="00250B2B">
        <w:t>, 138.8(1)</w:t>
      </w:r>
      <w:r w:rsidRPr="00250B2B">
        <w:t>.</w:t>
      </w:r>
    </w:p>
    <w:p w:rsidR="004B3932" w:rsidRPr="00250B2B" w:rsidRDefault="004B3932" w:rsidP="003A7BEF">
      <w:pPr>
        <w:pStyle w:val="SCCNormalDoubleSpacing"/>
        <w:spacing w:after="720" w:line="240" w:lineRule="auto"/>
        <w:ind w:left="540" w:hanging="540"/>
      </w:pPr>
      <w:r w:rsidRPr="00250B2B">
        <w:rPr>
          <w:i/>
        </w:rPr>
        <w:lastRenderedPageBreak/>
        <w:t>Securities Act</w:t>
      </w:r>
      <w:r w:rsidRPr="00250B2B">
        <w:t>, S.N.B. 200</w:t>
      </w:r>
      <w:r w:rsidR="00EA6AB7" w:rsidRPr="00250B2B">
        <w:t>4</w:t>
      </w:r>
      <w:r w:rsidRPr="00250B2B">
        <w:t>, c.</w:t>
      </w:r>
      <w:r w:rsidR="00391DB6">
        <w:t xml:space="preserve"> </w:t>
      </w:r>
      <w:r w:rsidRPr="00250B2B">
        <w:t>S</w:t>
      </w:r>
      <w:r w:rsidR="00391DB6">
        <w:t>-</w:t>
      </w:r>
      <w:r w:rsidR="00F03E0E" w:rsidRPr="00250B2B">
        <w:t>5.5, s.</w:t>
      </w:r>
      <w:r w:rsidR="00391DB6">
        <w:t xml:space="preserve"> </w:t>
      </w:r>
      <w:r w:rsidRPr="00250B2B">
        <w:t>89(1).</w:t>
      </w:r>
    </w:p>
    <w:p w:rsidR="002E6705" w:rsidRPr="00250B2B" w:rsidRDefault="002E6705" w:rsidP="00B14033">
      <w:pPr>
        <w:pStyle w:val="SCCNormalDoubleSpacing"/>
        <w:spacing w:after="720" w:line="240" w:lineRule="auto"/>
        <w:outlineLvl w:val="0"/>
        <w:rPr>
          <w:b/>
        </w:rPr>
      </w:pPr>
      <w:r w:rsidRPr="00250B2B">
        <w:rPr>
          <w:b/>
        </w:rPr>
        <w:t>Authors Cited</w:t>
      </w:r>
    </w:p>
    <w:p w:rsidR="00F27687" w:rsidRPr="00250B2B" w:rsidRDefault="00F27687" w:rsidP="003A7BEF">
      <w:pPr>
        <w:pStyle w:val="SCCNormalDoubleSpacing"/>
        <w:spacing w:after="240" w:line="240" w:lineRule="auto"/>
        <w:ind w:left="539" w:hanging="539"/>
      </w:pPr>
      <w:r w:rsidRPr="00250B2B">
        <w:t>Canadian Securities Administrators</w:t>
      </w:r>
      <w:r w:rsidR="0097431F" w:rsidRPr="00250B2B">
        <w:t>.</w:t>
      </w:r>
      <w:r w:rsidRPr="00250B2B">
        <w:t xml:space="preserve"> </w:t>
      </w:r>
      <w:r w:rsidR="00DA6852" w:rsidRPr="00250B2B">
        <w:t>“</w:t>
      </w:r>
      <w:r w:rsidRPr="00250B2B">
        <w:t>National Policy 51</w:t>
      </w:r>
      <w:r w:rsidR="00391DB6">
        <w:t>-</w:t>
      </w:r>
      <w:r w:rsidRPr="00250B2B">
        <w:t>201 Disclosure Standards</w:t>
      </w:r>
      <w:r w:rsidR="00DA6852" w:rsidRPr="00250B2B">
        <w:t>”, reproduced in (2002), 25 OSCB 4492</w:t>
      </w:r>
      <w:r w:rsidRPr="00250B2B">
        <w:t>.</w:t>
      </w:r>
    </w:p>
    <w:p w:rsidR="002644F5" w:rsidRPr="00250B2B" w:rsidRDefault="002644F5" w:rsidP="003A7BEF">
      <w:pPr>
        <w:pStyle w:val="SCCNormalDoubleSpacing"/>
        <w:spacing w:after="240" w:line="240" w:lineRule="auto"/>
        <w:ind w:left="539" w:hanging="539"/>
      </w:pPr>
      <w:r w:rsidRPr="00250B2B">
        <w:t>Canadian Securities Administrators</w:t>
      </w:r>
      <w:r w:rsidR="00FE29AA" w:rsidRPr="00250B2B">
        <w:t>.</w:t>
      </w:r>
      <w:r w:rsidRPr="00250B2B">
        <w:t xml:space="preserve"> </w:t>
      </w:r>
      <w:r w:rsidR="00FE29AA" w:rsidRPr="00250B2B">
        <w:t>“</w:t>
      </w:r>
      <w:r w:rsidRPr="00250B2B">
        <w:t>Proposal fo</w:t>
      </w:r>
      <w:r w:rsidR="00FE29AA" w:rsidRPr="00250B2B">
        <w:t>r a Statutory Civil Remedy for I</w:t>
      </w:r>
      <w:r w:rsidRPr="00250B2B">
        <w:t>nvestors in the Secondary Market and Response to the Propose</w:t>
      </w:r>
      <w:r w:rsidR="00FE29AA" w:rsidRPr="00250B2B">
        <w:t>d Change to the Definitions of ‘</w:t>
      </w:r>
      <w:r w:rsidRPr="00250B2B">
        <w:t>Material Fact</w:t>
      </w:r>
      <w:r w:rsidR="00FE29AA" w:rsidRPr="00250B2B">
        <w:t>’</w:t>
      </w:r>
      <w:r w:rsidRPr="00250B2B">
        <w:t xml:space="preserve"> and </w:t>
      </w:r>
      <w:r w:rsidR="00FE29AA" w:rsidRPr="00250B2B">
        <w:t>‘</w:t>
      </w:r>
      <w:r w:rsidRPr="00250B2B">
        <w:t>Material Change</w:t>
      </w:r>
      <w:r w:rsidR="00FE29AA" w:rsidRPr="00250B2B">
        <w:t>’</w:t>
      </w:r>
      <w:r w:rsidRPr="00250B2B">
        <w:t>”, CSA Notice</w:t>
      </w:r>
      <w:r w:rsidR="00FE29AA" w:rsidRPr="00250B2B">
        <w:t xml:space="preserve"> 53</w:t>
      </w:r>
      <w:r w:rsidR="00391DB6">
        <w:t>-</w:t>
      </w:r>
      <w:r w:rsidR="00FE29AA" w:rsidRPr="00250B2B">
        <w:t>302</w:t>
      </w:r>
      <w:r w:rsidRPr="00250B2B">
        <w:t xml:space="preserve">, </w:t>
      </w:r>
      <w:r w:rsidR="00A526A8" w:rsidRPr="00250B2B">
        <w:t xml:space="preserve">reproduced in </w:t>
      </w:r>
      <w:r w:rsidRPr="00250B2B">
        <w:t>(2000)</w:t>
      </w:r>
      <w:r w:rsidR="00FE29AA" w:rsidRPr="00250B2B">
        <w:t>, 23 OSCB 7383</w:t>
      </w:r>
      <w:r w:rsidRPr="00250B2B">
        <w:t>.</w:t>
      </w:r>
    </w:p>
    <w:p w:rsidR="00DB7D4C" w:rsidRPr="00250B2B" w:rsidRDefault="00DB7D4C" w:rsidP="003A7BEF">
      <w:pPr>
        <w:pStyle w:val="SCCNormalDoubleSpacing"/>
        <w:spacing w:after="240" w:line="240" w:lineRule="auto"/>
        <w:ind w:left="539" w:hanging="539"/>
      </w:pPr>
      <w:proofErr w:type="spellStart"/>
      <w:r w:rsidRPr="00250B2B">
        <w:t>Falutz</w:t>
      </w:r>
      <w:proofErr w:type="spellEnd"/>
      <w:r w:rsidRPr="00250B2B">
        <w:t xml:space="preserve">, Julian, et </w:t>
      </w:r>
      <w:r w:rsidR="00F03E0E" w:rsidRPr="00250B2B">
        <w:t>al.</w:t>
      </w:r>
      <w:r w:rsidR="00391DB6">
        <w:t xml:space="preserve"> </w:t>
      </w:r>
      <w:r w:rsidRPr="00250B2B">
        <w:t xml:space="preserve">“Effects of </w:t>
      </w:r>
      <w:proofErr w:type="spellStart"/>
      <w:r w:rsidRPr="00250B2B">
        <w:t>Tesamorelin</w:t>
      </w:r>
      <w:proofErr w:type="spellEnd"/>
      <w:r w:rsidRPr="00250B2B">
        <w:t>, a Growth Hormone</w:t>
      </w:r>
      <w:r w:rsidR="00391DB6">
        <w:t>-</w:t>
      </w:r>
      <w:r w:rsidRPr="00250B2B">
        <w:t>Releasing Factor, in HIV</w:t>
      </w:r>
      <w:r w:rsidR="00391DB6">
        <w:t>-</w:t>
      </w:r>
      <w:r w:rsidRPr="00250B2B">
        <w:t xml:space="preserve">Infected Patients </w:t>
      </w:r>
      <w:proofErr w:type="gramStart"/>
      <w:r w:rsidRPr="00250B2B">
        <w:t>With</w:t>
      </w:r>
      <w:proofErr w:type="gramEnd"/>
      <w:r w:rsidRPr="00250B2B">
        <w:t xml:space="preserve"> Abdominal Fat Accumulation: A Randomized Placebo</w:t>
      </w:r>
      <w:r w:rsidR="00391DB6">
        <w:t>-</w:t>
      </w:r>
      <w:r w:rsidRPr="00250B2B">
        <w:t xml:space="preserve">Controlled Trial With a Safety Extension” (2010), 53 </w:t>
      </w:r>
      <w:r w:rsidRPr="00250B2B">
        <w:rPr>
          <w:i/>
        </w:rPr>
        <w:t xml:space="preserve">J. </w:t>
      </w:r>
      <w:proofErr w:type="spellStart"/>
      <w:r w:rsidRPr="00250B2B">
        <w:rPr>
          <w:i/>
        </w:rPr>
        <w:t>Acquir</w:t>
      </w:r>
      <w:proofErr w:type="spellEnd"/>
      <w:r w:rsidRPr="00250B2B">
        <w:rPr>
          <w:i/>
        </w:rPr>
        <w:t xml:space="preserve">. Immune </w:t>
      </w:r>
      <w:proofErr w:type="spellStart"/>
      <w:r w:rsidRPr="00250B2B">
        <w:rPr>
          <w:i/>
        </w:rPr>
        <w:t>Defic</w:t>
      </w:r>
      <w:proofErr w:type="spellEnd"/>
      <w:r w:rsidRPr="00250B2B">
        <w:rPr>
          <w:i/>
        </w:rPr>
        <w:t xml:space="preserve">. </w:t>
      </w:r>
      <w:proofErr w:type="spellStart"/>
      <w:r w:rsidRPr="00250B2B">
        <w:rPr>
          <w:i/>
        </w:rPr>
        <w:t>Syndr</w:t>
      </w:r>
      <w:proofErr w:type="spellEnd"/>
      <w:r w:rsidRPr="00250B2B">
        <w:rPr>
          <w:i/>
        </w:rPr>
        <w:t>.</w:t>
      </w:r>
      <w:r w:rsidRPr="00250B2B">
        <w:t xml:space="preserve"> 311.</w:t>
      </w:r>
    </w:p>
    <w:p w:rsidR="002644F5" w:rsidRPr="00250B2B" w:rsidRDefault="00DB7D4C" w:rsidP="003A7BEF">
      <w:pPr>
        <w:pStyle w:val="SCCNormalDoubleSpacing"/>
        <w:spacing w:after="240" w:line="240" w:lineRule="auto"/>
        <w:ind w:left="539" w:hanging="539"/>
      </w:pPr>
      <w:r w:rsidRPr="00250B2B">
        <w:t xml:space="preserve">Gillen, Mark R. </w:t>
      </w:r>
      <w:r w:rsidRPr="00250B2B">
        <w:rPr>
          <w:i/>
        </w:rPr>
        <w:t>Securities Regulation in Canada</w:t>
      </w:r>
      <w:r w:rsidRPr="00250B2B">
        <w:t>, 3rd ed. Toronto: Thomson Carswell, 2007.</w:t>
      </w:r>
    </w:p>
    <w:p w:rsidR="002644F5" w:rsidRPr="00250B2B" w:rsidRDefault="002644F5" w:rsidP="003A7BEF">
      <w:pPr>
        <w:pStyle w:val="SCCNormalDoubleSpacing"/>
        <w:spacing w:after="240" w:line="240" w:lineRule="auto"/>
        <w:ind w:left="539" w:hanging="539"/>
      </w:pPr>
      <w:proofErr w:type="spellStart"/>
      <w:r w:rsidRPr="00250B2B">
        <w:t>Groia</w:t>
      </w:r>
      <w:proofErr w:type="spellEnd"/>
      <w:r w:rsidR="00DB7D4C" w:rsidRPr="00250B2B">
        <w:t>,</w:t>
      </w:r>
      <w:r w:rsidRPr="00250B2B">
        <w:t xml:space="preserve"> </w:t>
      </w:r>
      <w:r w:rsidR="00DB7D4C" w:rsidRPr="00250B2B">
        <w:t xml:space="preserve">Joseph, </w:t>
      </w:r>
      <w:r w:rsidRPr="00250B2B">
        <w:t xml:space="preserve">and Pamela </w:t>
      </w:r>
      <w:proofErr w:type="spellStart"/>
      <w:r w:rsidRPr="00250B2B">
        <w:t>Hardie</w:t>
      </w:r>
      <w:proofErr w:type="spellEnd"/>
      <w:r w:rsidR="00DB7D4C" w:rsidRPr="00250B2B">
        <w:t>.</w:t>
      </w:r>
      <w:r w:rsidRPr="00250B2B">
        <w:t xml:space="preserve"> </w:t>
      </w:r>
      <w:r w:rsidRPr="00250B2B">
        <w:rPr>
          <w:i/>
        </w:rPr>
        <w:t>Securities Litigation and Enforcement</w:t>
      </w:r>
      <w:r w:rsidRPr="00250B2B">
        <w:t xml:space="preserve">, 2nd </w:t>
      </w:r>
      <w:r w:rsidR="00DB7D4C" w:rsidRPr="00250B2B">
        <w:t>e</w:t>
      </w:r>
      <w:r w:rsidRPr="00250B2B">
        <w:t>d</w:t>
      </w:r>
      <w:r w:rsidR="00DB7D4C" w:rsidRPr="00250B2B">
        <w:t xml:space="preserve">. </w:t>
      </w:r>
      <w:r w:rsidRPr="00250B2B">
        <w:t>Toronto: Carswell, 2012.</w:t>
      </w:r>
    </w:p>
    <w:p w:rsidR="00A74FFB" w:rsidRPr="00250B2B" w:rsidRDefault="00A74FFB" w:rsidP="003A7BEF">
      <w:pPr>
        <w:pStyle w:val="SCCNormalDoubleSpacing"/>
        <w:spacing w:after="240" w:line="240" w:lineRule="auto"/>
        <w:ind w:left="539" w:hanging="539"/>
      </w:pPr>
      <w:r w:rsidRPr="00250B2B">
        <w:t xml:space="preserve">Johnston, David, Kathleen Doyle Rockwell and </w:t>
      </w:r>
      <w:proofErr w:type="spellStart"/>
      <w:r w:rsidRPr="00250B2B">
        <w:t>Cristie</w:t>
      </w:r>
      <w:proofErr w:type="spellEnd"/>
      <w:r w:rsidRPr="00250B2B">
        <w:t xml:space="preserve"> Ford. </w:t>
      </w:r>
      <w:r w:rsidRPr="00250B2B">
        <w:rPr>
          <w:i/>
        </w:rPr>
        <w:t>Canadian Securities Regulation</w:t>
      </w:r>
      <w:r w:rsidRPr="00250B2B">
        <w:t>, 5th ed. Markham, Ont.: LexisNexis, 2014.</w:t>
      </w:r>
    </w:p>
    <w:p w:rsidR="00C310E8" w:rsidRPr="00250B2B" w:rsidRDefault="00C310E8" w:rsidP="003A7BEF">
      <w:pPr>
        <w:pStyle w:val="SCCNormalDoubleSpacing"/>
        <w:spacing w:after="240" w:line="240" w:lineRule="auto"/>
        <w:ind w:left="539" w:hanging="539"/>
      </w:pPr>
      <w:r w:rsidRPr="00250B2B">
        <w:t>Pritchard</w:t>
      </w:r>
      <w:r w:rsidR="00DB7D4C" w:rsidRPr="00250B2B">
        <w:t>,</w:t>
      </w:r>
      <w:r w:rsidRPr="00250B2B">
        <w:t xml:space="preserve"> </w:t>
      </w:r>
      <w:r w:rsidR="00DB7D4C" w:rsidRPr="00250B2B">
        <w:t>A.</w:t>
      </w:r>
      <w:r w:rsidR="00391DB6">
        <w:t xml:space="preserve"> </w:t>
      </w:r>
      <w:r w:rsidR="00DB7D4C" w:rsidRPr="00250B2B">
        <w:t xml:space="preserve">C., </w:t>
      </w:r>
      <w:r w:rsidR="008B2295" w:rsidRPr="00250B2B">
        <w:t>and Janis</w:t>
      </w:r>
      <w:r w:rsidR="00391DB6">
        <w:t xml:space="preserve"> </w:t>
      </w:r>
      <w:r w:rsidR="00F03E0E" w:rsidRPr="00250B2B">
        <w:t>P.</w:t>
      </w:r>
      <w:r w:rsidR="00391DB6">
        <w:t xml:space="preserve"> </w:t>
      </w:r>
      <w:proofErr w:type="spellStart"/>
      <w:r w:rsidRPr="00250B2B">
        <w:t>Sarra</w:t>
      </w:r>
      <w:proofErr w:type="spellEnd"/>
      <w:r w:rsidR="00DB7D4C" w:rsidRPr="00250B2B">
        <w:t>.</w:t>
      </w:r>
      <w:r w:rsidRPr="00250B2B">
        <w:t xml:space="preserve"> “Securiti</w:t>
      </w:r>
      <w:r w:rsidR="008B2295" w:rsidRPr="00250B2B">
        <w:t>es C</w:t>
      </w:r>
      <w:r w:rsidR="0058335F" w:rsidRPr="00250B2B">
        <w:t>lass Actions Mov</w:t>
      </w:r>
      <w:r w:rsidR="008B2295" w:rsidRPr="00250B2B">
        <w:t>e North: A Doctrinal and Empirical Analysis of S</w:t>
      </w:r>
      <w:r w:rsidRPr="00250B2B">
        <w:t>ec</w:t>
      </w:r>
      <w:r w:rsidR="00DB7D4C" w:rsidRPr="00250B2B">
        <w:t xml:space="preserve">urities </w:t>
      </w:r>
      <w:r w:rsidR="008B2295" w:rsidRPr="00250B2B">
        <w:t>C</w:t>
      </w:r>
      <w:r w:rsidR="00DB7D4C" w:rsidRPr="00250B2B">
        <w:t xml:space="preserve">lass </w:t>
      </w:r>
      <w:r w:rsidR="008B2295" w:rsidRPr="00250B2B">
        <w:t>A</w:t>
      </w:r>
      <w:r w:rsidR="00DB7D4C" w:rsidRPr="00250B2B">
        <w:t>ctions in Canada</w:t>
      </w:r>
      <w:r w:rsidRPr="00250B2B">
        <w:t xml:space="preserve">” </w:t>
      </w:r>
      <w:r w:rsidR="00DB7D4C" w:rsidRPr="00250B2B">
        <w:t xml:space="preserve">(2010), </w:t>
      </w:r>
      <w:r w:rsidRPr="00250B2B">
        <w:t xml:space="preserve">47 </w:t>
      </w:r>
      <w:r w:rsidRPr="00250B2B">
        <w:rPr>
          <w:i/>
        </w:rPr>
        <w:t>Alta. L. Rev.</w:t>
      </w:r>
      <w:r w:rsidRPr="00250B2B">
        <w:t xml:space="preserve"> 881.</w:t>
      </w:r>
    </w:p>
    <w:p w:rsidR="002644F5" w:rsidRPr="00250B2B" w:rsidRDefault="002644F5" w:rsidP="003A7BEF">
      <w:pPr>
        <w:pStyle w:val="SCCNormalDoubleSpacing"/>
        <w:spacing w:after="240" w:line="240" w:lineRule="auto"/>
        <w:ind w:left="539" w:hanging="539"/>
        <w:rPr>
          <w:lang w:val="fr-CA"/>
        </w:rPr>
      </w:pPr>
      <w:r w:rsidRPr="00250B2B">
        <w:rPr>
          <w:lang w:val="fr-CA"/>
        </w:rPr>
        <w:t>Quebec. Assemblée nationale. Commission permanente des finances publiques</w:t>
      </w:r>
      <w:r w:rsidR="0059301F" w:rsidRPr="00250B2B">
        <w:rPr>
          <w:lang w:val="fr-CA"/>
        </w:rPr>
        <w:t xml:space="preserve">. </w:t>
      </w:r>
      <w:r w:rsidR="006709DA" w:rsidRPr="00250B2B">
        <w:rPr>
          <w:lang w:val="fr-CA"/>
        </w:rPr>
        <w:t>“Étude détaillée du projet de loi n</w:t>
      </w:r>
      <w:r w:rsidR="006709DA" w:rsidRPr="00250B2B">
        <w:rPr>
          <w:vertAlign w:val="superscript"/>
          <w:lang w:val="fr-CA"/>
        </w:rPr>
        <w:t>o</w:t>
      </w:r>
      <w:r w:rsidR="006709DA" w:rsidRPr="00250B2B">
        <w:rPr>
          <w:lang w:val="fr-CA"/>
        </w:rPr>
        <w:t xml:space="preserve"> 19 — Loi modifiant la Loi sur les valeurs mobilières et d’autres dispositions législatives”, </w:t>
      </w:r>
      <w:r w:rsidR="0059301F" w:rsidRPr="00250B2B">
        <w:rPr>
          <w:i/>
          <w:lang w:val="fr-CA"/>
        </w:rPr>
        <w:t>Journal des débats</w:t>
      </w:r>
      <w:r w:rsidR="00C53342" w:rsidRPr="00250B2B">
        <w:rPr>
          <w:i/>
          <w:lang w:val="fr-CA"/>
        </w:rPr>
        <w:t xml:space="preserve"> de la Commission permanente des finances publiques</w:t>
      </w:r>
      <w:r w:rsidRPr="00250B2B">
        <w:rPr>
          <w:lang w:val="fr-CA"/>
        </w:rPr>
        <w:t xml:space="preserve">, </w:t>
      </w:r>
      <w:r w:rsidR="00F03E0E" w:rsidRPr="00250B2B">
        <w:rPr>
          <w:lang w:val="fr-CA"/>
        </w:rPr>
        <w:t>vol.</w:t>
      </w:r>
      <w:r w:rsidR="00391DB6">
        <w:rPr>
          <w:lang w:val="fr-CA"/>
        </w:rPr>
        <w:t xml:space="preserve"> </w:t>
      </w:r>
      <w:r w:rsidRPr="00250B2B">
        <w:rPr>
          <w:lang w:val="fr-CA"/>
        </w:rPr>
        <w:t>40, n</w:t>
      </w:r>
      <w:r w:rsidR="0059301F" w:rsidRPr="00250B2B">
        <w:rPr>
          <w:vertAlign w:val="superscript"/>
          <w:lang w:val="fr-CA"/>
        </w:rPr>
        <w:t>o</w:t>
      </w:r>
      <w:r w:rsidR="0059301F" w:rsidRPr="00250B2B">
        <w:rPr>
          <w:lang w:val="fr-CA"/>
        </w:rPr>
        <w:t xml:space="preserve"> </w:t>
      </w:r>
      <w:r w:rsidRPr="00250B2B">
        <w:rPr>
          <w:lang w:val="fr-CA"/>
        </w:rPr>
        <w:t>10</w:t>
      </w:r>
      <w:r w:rsidR="0059301F" w:rsidRPr="00250B2B">
        <w:rPr>
          <w:lang w:val="fr-CA"/>
        </w:rPr>
        <w:t>, 1</w:t>
      </w:r>
      <w:r w:rsidR="0059301F" w:rsidRPr="00250B2B">
        <w:rPr>
          <w:vertAlign w:val="superscript"/>
          <w:lang w:val="fr-CA"/>
        </w:rPr>
        <w:t>r</w:t>
      </w:r>
      <w:r w:rsidR="00634CD1" w:rsidRPr="00250B2B">
        <w:rPr>
          <w:vertAlign w:val="superscript"/>
          <w:lang w:val="fr-CA"/>
        </w:rPr>
        <w:t>e</w:t>
      </w:r>
      <w:r w:rsidR="0059301F" w:rsidRPr="00250B2B">
        <w:rPr>
          <w:lang w:val="fr-CA"/>
        </w:rPr>
        <w:t xml:space="preserve"> </w:t>
      </w:r>
      <w:proofErr w:type="gramStart"/>
      <w:r w:rsidR="0059301F" w:rsidRPr="00250B2B">
        <w:rPr>
          <w:lang w:val="fr-CA"/>
        </w:rPr>
        <w:t>sess.,</w:t>
      </w:r>
      <w:proofErr w:type="gramEnd"/>
      <w:r w:rsidR="0059301F" w:rsidRPr="00250B2B">
        <w:rPr>
          <w:lang w:val="fr-CA"/>
        </w:rPr>
        <w:t xml:space="preserve"> 38</w:t>
      </w:r>
      <w:r w:rsidR="0059301F" w:rsidRPr="00250B2B">
        <w:rPr>
          <w:vertAlign w:val="superscript"/>
          <w:lang w:val="fr-CA"/>
        </w:rPr>
        <w:t>e</w:t>
      </w:r>
      <w:r w:rsidR="0059301F" w:rsidRPr="00250B2B">
        <w:rPr>
          <w:lang w:val="fr-CA"/>
        </w:rPr>
        <w:t xml:space="preserve"> lég., 25 octobre 2007, </w:t>
      </w:r>
      <w:r w:rsidR="00F03E0E" w:rsidRPr="00250B2B">
        <w:rPr>
          <w:lang w:val="fr-CA"/>
        </w:rPr>
        <w:t>p.</w:t>
      </w:r>
      <w:r w:rsidR="00391DB6">
        <w:rPr>
          <w:lang w:val="fr-CA"/>
        </w:rPr>
        <w:t xml:space="preserve"> </w:t>
      </w:r>
      <w:r w:rsidR="00C53342" w:rsidRPr="00250B2B">
        <w:rPr>
          <w:lang w:val="fr-CA"/>
        </w:rPr>
        <w:t>1</w:t>
      </w:r>
      <w:r w:rsidR="00391DB6">
        <w:rPr>
          <w:lang w:val="fr-CA"/>
        </w:rPr>
        <w:t>-</w:t>
      </w:r>
      <w:r w:rsidR="006709DA" w:rsidRPr="00250B2B">
        <w:rPr>
          <w:lang w:val="fr-CA"/>
        </w:rPr>
        <w:t>2</w:t>
      </w:r>
      <w:r w:rsidRPr="00250B2B">
        <w:rPr>
          <w:lang w:val="fr-CA"/>
        </w:rPr>
        <w:t>.</w:t>
      </w:r>
    </w:p>
    <w:p w:rsidR="002644F5" w:rsidRPr="00250B2B" w:rsidRDefault="002644F5" w:rsidP="003A7BEF">
      <w:pPr>
        <w:pStyle w:val="SCCNormalDoubleSpacing"/>
        <w:spacing w:after="720" w:line="240" w:lineRule="auto"/>
        <w:ind w:left="540" w:hanging="540"/>
      </w:pPr>
      <w:r w:rsidRPr="00250B2B">
        <w:t>Toronto Stock Exchange. Committee on Corporate Disclosure</w:t>
      </w:r>
      <w:r w:rsidR="00AC6049" w:rsidRPr="00250B2B">
        <w:t>.</w:t>
      </w:r>
      <w:r w:rsidRPr="00250B2B">
        <w:t xml:space="preserve"> </w:t>
      </w:r>
      <w:r w:rsidRPr="00250B2B">
        <w:rPr>
          <w:i/>
        </w:rPr>
        <w:t xml:space="preserve">Final Report </w:t>
      </w:r>
      <w:r w:rsidR="00AC6049" w:rsidRPr="00250B2B">
        <w:rPr>
          <w:i/>
        </w:rPr>
        <w:t>—</w:t>
      </w:r>
      <w:r w:rsidRPr="00250B2B">
        <w:rPr>
          <w:i/>
        </w:rPr>
        <w:t xml:space="preserve"> Responsible Corporate Disclosure: A Search for Balance</w:t>
      </w:r>
      <w:r w:rsidR="00AC6049" w:rsidRPr="00250B2B">
        <w:t>.</w:t>
      </w:r>
      <w:r w:rsidRPr="00250B2B">
        <w:t xml:space="preserve"> </w:t>
      </w:r>
      <w:r w:rsidR="00AC6049" w:rsidRPr="00250B2B">
        <w:t>Toronto: The</w:t>
      </w:r>
      <w:r w:rsidRPr="00250B2B">
        <w:t xml:space="preserve"> Exchange, 1997.</w:t>
      </w:r>
    </w:p>
    <w:p w:rsidR="00656313" w:rsidRPr="00250B2B" w:rsidRDefault="009B57B3" w:rsidP="003A7BEF">
      <w:pPr>
        <w:pStyle w:val="SCCNormalDoubleSpacing"/>
        <w:spacing w:after="480"/>
      </w:pPr>
      <w:r w:rsidRPr="00250B2B">
        <w:tab/>
        <w:t xml:space="preserve">APPEAL from a judgment of the </w:t>
      </w:r>
      <w:r w:rsidR="00B55E3F" w:rsidRPr="00250B2B">
        <w:t xml:space="preserve">Quebec </w:t>
      </w:r>
      <w:r w:rsidRPr="00250B2B">
        <w:t>Court of Appeal (</w:t>
      </w:r>
      <w:proofErr w:type="spellStart"/>
      <w:r w:rsidR="00010FB7" w:rsidRPr="00250B2B">
        <w:t>Rochon</w:t>
      </w:r>
      <w:proofErr w:type="spellEnd"/>
      <w:r w:rsidR="00010FB7" w:rsidRPr="00250B2B">
        <w:t xml:space="preserve">, Bouchard and </w:t>
      </w:r>
      <w:proofErr w:type="spellStart"/>
      <w:r w:rsidR="00010FB7" w:rsidRPr="00250B2B">
        <w:t>Gascon</w:t>
      </w:r>
      <w:proofErr w:type="spellEnd"/>
      <w:r w:rsidR="00010FB7" w:rsidRPr="00250B2B">
        <w:t xml:space="preserve"> JJ.A.</w:t>
      </w:r>
      <w:r w:rsidRPr="00250B2B">
        <w:t>)</w:t>
      </w:r>
      <w:r w:rsidR="00010FB7" w:rsidRPr="00250B2B">
        <w:t xml:space="preserve">, 2013 QCCA 1256, [2013] R.J.Q. 1128, </w:t>
      </w:r>
      <w:r w:rsidR="003B17AB" w:rsidRPr="00250B2B">
        <w:t>[2013] AZ</w:t>
      </w:r>
      <w:r w:rsidR="00391DB6">
        <w:t>-</w:t>
      </w:r>
      <w:r w:rsidR="003B17AB" w:rsidRPr="00250B2B">
        <w:lastRenderedPageBreak/>
        <w:t xml:space="preserve">50988427, </w:t>
      </w:r>
      <w:r w:rsidR="00010FB7" w:rsidRPr="00250B2B">
        <w:t xml:space="preserve">[2013] Q.J. </w:t>
      </w:r>
      <w:r w:rsidR="00F03E0E" w:rsidRPr="00250B2B">
        <w:t>No.</w:t>
      </w:r>
      <w:r w:rsidR="00391DB6">
        <w:t xml:space="preserve"> </w:t>
      </w:r>
      <w:r w:rsidR="00010FB7" w:rsidRPr="00250B2B">
        <w:t>7925</w:t>
      </w:r>
      <w:r w:rsidR="00657CB1" w:rsidRPr="00250B2B">
        <w:t xml:space="preserve"> (QL)</w:t>
      </w:r>
      <w:r w:rsidR="00010FB7" w:rsidRPr="00250B2B">
        <w:t xml:space="preserve">, 2013 </w:t>
      </w:r>
      <w:proofErr w:type="spellStart"/>
      <w:r w:rsidR="00010FB7" w:rsidRPr="00250B2B">
        <w:t>CarswellQue</w:t>
      </w:r>
      <w:proofErr w:type="spellEnd"/>
      <w:r w:rsidR="00010FB7" w:rsidRPr="00250B2B">
        <w:t xml:space="preserve"> </w:t>
      </w:r>
      <w:r w:rsidR="00657CB1" w:rsidRPr="00250B2B">
        <w:t>10168</w:t>
      </w:r>
      <w:r w:rsidR="00A93E5E" w:rsidRPr="00250B2B">
        <w:t xml:space="preserve"> (WL Can.)</w:t>
      </w:r>
      <w:r w:rsidR="00657CB1" w:rsidRPr="00250B2B">
        <w:t>,</w:t>
      </w:r>
      <w:r w:rsidR="00F03E0E" w:rsidRPr="00250B2B">
        <w:t xml:space="preserve"> affirming a decision </w:t>
      </w:r>
      <w:r w:rsidR="003A6359" w:rsidRPr="00250B2B">
        <w:t xml:space="preserve">of </w:t>
      </w:r>
      <w:r w:rsidR="00F03E0E" w:rsidRPr="00250B2B">
        <w:t>Blanchard</w:t>
      </w:r>
      <w:r w:rsidR="00391DB6">
        <w:t xml:space="preserve"> </w:t>
      </w:r>
      <w:r w:rsidR="00657CB1" w:rsidRPr="00250B2B">
        <w:t xml:space="preserve">J., 2012 QCCS 699, </w:t>
      </w:r>
      <w:r w:rsidR="00A93E5E" w:rsidRPr="00250B2B">
        <w:t xml:space="preserve">[2012] </w:t>
      </w:r>
      <w:r w:rsidR="002154B7" w:rsidRPr="00250B2B">
        <w:t>AZ</w:t>
      </w:r>
      <w:r w:rsidR="00391DB6">
        <w:t>-</w:t>
      </w:r>
      <w:r w:rsidR="002154B7" w:rsidRPr="00250B2B">
        <w:t xml:space="preserve">50834966, </w:t>
      </w:r>
      <w:r w:rsidR="00657CB1" w:rsidRPr="00250B2B">
        <w:t>[2012] J.Q. n</w:t>
      </w:r>
      <w:r w:rsidR="00657CB1" w:rsidRPr="00250B2B">
        <w:rPr>
          <w:vertAlign w:val="superscript"/>
        </w:rPr>
        <w:t>o</w:t>
      </w:r>
      <w:r w:rsidR="00657CB1" w:rsidRPr="00250B2B">
        <w:t xml:space="preserve"> 1529 (QL),</w:t>
      </w:r>
      <w:r w:rsidR="002154B7" w:rsidRPr="00250B2B">
        <w:t xml:space="preserve"> 2012 </w:t>
      </w:r>
      <w:proofErr w:type="spellStart"/>
      <w:r w:rsidR="002154B7" w:rsidRPr="00250B2B">
        <w:t>CarswellQue</w:t>
      </w:r>
      <w:proofErr w:type="spellEnd"/>
      <w:r w:rsidR="002154B7" w:rsidRPr="00250B2B">
        <w:t xml:space="preserve"> 1636</w:t>
      </w:r>
      <w:r w:rsidR="00A93E5E" w:rsidRPr="00250B2B">
        <w:t xml:space="preserve"> (WL Can.)</w:t>
      </w:r>
      <w:r w:rsidR="002154B7" w:rsidRPr="00250B2B">
        <w:t xml:space="preserve">. Appeal </w:t>
      </w:r>
      <w:r w:rsidR="009C009E" w:rsidRPr="00250B2B">
        <w:t>allowed</w:t>
      </w:r>
      <w:r w:rsidR="002154B7" w:rsidRPr="00250B2B">
        <w:t>.</w:t>
      </w:r>
    </w:p>
    <w:p w:rsidR="00E418BD" w:rsidRPr="00250B2B" w:rsidRDefault="00B55E3F" w:rsidP="003A7BEF">
      <w:pPr>
        <w:pStyle w:val="SCCNormalDoubleSpacing"/>
        <w:spacing w:after="480"/>
      </w:pPr>
      <w:r w:rsidRPr="00250B2B">
        <w:rPr>
          <w:i/>
        </w:rPr>
        <w:tab/>
      </w:r>
      <w:r w:rsidR="00F42BEC" w:rsidRPr="00250B2B">
        <w:rPr>
          <w:i/>
        </w:rPr>
        <w:t>Pierre</w:t>
      </w:r>
      <w:r w:rsidR="00391DB6">
        <w:rPr>
          <w:i/>
        </w:rPr>
        <w:t xml:space="preserve"> </w:t>
      </w:r>
      <w:r w:rsidRPr="00250B2B">
        <w:rPr>
          <w:i/>
        </w:rPr>
        <w:t>Y. Lefebvre</w:t>
      </w:r>
      <w:r w:rsidRPr="00250B2B">
        <w:t xml:space="preserve"> and </w:t>
      </w:r>
      <w:r w:rsidRPr="00250B2B">
        <w:rPr>
          <w:i/>
        </w:rPr>
        <w:t>Philippe Charest</w:t>
      </w:r>
      <w:r w:rsidR="00391DB6">
        <w:rPr>
          <w:i/>
        </w:rPr>
        <w:t>-</w:t>
      </w:r>
      <w:r w:rsidRPr="00250B2B">
        <w:rPr>
          <w:i/>
        </w:rPr>
        <w:t>Beaudry</w:t>
      </w:r>
      <w:r w:rsidRPr="00250B2B">
        <w:t>, for the appellant</w:t>
      </w:r>
      <w:r w:rsidR="00CA58F1" w:rsidRPr="00250B2B">
        <w:t>s</w:t>
      </w:r>
      <w:r w:rsidRPr="00250B2B">
        <w:t>.</w:t>
      </w:r>
    </w:p>
    <w:p w:rsidR="00E418BD" w:rsidRPr="00250B2B" w:rsidRDefault="00B55E3F" w:rsidP="003A7BEF">
      <w:pPr>
        <w:pStyle w:val="SCCNormalDoubleSpacing"/>
        <w:spacing w:after="480"/>
      </w:pPr>
      <w:r w:rsidRPr="00250B2B">
        <w:rPr>
          <w:i/>
        </w:rPr>
        <w:tab/>
        <w:t xml:space="preserve">Michel </w:t>
      </w:r>
      <w:proofErr w:type="spellStart"/>
      <w:r w:rsidRPr="00250B2B">
        <w:rPr>
          <w:i/>
        </w:rPr>
        <w:t>Savonitto</w:t>
      </w:r>
      <w:proofErr w:type="spellEnd"/>
      <w:r w:rsidRPr="00250B2B">
        <w:t xml:space="preserve"> and </w:t>
      </w:r>
      <w:r w:rsidRPr="00250B2B">
        <w:rPr>
          <w:i/>
        </w:rPr>
        <w:t>Vicky Berthiaume</w:t>
      </w:r>
      <w:r w:rsidRPr="00250B2B">
        <w:t>, for the respondent.</w:t>
      </w:r>
    </w:p>
    <w:p w:rsidR="00B14033" w:rsidRDefault="00B55E3F" w:rsidP="00391DB6">
      <w:pPr>
        <w:pStyle w:val="SCCNormalDoubleSpacing"/>
        <w:spacing w:after="480"/>
        <w:rPr>
          <w:lang w:val="en-US"/>
        </w:rPr>
      </w:pPr>
      <w:r w:rsidRPr="00250B2B">
        <w:rPr>
          <w:i/>
        </w:rPr>
        <w:tab/>
      </w:r>
      <w:proofErr w:type="spellStart"/>
      <w:r w:rsidRPr="00250B2B">
        <w:rPr>
          <w:i/>
          <w:lang w:val="en-US"/>
        </w:rPr>
        <w:t>Éric</w:t>
      </w:r>
      <w:proofErr w:type="spellEnd"/>
      <w:r w:rsidRPr="00250B2B">
        <w:rPr>
          <w:i/>
          <w:lang w:val="en-US"/>
        </w:rPr>
        <w:t xml:space="preserve"> Lemay</w:t>
      </w:r>
      <w:r w:rsidRPr="00250B2B">
        <w:rPr>
          <w:lang w:val="en-US"/>
        </w:rPr>
        <w:t xml:space="preserve"> and </w:t>
      </w:r>
      <w:r w:rsidRPr="00250B2B">
        <w:rPr>
          <w:i/>
          <w:lang w:val="en-US"/>
        </w:rPr>
        <w:t xml:space="preserve">Dimitri </w:t>
      </w:r>
      <w:proofErr w:type="spellStart"/>
      <w:r w:rsidRPr="00250B2B">
        <w:rPr>
          <w:i/>
          <w:lang w:val="en-US"/>
        </w:rPr>
        <w:t>Lascaris</w:t>
      </w:r>
      <w:proofErr w:type="spellEnd"/>
      <w:r w:rsidRPr="00250B2B">
        <w:rPr>
          <w:lang w:val="en-US"/>
        </w:rPr>
        <w:t>, for the intervener.</w:t>
      </w:r>
    </w:p>
    <w:p w:rsidR="00391DB6" w:rsidRPr="00D75BDF" w:rsidRDefault="00B14033" w:rsidP="00B14033">
      <w:pPr>
        <w:pStyle w:val="SCCNormalDoubleSpacing"/>
        <w:spacing w:after="480"/>
      </w:pPr>
      <w:r>
        <w:tab/>
        <w:t>The judgment of the Court was delivered by</w:t>
      </w:r>
    </w:p>
    <w:p w:rsidR="00391DB6" w:rsidRPr="00D75BDF" w:rsidRDefault="00162161" w:rsidP="00391DB6">
      <w:pPr>
        <w:pStyle w:val="ParaNoNdepar-AltN"/>
        <w:tabs>
          <w:tab w:val="clear" w:pos="1152"/>
          <w:tab w:val="left" w:pos="1166"/>
        </w:tabs>
        <w:rPr>
          <w:rFonts w:cs="Times New Roman"/>
        </w:rPr>
      </w:pPr>
      <w:proofErr w:type="spellStart"/>
      <w:r w:rsidRPr="00162161">
        <w:rPr>
          <w:smallCaps/>
          <w:sz w:val="22"/>
        </w:rPr>
        <w:t>Abella</w:t>
      </w:r>
      <w:proofErr w:type="spellEnd"/>
      <w:r w:rsidR="00B14033" w:rsidRPr="00162161">
        <w:rPr>
          <w:smallCaps/>
          <w:sz w:val="22"/>
        </w:rPr>
        <w:t xml:space="preserve"> J.</w:t>
      </w:r>
      <w:r w:rsidR="00B14033" w:rsidRPr="00D75BDF">
        <w:t xml:space="preserve"> — </w:t>
      </w:r>
      <w:proofErr w:type="gramStart"/>
      <w:r w:rsidR="00391DB6" w:rsidRPr="00D75BDF">
        <w:rPr>
          <w:rFonts w:cs="Times New Roman"/>
        </w:rPr>
        <w:t>The</w:t>
      </w:r>
      <w:proofErr w:type="gramEnd"/>
      <w:r w:rsidR="00391DB6" w:rsidRPr="00D75BDF">
        <w:rPr>
          <w:rFonts w:cs="Times New Roman"/>
        </w:rPr>
        <w:t xml:space="preserve"> genesis of this case was a new drug application to the U.S. Food and Drug Administration (FDA) by a pharmaceutical research and development company based in Montréal. As is common during the new drug approval process, the FDA referred a number of questions about this drug to an expert Advisory Committee, including questions about the drug’s potential side effects.  The FDA also made these questions public as part of a package of briefing materials on its website.  When the questions were publicized by stock quotation enterprises, the price of the company’s shares dropped sharply.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A holding company that sold its shares during this period sought authorization to bring a class action for damages under s. 225.4 of the </w:t>
      </w:r>
      <w:r w:rsidRPr="00D75BDF">
        <w:rPr>
          <w:rFonts w:cs="Times New Roman"/>
          <w:i/>
        </w:rPr>
        <w:t>Securities Act</w:t>
      </w:r>
      <w:r w:rsidRPr="00D75BDF">
        <w:rPr>
          <w:rFonts w:cs="Times New Roman"/>
        </w:rPr>
        <w:t xml:space="preserve">, CQLR, c. V-1.1, alleging a breach of statutory disclosure obligations.  </w:t>
      </w:r>
    </w:p>
    <w:p w:rsidR="00391DB6" w:rsidRPr="00D75BDF" w:rsidRDefault="00391DB6" w:rsidP="00391DB6">
      <w:pPr>
        <w:pStyle w:val="ParaNoNdepar-AltN"/>
        <w:tabs>
          <w:tab w:val="clear" w:pos="1152"/>
          <w:tab w:val="left" w:pos="1166"/>
        </w:tabs>
        <w:rPr>
          <w:rFonts w:cs="Times New Roman"/>
        </w:rPr>
      </w:pPr>
      <w:r w:rsidRPr="00D75BDF">
        <w:rPr>
          <w:rFonts w:cs="Times New Roman"/>
        </w:rPr>
        <w:lastRenderedPageBreak/>
        <w:t xml:space="preserve">In 2007, changes to the </w:t>
      </w:r>
      <w:r w:rsidRPr="00D75BDF">
        <w:rPr>
          <w:rFonts w:cs="Times New Roman"/>
          <w:i/>
        </w:rPr>
        <w:t>Securities Act</w:t>
      </w:r>
      <w:r w:rsidRPr="00D75BDF">
        <w:rPr>
          <w:rFonts w:cs="Times New Roman"/>
        </w:rPr>
        <w:t xml:space="preserve"> created a new statutory cause of action that enabled investors to bring claims against reporting issuers who breach their obligation to disclose material facts and changes to their shareholders.  Actions for damages may not be brought without the prior authorization of the court pursuant to s. 225.4. A court will grant authorization “if it deems that the action is in good faith and there is a reasonable possibility that it will be resolved in favour of the plaintiff”.  The issue in this appeal is whether there was a “reasonable possibility” of success within the meaning of this provision.  </w:t>
      </w:r>
    </w:p>
    <w:p w:rsidR="00391DB6" w:rsidRPr="00D75BDF" w:rsidRDefault="00391DB6" w:rsidP="00391DB6">
      <w:pPr>
        <w:pStyle w:val="ParaNoNdepar-AltN"/>
        <w:tabs>
          <w:tab w:val="clear" w:pos="1152"/>
          <w:tab w:val="left" w:pos="1166"/>
        </w:tabs>
        <w:rPr>
          <w:rFonts w:cs="Times New Roman"/>
          <w:u w:val="single"/>
        </w:rPr>
      </w:pPr>
      <w:r w:rsidRPr="00D75BDF">
        <w:rPr>
          <w:rFonts w:cs="Times New Roman"/>
        </w:rPr>
        <w:t xml:space="preserve">I agree with the Court of Appeal that the threshold set out in s. 225.4 for authorization requires more than a mere possibility of success, but, with great respect, do not share its conclusion that the threshold was met in this case. </w:t>
      </w:r>
    </w:p>
    <w:p w:rsidR="00391DB6" w:rsidRDefault="00391DB6" w:rsidP="00391DB6">
      <w:pPr>
        <w:pStyle w:val="ParaNoNdepar-AltN"/>
        <w:numPr>
          <w:ilvl w:val="0"/>
          <w:numId w:val="0"/>
        </w:numPr>
        <w:rPr>
          <w:rFonts w:cs="Times New Roman"/>
          <w:u w:val="single"/>
        </w:rPr>
      </w:pPr>
    </w:p>
    <w:p w:rsidR="00391DB6" w:rsidRPr="00D75BDF" w:rsidRDefault="00391DB6" w:rsidP="00B14033">
      <w:pPr>
        <w:pStyle w:val="ParaNoNdepar-AltN"/>
        <w:numPr>
          <w:ilvl w:val="0"/>
          <w:numId w:val="0"/>
        </w:numPr>
        <w:outlineLvl w:val="0"/>
        <w:rPr>
          <w:rFonts w:cs="Times New Roman"/>
          <w:u w:val="single"/>
        </w:rPr>
      </w:pPr>
      <w:r w:rsidRPr="00D75BDF">
        <w:rPr>
          <w:rFonts w:cs="Times New Roman"/>
          <w:u w:val="single"/>
        </w:rPr>
        <w:t>Background</w:t>
      </w:r>
    </w:p>
    <w:p w:rsidR="00391DB6" w:rsidRPr="00D75BDF" w:rsidRDefault="00391DB6" w:rsidP="00391DB6">
      <w:pPr>
        <w:pStyle w:val="ParaNoNdepar-AltN"/>
        <w:tabs>
          <w:tab w:val="clear" w:pos="1152"/>
          <w:tab w:val="left" w:pos="1166"/>
        </w:tabs>
        <w:rPr>
          <w:rFonts w:cs="Times New Roman"/>
        </w:rPr>
      </w:pPr>
      <w:proofErr w:type="spellStart"/>
      <w:r w:rsidRPr="00D75BDF">
        <w:rPr>
          <w:rFonts w:cs="Times New Roman"/>
        </w:rPr>
        <w:t>Theratechnologies</w:t>
      </w:r>
      <w:proofErr w:type="spellEnd"/>
      <w:r w:rsidRPr="00D75BDF">
        <w:rPr>
          <w:rFonts w:cs="Times New Roman"/>
        </w:rPr>
        <w:t xml:space="preserve"> </w:t>
      </w:r>
      <w:proofErr w:type="spellStart"/>
      <w:r w:rsidRPr="00D75BDF">
        <w:rPr>
          <w:rFonts w:cs="Times New Roman"/>
        </w:rPr>
        <w:t>inc.</w:t>
      </w:r>
      <w:proofErr w:type="spellEnd"/>
      <w:r w:rsidRPr="00D75BDF">
        <w:rPr>
          <w:rFonts w:cs="Times New Roman"/>
        </w:rPr>
        <w:t xml:space="preserve"> (Thera) is a pharmaceutical research and development company based in Montréal and listed on the Toronto Stock Exchange. 121851 Canada inc. is a holding company.  Roger St-</w:t>
      </w:r>
      <w:proofErr w:type="spellStart"/>
      <w:r w:rsidRPr="00D75BDF">
        <w:rPr>
          <w:rFonts w:cs="Times New Roman"/>
        </w:rPr>
        <w:t>Germain</w:t>
      </w:r>
      <w:proofErr w:type="spellEnd"/>
      <w:r w:rsidRPr="00D75BDF">
        <w:rPr>
          <w:rFonts w:cs="Times New Roman"/>
        </w:rPr>
        <w:t xml:space="preserve"> is its sole shareholder and director. At the relevant time, 121851 Canada inc. had 190,000 Thera shares. </w:t>
      </w:r>
    </w:p>
    <w:p w:rsidR="00391DB6" w:rsidRPr="00D75BDF" w:rsidRDefault="00391DB6" w:rsidP="00391DB6">
      <w:pPr>
        <w:pStyle w:val="ParaNoNdepar-AltN"/>
        <w:tabs>
          <w:tab w:val="clear" w:pos="1152"/>
          <w:tab w:val="left" w:pos="1166"/>
        </w:tabs>
        <w:rPr>
          <w:rFonts w:cs="Times New Roman"/>
        </w:rPr>
      </w:pPr>
      <w:r w:rsidRPr="00D75BDF">
        <w:rPr>
          <w:rFonts w:cs="Times New Roman"/>
        </w:rPr>
        <w:t>On June 1, 2009, Thera filed a new drug application with the FDA</w:t>
      </w:r>
      <w:r w:rsidRPr="00D75BDF">
        <w:rPr>
          <w:rFonts w:cs="Times New Roman"/>
          <w:szCs w:val="24"/>
        </w:rPr>
        <w:t xml:space="preserve"> for </w:t>
      </w:r>
      <w:proofErr w:type="spellStart"/>
      <w:r w:rsidRPr="00D75BDF">
        <w:rPr>
          <w:rFonts w:cs="Times New Roman"/>
          <w:szCs w:val="24"/>
        </w:rPr>
        <w:t>tesamorelin</w:t>
      </w:r>
      <w:proofErr w:type="spellEnd"/>
      <w:r w:rsidRPr="00D75BDF">
        <w:rPr>
          <w:rFonts w:cs="Times New Roman"/>
          <w:szCs w:val="24"/>
        </w:rPr>
        <w:t xml:space="preserve">, a drug to reduce excess abdominal fat among HIV patients. The FDA’s </w:t>
      </w:r>
      <w:r w:rsidRPr="00D75BDF">
        <w:rPr>
          <w:rFonts w:cs="Times New Roman"/>
          <w:szCs w:val="24"/>
        </w:rPr>
        <w:lastRenderedPageBreak/>
        <w:t xml:space="preserve">Center for Drug Evaluation and Research is charged with reviewing and evaluating new drug applications from companies like Thera. Its role is to decide whether the studies submitted by the drug’s sponsoring company — typically, its manufacturer — show the new drug to be safe and effective.  If the sponsoring company demonstrates that the drug’s benefits outweigh its known risks, the FDA will approve it.  </w:t>
      </w:r>
    </w:p>
    <w:p w:rsidR="00391DB6" w:rsidRPr="00D75BDF" w:rsidRDefault="00391DB6" w:rsidP="00391DB6">
      <w:pPr>
        <w:pStyle w:val="ParaNoNdepar-AltN"/>
        <w:tabs>
          <w:tab w:val="clear" w:pos="1152"/>
          <w:tab w:val="left" w:pos="1166"/>
        </w:tabs>
        <w:rPr>
          <w:rFonts w:cs="Times New Roman"/>
        </w:rPr>
      </w:pPr>
      <w:r w:rsidRPr="00D75BDF">
        <w:rPr>
          <w:rFonts w:cs="Times New Roman"/>
          <w:szCs w:val="24"/>
        </w:rPr>
        <w:t xml:space="preserve">As part of its usual process of evaluating the safety and efficacy of a drug, the FDA will often convene a meeting of an expert Advisory Committee.  The FDA provides this Advisory Committee with two packages of briefing materials in advance of the meeting, one containing information prepared by the FDA and the other containing information prepared by the sponsoring company. The FDA’s package includes a background introductory memorandum that sets out the crucial considerations associated with the application, and questions the FDA wishes to submit to its Advisory Committee to answer upon review of the Briefing Package.  Based on the information in the Briefing Package, an Advisory Committee may decide to recommend approval or disapproval of a new drug application.  The FDA generally follows the advice of the Advisory Committee, but is not bound to do so.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As its application proceeded through this FDA process, Thera regularly updated its shareholders and the Commission des </w:t>
      </w:r>
      <w:proofErr w:type="spellStart"/>
      <w:r w:rsidRPr="00D75BDF">
        <w:rPr>
          <w:rFonts w:cs="Times New Roman"/>
        </w:rPr>
        <w:t>valeurs</w:t>
      </w:r>
      <w:proofErr w:type="spellEnd"/>
      <w:r w:rsidRPr="00D75BDF">
        <w:rPr>
          <w:rFonts w:cs="Times New Roman"/>
        </w:rPr>
        <w:t xml:space="preserve"> </w:t>
      </w:r>
      <w:proofErr w:type="spellStart"/>
      <w:r w:rsidRPr="00D75BDF">
        <w:rPr>
          <w:rFonts w:cs="Times New Roman"/>
          <w:szCs w:val="24"/>
        </w:rPr>
        <w:t>mobilières</w:t>
      </w:r>
      <w:proofErr w:type="spellEnd"/>
      <w:r w:rsidRPr="00D75BDF">
        <w:rPr>
          <w:rFonts w:cs="Times New Roman"/>
          <w:szCs w:val="24"/>
        </w:rPr>
        <w:t xml:space="preserve"> du Québec</w:t>
      </w:r>
      <w:r w:rsidRPr="00D75BDF">
        <w:rPr>
          <w:rFonts w:cs="Times New Roman"/>
        </w:rPr>
        <w:t xml:space="preserve"> about developments in the application process.</w:t>
      </w:r>
      <w:r w:rsidRPr="00D75BDF">
        <w:rPr>
          <w:rFonts w:cs="Times New Roman"/>
          <w:szCs w:val="24"/>
        </w:rPr>
        <w:t xml:space="preserve"> </w:t>
      </w:r>
      <w:r w:rsidRPr="00D75BDF">
        <w:rPr>
          <w:rFonts w:cs="Times New Roman"/>
        </w:rPr>
        <w:t xml:space="preserve">On November 5, 2009, Thera issued a press release announcing that the FDA had requested an opinion from its </w:t>
      </w:r>
      <w:proofErr w:type="spellStart"/>
      <w:r w:rsidRPr="00D75BDF">
        <w:rPr>
          <w:rFonts w:cs="Times New Roman"/>
        </w:rPr>
        <w:t>Endocrinologic</w:t>
      </w:r>
      <w:proofErr w:type="spellEnd"/>
      <w:r w:rsidRPr="00D75BDF">
        <w:rPr>
          <w:rFonts w:cs="Times New Roman"/>
        </w:rPr>
        <w:t xml:space="preserve"> and Metabolic Drugs Advisory Committee about Thera’s application.  On January 18, 2010, Thera announced that the Advisory Committee would meet on February 24, </w:t>
      </w:r>
      <w:r w:rsidRPr="00D75BDF">
        <w:rPr>
          <w:rFonts w:cs="Times New Roman"/>
        </w:rPr>
        <w:lastRenderedPageBreak/>
        <w:t xml:space="preserve">2010 to discuss its application. On January 25, 2010, Thera issued another press release indicating that the Advisory Committee meeting had been postponed.  And on February 25, 2010, it announced that the meeting had been rescheduled for May 27, 2010.  On March 22, 2010, it issued a press release confirming this date.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Between 2005 and the end of 2008, as part of its efforts to gain FDA approval for </w:t>
      </w:r>
      <w:proofErr w:type="spellStart"/>
      <w:r w:rsidRPr="00D75BDF">
        <w:rPr>
          <w:rFonts w:cs="Times New Roman"/>
        </w:rPr>
        <w:t>tesamorelin</w:t>
      </w:r>
      <w:proofErr w:type="spellEnd"/>
      <w:r w:rsidRPr="00D75BDF">
        <w:rPr>
          <w:rFonts w:cs="Times New Roman"/>
        </w:rPr>
        <w:t>, Thera undertook two “phase-three” clinical trials of the drug that aimed to test its safety and efficacy among HIV patients.</w:t>
      </w:r>
      <w:r w:rsidRPr="00D75BDF">
        <w:rPr>
          <w:rFonts w:cs="Times New Roman"/>
          <w:szCs w:val="24"/>
        </w:rPr>
        <w:t xml:space="preserve">  </w:t>
      </w:r>
      <w:r w:rsidRPr="00D75BDF">
        <w:rPr>
          <w:rFonts w:cs="Times New Roman"/>
        </w:rPr>
        <w:t xml:space="preserve">A phase-three clinical trial is a randomized, relatively large-scale test of a drug’s safety and therapeutic effect on patients. </w:t>
      </w:r>
      <w:r w:rsidRPr="00D75BDF">
        <w:rPr>
          <w:rFonts w:cs="Times New Roman"/>
          <w:szCs w:val="24"/>
        </w:rPr>
        <w:t xml:space="preserve">Because the growth hormone that </w:t>
      </w:r>
      <w:proofErr w:type="spellStart"/>
      <w:r w:rsidRPr="00D75BDF">
        <w:rPr>
          <w:rFonts w:cs="Times New Roman"/>
          <w:szCs w:val="24"/>
        </w:rPr>
        <w:t>tesamorelin</w:t>
      </w:r>
      <w:proofErr w:type="spellEnd"/>
      <w:r w:rsidRPr="00D75BDF">
        <w:rPr>
          <w:rFonts w:cs="Times New Roman"/>
          <w:szCs w:val="24"/>
        </w:rPr>
        <w:t xml:space="preserve"> triggers is associated with increased risk of diabetes, the clinical trials measured the blood sugar levels of participating patients to evaluate potential side effects of the drug. </w:t>
      </w:r>
    </w:p>
    <w:p w:rsidR="00391DB6" w:rsidRPr="00D75BDF" w:rsidRDefault="00391DB6" w:rsidP="00391DB6">
      <w:pPr>
        <w:pStyle w:val="ParaNoNdepar-AltN"/>
        <w:tabs>
          <w:tab w:val="clear" w:pos="1152"/>
          <w:tab w:val="left" w:pos="1166"/>
        </w:tabs>
        <w:rPr>
          <w:rFonts w:cs="Times New Roman"/>
          <w:sz w:val="20"/>
          <w:szCs w:val="20"/>
        </w:rPr>
      </w:pPr>
      <w:r w:rsidRPr="00D75BDF">
        <w:rPr>
          <w:rFonts w:cs="Times New Roman"/>
        </w:rPr>
        <w:t xml:space="preserve">Throughout this period, Thera regularly disclosed information about the progress of its clinical trials to its shareholders. </w:t>
      </w:r>
      <w:r w:rsidRPr="00D75BDF">
        <w:rPr>
          <w:rFonts w:cs="Times New Roman"/>
          <w:szCs w:val="24"/>
        </w:rPr>
        <w:t xml:space="preserve">In its 2008 Annual Notice, Thera commented on the results of its studies showing a “good safety profile”, and indicated it would study </w:t>
      </w:r>
      <w:proofErr w:type="spellStart"/>
      <w:r w:rsidRPr="00D75BDF">
        <w:rPr>
          <w:rFonts w:cs="Times New Roman"/>
          <w:szCs w:val="24"/>
        </w:rPr>
        <w:t>tesamorelin’s</w:t>
      </w:r>
      <w:proofErr w:type="spellEnd"/>
      <w:r w:rsidRPr="00D75BDF">
        <w:rPr>
          <w:rFonts w:cs="Times New Roman"/>
          <w:szCs w:val="24"/>
        </w:rPr>
        <w:t xml:space="preserve"> effects related to glucose intolerance.</w:t>
      </w:r>
    </w:p>
    <w:p w:rsidR="00391DB6" w:rsidRPr="00D75BDF" w:rsidRDefault="00391DB6" w:rsidP="00391DB6">
      <w:pPr>
        <w:pStyle w:val="ParaNoNdepar-AltN"/>
        <w:tabs>
          <w:tab w:val="clear" w:pos="1152"/>
          <w:tab w:val="left" w:pos="1166"/>
        </w:tabs>
        <w:rPr>
          <w:rFonts w:cs="Times New Roman"/>
        </w:rPr>
      </w:pPr>
      <w:r w:rsidRPr="00D75BDF">
        <w:rPr>
          <w:rFonts w:cs="Times New Roman"/>
        </w:rPr>
        <w:t>In a press release on November 11, 2009, Thera announced the combined results of its phase-three clinical trials, which indicated that possible side effects of the drug on blood sugar were not clinically significant. On March 1, 2010, Thera announced the publication of these results in an article in the</w:t>
      </w:r>
      <w:r w:rsidRPr="00D75BDF">
        <w:rPr>
          <w:rFonts w:cs="Times New Roman"/>
          <w:i/>
        </w:rPr>
        <w:t xml:space="preserve"> Journal of Acquired Immune Deficiency Syndromes</w:t>
      </w:r>
      <w:r w:rsidRPr="00D75BDF">
        <w:rPr>
          <w:rFonts w:cs="Times New Roman"/>
        </w:rPr>
        <w:t>,</w:t>
      </w:r>
      <w:r w:rsidRPr="00D75BDF">
        <w:rPr>
          <w:rFonts w:cs="Times New Roman"/>
          <w:i/>
        </w:rPr>
        <w:t xml:space="preserve"> </w:t>
      </w:r>
      <w:r w:rsidRPr="00D75BDF">
        <w:rPr>
          <w:rFonts w:cs="Times New Roman"/>
        </w:rPr>
        <w:t>concluding that the benefits of the drug were “achieved without significant side eff</w:t>
      </w:r>
      <w:r w:rsidR="00B14033">
        <w:rPr>
          <w:rFonts w:cs="Times New Roman"/>
        </w:rPr>
        <w:t>ects or perturbation of glucose</w:t>
      </w:r>
      <w:r w:rsidRPr="00D75BDF">
        <w:rPr>
          <w:rFonts w:cs="Times New Roman"/>
        </w:rPr>
        <w:t>”</w:t>
      </w:r>
      <w:r w:rsidR="00B14033">
        <w:rPr>
          <w:rFonts w:cs="Times New Roman"/>
        </w:rPr>
        <w:t>.</w:t>
      </w:r>
    </w:p>
    <w:p w:rsidR="00391DB6" w:rsidRPr="00D75BDF" w:rsidRDefault="00391DB6" w:rsidP="00391DB6">
      <w:pPr>
        <w:pStyle w:val="ParaNoNdepar-AltN"/>
        <w:tabs>
          <w:tab w:val="clear" w:pos="1152"/>
          <w:tab w:val="left" w:pos="1166"/>
        </w:tabs>
        <w:rPr>
          <w:rFonts w:cs="Times New Roman"/>
        </w:rPr>
      </w:pPr>
      <w:r w:rsidRPr="00D75BDF">
        <w:rPr>
          <w:rFonts w:cs="Times New Roman"/>
        </w:rPr>
        <w:lastRenderedPageBreak/>
        <w:t xml:space="preserve">In April 2010, Thera provided the FDA with a Briefing Package that contained a description of </w:t>
      </w:r>
      <w:proofErr w:type="spellStart"/>
      <w:r w:rsidRPr="00D75BDF">
        <w:rPr>
          <w:rFonts w:cs="Times New Roman"/>
        </w:rPr>
        <w:t>tesamorelin</w:t>
      </w:r>
      <w:proofErr w:type="spellEnd"/>
      <w:r w:rsidRPr="00D75BDF">
        <w:rPr>
          <w:rFonts w:cs="Times New Roman"/>
        </w:rPr>
        <w:t xml:space="preserve"> and a summary of the results from the different clinical studies that Thera had already disclosed to its investors. This Briefing Package is traditionally made public by the FDA when it publishes its own briefing materials. In its Briefing Package, Thera explained that</w:t>
      </w:r>
    </w:p>
    <w:p w:rsidR="00391DB6" w:rsidRPr="00D75BDF" w:rsidRDefault="00391DB6" w:rsidP="00391DB6">
      <w:pPr>
        <w:pStyle w:val="Citation-AltC"/>
      </w:pPr>
      <w:r w:rsidRPr="00D75BDF">
        <w:t xml:space="preserve">[t]he effect of </w:t>
      </w:r>
      <w:proofErr w:type="spellStart"/>
      <w:r w:rsidRPr="00D75BDF">
        <w:t>tesamorelin</w:t>
      </w:r>
      <w:proofErr w:type="spellEnd"/>
      <w:r w:rsidRPr="00D75BDF">
        <w:t xml:space="preserve"> administration on glycemic parameters was a theoretical safety concern because of </w:t>
      </w:r>
      <w:proofErr w:type="spellStart"/>
      <w:r w:rsidRPr="00D75BDF">
        <w:t>well known</w:t>
      </w:r>
      <w:proofErr w:type="spellEnd"/>
      <w:r w:rsidRPr="00D75BDF">
        <w:t xml:space="preserve"> </w:t>
      </w:r>
      <w:proofErr w:type="spellStart"/>
      <w:r w:rsidRPr="00D75BDF">
        <w:t>diabetogenic</w:t>
      </w:r>
      <w:proofErr w:type="spellEnd"/>
      <w:r w:rsidRPr="00D75BDF">
        <w:t xml:space="preserve"> effect of GH [growth hormone]. In the Phase 3 studies, no clinically significant differences were observed over 52 weeks between </w:t>
      </w:r>
      <w:proofErr w:type="spellStart"/>
      <w:r w:rsidRPr="00D75BDF">
        <w:t>tesamorelin</w:t>
      </w:r>
      <w:proofErr w:type="spellEnd"/>
      <w:r w:rsidRPr="00D75BDF">
        <w:t xml:space="preserve"> 2 mg and placebo for changes from baseline in FBG, insulin, HOMA-IR, and HbA</w:t>
      </w:r>
      <w:r w:rsidRPr="00D75BDF">
        <w:rPr>
          <w:vertAlign w:val="subscript"/>
        </w:rPr>
        <w:t>1c</w:t>
      </w:r>
      <w:r w:rsidRPr="00D75BDF">
        <w:t>. With regard to FBG shifts and changes in glucose categories, as well as shifts in HbA</w:t>
      </w:r>
      <w:r w:rsidRPr="00D75BDF">
        <w:rPr>
          <w:vertAlign w:val="subscript"/>
        </w:rPr>
        <w:t>1c</w:t>
      </w:r>
      <w:r w:rsidRPr="00D75BDF">
        <w:t xml:space="preserve"> categories, greater differences from baseline occurred in the </w:t>
      </w:r>
      <w:proofErr w:type="spellStart"/>
      <w:r w:rsidRPr="00D75BDF">
        <w:t>tesamorelin</w:t>
      </w:r>
      <w:proofErr w:type="spellEnd"/>
      <w:r w:rsidRPr="00D75BDF">
        <w:t xml:space="preserve"> group. Nevertheless, there was some reversal of these effects after the first 26 weeks.  </w:t>
      </w:r>
      <w:r w:rsidRPr="00D75BDF">
        <w:rPr>
          <w:u w:val="single"/>
        </w:rPr>
        <w:t>Overall, the data suggest no major safety concerns with regard to glucose homeostasis and that any glycemic changes can be managed in clinical practice.</w:t>
      </w:r>
      <w:r w:rsidRPr="00D75BDF">
        <w:t xml:space="preserve"> [Emphasis added.]</w:t>
      </w:r>
    </w:p>
    <w:p w:rsidR="00391DB6" w:rsidRPr="00D75BDF" w:rsidRDefault="00391DB6" w:rsidP="00391DB6">
      <w:pPr>
        <w:pStyle w:val="Citation-AltC"/>
        <w:ind w:left="0"/>
      </w:pP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On May 11, 2010, the FDA sent Thera a briefing document it had prepared for the Advisory Committee meeting, including a copy of a Background Introductory Memorandum which contained questions about </w:t>
      </w:r>
      <w:proofErr w:type="spellStart"/>
      <w:r w:rsidRPr="00D75BDF">
        <w:rPr>
          <w:rFonts w:cs="Times New Roman"/>
        </w:rPr>
        <w:t>tesamorelin’s</w:t>
      </w:r>
      <w:proofErr w:type="spellEnd"/>
      <w:r w:rsidRPr="00D75BDF">
        <w:rPr>
          <w:rFonts w:cs="Times New Roman"/>
        </w:rPr>
        <w:t xml:space="preserve"> side effects. FDA policy was to publish on its website all the materials assembled for the new drug application at least 48 hours before an Advisory Committee meeting.  In accordance with its policy, on May 25, the FDA published the information it had compiled about </w:t>
      </w:r>
      <w:proofErr w:type="spellStart"/>
      <w:r w:rsidRPr="00D75BDF">
        <w:rPr>
          <w:rFonts w:cs="Times New Roman"/>
        </w:rPr>
        <w:t>tesamorelin</w:t>
      </w:r>
      <w:proofErr w:type="spellEnd"/>
      <w:r w:rsidRPr="00D75BDF">
        <w:rPr>
          <w:rFonts w:cs="Times New Roman"/>
        </w:rPr>
        <w:t xml:space="preserve">, including the briefing materials compiled by both Thera and the FDA.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The FDA’s Background Introductory Memorandum attracted the attention of stock quotation enterprises, including Dow Jones who, on the basis of the </w:t>
      </w:r>
      <w:r w:rsidRPr="00D75BDF">
        <w:rPr>
          <w:rFonts w:cs="Times New Roman"/>
        </w:rPr>
        <w:lastRenderedPageBreak/>
        <w:t xml:space="preserve">questions that the FDA had asked its Advisory Committee, expressed concern that </w:t>
      </w:r>
      <w:proofErr w:type="spellStart"/>
      <w:r w:rsidRPr="00D75BDF">
        <w:rPr>
          <w:rFonts w:cs="Times New Roman"/>
        </w:rPr>
        <w:t>tesamorelin</w:t>
      </w:r>
      <w:proofErr w:type="spellEnd"/>
      <w:r w:rsidRPr="00D75BDF">
        <w:rPr>
          <w:rFonts w:cs="Times New Roman"/>
        </w:rPr>
        <w:t xml:space="preserve"> could increase the risk of diabetes. At about 9 a.m. on May 25, for example, Dow Jones issued a press release that said: “FDA: </w:t>
      </w:r>
      <w:proofErr w:type="spellStart"/>
      <w:r w:rsidRPr="00D75BDF">
        <w:rPr>
          <w:rFonts w:cs="Times New Roman"/>
        </w:rPr>
        <w:t>Theratechnologies</w:t>
      </w:r>
      <w:proofErr w:type="spellEnd"/>
      <w:r w:rsidRPr="00D75BDF">
        <w:rPr>
          <w:rFonts w:cs="Times New Roman"/>
        </w:rPr>
        <w:t xml:space="preserve"> Drug Cuts Abdominal Fat </w:t>
      </w:r>
      <w:proofErr w:type="gramStart"/>
      <w:r w:rsidRPr="00D75BDF">
        <w:rPr>
          <w:rFonts w:cs="Times New Roman"/>
        </w:rPr>
        <w:t>In</w:t>
      </w:r>
      <w:proofErr w:type="gramEnd"/>
      <w:r w:rsidRPr="00D75BDF">
        <w:rPr>
          <w:rFonts w:cs="Times New Roman"/>
        </w:rPr>
        <w:t xml:space="preserve"> HIV Patients”.  A minute later, it issued a second press release: “FDA: Proposed </w:t>
      </w:r>
      <w:proofErr w:type="spellStart"/>
      <w:r w:rsidRPr="00D75BDF">
        <w:rPr>
          <w:rFonts w:cs="Times New Roman"/>
        </w:rPr>
        <w:t>Theratechnologies</w:t>
      </w:r>
      <w:proofErr w:type="spellEnd"/>
      <w:r w:rsidRPr="00D75BDF">
        <w:rPr>
          <w:rFonts w:cs="Times New Roman"/>
        </w:rPr>
        <w:t xml:space="preserve"> Dr</w:t>
      </w:r>
      <w:r w:rsidR="00B14033">
        <w:rPr>
          <w:rFonts w:cs="Times New Roman"/>
        </w:rPr>
        <w:t>ug Might Increase Diabetes Risk</w:t>
      </w:r>
      <w:r w:rsidRPr="00D75BDF">
        <w:rPr>
          <w:rFonts w:cs="Times New Roman"/>
        </w:rPr>
        <w:t>”</w:t>
      </w:r>
      <w:r w:rsidR="00B14033">
        <w:rPr>
          <w:rFonts w:cs="Times New Roman"/>
        </w:rPr>
        <w:t>.</w:t>
      </w:r>
      <w:r w:rsidRPr="00D75BDF">
        <w:rPr>
          <w:rFonts w:cs="Times New Roman"/>
        </w:rPr>
        <w:t xml:space="preserve">  At about 9:30 a.m., it released a short article that underscored the efficacy of the drug, but also drew attention to the fact that some patients in the study had experienced an increased risk of diabetes.  The article did not specify that Thera’s clinical results had concluded that the effects of </w:t>
      </w:r>
      <w:proofErr w:type="spellStart"/>
      <w:r w:rsidRPr="00D75BDF">
        <w:rPr>
          <w:rFonts w:cs="Times New Roman"/>
        </w:rPr>
        <w:t>tesamorelin</w:t>
      </w:r>
      <w:proofErr w:type="spellEnd"/>
      <w:r w:rsidRPr="00D75BDF">
        <w:rPr>
          <w:rFonts w:cs="Times New Roman"/>
        </w:rPr>
        <w:t xml:space="preserve"> on the glycemic parameters of these patients were minor, transitory, and easily clinically managed. </w:t>
      </w:r>
    </w:p>
    <w:p w:rsidR="00391DB6" w:rsidRPr="00D75BDF" w:rsidRDefault="00391DB6" w:rsidP="00391DB6">
      <w:pPr>
        <w:pStyle w:val="ParaNoNdepar-AltN"/>
        <w:tabs>
          <w:tab w:val="clear" w:pos="1152"/>
          <w:tab w:val="left" w:pos="1166"/>
        </w:tabs>
        <w:rPr>
          <w:rFonts w:cs="Times New Roman"/>
        </w:rPr>
      </w:pPr>
      <w:r w:rsidRPr="00D75BDF">
        <w:rPr>
          <w:rFonts w:cs="Times New Roman"/>
        </w:rPr>
        <w:t>Thera did not react publicly because it believed the briefing documents it had already provided to the FDA and the clinical results it had already made public to its investors offered a comprehensive response to the specific questions the FDA had posed.</w:t>
      </w:r>
    </w:p>
    <w:p w:rsidR="00391DB6" w:rsidRPr="00D75BDF" w:rsidRDefault="00391DB6" w:rsidP="00391DB6">
      <w:pPr>
        <w:pStyle w:val="ParaNoNdepar-AltN"/>
        <w:tabs>
          <w:tab w:val="clear" w:pos="1152"/>
          <w:tab w:val="left" w:pos="1166"/>
        </w:tabs>
        <w:rPr>
          <w:rFonts w:cs="Times New Roman"/>
        </w:rPr>
      </w:pPr>
      <w:r w:rsidRPr="00D75BDF">
        <w:rPr>
          <w:rFonts w:cs="Times New Roman"/>
        </w:rPr>
        <w:t>When Mr. St-</w:t>
      </w:r>
      <w:proofErr w:type="spellStart"/>
      <w:r w:rsidRPr="00D75BDF">
        <w:rPr>
          <w:rFonts w:cs="Times New Roman"/>
        </w:rPr>
        <w:t>Germain</w:t>
      </w:r>
      <w:proofErr w:type="spellEnd"/>
      <w:r w:rsidRPr="00D75BDF">
        <w:rPr>
          <w:rFonts w:cs="Times New Roman"/>
        </w:rPr>
        <w:t xml:space="preserve"> became aware of the Dow Jones press releases on May 25, he decided to sell his company’s shares of Thera, resulting in a net loss of $271,752 from the shares’ value on May 21, 2010.  For the next two days, Thera’s shares were traded extensively and their price dropped by 58 percent.  On May 27, 2010, the Toronto Stock Exchange stopped all transactions of Thera’s shares. The same day, the Advisory Committee unanimously voted in favour of approving Thera’s new drug application for </w:t>
      </w:r>
      <w:proofErr w:type="spellStart"/>
      <w:r w:rsidRPr="00D75BDF">
        <w:rPr>
          <w:rFonts w:cs="Times New Roman"/>
        </w:rPr>
        <w:t>tesamorelin</w:t>
      </w:r>
      <w:proofErr w:type="spellEnd"/>
      <w:r w:rsidRPr="00D75BDF">
        <w:rPr>
          <w:rFonts w:cs="Times New Roman"/>
        </w:rPr>
        <w:t xml:space="preserve">.  Thera announced this news by press release late that afternoon.  On May 28, when trading of Thera’s stock resumed, its </w:t>
      </w:r>
      <w:r w:rsidRPr="00D75BDF">
        <w:rPr>
          <w:rFonts w:cs="Times New Roman"/>
        </w:rPr>
        <w:lastRenderedPageBreak/>
        <w:t xml:space="preserve">share price recovered. The FDA approved the new drug application on November 10, 2010.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121851 sought judicial authorization under s. 225.4 of the </w:t>
      </w:r>
      <w:r w:rsidRPr="00D75BDF">
        <w:rPr>
          <w:rFonts w:cs="Times New Roman"/>
          <w:i/>
        </w:rPr>
        <w:t>Securities Act</w:t>
      </w:r>
      <w:r w:rsidRPr="00D75BDF">
        <w:rPr>
          <w:rFonts w:cs="Times New Roman"/>
        </w:rPr>
        <w:t xml:space="preserve"> to launch a class action proceeding for damages, claiming that the information that diabetes was among the potential side effects of </w:t>
      </w:r>
      <w:proofErr w:type="spellStart"/>
      <w:r w:rsidRPr="00D75BDF">
        <w:rPr>
          <w:rFonts w:cs="Times New Roman"/>
        </w:rPr>
        <w:t>tesamorelin</w:t>
      </w:r>
      <w:proofErr w:type="spellEnd"/>
      <w:r w:rsidRPr="00D75BDF">
        <w:rPr>
          <w:rFonts w:cs="Times New Roman"/>
        </w:rPr>
        <w:t xml:space="preserve"> and the FDA’s questions about those side effects amounted to a material change in Thera’s business, operations or capital, triggering timely disclosure obligations in the form of a reassuring press release under s. 73 of the </w:t>
      </w:r>
      <w:r w:rsidRPr="00D75BDF">
        <w:rPr>
          <w:rFonts w:cs="Times New Roman"/>
          <w:i/>
        </w:rPr>
        <w:t>Securities Act</w:t>
      </w:r>
      <w:r w:rsidRPr="00D75BDF">
        <w:rPr>
          <w:rFonts w:cs="Times New Roman"/>
        </w:rPr>
        <w:t>:</w:t>
      </w:r>
    </w:p>
    <w:p w:rsidR="00391DB6" w:rsidRPr="00D75BDF" w:rsidRDefault="00391DB6" w:rsidP="00391DB6">
      <w:pPr>
        <w:pStyle w:val="Citation-AltC"/>
        <w:rPr>
          <w:i/>
        </w:rPr>
      </w:pPr>
      <w:r w:rsidRPr="00D75BDF">
        <w:rPr>
          <w:b/>
        </w:rPr>
        <w:t>73.</w:t>
      </w:r>
      <w:r w:rsidRPr="00D75BDF">
        <w:t xml:space="preserve"> A reporting issuer shall provide periodic disclosure about its business and internal affairs, including its governance practices, timely disclosure of a material change and any other disclosure prescribed by regulation in accordance with the conditions determined by regulation.</w:t>
      </w:r>
      <w:r w:rsidRPr="00D75BDF">
        <w:rPr>
          <w:i/>
        </w:rPr>
        <w:t xml:space="preserve"> </w:t>
      </w:r>
    </w:p>
    <w:p w:rsidR="00391DB6" w:rsidRPr="00D75BDF" w:rsidRDefault="00391DB6" w:rsidP="00391DB6">
      <w:pPr>
        <w:pStyle w:val="ParaNoNdepar-AltN"/>
        <w:numPr>
          <w:ilvl w:val="0"/>
          <w:numId w:val="0"/>
        </w:numPr>
        <w:rPr>
          <w:rFonts w:cs="Times New Roman"/>
        </w:rPr>
      </w:pPr>
      <w:r w:rsidRPr="00D75BDF">
        <w:rPr>
          <w:rFonts w:cs="Times New Roman"/>
        </w:rPr>
        <w:t>Section 225.4 states:</w:t>
      </w:r>
    </w:p>
    <w:p w:rsidR="00391DB6" w:rsidRPr="00D75BDF" w:rsidRDefault="00391DB6" w:rsidP="00391DB6">
      <w:pPr>
        <w:pStyle w:val="Citation-AltC"/>
      </w:pPr>
      <w:r w:rsidRPr="00D75BDF">
        <w:rPr>
          <w:b/>
        </w:rPr>
        <w:t>225.4</w:t>
      </w:r>
      <w:r w:rsidRPr="00D75BDF">
        <w:t xml:space="preserve"> No action for damages may be brought under this division without the prior authorization of the court.</w:t>
      </w:r>
    </w:p>
    <w:p w:rsidR="00391DB6" w:rsidRPr="00D75BDF" w:rsidRDefault="00391DB6" w:rsidP="00391DB6">
      <w:pPr>
        <w:pStyle w:val="Citation-AltC"/>
      </w:pPr>
    </w:p>
    <w:p w:rsidR="00391DB6" w:rsidRPr="00D75BDF" w:rsidRDefault="00391DB6" w:rsidP="00391DB6">
      <w:pPr>
        <w:pStyle w:val="Citation-AltC"/>
      </w:pPr>
      <w:r w:rsidRPr="00D75BDF">
        <w:t>The request for authorization must state the facts giving rise to the action. It must be filed together with the projected statement of claim and be notified by bailiff to the parties concerned, with a notice of at least 10 days of the date of presentation.</w:t>
      </w:r>
    </w:p>
    <w:p w:rsidR="00391DB6" w:rsidRPr="00D75BDF" w:rsidRDefault="00391DB6" w:rsidP="00391DB6">
      <w:pPr>
        <w:pStyle w:val="Citation-AltC"/>
      </w:pPr>
      <w:bookmarkStart w:id="1" w:name="D%225%%%4_Y"/>
      <w:bookmarkEnd w:id="1"/>
    </w:p>
    <w:p w:rsidR="00391DB6" w:rsidRPr="00D75BDF" w:rsidRDefault="00391DB6" w:rsidP="00391DB6">
      <w:pPr>
        <w:pStyle w:val="Citation-AltC"/>
      </w:pPr>
      <w:r w:rsidRPr="00D75BDF">
        <w:t xml:space="preserve">The court grants authorization if it deems that the action is </w:t>
      </w:r>
      <w:r w:rsidRPr="00D75BDF">
        <w:rPr>
          <w:u w:val="single"/>
        </w:rPr>
        <w:t>in good faith</w:t>
      </w:r>
      <w:r w:rsidRPr="00D75BDF">
        <w:t xml:space="preserve"> and there is </w:t>
      </w:r>
      <w:r w:rsidRPr="00D75BDF">
        <w:rPr>
          <w:u w:val="single"/>
        </w:rPr>
        <w:t>a reasonable possibility that it will be resolved in favour of the plaintiff</w:t>
      </w:r>
      <w:r w:rsidRPr="00D75BDF">
        <w:t xml:space="preserve">.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The Motions Judge concluded that the authorization mechanism in s. 225.4 of the </w:t>
      </w:r>
      <w:r w:rsidRPr="00D75BDF">
        <w:rPr>
          <w:rFonts w:cs="Times New Roman"/>
          <w:i/>
        </w:rPr>
        <w:t>Securities Act</w:t>
      </w:r>
      <w:r w:rsidRPr="00D75BDF">
        <w:rPr>
          <w:rFonts w:cs="Times New Roman"/>
        </w:rPr>
        <w:t xml:space="preserve"> imposed a higher threshold than art. 1003 of the </w:t>
      </w:r>
      <w:r w:rsidRPr="00D75BDF">
        <w:rPr>
          <w:rFonts w:cs="Times New Roman"/>
          <w:i/>
        </w:rPr>
        <w:t xml:space="preserve">Code of </w:t>
      </w:r>
      <w:r w:rsidRPr="00D75BDF">
        <w:rPr>
          <w:rFonts w:cs="Times New Roman"/>
          <w:i/>
        </w:rPr>
        <w:lastRenderedPageBreak/>
        <w:t>Civil Procedure</w:t>
      </w:r>
      <w:r w:rsidRPr="00D75BDF">
        <w:rPr>
          <w:rFonts w:cs="Times New Roman"/>
        </w:rPr>
        <w:t>, CQLR, c. C-25 (</w:t>
      </w:r>
      <w:r w:rsidRPr="00D75BDF">
        <w:rPr>
          <w:rFonts w:cs="Times New Roman"/>
          <w:i/>
        </w:rPr>
        <w:t>C.C.P.</w:t>
      </w:r>
      <w:r w:rsidRPr="00D75BDF">
        <w:rPr>
          <w:rFonts w:cs="Times New Roman"/>
        </w:rPr>
        <w:t xml:space="preserve">), which deals with the authorization of class actions generally, but found sufficient evidence to support the conclusion that 121851’s action had a reasonable possibility of success.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An appeal by Thera to the Court of Appeal was dismissed.  The Court of Appeal agreed with the Motions Judge that the screening mechanism under s. 225.4 was more stringent than for the authorization of a class action under art. 1003 of the </w:t>
      </w:r>
      <w:r w:rsidRPr="00D75BDF">
        <w:rPr>
          <w:rFonts w:cs="Times New Roman"/>
          <w:i/>
        </w:rPr>
        <w:t>Code of Civil Procedure</w:t>
      </w:r>
      <w:r w:rsidRPr="00D75BDF">
        <w:rPr>
          <w:rFonts w:cs="Times New Roman"/>
        </w:rPr>
        <w:t xml:space="preserve"> and required more than a mere possibility of success. It noted that the legislative intention behind s. 225.4 was to make the provision a more robust screening mechanism.  </w:t>
      </w:r>
    </w:p>
    <w:p w:rsidR="00391DB6" w:rsidRPr="00D75BDF" w:rsidRDefault="00391DB6" w:rsidP="00391DB6">
      <w:pPr>
        <w:pStyle w:val="ParaNoNdepar-AltN"/>
        <w:tabs>
          <w:tab w:val="clear" w:pos="1152"/>
          <w:tab w:val="left" w:pos="1166"/>
        </w:tabs>
        <w:rPr>
          <w:rFonts w:cs="Times New Roman"/>
        </w:rPr>
      </w:pPr>
      <w:r w:rsidRPr="00D75BDF">
        <w:rPr>
          <w:rFonts w:cs="Times New Roman"/>
        </w:rPr>
        <w:t>Based on documentary evidence and Mr. St-</w:t>
      </w:r>
      <w:proofErr w:type="spellStart"/>
      <w:r w:rsidRPr="00D75BDF">
        <w:rPr>
          <w:rFonts w:cs="Times New Roman"/>
        </w:rPr>
        <w:t>Germain’s</w:t>
      </w:r>
      <w:proofErr w:type="spellEnd"/>
      <w:r w:rsidRPr="00D75BDF">
        <w:rPr>
          <w:rFonts w:cs="Times New Roman"/>
        </w:rPr>
        <w:t xml:space="preserve"> testimony, the Court of Appeal was of the view that there was a reasonable possibility that the action would be resolved in his company’s favour.  As a result, it upheld the order authorizing an action for damages.   </w:t>
      </w:r>
    </w:p>
    <w:p w:rsidR="00391DB6" w:rsidRPr="00D75BDF" w:rsidRDefault="00391DB6" w:rsidP="00B14033">
      <w:pPr>
        <w:pStyle w:val="ParaNoNdepar-AltN"/>
        <w:numPr>
          <w:ilvl w:val="0"/>
          <w:numId w:val="0"/>
        </w:numPr>
        <w:outlineLvl w:val="0"/>
        <w:rPr>
          <w:rFonts w:cs="Times New Roman"/>
          <w:u w:val="single"/>
        </w:rPr>
      </w:pPr>
      <w:r w:rsidRPr="00D75BDF">
        <w:rPr>
          <w:rFonts w:cs="Times New Roman"/>
          <w:u w:val="single"/>
        </w:rPr>
        <w:t>Analysis</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Section 225.4 of the </w:t>
      </w:r>
      <w:r w:rsidRPr="00D75BDF">
        <w:rPr>
          <w:rFonts w:cs="Times New Roman"/>
          <w:i/>
        </w:rPr>
        <w:t>Securities Act</w:t>
      </w:r>
      <w:r w:rsidRPr="00D75BDF">
        <w:rPr>
          <w:rFonts w:cs="Times New Roman"/>
        </w:rPr>
        <w:t xml:space="preserve"> is part of a new regime of statutory civil liability to address breaches of disclosure obligations in the secondary market, the market in which a company’s shares are traded publicly after they have been issued or distributed by the company. This provision sets out two substantive criteria for the authorization of an action for damages:  the action must be brought in good faith and there must be a reasonable possibility that it will be resolved in favour of the </w:t>
      </w:r>
      <w:r w:rsidRPr="00D75BDF">
        <w:rPr>
          <w:rFonts w:cs="Times New Roman"/>
        </w:rPr>
        <w:lastRenderedPageBreak/>
        <w:t xml:space="preserve">claimant.  There is no dispute that 121851’s action is brought in good faith. </w:t>
      </w:r>
      <w:r w:rsidRPr="00D75BDF">
        <w:rPr>
          <w:rFonts w:cs="Times New Roman"/>
          <w:i/>
        </w:rPr>
        <w:t xml:space="preserve"> </w:t>
      </w:r>
      <w:r w:rsidRPr="00D75BDF">
        <w:rPr>
          <w:rFonts w:cs="Times New Roman"/>
        </w:rPr>
        <w:t xml:space="preserve">This case turns then on the interpretation of “a reasonable possibility” that 121851’s action will be resolved in its favour. The history and objectives of the authorization mechanism set by s. 225.4 in the context of the </w:t>
      </w:r>
      <w:r w:rsidRPr="00D75BDF">
        <w:rPr>
          <w:rFonts w:cs="Times New Roman"/>
          <w:i/>
        </w:rPr>
        <w:t>Securities Act</w:t>
      </w:r>
      <w:r w:rsidRPr="00D75BDF">
        <w:rPr>
          <w:rFonts w:cs="Times New Roman"/>
        </w:rPr>
        <w:t xml:space="preserve"> as a whole assist in this exercise.</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Like its counterparts elsewhere in Canada, Quebec’s </w:t>
      </w:r>
      <w:r w:rsidRPr="00D75BDF">
        <w:rPr>
          <w:rFonts w:cs="Times New Roman"/>
          <w:i/>
        </w:rPr>
        <w:t xml:space="preserve">Securities Act </w:t>
      </w:r>
      <w:r w:rsidRPr="00D75BDF">
        <w:rPr>
          <w:rFonts w:cs="Times New Roman"/>
        </w:rPr>
        <w:t xml:space="preserve">requires companies whose shares are traded in the secondary market to regularly disclose certain information to their security holders and the provincial securities regulator: s. 73; </w:t>
      </w:r>
      <w:r w:rsidRPr="00D75BDF">
        <w:rPr>
          <w:rFonts w:cs="Times New Roman"/>
          <w:i/>
        </w:rPr>
        <w:t>Securities Act</w:t>
      </w:r>
      <w:r w:rsidRPr="00D75BDF">
        <w:rPr>
          <w:rFonts w:cs="Times New Roman"/>
        </w:rPr>
        <w:t>, R.S.B.C</w:t>
      </w:r>
      <w:r w:rsidR="002B4AF8">
        <w:rPr>
          <w:rFonts w:cs="Times New Roman"/>
        </w:rPr>
        <w:t>.</w:t>
      </w:r>
      <w:r w:rsidRPr="00D75BDF">
        <w:rPr>
          <w:rFonts w:cs="Times New Roman"/>
        </w:rPr>
        <w:t xml:space="preserve"> 1996, c. 418, s. 85; </w:t>
      </w:r>
      <w:r w:rsidRPr="00D75BDF">
        <w:rPr>
          <w:rFonts w:cs="Times New Roman"/>
          <w:i/>
        </w:rPr>
        <w:t>Securities Act</w:t>
      </w:r>
      <w:r w:rsidRPr="00D75BDF">
        <w:rPr>
          <w:rFonts w:cs="Times New Roman"/>
        </w:rPr>
        <w:t>,</w:t>
      </w:r>
      <w:r w:rsidRPr="00D75BDF">
        <w:rPr>
          <w:rFonts w:cs="Times New Roman"/>
          <w:i/>
        </w:rPr>
        <w:t xml:space="preserve"> </w:t>
      </w:r>
      <w:r w:rsidRPr="00D75BDF">
        <w:rPr>
          <w:rFonts w:cs="Times New Roman"/>
        </w:rPr>
        <w:t xml:space="preserve">R.S.A. 2000, c. S-4, s. 147; </w:t>
      </w:r>
      <w:r w:rsidRPr="00D75BDF">
        <w:rPr>
          <w:rFonts w:cs="Times New Roman"/>
          <w:i/>
        </w:rPr>
        <w:t>Securities Act</w:t>
      </w:r>
      <w:r w:rsidRPr="00D75BDF">
        <w:rPr>
          <w:rFonts w:cs="Times New Roman"/>
        </w:rPr>
        <w:t>,</w:t>
      </w:r>
      <w:r w:rsidRPr="00D75BDF">
        <w:rPr>
          <w:rFonts w:cs="Times New Roman"/>
          <w:i/>
        </w:rPr>
        <w:t xml:space="preserve"> </w:t>
      </w:r>
      <w:r w:rsidRPr="00D75BDF">
        <w:rPr>
          <w:rFonts w:cs="Times New Roman"/>
        </w:rPr>
        <w:t xml:space="preserve">R.S.O. 1990, c. S.5, s. 75; </w:t>
      </w:r>
      <w:r w:rsidRPr="00D75BDF">
        <w:rPr>
          <w:rFonts w:cs="Times New Roman"/>
          <w:i/>
        </w:rPr>
        <w:t>Securities Act</w:t>
      </w:r>
      <w:r w:rsidRPr="00D75BDF">
        <w:rPr>
          <w:rFonts w:cs="Times New Roman"/>
        </w:rPr>
        <w:t xml:space="preserve">, R.S.N.S. 1989, c. 418, s. 81; </w:t>
      </w:r>
      <w:r w:rsidRPr="00D75BDF">
        <w:rPr>
          <w:rFonts w:cs="Times New Roman"/>
          <w:i/>
        </w:rPr>
        <w:t>Securities Act</w:t>
      </w:r>
      <w:r w:rsidRPr="00D75BDF">
        <w:rPr>
          <w:rFonts w:cs="Times New Roman"/>
        </w:rPr>
        <w:t>,</w:t>
      </w:r>
      <w:r w:rsidRPr="00D75BDF">
        <w:rPr>
          <w:rFonts w:cs="Times New Roman"/>
          <w:i/>
        </w:rPr>
        <w:t xml:space="preserve"> </w:t>
      </w:r>
      <w:r w:rsidRPr="00D75BDF">
        <w:rPr>
          <w:rFonts w:cs="Times New Roman"/>
        </w:rPr>
        <w:t xml:space="preserve">S.N.B. 2004, c. S-5.5, s. 89(1).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Continuous disclosure obligations fall into two categories: periodic disclosure and timely disclosure. Periodic disclosure must be made at regular intervals, typically through the regular provision of documents such as proxy circulars, financial statements and insider trading reports.  In these regularly issued documents, companies must disclose all material </w:t>
      </w:r>
      <w:r w:rsidRPr="00D75BDF">
        <w:rPr>
          <w:rFonts w:cs="Times New Roman"/>
          <w:i/>
        </w:rPr>
        <w:t xml:space="preserve">facts </w:t>
      </w:r>
      <w:r w:rsidRPr="00D75BDF">
        <w:rPr>
          <w:rFonts w:cs="Times New Roman"/>
        </w:rPr>
        <w:t xml:space="preserve">— that is, anything “that may reasonably be expected to have a significant effect on the market price or value of securities issued”: </w:t>
      </w:r>
      <w:r w:rsidRPr="00D75BDF">
        <w:rPr>
          <w:rFonts w:cs="Times New Roman"/>
          <w:i/>
        </w:rPr>
        <w:t xml:space="preserve">Securities Act </w:t>
      </w:r>
      <w:r w:rsidRPr="00D75BDF">
        <w:rPr>
          <w:rFonts w:cs="Times New Roman"/>
        </w:rPr>
        <w:t xml:space="preserve">(Quebec), s. 5 “material fact”.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Timely disclosure obligations, on the other hand, are imposed only when there has been a material </w:t>
      </w:r>
      <w:r w:rsidRPr="00D75BDF">
        <w:rPr>
          <w:rFonts w:cs="Times New Roman"/>
          <w:i/>
        </w:rPr>
        <w:t>change</w:t>
      </w:r>
      <w:r w:rsidRPr="00D75BDF">
        <w:rPr>
          <w:rFonts w:cs="Times New Roman"/>
        </w:rPr>
        <w:t xml:space="preserve"> in the issuer’s affairs.  Material changes, which arise from changes in the issuers’ business, operations or capital, must be disclosed at the time they occur: </w:t>
      </w:r>
      <w:r w:rsidRPr="00D75BDF">
        <w:rPr>
          <w:rFonts w:cs="Times New Roman"/>
          <w:i/>
        </w:rPr>
        <w:t>Securities Act</w:t>
      </w:r>
      <w:r w:rsidRPr="00D75BDF">
        <w:rPr>
          <w:rFonts w:cs="Times New Roman"/>
        </w:rPr>
        <w:t xml:space="preserve"> (Quebec), s. 5.3; Mark R. Gillen, </w:t>
      </w:r>
      <w:r w:rsidRPr="00D75BDF">
        <w:rPr>
          <w:rFonts w:cs="Times New Roman"/>
          <w:i/>
        </w:rPr>
        <w:t xml:space="preserve">Securities </w:t>
      </w:r>
      <w:r w:rsidRPr="00D75BDF">
        <w:rPr>
          <w:rFonts w:cs="Times New Roman"/>
          <w:i/>
        </w:rPr>
        <w:lastRenderedPageBreak/>
        <w:t>Regulation in Canada</w:t>
      </w:r>
      <w:r w:rsidRPr="00D75BDF">
        <w:rPr>
          <w:rFonts w:cs="Times New Roman"/>
        </w:rPr>
        <w:t xml:space="preserve"> (3rd ed. 2007), at p. 211; David Johnston, Kathleen Doyle Rockwell and </w:t>
      </w:r>
      <w:proofErr w:type="spellStart"/>
      <w:r w:rsidRPr="00D75BDF">
        <w:rPr>
          <w:rFonts w:cs="Times New Roman"/>
        </w:rPr>
        <w:t>Cristie</w:t>
      </w:r>
      <w:proofErr w:type="spellEnd"/>
      <w:r w:rsidRPr="00D75BDF">
        <w:rPr>
          <w:rFonts w:cs="Times New Roman"/>
        </w:rPr>
        <w:t xml:space="preserve"> Ford: </w:t>
      </w:r>
      <w:r w:rsidRPr="00D75BDF">
        <w:rPr>
          <w:rFonts w:cs="Times New Roman"/>
          <w:i/>
        </w:rPr>
        <w:t xml:space="preserve">Canadian Securities Regulation </w:t>
      </w:r>
      <w:r w:rsidRPr="00D75BDF">
        <w:rPr>
          <w:rFonts w:cs="Times New Roman"/>
        </w:rPr>
        <w:t xml:space="preserve">(5th ed. 2014), at p. 249.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Both periodic and timely disclosure obligations are designed to increase fairness in the secondary market: </w:t>
      </w:r>
    </w:p>
    <w:p w:rsidR="00391DB6" w:rsidRPr="00D75BDF" w:rsidRDefault="00391DB6" w:rsidP="00C5005D">
      <w:pPr>
        <w:pStyle w:val="Citation-AltC"/>
      </w:pPr>
      <w:r w:rsidRPr="00D75BDF">
        <w:t>[Continuous disclosure</w:t>
      </w:r>
      <w:proofErr w:type="gramStart"/>
      <w:r w:rsidRPr="00D75BDF">
        <w:t xml:space="preserve">] </w:t>
      </w:r>
      <w:r>
        <w:t>.</w:t>
      </w:r>
      <w:proofErr w:type="gramEnd"/>
      <w:r>
        <w:t> . .</w:t>
      </w:r>
      <w:r w:rsidRPr="00D75BDF">
        <w:t xml:space="preserve"> is designed to create a “level playing field” where all investors have access to the same information and all pricing and investment decisions are made from the same starting point.  Of course, investors may still value securities differently, depending on how they interpret that information.  Different investors have different goals, typically balanced between risk and return.  Riskier investments generally yield higher returns, and vice versa. Securities regulation does not tell investors what to do, nor steer them toward or away from particular investments. It should, however, ensure that they have enough information to assess properly the risks</w:t>
      </w:r>
      <w:r w:rsidR="002B4AF8">
        <w:t xml:space="preserve"> involved</w:t>
      </w:r>
      <w:r w:rsidRPr="00D75BDF">
        <w:t xml:space="preserve"> and make fully informed decisions.</w:t>
      </w:r>
      <w:r w:rsidR="00C5005D">
        <w:t xml:space="preserve"> </w:t>
      </w:r>
      <w:r w:rsidR="002B4AF8">
        <w:t xml:space="preserve">[Footnote omitted; </w:t>
      </w:r>
      <w:r w:rsidRPr="00D75BDF">
        <w:t>Johnsto</w:t>
      </w:r>
      <w:r w:rsidR="002B4AF8">
        <w:t>n, Rockwell and Ford, at p. 249.]</w:t>
      </w:r>
    </w:p>
    <w:p w:rsidR="00391DB6" w:rsidRPr="00D75BDF" w:rsidRDefault="00391DB6" w:rsidP="00391DB6">
      <w:pPr>
        <w:pStyle w:val="ContinueParaSuitedupar-AltP"/>
        <w:rPr>
          <w:rFonts w:cs="Times New Roman"/>
          <w:sz w:val="18"/>
        </w:rPr>
      </w:pPr>
      <w:r w:rsidRPr="00D75BDF">
        <w:rPr>
          <w:rFonts w:cs="Times New Roman"/>
        </w:rPr>
        <w:t xml:space="preserve">As a result, the policy of ensuring this “level playing field” reified in statutory continuous disclosure obligations has been called “the most fundamental principle of securities regulation”: </w:t>
      </w:r>
      <w:proofErr w:type="spellStart"/>
      <w:r w:rsidRPr="00D75BDF">
        <w:rPr>
          <w:rFonts w:cs="Times New Roman"/>
          <w:i/>
        </w:rPr>
        <w:t>Cartaway</w:t>
      </w:r>
      <w:proofErr w:type="spellEnd"/>
      <w:r w:rsidRPr="00D75BDF">
        <w:rPr>
          <w:rFonts w:cs="Times New Roman"/>
          <w:i/>
        </w:rPr>
        <w:t xml:space="preserve"> Resources Corp.</w:t>
      </w:r>
      <w:r w:rsidRPr="00D75BDF">
        <w:rPr>
          <w:rFonts w:cs="Times New Roman"/>
        </w:rPr>
        <w:t xml:space="preserve"> </w:t>
      </w:r>
      <w:r w:rsidRPr="00D75BDF">
        <w:rPr>
          <w:rFonts w:cs="Times New Roman"/>
          <w:i/>
        </w:rPr>
        <w:t>(Re)</w:t>
      </w:r>
      <w:r w:rsidRPr="00D75BDF">
        <w:rPr>
          <w:rFonts w:cs="Times New Roman"/>
        </w:rPr>
        <w:t xml:space="preserve">, [2000] B.C.S.C.D. No. 92 (QL), at para. 216; </w:t>
      </w:r>
      <w:r w:rsidRPr="00D75BDF">
        <w:rPr>
          <w:rFonts w:cs="Times New Roman"/>
          <w:i/>
        </w:rPr>
        <w:t xml:space="preserve">Cornish v. Ontario Securities Commission </w:t>
      </w:r>
      <w:r w:rsidRPr="00D75BDF">
        <w:rPr>
          <w:rFonts w:cs="Times New Roman"/>
        </w:rPr>
        <w:t>(2013), 306 O.A.C. 107 (S.C.J.)</w:t>
      </w:r>
      <w:r w:rsidR="002B4AF8">
        <w:rPr>
          <w:rFonts w:cs="Times New Roman"/>
        </w:rPr>
        <w:t>,</w:t>
      </w:r>
      <w:r w:rsidRPr="00D75BDF">
        <w:rPr>
          <w:rFonts w:cs="Times New Roman"/>
        </w:rPr>
        <w:t xml:space="preserve"> at para. 40.</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Disclosure also supports capital market efficiency by helping investors target the most deserving securities and enhancing the accountability of corporate management: </w:t>
      </w:r>
      <w:r w:rsidRPr="00D75BDF">
        <w:rPr>
          <w:rFonts w:cs="Times New Roman"/>
          <w:i/>
        </w:rPr>
        <w:t>Cornish</w:t>
      </w:r>
      <w:r w:rsidRPr="00D75BDF">
        <w:rPr>
          <w:rFonts w:cs="Times New Roman"/>
        </w:rPr>
        <w:t>,</w:t>
      </w:r>
      <w:r w:rsidRPr="00D75BDF">
        <w:rPr>
          <w:rFonts w:cs="Times New Roman"/>
          <w:i/>
        </w:rPr>
        <w:t xml:space="preserve"> </w:t>
      </w:r>
      <w:r w:rsidRPr="00D75BDF">
        <w:rPr>
          <w:rFonts w:cs="Times New Roman"/>
        </w:rPr>
        <w:t xml:space="preserve">at para. 40. As investors realize that they have the necessary information, they become more confident in the securities market, and their </w:t>
      </w:r>
      <w:r w:rsidRPr="00D75BDF">
        <w:rPr>
          <w:rFonts w:cs="Times New Roman"/>
        </w:rPr>
        <w:lastRenderedPageBreak/>
        <w:t xml:space="preserve">consequent increased participation leads to more efficient markets:  Johnston, Rockwell and Ford, at p. 249.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Section 225.4 emerged directly out of Canada-wide efforts to develop a more meaningful and accessible form of recourse for investors. Historically, Canadian investors in the secondary trading market did not have access to a statutory cause of action when they suffered losses as a result of breaches of legislated continuous disclosure obligations. In common law jurisdictions, investors had to rely on the tort of negligent misrepresentation, which required, among other things, that investors prove that they had relied on the misinformation or omission of information to their detriment: A. C. Pritchard and Janis P. </w:t>
      </w:r>
      <w:proofErr w:type="spellStart"/>
      <w:r w:rsidRPr="00D75BDF">
        <w:rPr>
          <w:rFonts w:cs="Times New Roman"/>
        </w:rPr>
        <w:t>Sarra</w:t>
      </w:r>
      <w:proofErr w:type="spellEnd"/>
      <w:r w:rsidRPr="00D75BDF">
        <w:rPr>
          <w:rFonts w:cs="Times New Roman"/>
        </w:rPr>
        <w:t xml:space="preserve">, “Securities Class Actions Move North: A Doctrinal and Empirical Analysis of Securities Class Actions in Canada” (2010), 47 </w:t>
      </w:r>
      <w:r w:rsidRPr="00D75BDF">
        <w:rPr>
          <w:rFonts w:cs="Times New Roman"/>
          <w:i/>
        </w:rPr>
        <w:t>Alta. L. Rev.</w:t>
      </w:r>
      <w:r w:rsidRPr="00D75BDF">
        <w:rPr>
          <w:rFonts w:cs="Times New Roman"/>
        </w:rPr>
        <w:t xml:space="preserve"> 881, at p. 885.  Because it was extremely difficult to prove such reliance when securities were purchased in the secondary market, this requirement put meaningful redress out of reach for many who were harmed by dubious disclosure practices: Joseph </w:t>
      </w:r>
      <w:proofErr w:type="spellStart"/>
      <w:r w:rsidRPr="00D75BDF">
        <w:rPr>
          <w:rFonts w:cs="Times New Roman"/>
        </w:rPr>
        <w:t>Groia</w:t>
      </w:r>
      <w:proofErr w:type="spellEnd"/>
      <w:r w:rsidRPr="00D75BDF">
        <w:rPr>
          <w:rFonts w:cs="Times New Roman"/>
        </w:rPr>
        <w:t xml:space="preserve"> and Pamela </w:t>
      </w:r>
      <w:proofErr w:type="spellStart"/>
      <w:r w:rsidRPr="00D75BDF">
        <w:rPr>
          <w:rFonts w:cs="Times New Roman"/>
        </w:rPr>
        <w:t>Hardie</w:t>
      </w:r>
      <w:proofErr w:type="spellEnd"/>
      <w:r w:rsidRPr="00D75BDF">
        <w:rPr>
          <w:rFonts w:cs="Times New Roman"/>
        </w:rPr>
        <w:t xml:space="preserve">, </w:t>
      </w:r>
      <w:r w:rsidRPr="00D75BDF">
        <w:rPr>
          <w:rFonts w:cs="Times New Roman"/>
          <w:i/>
        </w:rPr>
        <w:t xml:space="preserve">Securities Litigation and Enforcement </w:t>
      </w:r>
      <w:r w:rsidRPr="00D75BDF">
        <w:rPr>
          <w:rFonts w:cs="Times New Roman"/>
        </w:rPr>
        <w:t xml:space="preserve">(2nd ed. 2012), at p. 352.   </w:t>
      </w:r>
    </w:p>
    <w:p w:rsidR="00391DB6" w:rsidRPr="00D75BDF" w:rsidRDefault="00391DB6" w:rsidP="00391DB6">
      <w:pPr>
        <w:pStyle w:val="ParaNoNdepar-AltN"/>
        <w:tabs>
          <w:tab w:val="clear" w:pos="1152"/>
          <w:tab w:val="left" w:pos="1166"/>
        </w:tabs>
        <w:rPr>
          <w:rFonts w:cs="Times New Roman"/>
          <w:lang w:val="en-US"/>
        </w:rPr>
      </w:pPr>
      <w:r w:rsidRPr="00D75BDF">
        <w:rPr>
          <w:rFonts w:cs="Times New Roman"/>
        </w:rPr>
        <w:t xml:space="preserve">In Quebec, investors faced a similarly heavy burden under the </w:t>
      </w:r>
      <w:r w:rsidRPr="00D75BDF">
        <w:rPr>
          <w:rFonts w:cs="Times New Roman"/>
          <w:i/>
        </w:rPr>
        <w:t>Civil Code</w:t>
      </w:r>
      <w:r w:rsidRPr="00D75BDF">
        <w:rPr>
          <w:rFonts w:cs="Times New Roman"/>
        </w:rPr>
        <w:t xml:space="preserve">.  To establish civil liability, claimants were required to prove a fault, such as the publication of misinformation or the failure to meet a statutory disclosure obligation; that they suffered prejudice; </w:t>
      </w:r>
      <w:r w:rsidRPr="00D75BDF">
        <w:rPr>
          <w:rFonts w:cs="Times New Roman"/>
          <w:i/>
        </w:rPr>
        <w:t>and</w:t>
      </w:r>
      <w:r w:rsidRPr="00D75BDF">
        <w:rPr>
          <w:rFonts w:cs="Times New Roman"/>
        </w:rPr>
        <w:t xml:space="preserve"> that there was a causal link between the fault and the prejudice — that is, that they had relied on the misinformation in making the trade: arts. </w:t>
      </w:r>
      <w:r w:rsidRPr="00D75BDF">
        <w:rPr>
          <w:rFonts w:cs="Times New Roman"/>
          <w:lang w:val="fr-CA"/>
        </w:rPr>
        <w:t xml:space="preserve">1457 and 1607 of the </w:t>
      </w:r>
      <w:r w:rsidRPr="00D75BDF">
        <w:rPr>
          <w:rFonts w:cs="Times New Roman"/>
          <w:i/>
          <w:lang w:val="fr-CA"/>
        </w:rPr>
        <w:t xml:space="preserve">Civil Code of Québec. </w:t>
      </w:r>
      <w:proofErr w:type="spellStart"/>
      <w:r w:rsidRPr="00D75BDF">
        <w:rPr>
          <w:rFonts w:cs="Times New Roman"/>
          <w:lang w:val="fr-FR"/>
        </w:rPr>
        <w:t>Demonstrating</w:t>
      </w:r>
      <w:proofErr w:type="spellEnd"/>
      <w:r w:rsidRPr="00D75BDF">
        <w:rPr>
          <w:rFonts w:cs="Times New Roman"/>
          <w:lang w:val="fr-FR"/>
        </w:rPr>
        <w:t xml:space="preserve"> the </w:t>
      </w:r>
      <w:proofErr w:type="spellStart"/>
      <w:r w:rsidRPr="00D75BDF">
        <w:rPr>
          <w:rFonts w:cs="Times New Roman"/>
          <w:lang w:val="fr-FR"/>
        </w:rPr>
        <w:t>requisite</w:t>
      </w:r>
      <w:proofErr w:type="spellEnd"/>
      <w:r w:rsidRPr="00D75BDF">
        <w:rPr>
          <w:rFonts w:cs="Times New Roman"/>
          <w:lang w:val="fr-FR"/>
        </w:rPr>
        <w:t xml:space="preserve"> causal </w:t>
      </w:r>
      <w:proofErr w:type="spellStart"/>
      <w:r w:rsidRPr="00D75BDF">
        <w:rPr>
          <w:rFonts w:cs="Times New Roman"/>
          <w:lang w:val="fr-FR"/>
        </w:rPr>
        <w:lastRenderedPageBreak/>
        <w:t>link</w:t>
      </w:r>
      <w:proofErr w:type="spellEnd"/>
      <w:r w:rsidRPr="00D75BDF">
        <w:rPr>
          <w:rFonts w:cs="Times New Roman"/>
          <w:lang w:val="fr-FR"/>
        </w:rPr>
        <w:t xml:space="preserve"> </w:t>
      </w:r>
      <w:proofErr w:type="spellStart"/>
      <w:r w:rsidRPr="00D75BDF">
        <w:rPr>
          <w:rFonts w:cs="Times New Roman"/>
          <w:lang w:val="fr-FR"/>
        </w:rPr>
        <w:t>proved</w:t>
      </w:r>
      <w:proofErr w:type="spellEnd"/>
      <w:r w:rsidRPr="00D75BDF">
        <w:rPr>
          <w:rFonts w:cs="Times New Roman"/>
          <w:lang w:val="fr-FR"/>
        </w:rPr>
        <w:t xml:space="preserve"> to </w:t>
      </w:r>
      <w:proofErr w:type="spellStart"/>
      <w:r w:rsidRPr="00D75BDF">
        <w:rPr>
          <w:rFonts w:cs="Times New Roman"/>
          <w:lang w:val="fr-FR"/>
        </w:rPr>
        <w:t>be</w:t>
      </w:r>
      <w:proofErr w:type="spellEnd"/>
      <w:r w:rsidRPr="00D75BDF">
        <w:rPr>
          <w:rFonts w:cs="Times New Roman"/>
          <w:lang w:val="fr-FR"/>
        </w:rPr>
        <w:t xml:space="preserve"> </w:t>
      </w:r>
      <w:proofErr w:type="spellStart"/>
      <w:r w:rsidRPr="00D75BDF">
        <w:rPr>
          <w:rFonts w:cs="Times New Roman"/>
          <w:lang w:val="fr-FR"/>
        </w:rPr>
        <w:t>particularly</w:t>
      </w:r>
      <w:proofErr w:type="spellEnd"/>
      <w:r w:rsidRPr="00D75BDF">
        <w:rPr>
          <w:rFonts w:cs="Times New Roman"/>
          <w:lang w:val="fr-FR"/>
        </w:rPr>
        <w:t xml:space="preserve"> </w:t>
      </w:r>
      <w:proofErr w:type="spellStart"/>
      <w:r w:rsidRPr="00D75BDF">
        <w:rPr>
          <w:rFonts w:cs="Times New Roman"/>
          <w:lang w:val="fr-FR"/>
        </w:rPr>
        <w:t>onerous</w:t>
      </w:r>
      <w:proofErr w:type="spellEnd"/>
      <w:r w:rsidRPr="00D75BDF">
        <w:rPr>
          <w:rFonts w:cs="Times New Roman"/>
          <w:lang w:val="fr-FR"/>
        </w:rPr>
        <w:t xml:space="preserve"> in the </w:t>
      </w:r>
      <w:proofErr w:type="spellStart"/>
      <w:r w:rsidRPr="00D75BDF">
        <w:rPr>
          <w:rFonts w:cs="Times New Roman"/>
          <w:lang w:val="fr-FR"/>
        </w:rPr>
        <w:t>securities</w:t>
      </w:r>
      <w:proofErr w:type="spellEnd"/>
      <w:r w:rsidRPr="00D75BDF">
        <w:rPr>
          <w:rFonts w:cs="Times New Roman"/>
          <w:lang w:val="fr-FR"/>
        </w:rPr>
        <w:t xml:space="preserve"> </w:t>
      </w:r>
      <w:proofErr w:type="spellStart"/>
      <w:r w:rsidRPr="00D75BDF">
        <w:rPr>
          <w:rFonts w:cs="Times New Roman"/>
          <w:lang w:val="fr-FR"/>
        </w:rPr>
        <w:t>context</w:t>
      </w:r>
      <w:proofErr w:type="spellEnd"/>
      <w:r w:rsidRPr="00D75BDF">
        <w:rPr>
          <w:rFonts w:cs="Times New Roman"/>
          <w:lang w:val="fr-FR"/>
        </w:rPr>
        <w:t xml:space="preserve">: </w:t>
      </w:r>
      <w:proofErr w:type="spellStart"/>
      <w:r w:rsidRPr="00D75BDF">
        <w:rPr>
          <w:rFonts w:cs="Times New Roman"/>
          <w:lang w:val="fr-FR"/>
        </w:rPr>
        <w:t>Quebec</w:t>
      </w:r>
      <w:proofErr w:type="spellEnd"/>
      <w:r w:rsidRPr="00D75BDF">
        <w:rPr>
          <w:rFonts w:cs="Times New Roman"/>
          <w:lang w:val="fr-FR"/>
        </w:rPr>
        <w:t xml:space="preserve">, National </w:t>
      </w:r>
      <w:proofErr w:type="spellStart"/>
      <w:r w:rsidRPr="00D75BDF">
        <w:rPr>
          <w:rFonts w:cs="Times New Roman"/>
          <w:lang w:val="fr-FR"/>
        </w:rPr>
        <w:t>Assembly</w:t>
      </w:r>
      <w:proofErr w:type="spellEnd"/>
      <w:r w:rsidRPr="00D75BDF">
        <w:rPr>
          <w:rFonts w:cs="Times New Roman"/>
          <w:lang w:val="fr-FR"/>
        </w:rPr>
        <w:t xml:space="preserve">, </w:t>
      </w:r>
      <w:proofErr w:type="spellStart"/>
      <w:r w:rsidRPr="00D75BDF">
        <w:rPr>
          <w:rFonts w:cs="Times New Roman"/>
          <w:lang w:val="fr-FR"/>
        </w:rPr>
        <w:t>Committee</w:t>
      </w:r>
      <w:proofErr w:type="spellEnd"/>
      <w:r w:rsidRPr="00D75BDF">
        <w:rPr>
          <w:rFonts w:cs="Times New Roman"/>
          <w:lang w:val="fr-FR"/>
        </w:rPr>
        <w:t xml:space="preserve"> on Public Finance, </w:t>
      </w:r>
      <w:r w:rsidRPr="00D75BDF">
        <w:rPr>
          <w:rFonts w:cs="Times New Roman"/>
          <w:lang w:val="fr-CA"/>
        </w:rPr>
        <w:t>“</w:t>
      </w:r>
      <w:r w:rsidRPr="00D75BDF">
        <w:rPr>
          <w:rFonts w:cs="Times New Roman"/>
          <w:lang w:val="fr-FR"/>
        </w:rPr>
        <w:t>Étude dé</w:t>
      </w:r>
      <w:r w:rsidR="00F1243E">
        <w:rPr>
          <w:rFonts w:cs="Times New Roman"/>
          <w:lang w:val="fr-FR"/>
        </w:rPr>
        <w:t>taillée du projet de loi n° 19 —</w:t>
      </w:r>
      <w:r w:rsidRPr="00D75BDF">
        <w:rPr>
          <w:rFonts w:cs="Times New Roman"/>
          <w:lang w:val="fr-FR"/>
        </w:rPr>
        <w:t xml:space="preserve"> </w:t>
      </w:r>
      <w:r w:rsidRPr="002B4AF8">
        <w:rPr>
          <w:rFonts w:cs="Times New Roman"/>
          <w:iCs/>
          <w:lang w:val="fr-FR"/>
        </w:rPr>
        <w:t>Loi modifiant la Loi sur les valeurs mobilières et d’autres dispositions législatives</w:t>
      </w:r>
      <w:r w:rsidRPr="00D75BDF">
        <w:rPr>
          <w:rFonts w:cs="Times New Roman"/>
          <w:lang w:val="fr-CA"/>
        </w:rPr>
        <w:t>”</w:t>
      </w:r>
      <w:r w:rsidRPr="002B4AF8">
        <w:rPr>
          <w:rFonts w:cs="Times New Roman"/>
          <w:iCs/>
          <w:lang w:val="fr-FR"/>
        </w:rPr>
        <w:t>,</w:t>
      </w:r>
      <w:r w:rsidRPr="00D75BDF">
        <w:rPr>
          <w:rFonts w:cs="Times New Roman"/>
          <w:i/>
          <w:iCs/>
          <w:lang w:val="fr-FR"/>
        </w:rPr>
        <w:t xml:space="preserve"> Journal des débats de la Commission permanente des finances publiques</w:t>
      </w:r>
      <w:r w:rsidRPr="00D75BDF">
        <w:rPr>
          <w:rFonts w:cs="Times New Roman"/>
          <w:lang w:val="fr-FR"/>
        </w:rPr>
        <w:t>, vol.</w:t>
      </w:r>
      <w:r>
        <w:rPr>
          <w:rFonts w:cs="Times New Roman"/>
          <w:lang w:val="fr-FR"/>
        </w:rPr>
        <w:t xml:space="preserve"> </w:t>
      </w:r>
      <w:r w:rsidRPr="00D75BDF">
        <w:rPr>
          <w:rFonts w:cs="Times New Roman"/>
          <w:lang w:val="fr-FR"/>
        </w:rPr>
        <w:t xml:space="preserve"> </w:t>
      </w:r>
      <w:r w:rsidRPr="00D75BDF">
        <w:rPr>
          <w:rFonts w:cs="Times New Roman"/>
          <w:lang w:val="en-US"/>
        </w:rPr>
        <w:t xml:space="preserve">40, No. 10, 1st Sess., 38th Leg., October 25, 2007 (“Étude </w:t>
      </w:r>
      <w:proofErr w:type="spellStart"/>
      <w:r w:rsidRPr="00D75BDF">
        <w:rPr>
          <w:rFonts w:cs="Times New Roman"/>
          <w:lang w:val="en-US"/>
        </w:rPr>
        <w:t>detaillée</w:t>
      </w:r>
      <w:proofErr w:type="spellEnd"/>
      <w:r w:rsidRPr="00D75BDF">
        <w:rPr>
          <w:rFonts w:cs="Times New Roman"/>
          <w:lang w:val="en-US"/>
        </w:rPr>
        <w:t xml:space="preserve">”), at p. 2.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During the 1990s, following a series of high profile misrepresentations and incidents of questionable disclosure practices among publicly traded companies in Canada, the Toronto Stock Exchange created the Allen Committee to re-examine the regime governing disclosure in the secondary market.  The Allen Committee concluded that the “current sanctions and funding available to </w:t>
      </w:r>
      <w:proofErr w:type="gramStart"/>
      <w:r w:rsidRPr="00D75BDF">
        <w:rPr>
          <w:rFonts w:cs="Times New Roman"/>
        </w:rPr>
        <w:t>regulators</w:t>
      </w:r>
      <w:r w:rsidR="002B4AF8">
        <w:rPr>
          <w:rFonts w:cs="Times New Roman"/>
        </w:rPr>
        <w:t xml:space="preserve"> </w:t>
      </w:r>
      <w:r>
        <w:rPr>
          <w:rFonts w:cs="Times New Roman"/>
        </w:rPr>
        <w:t>.</w:t>
      </w:r>
      <w:proofErr w:type="gramEnd"/>
      <w:r>
        <w:rPr>
          <w:rFonts w:cs="Times New Roman"/>
        </w:rPr>
        <w:t> . .</w:t>
      </w:r>
      <w:r w:rsidRPr="00D75BDF">
        <w:rPr>
          <w:rFonts w:cs="Times New Roman"/>
        </w:rPr>
        <w:t xml:space="preserve"> are inadequate” and “the remedies available to investors in secondary trading markets who are injured by misleading disclosure are so difficult to pursue that they are, as a practical matter, largely hypothetical”: Committee on Corporate Disclosure, </w:t>
      </w:r>
      <w:r w:rsidR="00C04BCC">
        <w:rPr>
          <w:rFonts w:cs="Times New Roman"/>
          <w:i/>
        </w:rPr>
        <w:t xml:space="preserve">Final Report — </w:t>
      </w:r>
      <w:r w:rsidRPr="00D75BDF">
        <w:rPr>
          <w:rFonts w:cs="Times New Roman"/>
          <w:i/>
        </w:rPr>
        <w:t xml:space="preserve">Responsible Corporate Disclosure: A Search for Balance </w:t>
      </w:r>
      <w:r w:rsidRPr="00D75BDF">
        <w:rPr>
          <w:rFonts w:cs="Times New Roman"/>
        </w:rPr>
        <w:t xml:space="preserve">(Toronto Stock Exchange, 1997), at p. 5.  It recommended the creation of a statutory civil liability regime that would help investors sue issuers, directors, and officers who violated their statutory disclosure obligations.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The Canadian Securities Administrators, an umbrella organization of Canada’s provincial and territorial securities regulators, adopted most of the Committee’s recommendations and began developing proposals to implement them across Canada: “Proposal for a Statutory Civil Remedy for Investors in the Secondary Market and Response to the Proposed Change to the Definitions of ‘Material Fact’ </w:t>
      </w:r>
      <w:r w:rsidRPr="00D75BDF">
        <w:rPr>
          <w:rFonts w:cs="Times New Roman"/>
        </w:rPr>
        <w:lastRenderedPageBreak/>
        <w:t>and ‘Material Change’”, CSA Notice 53-302, reproduced in (2000), 23 OSCB 7383.</w:t>
      </w:r>
      <w:r w:rsidRPr="00D75BDF">
        <w:rPr>
          <w:rFonts w:cs="Times New Roman"/>
          <w:szCs w:val="24"/>
        </w:rPr>
        <w:t xml:space="preserve">  Despite the fact that the Allen Committee had not recommended it, and in order to discourage the kind of strike suits that had become common in the United States under more investor-friendly regimes,</w:t>
      </w:r>
      <w:r w:rsidRPr="00D75BDF">
        <w:rPr>
          <w:rFonts w:cs="Times New Roman"/>
        </w:rPr>
        <w:t xml:space="preserve"> the Canadian Securities Administrators recommended that in addition to reducing the burden of proof on investors, the new liability regime should include a “screening mechanism” to ensure that only claims with a reasonable chance of success would be brought:</w:t>
      </w:r>
    </w:p>
    <w:p w:rsidR="00391DB6" w:rsidRPr="00D75BDF" w:rsidRDefault="00391DB6" w:rsidP="00391DB6">
      <w:pPr>
        <w:pStyle w:val="Citation-AltC"/>
      </w:pPr>
      <w:r w:rsidRPr="00D75BDF">
        <w:t xml:space="preserve">This screening mechanism is designed not only to minimize the prospects of an adverse court award in the absence of a meritorious claim but, more importantly, </w:t>
      </w:r>
      <w:r w:rsidRPr="00D75BDF">
        <w:rPr>
          <w:u w:val="single"/>
        </w:rPr>
        <w:t>to try to ensure that unmeritorious litigation, and the time and expense it imposes on defendants, is avoided or brought to an end early in the litigation process</w:t>
      </w:r>
      <w:r w:rsidRPr="00D75BDF">
        <w:t xml:space="preserve">. By offering defendants the reasonable expectation that an unmeritorious action will be denied the requisite leave to be commenced, the 2000 Draft Legislation should better enable defendants to fend off coercive efforts by plaintiffs to negotiate the cash settlement that is often the real objective behind a strike suit. [Emphasis added; </w:t>
      </w:r>
      <w:proofErr w:type="gramStart"/>
      <w:r w:rsidRPr="00D75BDF">
        <w:rPr>
          <w:i/>
        </w:rPr>
        <w:t>ibid</w:t>
      </w:r>
      <w:r w:rsidR="00C04BCC">
        <w:t>.,</w:t>
      </w:r>
      <w:proofErr w:type="gramEnd"/>
      <w:r w:rsidR="00C04BCC">
        <w:t xml:space="preserve"> at p. 7390.]</w:t>
      </w:r>
    </w:p>
    <w:p w:rsidR="00391DB6" w:rsidRPr="00D75BDF" w:rsidRDefault="00391DB6" w:rsidP="00391DB6">
      <w:pPr>
        <w:pStyle w:val="ParaNoNdepar-AltN"/>
        <w:tabs>
          <w:tab w:val="clear" w:pos="1152"/>
          <w:tab w:val="left" w:pos="1166"/>
        </w:tabs>
        <w:rPr>
          <w:rFonts w:cs="Times New Roman"/>
        </w:rPr>
      </w:pPr>
      <w:r w:rsidRPr="00D75BDF">
        <w:rPr>
          <w:rFonts w:cs="Times New Roman"/>
        </w:rPr>
        <w:t>In 2002, Ontario became the first province to implement the Canadian Securities Administrators’</w:t>
      </w:r>
      <w:r w:rsidRPr="00D75BDF">
        <w:rPr>
          <w:rFonts w:cs="Times New Roman"/>
          <w:b/>
        </w:rPr>
        <w:t xml:space="preserve"> </w:t>
      </w:r>
      <w:r w:rsidRPr="00D75BDF">
        <w:rPr>
          <w:rFonts w:cs="Times New Roman"/>
        </w:rPr>
        <w:t xml:space="preserve">recommendations by inserting a new liability regime into its </w:t>
      </w:r>
      <w:r w:rsidRPr="00D75BDF">
        <w:rPr>
          <w:rFonts w:cs="Times New Roman"/>
          <w:i/>
        </w:rPr>
        <w:t>Securities Act</w:t>
      </w:r>
      <w:r w:rsidRPr="00D75BDF">
        <w:rPr>
          <w:rFonts w:cs="Times New Roman"/>
        </w:rPr>
        <w:t xml:space="preserve">. The legislation included a screening mechanism that limited actions against public companies for breaches of continuous disclosure obligations to those actions instituted in good faith with “a reasonable possibility” of being resolved at trial in favour of the plaintiff: s. 138.8(1).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Quebec implemented the recommendations of the Canadian Securities Administrators through Bill 19, </w:t>
      </w:r>
      <w:r w:rsidRPr="00D75BDF">
        <w:rPr>
          <w:rFonts w:cs="Times New Roman"/>
          <w:i/>
        </w:rPr>
        <w:t>An Act to amend the Securities Act and other legislative provisions</w:t>
      </w:r>
      <w:r w:rsidRPr="00D75BDF">
        <w:rPr>
          <w:rFonts w:cs="Times New Roman"/>
        </w:rPr>
        <w:t>, S.Q. 2007, c. 15, which received assent on November 9, 2007.</w:t>
      </w:r>
      <w:r w:rsidRPr="00D75BDF">
        <w:rPr>
          <w:rFonts w:cs="Times New Roman"/>
          <w:szCs w:val="24"/>
        </w:rPr>
        <w:t xml:space="preserve">  </w:t>
      </w:r>
      <w:r w:rsidRPr="00D75BDF">
        <w:rPr>
          <w:rFonts w:cs="Times New Roman"/>
        </w:rPr>
        <w:lastRenderedPageBreak/>
        <w:t xml:space="preserve">When Bill 19 was before the legislature, Monique </w:t>
      </w:r>
      <w:proofErr w:type="spellStart"/>
      <w:r w:rsidRPr="00D75BDF">
        <w:rPr>
          <w:rFonts w:cs="Times New Roman"/>
        </w:rPr>
        <w:t>Jérôme</w:t>
      </w:r>
      <w:proofErr w:type="spellEnd"/>
      <w:r w:rsidRPr="00D75BDF">
        <w:rPr>
          <w:rFonts w:cs="Times New Roman"/>
        </w:rPr>
        <w:t>-Forget, the Minister of Finance at the time, said:</w:t>
      </w:r>
    </w:p>
    <w:p w:rsidR="00391DB6" w:rsidRDefault="00391DB6" w:rsidP="00C04BCC">
      <w:pPr>
        <w:pStyle w:val="Citation-AltC"/>
        <w:ind w:firstLine="274"/>
      </w:pPr>
      <w:r w:rsidRPr="00D75BDF">
        <w:t>[</w:t>
      </w:r>
      <w:r w:rsidR="00C04BCC">
        <w:rPr>
          <w:smallCaps/>
        </w:rPr>
        <w:t>translation</w:t>
      </w:r>
      <w:r w:rsidRPr="00D75BDF">
        <w:t>] The recourse</w:t>
      </w:r>
      <w:r w:rsidR="000947B4">
        <w:t xml:space="preserve"> proposed</w:t>
      </w:r>
      <w:r w:rsidRPr="00D75BDF">
        <w:t xml:space="preserve"> in Bill 19 is highly harmonized with that in place in Ontario, which is recourse that strongly inspired the other provinces and territories.  Only the necessary adjustments were made to </w:t>
      </w:r>
      <w:r w:rsidR="000947B4">
        <w:t xml:space="preserve">reflect civil law notions and vocabulary, and to ensure its harmonious </w:t>
      </w:r>
      <w:r w:rsidRPr="00D75BDF">
        <w:t xml:space="preserve">integration into </w:t>
      </w:r>
      <w:r w:rsidR="000947B4">
        <w:t xml:space="preserve">the </w:t>
      </w:r>
      <w:r w:rsidRPr="00D75BDF">
        <w:t>Québec legislative corpus, including the Securities Act, into which it will be incorporated.</w:t>
      </w:r>
    </w:p>
    <w:p w:rsidR="00C5005D" w:rsidRPr="00D75BDF" w:rsidRDefault="00C5005D" w:rsidP="00C04BCC">
      <w:pPr>
        <w:pStyle w:val="Citation-AltC"/>
        <w:ind w:firstLine="274"/>
      </w:pPr>
    </w:p>
    <w:p w:rsidR="00391DB6" w:rsidRPr="00D75BDF" w:rsidRDefault="00391DB6" w:rsidP="00C5005D">
      <w:pPr>
        <w:pStyle w:val="Citation-AltC"/>
        <w:ind w:left="0"/>
        <w:rPr>
          <w:lang w:val="en-US"/>
        </w:rPr>
      </w:pPr>
      <w:r w:rsidRPr="00D75BDF">
        <w:t xml:space="preserve">(“Étude </w:t>
      </w:r>
      <w:proofErr w:type="spellStart"/>
      <w:r w:rsidRPr="00D75BDF">
        <w:t>détaillee</w:t>
      </w:r>
      <w:proofErr w:type="spellEnd"/>
      <w:r w:rsidRPr="00D75BDF">
        <w:t>”, at p. 1)</w:t>
      </w:r>
    </w:p>
    <w:p w:rsidR="00391DB6" w:rsidRPr="00D75BDF" w:rsidRDefault="00391DB6" w:rsidP="00391DB6">
      <w:pPr>
        <w:pStyle w:val="ParaNoNdepar-AltN"/>
        <w:tabs>
          <w:tab w:val="clear" w:pos="1152"/>
          <w:tab w:val="left" w:pos="1166"/>
        </w:tabs>
        <w:rPr>
          <w:rFonts w:cs="Times New Roman"/>
        </w:rPr>
      </w:pPr>
      <w:r w:rsidRPr="00D75BDF">
        <w:rPr>
          <w:rFonts w:cs="Times New Roman"/>
          <w:szCs w:val="24"/>
        </w:rPr>
        <w:t>Under this regime, when</w:t>
      </w:r>
      <w:r w:rsidRPr="00D75BDF">
        <w:rPr>
          <w:rFonts w:cs="Times New Roman"/>
        </w:rPr>
        <w:t xml:space="preserve"> a security is acquired or transferred at the time of a false declaration or omission of information that should have been disclosed, the fluctuation in the value of the security is presumed to be attributable to that fault.  Investors were thereby released from the heavy burden of demonstrating that the variation in the market price of the security was linked to the misinformation or omission, and from demonstrating that they personally relied on that information or omission in buying or transferring the security.  </w:t>
      </w:r>
    </w:p>
    <w:p w:rsidR="00391DB6" w:rsidRPr="00D75BDF" w:rsidRDefault="00391DB6" w:rsidP="00391DB6">
      <w:pPr>
        <w:pStyle w:val="ParaNoNdepar-AltN"/>
        <w:tabs>
          <w:tab w:val="clear" w:pos="1152"/>
          <w:tab w:val="left" w:pos="1166"/>
        </w:tabs>
        <w:rPr>
          <w:rFonts w:cs="Times New Roman"/>
        </w:rPr>
      </w:pPr>
      <w:r w:rsidRPr="00D75BDF">
        <w:rPr>
          <w:rFonts w:cs="Times New Roman"/>
        </w:rPr>
        <w:t>The scheme also establishes an authorization mechanism to permit only actions in good faith with a “reasonable possibility of success”. As the Court of Appeal noted, Quebec’s new regime therefore reflected an attempt to strike a balance between preventing unmeritorious litigation and strike suits and, at the same time, ensuring that investors have a meaningful remedy when issuers breach disclosure obligations.</w:t>
      </w:r>
    </w:p>
    <w:p w:rsidR="00391DB6" w:rsidRPr="00D75BDF" w:rsidRDefault="00391DB6" w:rsidP="00391DB6">
      <w:pPr>
        <w:pStyle w:val="ParaNoNdepar-AltN"/>
        <w:tabs>
          <w:tab w:val="clear" w:pos="1152"/>
          <w:tab w:val="left" w:pos="1166"/>
        </w:tabs>
        <w:rPr>
          <w:rFonts w:cs="Times New Roman"/>
        </w:rPr>
      </w:pPr>
      <w:r w:rsidRPr="00D75BDF">
        <w:rPr>
          <w:rFonts w:cs="Times New Roman"/>
        </w:rPr>
        <w:lastRenderedPageBreak/>
        <w:t xml:space="preserve">Given this history, I agree with the Court of Appeal and Motions Judge that the “reasonable possibility” of success required under s. 225.4 sets out a different and higher standard than the general threshold for the authorization of a class action under art. 1003 of the </w:t>
      </w:r>
      <w:r w:rsidRPr="00D75BDF">
        <w:rPr>
          <w:rFonts w:cs="Times New Roman"/>
          <w:i/>
        </w:rPr>
        <w:t xml:space="preserve">C.C.P. </w:t>
      </w:r>
      <w:r w:rsidRPr="00D75BDF">
        <w:rPr>
          <w:rFonts w:cs="Times New Roman"/>
        </w:rPr>
        <w:t xml:space="preserve">Under art. 1003, the court seeks only to identify whether “the facts alleged seem to justify the conclusions sought” — that is, whether the applicant has established “a good colour of right”: </w:t>
      </w:r>
      <w:r w:rsidRPr="00D75BDF">
        <w:rPr>
          <w:rFonts w:cs="Times New Roman"/>
          <w:i/>
        </w:rPr>
        <w:t xml:space="preserve">Infineon Technologies AG v. Option </w:t>
      </w:r>
      <w:proofErr w:type="spellStart"/>
      <w:r w:rsidRPr="00D75BDF">
        <w:rPr>
          <w:rFonts w:cs="Times New Roman"/>
          <w:i/>
        </w:rPr>
        <w:t>consommateurs</w:t>
      </w:r>
      <w:proofErr w:type="spellEnd"/>
      <w:r w:rsidRPr="00D75BDF">
        <w:rPr>
          <w:rFonts w:cs="Times New Roman"/>
        </w:rPr>
        <w:t>,</w:t>
      </w:r>
      <w:r w:rsidRPr="00D75BDF">
        <w:rPr>
          <w:rFonts w:cs="Times New Roman"/>
          <w:i/>
        </w:rPr>
        <w:t xml:space="preserve"> </w:t>
      </w:r>
      <w:r w:rsidRPr="00D75BDF">
        <w:rPr>
          <w:rFonts w:cs="Times New Roman"/>
        </w:rPr>
        <w:t xml:space="preserve">[2013] 3 S.C.R. 600, at para. 62; </w:t>
      </w:r>
      <w:proofErr w:type="spellStart"/>
      <w:r w:rsidRPr="00D75BDF">
        <w:rPr>
          <w:rFonts w:cs="Times New Roman"/>
          <w:i/>
        </w:rPr>
        <w:t>Guimond</w:t>
      </w:r>
      <w:proofErr w:type="spellEnd"/>
      <w:r w:rsidRPr="00D75BDF">
        <w:rPr>
          <w:rFonts w:cs="Times New Roman"/>
          <w:i/>
        </w:rPr>
        <w:t xml:space="preserve"> v. Quebec (Attorney General)</w:t>
      </w:r>
      <w:r w:rsidRPr="00D75BDF">
        <w:rPr>
          <w:rFonts w:cs="Times New Roman"/>
        </w:rPr>
        <w:t>,</w:t>
      </w:r>
      <w:r w:rsidRPr="00D75BDF">
        <w:rPr>
          <w:rFonts w:cs="Times New Roman"/>
          <w:i/>
        </w:rPr>
        <w:t xml:space="preserve"> </w:t>
      </w:r>
      <w:r w:rsidRPr="00D75BDF">
        <w:rPr>
          <w:rFonts w:cs="Times New Roman"/>
        </w:rPr>
        <w:t xml:space="preserve">[1996] 3 S.C.R. 347, at paras. 5 and 9-10; </w:t>
      </w:r>
      <w:proofErr w:type="spellStart"/>
      <w:r w:rsidRPr="00D75BDF">
        <w:rPr>
          <w:rFonts w:cs="Times New Roman"/>
          <w:i/>
        </w:rPr>
        <w:t>Marcotte</w:t>
      </w:r>
      <w:proofErr w:type="spellEnd"/>
      <w:r w:rsidRPr="00D75BDF">
        <w:rPr>
          <w:rFonts w:cs="Times New Roman"/>
          <w:i/>
        </w:rPr>
        <w:t xml:space="preserve"> v. </w:t>
      </w:r>
      <w:proofErr w:type="spellStart"/>
      <w:r w:rsidRPr="00D75BDF">
        <w:rPr>
          <w:rFonts w:cs="Times New Roman"/>
          <w:i/>
        </w:rPr>
        <w:t>Longueuil</w:t>
      </w:r>
      <w:proofErr w:type="spellEnd"/>
      <w:r w:rsidRPr="00D75BDF">
        <w:rPr>
          <w:rFonts w:cs="Times New Roman"/>
          <w:i/>
        </w:rPr>
        <w:t xml:space="preserve"> (City)</w:t>
      </w:r>
      <w:r w:rsidRPr="00D75BDF">
        <w:rPr>
          <w:rFonts w:cs="Times New Roman"/>
        </w:rPr>
        <w:t xml:space="preserve">, [2009] 3 S.C.R. 65, at para. 94.  As this Court pointed out in </w:t>
      </w:r>
      <w:r w:rsidRPr="00D75BDF">
        <w:rPr>
          <w:rFonts w:cs="Times New Roman"/>
          <w:i/>
        </w:rPr>
        <w:t>Infineon Technologies</w:t>
      </w:r>
      <w:r w:rsidRPr="00D75BDF">
        <w:rPr>
          <w:rFonts w:cs="Times New Roman"/>
        </w:rPr>
        <w:t xml:space="preserve">, the low threshold for authorizing a class action under art. 1003 of the </w:t>
      </w:r>
      <w:r w:rsidRPr="00D75BDF">
        <w:rPr>
          <w:rFonts w:cs="Times New Roman"/>
          <w:i/>
        </w:rPr>
        <w:t>C.C.P.</w:t>
      </w:r>
      <w:r w:rsidRPr="00D75BDF">
        <w:rPr>
          <w:rFonts w:cs="Times New Roman"/>
        </w:rPr>
        <w:t xml:space="preserve"> reflects the “twin objectives of deterrence and compensation that animate the class action system”: para. 125. </w:t>
      </w:r>
    </w:p>
    <w:p w:rsidR="00391DB6" w:rsidRPr="00D75BDF" w:rsidRDefault="00391DB6" w:rsidP="00391DB6">
      <w:pPr>
        <w:pStyle w:val="ParaNoNdepar-AltN"/>
        <w:tabs>
          <w:tab w:val="clear" w:pos="1152"/>
          <w:tab w:val="left" w:pos="1166"/>
        </w:tabs>
        <w:rPr>
          <w:rFonts w:cs="Times New Roman"/>
        </w:rPr>
      </w:pPr>
      <w:r w:rsidRPr="00D75BDF">
        <w:rPr>
          <w:rFonts w:cs="Times New Roman"/>
          <w:lang w:eastAsia="en-CA"/>
        </w:rPr>
        <w:t>The Quebec legislature used different</w:t>
      </w:r>
      <w:r w:rsidRPr="00D75BDF">
        <w:rPr>
          <w:rFonts w:cs="Times New Roman"/>
        </w:rPr>
        <w:t xml:space="preserve"> language in s. 225.4 to create a more meaningful screening mechanism in the securities context so that costly strike suits and unmeritorious claims would be prevented. Courts are given an important gatekeeping role, which requires them to conduct a preliminary examination of the impugned action or inaction to assess whether it could be said to have a reasonable possibility of success: Pritchard and </w:t>
      </w:r>
      <w:proofErr w:type="spellStart"/>
      <w:r w:rsidRPr="00D75BDF">
        <w:rPr>
          <w:rFonts w:cs="Times New Roman"/>
        </w:rPr>
        <w:t>Sarra</w:t>
      </w:r>
      <w:proofErr w:type="spellEnd"/>
      <w:r w:rsidRPr="00D75BDF">
        <w:rPr>
          <w:rFonts w:cs="Times New Roman"/>
        </w:rPr>
        <w:t xml:space="preserve">, at p. 893.  The question before us is as </w:t>
      </w:r>
      <w:proofErr w:type="spellStart"/>
      <w:r w:rsidRPr="00D75BDF">
        <w:rPr>
          <w:rFonts w:cs="Times New Roman"/>
        </w:rPr>
        <w:t>Belobaba</w:t>
      </w:r>
      <w:proofErr w:type="spellEnd"/>
      <w:r w:rsidRPr="00D75BDF">
        <w:rPr>
          <w:rFonts w:cs="Times New Roman"/>
        </w:rPr>
        <w:t xml:space="preserve"> J. asked in </w:t>
      </w:r>
      <w:r w:rsidRPr="00D75BDF">
        <w:rPr>
          <w:rFonts w:cs="Times New Roman"/>
          <w:i/>
        </w:rPr>
        <w:t>Ironworkers Ontario Pension Fund (Trustee of)</w:t>
      </w:r>
      <w:r w:rsidRPr="00D75BDF">
        <w:rPr>
          <w:rFonts w:cs="Times New Roman"/>
        </w:rPr>
        <w:t xml:space="preserve"> </w:t>
      </w:r>
      <w:r w:rsidRPr="00D75BDF">
        <w:rPr>
          <w:rFonts w:cs="Times New Roman"/>
          <w:i/>
        </w:rPr>
        <w:t>v. Manulife Financial</w:t>
      </w:r>
      <w:r w:rsidRPr="00D75BDF">
        <w:rPr>
          <w:rFonts w:cs="Times New Roman"/>
        </w:rPr>
        <w:t xml:space="preserve"> </w:t>
      </w:r>
      <w:r w:rsidRPr="00D75BDF">
        <w:rPr>
          <w:rFonts w:cs="Times New Roman"/>
          <w:i/>
        </w:rPr>
        <w:t>Corp</w:t>
      </w:r>
      <w:r w:rsidRPr="00D75BDF">
        <w:rPr>
          <w:rFonts w:cs="Times New Roman"/>
        </w:rPr>
        <w:t>. (2013), 44 C.P.C. (7th) 80 (Ont. S.C.J.):</w:t>
      </w:r>
    </w:p>
    <w:p w:rsidR="00391DB6" w:rsidRPr="00D75BDF" w:rsidRDefault="00391DB6" w:rsidP="00391DB6">
      <w:pPr>
        <w:pStyle w:val="Citation-AltC"/>
        <w:rPr>
          <w:b/>
        </w:rPr>
      </w:pPr>
      <w:r w:rsidRPr="00D75BDF">
        <w:t>Is this simply a screening mechanism to keep out “strike suits” that are plainly unmeritorious and have no chance of success? Or, is this a preliminary merits test that should have more bite? [para. 36]</w:t>
      </w:r>
    </w:p>
    <w:p w:rsidR="00391DB6" w:rsidRPr="00D75BDF" w:rsidRDefault="00391DB6" w:rsidP="00391DB6">
      <w:pPr>
        <w:pStyle w:val="ParaNoNdepar-AltN"/>
        <w:tabs>
          <w:tab w:val="clear" w:pos="1152"/>
          <w:tab w:val="left" w:pos="1166"/>
        </w:tabs>
        <w:rPr>
          <w:rFonts w:cs="Times New Roman"/>
        </w:rPr>
      </w:pPr>
      <w:r w:rsidRPr="00D75BDF">
        <w:rPr>
          <w:rFonts w:cs="Times New Roman"/>
        </w:rPr>
        <w:lastRenderedPageBreak/>
        <w:t xml:space="preserve">I am aware that there has been some discussion in the Ontario and British Columbia courts about what the threshold is, all seeking to find a balance between preventing cases without a realistic prospect of success but encouraging those with a likelihood of success: </w:t>
      </w:r>
      <w:r w:rsidRPr="00D75BDF">
        <w:rPr>
          <w:rFonts w:cs="Times New Roman"/>
          <w:i/>
        </w:rPr>
        <w:t>Silver v. Imax Corp</w:t>
      </w:r>
      <w:r w:rsidRPr="00D75BDF">
        <w:rPr>
          <w:rFonts w:cs="Times New Roman"/>
        </w:rPr>
        <w:t>. (2009), 66 B.L.R. (4th) 222 (Ont. S.C.J.), at par</w:t>
      </w:r>
      <w:r w:rsidR="0027512D">
        <w:rPr>
          <w:rFonts w:cs="Times New Roman"/>
        </w:rPr>
        <w:t>a. 324, leave to appeal refused</w:t>
      </w:r>
      <w:r w:rsidRPr="00D75BDF">
        <w:rPr>
          <w:rFonts w:cs="Times New Roman"/>
        </w:rPr>
        <w:t xml:space="preserve"> (2011), 105 O.R. (3d) 212 (Div. Ct.); </w:t>
      </w:r>
      <w:r w:rsidRPr="00D75BDF">
        <w:rPr>
          <w:rFonts w:cs="Times New Roman"/>
          <w:i/>
        </w:rPr>
        <w:t xml:space="preserve">Dobbie v. Arctic Glacier Income Fund </w:t>
      </w:r>
      <w:r w:rsidRPr="00D75BDF">
        <w:rPr>
          <w:rFonts w:cs="Times New Roman"/>
        </w:rPr>
        <w:t xml:space="preserve">(2011), 3 C.P.C. (7th) 261 (Ont. S.C.J.), at paras. 129-30; </w:t>
      </w:r>
      <w:r w:rsidRPr="00D75BDF">
        <w:rPr>
          <w:rFonts w:cs="Times New Roman"/>
          <w:i/>
        </w:rPr>
        <w:t xml:space="preserve">Round v. MacDonald, </w:t>
      </w:r>
      <w:proofErr w:type="spellStart"/>
      <w:r w:rsidRPr="00D75BDF">
        <w:rPr>
          <w:rFonts w:cs="Times New Roman"/>
          <w:i/>
        </w:rPr>
        <w:t>Dettwiler</w:t>
      </w:r>
      <w:proofErr w:type="spellEnd"/>
      <w:r w:rsidRPr="00D75BDF">
        <w:rPr>
          <w:rFonts w:cs="Times New Roman"/>
          <w:i/>
        </w:rPr>
        <w:t xml:space="preserve"> and Associates Ltd.</w:t>
      </w:r>
      <w:r w:rsidRPr="00D75BDF">
        <w:rPr>
          <w:rFonts w:cs="Times New Roman"/>
        </w:rPr>
        <w:t xml:space="preserve">, 2011 BCSC 1416, at para. 76, aff’d (2012), 39 B.C.L.R. (5th) 44 (C.A.); </w:t>
      </w:r>
      <w:r w:rsidRPr="00D75BDF">
        <w:rPr>
          <w:rFonts w:cs="Times New Roman"/>
          <w:i/>
        </w:rPr>
        <w:t xml:space="preserve">Millwright Regional Council of Ontario Pension Trust Fund (Trustees of) v. Celestica Inc. </w:t>
      </w:r>
      <w:r w:rsidRPr="00D75BDF">
        <w:rPr>
          <w:rFonts w:cs="Times New Roman"/>
        </w:rPr>
        <w:t xml:space="preserve">(2014), 49 C.P.C. (7th) 12 (Ont. S.C.J.), at para. 112; </w:t>
      </w:r>
      <w:r w:rsidRPr="00D75BDF">
        <w:rPr>
          <w:rFonts w:cs="Times New Roman"/>
          <w:i/>
        </w:rPr>
        <w:t xml:space="preserve">Millwright Regional Council of Ontario Pension Trust Fund (Trustees of) v. Celestica Inc. </w:t>
      </w:r>
      <w:r w:rsidRPr="00D75BDF">
        <w:rPr>
          <w:rFonts w:cs="Times New Roman"/>
        </w:rPr>
        <w:t xml:space="preserve">(2014), 118 O.R. (3d) 641 (C.A.), at paras. 81-89.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In my view, as </w:t>
      </w:r>
      <w:proofErr w:type="spellStart"/>
      <w:r w:rsidRPr="00D75BDF">
        <w:rPr>
          <w:rFonts w:cs="Times New Roman"/>
        </w:rPr>
        <w:t>Belobaba</w:t>
      </w:r>
      <w:proofErr w:type="spellEnd"/>
      <w:r w:rsidRPr="00D75BDF">
        <w:rPr>
          <w:rFonts w:cs="Times New Roman"/>
        </w:rPr>
        <w:t xml:space="preserve"> J. suggested in </w:t>
      </w:r>
      <w:r w:rsidRPr="00D75BDF">
        <w:rPr>
          <w:rFonts w:cs="Times New Roman"/>
          <w:i/>
        </w:rPr>
        <w:t>Ironworkers</w:t>
      </w:r>
      <w:r w:rsidRPr="00D75BDF">
        <w:rPr>
          <w:rFonts w:cs="Times New Roman"/>
        </w:rPr>
        <w:t xml:space="preserve">, the threshold should be more than a “speed bump” (para. 39), and the courts must undertake a reasoned consideration of the evidence to ensure that the action has some merit. In other words, to promote the legislative objective of a robust deterrent screening mechanism so that cases without merit are prevented from proceeding, the threshold requires that there be a reasonable or realistic chance that the action will succeed.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A case with a reasonable possibility of success requires the claimant to offer both a plausible analysis of the applicable legislative provisions, and some credible evidence in support of the claim. This approach, in my view, best realizes the legislative intent of the screening mechanism: to ensure that cases with little chance of success — and the time and expense they impose — are avoided. I agree with the </w:t>
      </w:r>
      <w:r w:rsidRPr="00D75BDF">
        <w:rPr>
          <w:rFonts w:cs="Times New Roman"/>
        </w:rPr>
        <w:lastRenderedPageBreak/>
        <w:t xml:space="preserve">Court of Appeal, however, that the authorization stage under s. 225.4 should not be treated as a mini-trial. A full analysis of the evidence is unnecessary.  If the goal of the screening mechanism is to prevent costly strike suits and litigation with little chance of success, it follows that the evidentiary requirements should not be so onerous as to essentially replicate the demands of a trial. To impose such a requirement would undermine the objective of the screening mechanism, which is to protect reporting issuers from unsubstantiated strike suits and costly unmeritorious litigation. What </w:t>
      </w:r>
      <w:r w:rsidRPr="00D75BDF">
        <w:rPr>
          <w:rFonts w:cs="Times New Roman"/>
          <w:i/>
        </w:rPr>
        <w:t>is</w:t>
      </w:r>
      <w:r w:rsidRPr="00D75BDF">
        <w:rPr>
          <w:rFonts w:cs="Times New Roman"/>
        </w:rPr>
        <w:t xml:space="preserve"> required is sufficient evidence to persuade the court that there is a reasonable possibility that the action will be resolved in the claimant’s favour.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121851 alleges that Thera breached its obligation under s. 73 of the </w:t>
      </w:r>
      <w:r w:rsidRPr="00D75BDF">
        <w:rPr>
          <w:rFonts w:cs="Times New Roman"/>
          <w:i/>
        </w:rPr>
        <w:t>Securities Act</w:t>
      </w:r>
      <w:r w:rsidRPr="00D75BDF">
        <w:rPr>
          <w:rFonts w:cs="Times New Roman"/>
        </w:rPr>
        <w:t xml:space="preserve"> to provide timely disclosure of material changes to its investors. Section 5.3 of the </w:t>
      </w:r>
      <w:r w:rsidRPr="00D75BDF">
        <w:rPr>
          <w:rFonts w:cs="Times New Roman"/>
          <w:i/>
        </w:rPr>
        <w:t>Securities Act</w:t>
      </w:r>
      <w:r w:rsidRPr="00D75BDF">
        <w:rPr>
          <w:rFonts w:cs="Times New Roman"/>
        </w:rPr>
        <w:t xml:space="preserve"> defines a “material change” as</w:t>
      </w:r>
    </w:p>
    <w:p w:rsidR="00391DB6" w:rsidRPr="00D75BDF" w:rsidRDefault="00391DB6" w:rsidP="00391DB6">
      <w:pPr>
        <w:pStyle w:val="Citation-AltC"/>
      </w:pPr>
      <w:r w:rsidRPr="00D75BDF">
        <w:t xml:space="preserve">a </w:t>
      </w:r>
      <w:r w:rsidRPr="00D75BDF">
        <w:rPr>
          <w:u w:val="single"/>
        </w:rPr>
        <w:t>change in the business, operations or capital of the issuer</w:t>
      </w:r>
      <w:r w:rsidRPr="00D75BDF">
        <w:t xml:space="preserve"> that would reasonably be expected to have a significant effect on the market price or value of any of the securities of the issuer, or a decision to implement such a change made by the directors or by senior management of the issuer who believe that confirmation of the decision by the directors is probable. </w:t>
      </w:r>
    </w:p>
    <w:p w:rsidR="00391DB6" w:rsidRPr="00D75BDF" w:rsidRDefault="00391DB6" w:rsidP="00391DB6">
      <w:pPr>
        <w:pStyle w:val="ParaNoNdepar-AltN"/>
        <w:numPr>
          <w:ilvl w:val="0"/>
          <w:numId w:val="0"/>
        </w:numPr>
        <w:rPr>
          <w:rFonts w:cs="Times New Roman"/>
        </w:rPr>
      </w:pPr>
      <w:r w:rsidRPr="00D75BDF">
        <w:rPr>
          <w:rFonts w:cs="Times New Roman"/>
        </w:rPr>
        <w:t xml:space="preserve">As this statutory definition makes clear, a material change has two components.  There must be a change in the business, operations or capital of the issuer and the change must be material, which means it would reasonably be expected to have a significant effect on the market price or value of the securities of the issuer: </w:t>
      </w:r>
      <w:r w:rsidRPr="00D75BDF">
        <w:rPr>
          <w:rFonts w:cs="Times New Roman"/>
          <w:i/>
        </w:rPr>
        <w:t>Securities Act</w:t>
      </w:r>
      <w:r w:rsidRPr="00D75BDF">
        <w:rPr>
          <w:rFonts w:cs="Times New Roman"/>
        </w:rPr>
        <w:t>,</w:t>
      </w:r>
      <w:r w:rsidRPr="00D75BDF">
        <w:rPr>
          <w:rFonts w:cs="Times New Roman"/>
          <w:i/>
        </w:rPr>
        <w:t xml:space="preserve"> </w:t>
      </w:r>
      <w:r w:rsidRPr="00D75BDF">
        <w:rPr>
          <w:rFonts w:cs="Times New Roman"/>
        </w:rPr>
        <w:t>s. 5.3. Both elements are required to trigger an obligation of timely disclosure.</w:t>
      </w:r>
    </w:p>
    <w:p w:rsidR="00391DB6" w:rsidRPr="00D75BDF" w:rsidRDefault="00391DB6" w:rsidP="00391DB6">
      <w:pPr>
        <w:pStyle w:val="ParaNoNdepar-AltN"/>
        <w:tabs>
          <w:tab w:val="clear" w:pos="1152"/>
          <w:tab w:val="left" w:pos="1166"/>
        </w:tabs>
        <w:rPr>
          <w:rFonts w:cs="Times New Roman"/>
        </w:rPr>
      </w:pPr>
      <w:r w:rsidRPr="00D75BDF">
        <w:rPr>
          <w:rFonts w:cs="Times New Roman"/>
        </w:rPr>
        <w:lastRenderedPageBreak/>
        <w:t xml:space="preserve">121851 argues that a material change occurred on May 11, 2010, when Thera received the FDA briefing materials, which included a Background Introductory Memorandum asking the Advisory Committee to comment on “the findings of glucose intolerance and development of diabetes associated with </w:t>
      </w:r>
      <w:proofErr w:type="spellStart"/>
      <w:r w:rsidRPr="00D75BDF">
        <w:rPr>
          <w:rFonts w:cs="Times New Roman"/>
        </w:rPr>
        <w:t>Egrifta</w:t>
      </w:r>
      <w:proofErr w:type="spellEnd"/>
      <w:r w:rsidRPr="00D75BDF">
        <w:rPr>
          <w:rFonts w:cs="Times New Roman"/>
        </w:rPr>
        <w:t xml:space="preserve"> [</w:t>
      </w:r>
      <w:proofErr w:type="spellStart"/>
      <w:r w:rsidRPr="00D75BDF">
        <w:rPr>
          <w:rFonts w:cs="Times New Roman"/>
        </w:rPr>
        <w:t>tesamorelin</w:t>
      </w:r>
      <w:proofErr w:type="spellEnd"/>
      <w:r w:rsidRPr="00D75BDF">
        <w:rPr>
          <w:rFonts w:cs="Times New Roman"/>
        </w:rPr>
        <w:t xml:space="preserve">] therapy and its impact on </w:t>
      </w:r>
      <w:proofErr w:type="spellStart"/>
      <w:r w:rsidRPr="00D75BDF">
        <w:rPr>
          <w:rFonts w:cs="Times New Roman"/>
        </w:rPr>
        <w:t>longterm</w:t>
      </w:r>
      <w:proofErr w:type="spellEnd"/>
      <w:r w:rsidRPr="00D75BDF">
        <w:rPr>
          <w:rFonts w:cs="Times New Roman"/>
        </w:rPr>
        <w:t xml:space="preserve"> cardiovascular risk”.  This information was made public on May 25, 2010, when the FDA posted the memorandum, alongside all the briefing materials it had generated on </w:t>
      </w:r>
      <w:proofErr w:type="spellStart"/>
      <w:r w:rsidRPr="00D75BDF">
        <w:rPr>
          <w:rFonts w:cs="Times New Roman"/>
        </w:rPr>
        <w:t>tesamorelin</w:t>
      </w:r>
      <w:proofErr w:type="spellEnd"/>
      <w:r w:rsidRPr="00D75BDF">
        <w:rPr>
          <w:rFonts w:cs="Times New Roman"/>
        </w:rPr>
        <w:t xml:space="preserve">, on its website.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In my view, however, 121851 has not pointed to any evidence that could qualify as a material change in Thera’s operations, capital or business as described in s. 5.3 of the </w:t>
      </w:r>
      <w:r w:rsidRPr="00D75BDF">
        <w:rPr>
          <w:rFonts w:cs="Times New Roman"/>
          <w:i/>
        </w:rPr>
        <w:t>Securities Act</w:t>
      </w:r>
      <w:r w:rsidRPr="00D75BDF">
        <w:rPr>
          <w:rFonts w:cs="Times New Roman"/>
        </w:rPr>
        <w:t xml:space="preserve">.  </w:t>
      </w:r>
      <w:r w:rsidRPr="00D75BDF">
        <w:rPr>
          <w:rFonts w:cs="Times New Roman"/>
          <w:sz w:val="22"/>
        </w:rPr>
        <w:t xml:space="preserve">And </w:t>
      </w:r>
      <w:r w:rsidRPr="00D75BDF">
        <w:rPr>
          <w:rFonts w:cs="Times New Roman"/>
        </w:rPr>
        <w:t xml:space="preserve">without some evidence of a material change that corresponds to the statutory requirements, 121851’s action cannot reasonably hope to succeed.  </w:t>
      </w:r>
    </w:p>
    <w:p w:rsidR="00391DB6" w:rsidRPr="00D75BDF" w:rsidRDefault="00391DB6" w:rsidP="00391DB6">
      <w:pPr>
        <w:pStyle w:val="ParaNoNdepar-AltN"/>
        <w:tabs>
          <w:tab w:val="clear" w:pos="1152"/>
          <w:tab w:val="left" w:pos="1166"/>
        </w:tabs>
        <w:rPr>
          <w:rFonts w:cs="Times New Roman"/>
          <w:szCs w:val="24"/>
        </w:rPr>
      </w:pPr>
      <w:proofErr w:type="spellStart"/>
      <w:r w:rsidRPr="00D75BDF">
        <w:rPr>
          <w:rFonts w:cs="Times New Roman"/>
        </w:rPr>
        <w:t>Tesamorelin</w:t>
      </w:r>
      <w:proofErr w:type="spellEnd"/>
      <w:r w:rsidRPr="00D75BDF">
        <w:rPr>
          <w:rFonts w:cs="Times New Roman"/>
        </w:rPr>
        <w:t xml:space="preserve"> operates by activating a growth hormone, which, in other contexts, has been</w:t>
      </w:r>
      <w:r w:rsidRPr="00D75BDF">
        <w:rPr>
          <w:rFonts w:cs="Times New Roman"/>
          <w:szCs w:val="24"/>
        </w:rPr>
        <w:t xml:space="preserve"> associated with an increased risk of diabetes.  Thera’s phase-three clinical trials measured the blood sugar levels of participating patients to evaluate the risk associated with this potential side effect. The trials compared five glycemic parameters recognized by the scientific community and the American Diabetes Association in patients taking </w:t>
      </w:r>
      <w:proofErr w:type="spellStart"/>
      <w:r w:rsidRPr="00D75BDF">
        <w:rPr>
          <w:rFonts w:cs="Times New Roman"/>
          <w:szCs w:val="24"/>
        </w:rPr>
        <w:t>tesamorelin</w:t>
      </w:r>
      <w:proofErr w:type="spellEnd"/>
      <w:r w:rsidRPr="00D75BDF">
        <w:rPr>
          <w:rFonts w:cs="Times New Roman"/>
          <w:szCs w:val="24"/>
        </w:rPr>
        <w:t xml:space="preserve"> and patients taking a placebo, and revealed that </w:t>
      </w:r>
      <w:proofErr w:type="spellStart"/>
      <w:r w:rsidRPr="00D75BDF">
        <w:rPr>
          <w:rFonts w:cs="Times New Roman"/>
          <w:szCs w:val="24"/>
        </w:rPr>
        <w:t>tesamorelin</w:t>
      </w:r>
      <w:proofErr w:type="spellEnd"/>
      <w:r w:rsidRPr="00D75BDF">
        <w:rPr>
          <w:rFonts w:cs="Times New Roman"/>
          <w:szCs w:val="24"/>
        </w:rPr>
        <w:t xml:space="preserve"> did not have a clinically significant effect on the glucose levels of patients. </w:t>
      </w:r>
    </w:p>
    <w:p w:rsidR="00391DB6" w:rsidRPr="00D75BDF" w:rsidRDefault="00391DB6" w:rsidP="00391DB6">
      <w:pPr>
        <w:pStyle w:val="ParaNoNdepar-AltN"/>
        <w:tabs>
          <w:tab w:val="clear" w:pos="1152"/>
          <w:tab w:val="left" w:pos="1166"/>
        </w:tabs>
        <w:rPr>
          <w:rFonts w:cs="Times New Roman"/>
          <w:szCs w:val="24"/>
        </w:rPr>
      </w:pPr>
      <w:r w:rsidRPr="00D75BDF">
        <w:rPr>
          <w:rFonts w:cs="Times New Roman"/>
          <w:szCs w:val="24"/>
        </w:rPr>
        <w:lastRenderedPageBreak/>
        <w:t>The results of the clinical trials were disclosed to shareholders as they became available. In its November 2008 Annual Notice, for example, Thera summarized its clinical results to date and noted that</w:t>
      </w:r>
    </w:p>
    <w:p w:rsidR="00391DB6" w:rsidRPr="00D75BDF" w:rsidRDefault="00A168E8" w:rsidP="00391DB6">
      <w:pPr>
        <w:pStyle w:val="Citation-AltC"/>
        <w:rPr>
          <w:rStyle w:val="hps"/>
          <w:sz w:val="20"/>
          <w:szCs w:val="20"/>
        </w:rPr>
      </w:pPr>
      <w:proofErr w:type="gramStart"/>
      <w:r>
        <w:t>t</w:t>
      </w:r>
      <w:r w:rsidR="00391DB6" w:rsidRPr="00D75BDF">
        <w:t>he</w:t>
      </w:r>
      <w:proofErr w:type="gramEnd"/>
      <w:r w:rsidR="00391DB6" w:rsidRPr="00D75BDF">
        <w:t xml:space="preserve"> administration of [</w:t>
      </w:r>
      <w:r>
        <w:t>the hormone] is not indicated for</w:t>
      </w:r>
      <w:r w:rsidR="00391DB6" w:rsidRPr="00D75BDF">
        <w:t xml:space="preserve"> glucose-intolerant patients, a condition often observed in these patients. Consequently, </w:t>
      </w:r>
      <w:proofErr w:type="spellStart"/>
      <w:r w:rsidR="00391DB6" w:rsidRPr="00D75BDF">
        <w:t>Theratechnologies</w:t>
      </w:r>
      <w:proofErr w:type="spellEnd"/>
      <w:r w:rsidR="00391DB6" w:rsidRPr="00D75BDF">
        <w:t xml:space="preserve"> decided to study the effect of </w:t>
      </w:r>
      <w:proofErr w:type="spellStart"/>
      <w:r w:rsidR="00391DB6" w:rsidRPr="00D75BDF">
        <w:t>tesamorelin</w:t>
      </w:r>
      <w:proofErr w:type="spellEnd"/>
      <w:r w:rsidR="00391DB6" w:rsidRPr="00D75BDF">
        <w:t xml:space="preserve"> in the treatment of this condition. Highlights of the study included a good safety profile, a clear effect on body composition and a clinically relevant reduction in visceral fat while subcutaneous fat was preserved.</w:t>
      </w:r>
    </w:p>
    <w:p w:rsidR="00391DB6" w:rsidRPr="00D75BDF" w:rsidRDefault="00391DB6" w:rsidP="00391DB6">
      <w:pPr>
        <w:pStyle w:val="Citation-AltC"/>
        <w:rPr>
          <w:rStyle w:val="hps"/>
          <w:sz w:val="20"/>
          <w:szCs w:val="20"/>
        </w:rPr>
      </w:pPr>
    </w:p>
    <w:p w:rsidR="00391DB6" w:rsidRPr="00D75BDF" w:rsidRDefault="00391DB6" w:rsidP="00391DB6">
      <w:pPr>
        <w:pStyle w:val="ParaNoNdepar-AltN"/>
        <w:tabs>
          <w:tab w:val="clear" w:pos="1152"/>
          <w:tab w:val="left" w:pos="1166"/>
        </w:tabs>
        <w:rPr>
          <w:rFonts w:cs="Times New Roman"/>
        </w:rPr>
      </w:pPr>
      <w:r w:rsidRPr="00D75BDF">
        <w:rPr>
          <w:rFonts w:cs="Times New Roman"/>
        </w:rPr>
        <w:t>On November 11, 2009, Thera, in collaboration with two external experts, presented the combined results of its two phase-three clinical trials at the 12th European AIDS Conference. The fact of this presentation and its content were disclosed to investors via a press release, which stated that “[n]o clinically important changes in glucose parameters were observed af</w:t>
      </w:r>
      <w:r w:rsidR="00FB49FD">
        <w:rPr>
          <w:rFonts w:cs="Times New Roman"/>
        </w:rPr>
        <w:t xml:space="preserve">ter treatment with </w:t>
      </w:r>
      <w:proofErr w:type="spellStart"/>
      <w:r w:rsidR="00FB49FD">
        <w:rPr>
          <w:rFonts w:cs="Times New Roman"/>
        </w:rPr>
        <w:t>tesamorelin</w:t>
      </w:r>
      <w:proofErr w:type="spellEnd"/>
      <w:r w:rsidR="007F51EF">
        <w:rPr>
          <w:rFonts w:cs="Times New Roman"/>
        </w:rPr>
        <w:t xml:space="preserve"> . . . .</w:t>
      </w:r>
      <w:r w:rsidR="00FB49FD">
        <w:rPr>
          <w:rFonts w:cs="Times New Roman"/>
        </w:rPr>
        <w:t>”</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On March 1, 2010, Thera issued a press release announcing the publication of a study detailing its combined clinical results in the publicly available </w:t>
      </w:r>
      <w:r w:rsidRPr="00D75BDF">
        <w:rPr>
          <w:rFonts w:cs="Times New Roman"/>
          <w:i/>
        </w:rPr>
        <w:t>Journal of Acquired Immune Deficiency Syndromes</w:t>
      </w:r>
      <w:r w:rsidRPr="00D75BDF">
        <w:rPr>
          <w:rFonts w:cs="Times New Roman"/>
        </w:rPr>
        <w:t xml:space="preserve">. The press release provided a link to the study, which included an abstract highlighting the clinical results and concluding that the potential side effects of </w:t>
      </w:r>
      <w:proofErr w:type="spellStart"/>
      <w:r w:rsidRPr="00D75BDF">
        <w:rPr>
          <w:rFonts w:cs="Times New Roman"/>
        </w:rPr>
        <w:t>tesamorelin</w:t>
      </w:r>
      <w:proofErr w:type="spellEnd"/>
      <w:r w:rsidRPr="00D75BDF">
        <w:rPr>
          <w:rFonts w:cs="Times New Roman"/>
        </w:rPr>
        <w:t xml:space="preserve"> were not significant:</w:t>
      </w:r>
    </w:p>
    <w:p w:rsidR="00391DB6" w:rsidRPr="00D75BDF" w:rsidRDefault="00391DB6" w:rsidP="00391DB6">
      <w:pPr>
        <w:pStyle w:val="Citation-AltC"/>
      </w:pPr>
      <w:proofErr w:type="spellStart"/>
      <w:r w:rsidRPr="00D75BDF">
        <w:t>Tesamorelin</w:t>
      </w:r>
      <w:proofErr w:type="spellEnd"/>
      <w:r w:rsidRPr="00D75BDF">
        <w:t xml:space="preserve"> reduces visceral fat by approximately 18% and improves body image distress in HIV-infected patients with central fat accumulation. These changes are achieved without significant side effects or perturbatio</w:t>
      </w:r>
      <w:r w:rsidR="00B419E3">
        <w:t>n of glucose. [p. 311]</w:t>
      </w:r>
    </w:p>
    <w:p w:rsidR="00391DB6" w:rsidRPr="00D75BDF" w:rsidRDefault="00391DB6" w:rsidP="00391DB6">
      <w:pPr>
        <w:pStyle w:val="ParaNoNdepar-AltN"/>
        <w:tabs>
          <w:tab w:val="clear" w:pos="1152"/>
          <w:tab w:val="left" w:pos="1166"/>
        </w:tabs>
        <w:rPr>
          <w:rFonts w:cs="Times New Roman"/>
        </w:rPr>
      </w:pPr>
      <w:r w:rsidRPr="00D75BDF">
        <w:rPr>
          <w:rFonts w:cs="Times New Roman"/>
        </w:rPr>
        <w:lastRenderedPageBreak/>
        <w:t xml:space="preserve">Through these press releases, Thera disclosed to its shareholders that it was monitoring </w:t>
      </w:r>
      <w:proofErr w:type="spellStart"/>
      <w:r w:rsidRPr="00D75BDF">
        <w:rPr>
          <w:rFonts w:cs="Times New Roman"/>
        </w:rPr>
        <w:t>tesamorelin’s</w:t>
      </w:r>
      <w:proofErr w:type="spellEnd"/>
      <w:r w:rsidRPr="00D75BDF">
        <w:rPr>
          <w:rFonts w:cs="Times New Roman"/>
        </w:rPr>
        <w:t xml:space="preserve"> side effects, including on patients’ blood sugar levels.  It provided both summaries and full studies detailing the results of its clinical trials.  There is no allegation that any of these reports were either false or misleading.  A reasonable investor who read Thera’s news releases would have known that blood sugar issues and diabetes were potential side effects of the drug, and that Thera’s clinical trials had found they were not clinically significant.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As a result, this case can be distinguished from </w:t>
      </w:r>
      <w:proofErr w:type="spellStart"/>
      <w:r w:rsidRPr="00D75BDF">
        <w:rPr>
          <w:rFonts w:cs="Times New Roman"/>
          <w:i/>
          <w:szCs w:val="24"/>
        </w:rPr>
        <w:t>Pezim</w:t>
      </w:r>
      <w:proofErr w:type="spellEnd"/>
      <w:r w:rsidRPr="00D75BDF">
        <w:rPr>
          <w:rFonts w:cs="Times New Roman"/>
          <w:i/>
          <w:szCs w:val="24"/>
        </w:rPr>
        <w:t xml:space="preserve"> v. British Columbia (Superintendent of Brokers)</w:t>
      </w:r>
      <w:r w:rsidRPr="00D75BDF">
        <w:rPr>
          <w:rFonts w:cs="Times New Roman"/>
          <w:szCs w:val="24"/>
        </w:rPr>
        <w:t>,</w:t>
      </w:r>
      <w:r w:rsidRPr="00D75BDF">
        <w:rPr>
          <w:rFonts w:cs="Times New Roman"/>
          <w:sz w:val="22"/>
        </w:rPr>
        <w:t xml:space="preserve"> </w:t>
      </w:r>
      <w:r w:rsidRPr="00D75BDF">
        <w:rPr>
          <w:rFonts w:cs="Times New Roman"/>
          <w:spacing w:val="-3"/>
        </w:rPr>
        <w:t xml:space="preserve">[1994] 2 S.C.R. 557, in which </w:t>
      </w:r>
      <w:r w:rsidRPr="00D75BDF">
        <w:rPr>
          <w:rFonts w:cs="Times New Roman"/>
          <w:szCs w:val="24"/>
        </w:rPr>
        <w:t>the Court held that information contained in drilling results regarding a mining company’s exploration site could constitute a material change in the “business, operations, assets or ownership of the issuer”, since they could reasonably be expected to significantly affect the company’s assets.</w:t>
      </w:r>
      <w:r w:rsidRPr="00D75BDF">
        <w:rPr>
          <w:rFonts w:cs="Times New Roman"/>
        </w:rPr>
        <w:t xml:space="preserve"> </w:t>
      </w:r>
      <w:r>
        <w:rPr>
          <w:rFonts w:cs="Times New Roman"/>
        </w:rPr>
        <w:t xml:space="preserve"> </w:t>
      </w:r>
      <w:r w:rsidRPr="00D75BDF">
        <w:rPr>
          <w:rFonts w:cs="Times New Roman"/>
        </w:rPr>
        <w:t xml:space="preserve">Unlike the drilling results at issue in </w:t>
      </w:r>
      <w:proofErr w:type="spellStart"/>
      <w:r w:rsidRPr="00D75BDF">
        <w:rPr>
          <w:rFonts w:cs="Times New Roman"/>
          <w:i/>
        </w:rPr>
        <w:t>Pezim</w:t>
      </w:r>
      <w:proofErr w:type="spellEnd"/>
      <w:r w:rsidRPr="00D75BDF">
        <w:rPr>
          <w:rFonts w:cs="Times New Roman"/>
        </w:rPr>
        <w:t xml:space="preserve">, the potential side effects of </w:t>
      </w:r>
      <w:proofErr w:type="spellStart"/>
      <w:r w:rsidRPr="00D75BDF">
        <w:rPr>
          <w:rFonts w:cs="Times New Roman"/>
        </w:rPr>
        <w:t>tesamorelin</w:t>
      </w:r>
      <w:proofErr w:type="spellEnd"/>
      <w:r w:rsidRPr="00D75BDF">
        <w:rPr>
          <w:rFonts w:cs="Times New Roman"/>
        </w:rPr>
        <w:t xml:space="preserve"> had already been disclosed to shareholders well before the FDA published its questions and the rest of its briefing materials. There was no new information about the side effects of </w:t>
      </w:r>
      <w:proofErr w:type="spellStart"/>
      <w:r w:rsidRPr="00D75BDF">
        <w:rPr>
          <w:rFonts w:cs="Times New Roman"/>
        </w:rPr>
        <w:t>tesamorelin</w:t>
      </w:r>
      <w:proofErr w:type="spellEnd"/>
      <w:r w:rsidRPr="00D75BDF">
        <w:rPr>
          <w:rFonts w:cs="Times New Roman"/>
        </w:rPr>
        <w:t xml:space="preserve"> that required timely disclosure as of May 11, 2010.</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121851’s argument is more analogous to the claim in </w:t>
      </w:r>
      <w:r w:rsidRPr="00D75BDF">
        <w:rPr>
          <w:rFonts w:cs="Times New Roman"/>
          <w:i/>
        </w:rPr>
        <w:t xml:space="preserve">Kerr v. </w:t>
      </w:r>
      <w:proofErr w:type="spellStart"/>
      <w:r w:rsidRPr="00D75BDF">
        <w:rPr>
          <w:rFonts w:cs="Times New Roman"/>
          <w:i/>
        </w:rPr>
        <w:t>Danier</w:t>
      </w:r>
      <w:proofErr w:type="spellEnd"/>
      <w:r w:rsidRPr="00D75BDF">
        <w:rPr>
          <w:rFonts w:cs="Times New Roman"/>
          <w:i/>
        </w:rPr>
        <w:t xml:space="preserve"> Leather Inc.</w:t>
      </w:r>
      <w:r w:rsidRPr="00D75BDF">
        <w:rPr>
          <w:rFonts w:cs="Times New Roman"/>
        </w:rPr>
        <w:t>,</w:t>
      </w:r>
      <w:r w:rsidRPr="00D75BDF">
        <w:rPr>
          <w:rFonts w:cs="Times New Roman"/>
          <w:i/>
        </w:rPr>
        <w:t xml:space="preserve"> </w:t>
      </w:r>
      <w:r w:rsidRPr="00D75BDF">
        <w:rPr>
          <w:rFonts w:cs="Times New Roman"/>
        </w:rPr>
        <w:t>[2007] 3 S.C.R. 331.  The company, which was making an initial public offering (IPO) of its shares, had issued preliminary prospectuses which included a sales forecast for the fourth quarter of the fiscal year to its potential investors. Unseasonably warm weather, however, knocked the company</w:t>
      </w:r>
      <w:r w:rsidR="00664C0E">
        <w:rPr>
          <w:rFonts w:cs="Times New Roman"/>
        </w:rPr>
        <w:t>’s</w:t>
      </w:r>
      <w:r w:rsidRPr="00D75BDF">
        <w:rPr>
          <w:rFonts w:cs="Times New Roman"/>
        </w:rPr>
        <w:t xml:space="preserve"> sales forecasts off </w:t>
      </w:r>
      <w:r w:rsidRPr="00D75BDF">
        <w:rPr>
          <w:rFonts w:cs="Times New Roman"/>
        </w:rPr>
        <w:lastRenderedPageBreak/>
        <w:t>track as the quarter progressed. After its IPO had closed, the company</w:t>
      </w:r>
      <w:r w:rsidR="00664C0E">
        <w:rPr>
          <w:rFonts w:cs="Times New Roman"/>
        </w:rPr>
        <w:t xml:space="preserve"> </w:t>
      </w:r>
      <w:r w:rsidRPr="00D75BDF">
        <w:rPr>
          <w:rFonts w:cs="Times New Roman"/>
        </w:rPr>
        <w:t>disclosed its intra-quarterly results in a press release, triggering a sharp drop in its share value. Although the company ultimately realized its initial sales forecasts, the claimants launched a class action, alleging that the company had withheld the intra-quarterly results to ensure the success of its IPO.</w:t>
      </w:r>
    </w:p>
    <w:p w:rsidR="00391DB6" w:rsidRPr="00D75BDF" w:rsidRDefault="00391DB6" w:rsidP="00391DB6">
      <w:pPr>
        <w:pStyle w:val="ParaNoNdepar-AltN"/>
        <w:tabs>
          <w:tab w:val="clear" w:pos="1152"/>
          <w:tab w:val="left" w:pos="1166"/>
        </w:tabs>
        <w:rPr>
          <w:rFonts w:cs="Times New Roman"/>
        </w:rPr>
      </w:pPr>
      <w:r w:rsidRPr="00D75BDF">
        <w:rPr>
          <w:rFonts w:cs="Times New Roman"/>
        </w:rPr>
        <w:t>This Court held that the intra-quarterly results did not constitute a material change to the business, operations or capital of the company because the warm weather that triggered the drop in sales was external to the company and its business:</w:t>
      </w:r>
    </w:p>
    <w:p w:rsidR="00391DB6" w:rsidRPr="00D75BDF" w:rsidRDefault="00391DB6" w:rsidP="00391DB6">
      <w:pPr>
        <w:pStyle w:val="Citation-AltC"/>
      </w:pPr>
      <w:r>
        <w:t>. . .</w:t>
      </w:r>
      <w:r w:rsidRPr="00D75BDF">
        <w:t xml:space="preserve"> </w:t>
      </w:r>
      <w:proofErr w:type="gramStart"/>
      <w:r w:rsidRPr="00D75BDF">
        <w:t>a</w:t>
      </w:r>
      <w:proofErr w:type="gramEnd"/>
      <w:r w:rsidRPr="00D75BDF">
        <w:t xml:space="preserve"> change in intra-quarterly results is not itself a change in the issuer’s business, operations or capital and, for that matter, does not necessarily signal that a material change has occurred.  Sales often fluctuate (as here) in response to factors that are external to the issuer.</w:t>
      </w:r>
    </w:p>
    <w:p w:rsidR="00391DB6" w:rsidRPr="00D75BDF" w:rsidRDefault="00391DB6" w:rsidP="00391DB6">
      <w:pPr>
        <w:pStyle w:val="Citation-AltC"/>
      </w:pPr>
    </w:p>
    <w:p w:rsidR="00391DB6" w:rsidRPr="00D75BDF" w:rsidRDefault="00391DB6" w:rsidP="00391DB6">
      <w:pPr>
        <w:pStyle w:val="Citation-AltC"/>
      </w:pPr>
      <w:r w:rsidRPr="00D75BDF">
        <w:tab/>
        <w:t xml:space="preserve">It almost goes without saying that poor intra-quarterly results may </w:t>
      </w:r>
      <w:r w:rsidRPr="00D75BDF">
        <w:rPr>
          <w:i/>
          <w:iCs/>
        </w:rPr>
        <w:t>reflect</w:t>
      </w:r>
      <w:r w:rsidRPr="00D75BDF">
        <w:t xml:space="preserve"> a material change in business operations.</w:t>
      </w:r>
      <w:r>
        <w:t xml:space="preserve"> </w:t>
      </w:r>
      <w:r w:rsidRPr="00D75BDF">
        <w:t xml:space="preserve"> A company that has, for example, restructured its operations may experience poor intra-quarterly results because of this restructuring, but it is the restructuring and not the results themselves that would amount to a material change and thus trigger the disclosure obligation.</w:t>
      </w:r>
      <w:r>
        <w:t xml:space="preserve"> </w:t>
      </w:r>
      <w:r w:rsidRPr="00D75BDF">
        <w:t xml:space="preserve"> Additionally, poor intra-quarterly results may motivate a company to implement a change in its business, operations or capital in an effort to improve performance.</w:t>
      </w:r>
      <w:r>
        <w:t xml:space="preserve"> </w:t>
      </w:r>
      <w:r w:rsidRPr="00D75BDF">
        <w:t xml:space="preserve"> Again, though, the disclosure obligation would be triggered by the change in the business, operations or capital, and not by the results themselves. [Emphasis in original; paras. 46-47.]</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The same is true in this case. 121851 argues that the FDA’s preoccupation with the side effects represents a material change in Thera’s operations, business or capital.  But it has not pointed to any evidence to suggest that the questions the FDA posed to its Advisory Committee about these side effects, or </w:t>
      </w:r>
      <w:r w:rsidRPr="00D75BDF">
        <w:rPr>
          <w:rFonts w:cs="Times New Roman"/>
        </w:rPr>
        <w:lastRenderedPageBreak/>
        <w:t xml:space="preserve">the contents of its Briefing Package more generally, departed in any way from the regular and routine process through which the FDA assesses whether a drug should be approved. Nor is there any evidence that the questions reflected new and undisclosed information about </w:t>
      </w:r>
      <w:proofErr w:type="spellStart"/>
      <w:r w:rsidRPr="00D75BDF">
        <w:rPr>
          <w:rFonts w:cs="Times New Roman"/>
        </w:rPr>
        <w:t>tesamorelin</w:t>
      </w:r>
      <w:proofErr w:type="spellEnd"/>
      <w:r w:rsidRPr="00D75BDF">
        <w:rPr>
          <w:rFonts w:cs="Times New Roman"/>
        </w:rPr>
        <w:t>.  In fact, the evidence on the record suggests the opposite.  It is FDA policy to prepare briefing materials for an Advisory Committee, including information compiled by both the FDA and the sponsoring company, and to post those materials two days before an Advisory Committee meeting. Questions from the FDA to its expert Advisory Committee about the side effects of a drug do not constitute a departure from the normal FDA process, or, necessarily an indication of whether the drug will be approved.  Rather, they are a routine step in the FDA’s work to determine whether a drug’s benefits outweigh its risks. As such, it is difficult to characterize these questions as any kind of change to Thera’s business, operations, or capital requiring a reassuring public response from Thera.</w:t>
      </w:r>
    </w:p>
    <w:p w:rsidR="00391DB6" w:rsidRPr="00D75BDF" w:rsidRDefault="00391DB6" w:rsidP="00391DB6">
      <w:pPr>
        <w:pStyle w:val="ParaNoNdepar-AltN"/>
        <w:tabs>
          <w:tab w:val="clear" w:pos="1152"/>
          <w:tab w:val="left" w:pos="1166"/>
        </w:tabs>
        <w:rPr>
          <w:rFonts w:cs="Times New Roman"/>
        </w:rPr>
      </w:pPr>
      <w:r w:rsidRPr="00D75BDF">
        <w:rPr>
          <w:rFonts w:cs="Times New Roman"/>
          <w:szCs w:val="24"/>
        </w:rPr>
        <w:t>121851 argues that the market’s reaction demonstrates that the FDA’s concerns about side effects constitute a material change.  It points out that the Canadian Securities Administrators’ “</w:t>
      </w:r>
      <w:r w:rsidRPr="00664EDD">
        <w:rPr>
          <w:rFonts w:cs="Times New Roman"/>
          <w:szCs w:val="24"/>
        </w:rPr>
        <w:t>National Policy 51-201 Disclosure Standards</w:t>
      </w:r>
      <w:r w:rsidRPr="00D75BDF">
        <w:rPr>
          <w:rFonts w:cs="Times New Roman"/>
          <w:szCs w:val="24"/>
        </w:rPr>
        <w:t>”</w:t>
      </w:r>
      <w:r w:rsidRPr="000E6C05">
        <w:rPr>
          <w:rFonts w:cs="Times New Roman"/>
          <w:szCs w:val="24"/>
        </w:rPr>
        <w:t xml:space="preserve"> </w:t>
      </w:r>
      <w:r w:rsidRPr="00D75BDF">
        <w:rPr>
          <w:rFonts w:cs="Times New Roman"/>
          <w:szCs w:val="24"/>
        </w:rPr>
        <w:t xml:space="preserve">includes among its list of potentially “material” information “any development that affects the company’s resources, technology, products or markets”: Article 4.3.  Because this example falls under the subheading of “changes in business and operations”, </w:t>
      </w:r>
      <w:r w:rsidRPr="00D75BDF">
        <w:rPr>
          <w:rFonts w:cs="Times New Roman"/>
        </w:rPr>
        <w:t>121851</w:t>
      </w:r>
      <w:r w:rsidRPr="00D75BDF">
        <w:rPr>
          <w:rFonts w:cs="Times New Roman"/>
          <w:szCs w:val="24"/>
        </w:rPr>
        <w:t xml:space="preserve"> submits that the FDA’s questions are a development that could be considered a material change.  </w:t>
      </w:r>
    </w:p>
    <w:p w:rsidR="00391DB6" w:rsidRPr="00D75BDF" w:rsidRDefault="00391DB6" w:rsidP="00391DB6">
      <w:pPr>
        <w:pStyle w:val="ParaNoNdepar-AltN"/>
        <w:tabs>
          <w:tab w:val="clear" w:pos="1152"/>
          <w:tab w:val="left" w:pos="1166"/>
        </w:tabs>
        <w:rPr>
          <w:rFonts w:cs="Times New Roman"/>
        </w:rPr>
      </w:pPr>
      <w:r w:rsidRPr="00D75BDF">
        <w:rPr>
          <w:rFonts w:cs="Times New Roman"/>
          <w:szCs w:val="24"/>
        </w:rPr>
        <w:lastRenderedPageBreak/>
        <w:t xml:space="preserve">This section of the policy, however, deals with the market impact of events, not whether they are best characterized as material facts or material changes. To adopt this list as dispositive of whether there was a change in the business, operations or capital of a reporting issuer would collapse the distinction between material facts and material changes, significantly expanding timely disclosure obligations beyond what is required by statute.  </w:t>
      </w:r>
      <w:r w:rsidRPr="00D75BDF">
        <w:rPr>
          <w:rFonts w:cs="Times New Roman"/>
        </w:rPr>
        <w:t>This would, in effect, allow the Canadian Securities Administrators’ policy to amend Quebec’s securities legislation</w:t>
      </w:r>
      <w:r w:rsidRPr="00D75BDF">
        <w:rPr>
          <w:rFonts w:cs="Times New Roman"/>
          <w:szCs w:val="24"/>
        </w:rPr>
        <w:t xml:space="preserve">, contrary to this Court’s ruling in </w:t>
      </w:r>
      <w:proofErr w:type="spellStart"/>
      <w:r w:rsidRPr="00D75BDF">
        <w:rPr>
          <w:rFonts w:cs="Times New Roman"/>
          <w:i/>
          <w:szCs w:val="24"/>
        </w:rPr>
        <w:t>Pezim</w:t>
      </w:r>
      <w:proofErr w:type="spellEnd"/>
      <w:r w:rsidRPr="00D75BDF">
        <w:rPr>
          <w:rFonts w:cs="Times New Roman"/>
        </w:rPr>
        <w:t>.</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It is true that Thera had sometimes disclosed routine aspects of the FDA process in press releases to its shareholders in the months leading up to the Advisory Committee meeting, but this does not bring the FDA’s questions to its Advisory Committee within the statutory definition of a material change.  Thera had a statutory duty to disclose material changes in its operations, capital or business in a timely manner, not to reassure its investors at every stage of the FDA approval process. </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Finally, even if Thera had issued a press release on May 11, 2010 after it received the FDA’s briefing materials, it is not clear what reassurance Thera could have provided at this stage, given that the outcome of the FDA process, as every reasonable investor would have known and as Thera repeatedly made clear, is always uncertain. As the U.S. Supreme Court acknowledged in </w:t>
      </w:r>
      <w:r w:rsidRPr="00D75BDF">
        <w:rPr>
          <w:rFonts w:cs="Times New Roman"/>
          <w:i/>
        </w:rPr>
        <w:t>TSC Industries, Inc. v. Northway, Inc.</w:t>
      </w:r>
      <w:r w:rsidR="007E3D87">
        <w:rPr>
          <w:rFonts w:cs="Times New Roman"/>
        </w:rPr>
        <w:t xml:space="preserve">, </w:t>
      </w:r>
      <w:r w:rsidRPr="00D75BDF">
        <w:rPr>
          <w:rFonts w:cs="Times New Roman"/>
        </w:rPr>
        <w:t xml:space="preserve">426 U.S. 438 (1976), there are risks of excessive disclosure, which could “simply </w:t>
      </w:r>
      <w:r>
        <w:rPr>
          <w:rFonts w:cs="Times New Roman"/>
        </w:rPr>
        <w:t>. . .</w:t>
      </w:r>
      <w:r w:rsidRPr="00D75BDF">
        <w:rPr>
          <w:rFonts w:cs="Times New Roman"/>
        </w:rPr>
        <w:t xml:space="preserve"> bury the shareholders in an avalanche of trivial information — a </w:t>
      </w:r>
      <w:r w:rsidRPr="00D75BDF">
        <w:rPr>
          <w:rFonts w:cs="Times New Roman"/>
        </w:rPr>
        <w:lastRenderedPageBreak/>
        <w:t>result that is hardly</w:t>
      </w:r>
      <w:r w:rsidR="00A20629">
        <w:rPr>
          <w:rFonts w:cs="Times New Roman"/>
        </w:rPr>
        <w:t xml:space="preserve"> conducive to informed </w:t>
      </w:r>
      <w:proofErr w:type="spellStart"/>
      <w:r w:rsidR="00A20629">
        <w:rPr>
          <w:rFonts w:cs="Times New Roman"/>
        </w:rPr>
        <w:t>decision</w:t>
      </w:r>
      <w:r w:rsidRPr="00D75BDF">
        <w:rPr>
          <w:rFonts w:cs="Times New Roman"/>
        </w:rPr>
        <w:t>making</w:t>
      </w:r>
      <w:proofErr w:type="spellEnd"/>
      <w:r w:rsidRPr="00D75BDF">
        <w:rPr>
          <w:rFonts w:cs="Times New Roman"/>
        </w:rPr>
        <w:t xml:space="preserve">”: pp. 448-49, cited in </w:t>
      </w:r>
      <w:r w:rsidRPr="00D75BDF">
        <w:rPr>
          <w:rFonts w:cs="Times New Roman"/>
          <w:i/>
        </w:rPr>
        <w:t>Cornish</w:t>
      </w:r>
      <w:r w:rsidRPr="00D75BDF">
        <w:rPr>
          <w:rFonts w:cs="Times New Roman"/>
        </w:rPr>
        <w:t>, at para. 41.</w:t>
      </w:r>
    </w:p>
    <w:p w:rsidR="00391DB6" w:rsidRPr="00D75BDF" w:rsidRDefault="00391DB6" w:rsidP="00391DB6">
      <w:pPr>
        <w:pStyle w:val="ParaNoNdepar-AltN"/>
        <w:tabs>
          <w:tab w:val="clear" w:pos="1152"/>
          <w:tab w:val="left" w:pos="1166"/>
        </w:tabs>
        <w:rPr>
          <w:rFonts w:cs="Times New Roman"/>
        </w:rPr>
      </w:pPr>
      <w:r w:rsidRPr="00D75BDF">
        <w:rPr>
          <w:rFonts w:cs="Times New Roman"/>
        </w:rPr>
        <w:t xml:space="preserve">Because the evidence does not credibly point to a material change that could have triggered timely disclosure obligations, there is no reasonable possibility that 121851’s action under s. 73 of the </w:t>
      </w:r>
      <w:r w:rsidRPr="00D75BDF">
        <w:rPr>
          <w:rFonts w:cs="Times New Roman"/>
          <w:i/>
        </w:rPr>
        <w:t>Securities Act</w:t>
      </w:r>
      <w:r w:rsidRPr="00D75BDF">
        <w:rPr>
          <w:rFonts w:cs="Times New Roman"/>
        </w:rPr>
        <w:t xml:space="preserve"> could succeed.  I would allow the appeal with costs.</w:t>
      </w:r>
    </w:p>
    <w:p w:rsidR="009B57B3" w:rsidRPr="00250B2B" w:rsidRDefault="009B57B3" w:rsidP="003A7BEF">
      <w:pPr>
        <w:pStyle w:val="SCCNormalDoubleSpacing"/>
        <w:spacing w:after="480"/>
      </w:pPr>
      <w:r w:rsidRPr="00250B2B">
        <w:rPr>
          <w:lang w:val="en-US"/>
        </w:rPr>
        <w:tab/>
      </w:r>
      <w:r w:rsidR="00656313" w:rsidRPr="00250B2B">
        <w:rPr>
          <w:i/>
        </w:rPr>
        <w:t>Appeal</w:t>
      </w:r>
      <w:r w:rsidR="00425D4D" w:rsidRPr="00250B2B">
        <w:rPr>
          <w:i/>
        </w:rPr>
        <w:t xml:space="preserve"> </w:t>
      </w:r>
      <w:r w:rsidR="009C009E" w:rsidRPr="00250B2B">
        <w:rPr>
          <w:i/>
        </w:rPr>
        <w:t>allowed with costs</w:t>
      </w:r>
      <w:r w:rsidR="00425D4D" w:rsidRPr="00250B2B">
        <w:rPr>
          <w:i/>
        </w:rPr>
        <w:t>.</w:t>
      </w:r>
    </w:p>
    <w:p w:rsidR="00425D4D" w:rsidRPr="00250B2B" w:rsidRDefault="003A7BEF" w:rsidP="003A7BEF">
      <w:pPr>
        <w:pStyle w:val="SCCLawFirm"/>
        <w:spacing w:after="480"/>
        <w:rPr>
          <w:lang w:val="en-US"/>
        </w:rPr>
      </w:pPr>
      <w:r w:rsidRPr="00250B2B">
        <w:rPr>
          <w:lang w:val="en-US"/>
        </w:rPr>
        <w:tab/>
        <w:t>Solicitors for the appellants:</w:t>
      </w:r>
      <w:r w:rsidR="00391DB6">
        <w:rPr>
          <w:lang w:val="en-US"/>
        </w:rPr>
        <w:t xml:space="preserve"> </w:t>
      </w:r>
      <w:r w:rsidR="00425D4D" w:rsidRPr="00250B2B">
        <w:rPr>
          <w:lang w:val="en-US"/>
        </w:rPr>
        <w:t xml:space="preserve">Fasken Martineau </w:t>
      </w:r>
      <w:proofErr w:type="spellStart"/>
      <w:r w:rsidR="00425D4D" w:rsidRPr="00250B2B">
        <w:rPr>
          <w:lang w:val="en-US"/>
        </w:rPr>
        <w:t>DuMoulin</w:t>
      </w:r>
      <w:proofErr w:type="spellEnd"/>
      <w:r w:rsidR="00425D4D" w:rsidRPr="00250B2B">
        <w:rPr>
          <w:lang w:val="en-US"/>
        </w:rPr>
        <w:t>, Montréal.</w:t>
      </w:r>
    </w:p>
    <w:p w:rsidR="00425D4D" w:rsidRPr="00250B2B" w:rsidRDefault="003A7BEF" w:rsidP="003A7BEF">
      <w:pPr>
        <w:pStyle w:val="SCCLawFirm"/>
        <w:spacing w:after="480"/>
        <w:rPr>
          <w:lang w:val="en-US"/>
        </w:rPr>
      </w:pPr>
      <w:r w:rsidRPr="00250B2B">
        <w:rPr>
          <w:lang w:val="en-US"/>
        </w:rPr>
        <w:tab/>
        <w:t>Solicitors for the respondent:</w:t>
      </w:r>
      <w:r w:rsidR="00391DB6">
        <w:rPr>
          <w:lang w:val="en-US"/>
        </w:rPr>
        <w:t xml:space="preserve"> </w:t>
      </w:r>
      <w:proofErr w:type="spellStart"/>
      <w:r w:rsidR="00425D4D" w:rsidRPr="00250B2B">
        <w:rPr>
          <w:lang w:val="en-US"/>
        </w:rPr>
        <w:t>Savonitto</w:t>
      </w:r>
      <w:proofErr w:type="spellEnd"/>
      <w:r w:rsidR="00425D4D" w:rsidRPr="00250B2B">
        <w:rPr>
          <w:lang w:val="en-US"/>
        </w:rPr>
        <w:t xml:space="preserve"> &amp; A</w:t>
      </w:r>
      <w:r w:rsidR="00F03E0E" w:rsidRPr="00250B2B">
        <w:rPr>
          <w:lang w:val="en-US"/>
        </w:rPr>
        <w:t>ss.</w:t>
      </w:r>
      <w:r w:rsidR="00391DB6">
        <w:rPr>
          <w:lang w:val="en-US"/>
        </w:rPr>
        <w:t xml:space="preserve"> </w:t>
      </w:r>
      <w:r w:rsidR="00425D4D" w:rsidRPr="00250B2B">
        <w:rPr>
          <w:lang w:val="en-US"/>
        </w:rPr>
        <w:t>inc., Montréal.</w:t>
      </w:r>
    </w:p>
    <w:p w:rsidR="00EA0D5D" w:rsidRDefault="003A7BEF" w:rsidP="00391DB6">
      <w:pPr>
        <w:pStyle w:val="SCCLawFirm"/>
        <w:rPr>
          <w:b/>
          <w:i w:val="0"/>
        </w:rPr>
      </w:pPr>
      <w:r w:rsidRPr="00250B2B">
        <w:rPr>
          <w:lang w:val="en-US"/>
        </w:rPr>
        <w:tab/>
        <w:t>Solicitors for the intervener:</w:t>
      </w:r>
      <w:r w:rsidR="00391DB6">
        <w:rPr>
          <w:lang w:val="en-US"/>
        </w:rPr>
        <w:t xml:space="preserve"> </w:t>
      </w:r>
      <w:proofErr w:type="spellStart"/>
      <w:r w:rsidR="00425D4D" w:rsidRPr="00250B2B">
        <w:rPr>
          <w:lang w:val="en-US"/>
        </w:rPr>
        <w:t>Siskinds</w:t>
      </w:r>
      <w:proofErr w:type="spellEnd"/>
      <w:r w:rsidR="00425D4D" w:rsidRPr="00250B2B">
        <w:rPr>
          <w:lang w:val="en-US"/>
        </w:rPr>
        <w:t xml:space="preserve">, </w:t>
      </w:r>
      <w:proofErr w:type="spellStart"/>
      <w:r w:rsidR="00425D4D" w:rsidRPr="00250B2B">
        <w:rPr>
          <w:lang w:val="en-US"/>
        </w:rPr>
        <w:t>Desmeules</w:t>
      </w:r>
      <w:proofErr w:type="spellEnd"/>
      <w:r w:rsidR="00425D4D" w:rsidRPr="00250B2B">
        <w:rPr>
          <w:lang w:val="en-US"/>
        </w:rPr>
        <w:t xml:space="preserve">, </w:t>
      </w:r>
      <w:proofErr w:type="spellStart"/>
      <w:r w:rsidR="003A6359" w:rsidRPr="00250B2B">
        <w:rPr>
          <w:lang w:val="en-US"/>
        </w:rPr>
        <w:t>avocats</w:t>
      </w:r>
      <w:proofErr w:type="spellEnd"/>
      <w:r w:rsidR="003A6359" w:rsidRPr="00250B2B">
        <w:rPr>
          <w:lang w:val="en-US"/>
        </w:rPr>
        <w:t xml:space="preserve">, </w:t>
      </w:r>
      <w:r w:rsidR="00425D4D" w:rsidRPr="00250B2B">
        <w:rPr>
          <w:lang w:val="en-US"/>
        </w:rPr>
        <w:t xml:space="preserve">Québec; </w:t>
      </w:r>
      <w:proofErr w:type="spellStart"/>
      <w:r w:rsidR="00425D4D" w:rsidRPr="00250B2B">
        <w:rPr>
          <w:lang w:val="en-US"/>
        </w:rPr>
        <w:t>Siskinds</w:t>
      </w:r>
      <w:proofErr w:type="spellEnd"/>
      <w:r w:rsidR="00425D4D" w:rsidRPr="00250B2B">
        <w:rPr>
          <w:lang w:val="en-US"/>
        </w:rPr>
        <w:t>, London.</w:t>
      </w:r>
    </w:p>
    <w:p w:rsidR="00391DB6" w:rsidRPr="00391DB6" w:rsidRDefault="00391DB6" w:rsidP="00391DB6">
      <w:pPr>
        <w:pStyle w:val="SCCNormalDoubleSpacing"/>
      </w:pPr>
    </w:p>
    <w:sectPr w:rsidR="00391DB6" w:rsidRPr="00391DB6"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FD" w:rsidRDefault="00FB49FD">
      <w:r>
        <w:separator/>
      </w:r>
    </w:p>
  </w:endnote>
  <w:endnote w:type="continuationSeparator" w:id="0">
    <w:p w:rsidR="00FB49FD" w:rsidRDefault="00FB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FD" w:rsidRDefault="00FB49FD">
      <w:r>
        <w:separator/>
      </w:r>
    </w:p>
  </w:footnote>
  <w:footnote w:type="continuationSeparator" w:id="0">
    <w:p w:rsidR="00FB49FD" w:rsidRDefault="00FB4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FD" w:rsidRPr="00450352" w:rsidRDefault="00FB49FD"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DF7D0E"/>
    <w:multiLevelType w:val="hybridMultilevel"/>
    <w:tmpl w:val="B150EE0A"/>
    <w:lvl w:ilvl="0" w:tplc="1009000F">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B9CFC68"/>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2"/>
  </w:num>
  <w:num w:numId="5">
    <w:abstractNumId w:val="0"/>
  </w:num>
  <w:num w:numId="6">
    <w:abstractNumId w:val="4"/>
  </w:num>
  <w:num w:numId="7">
    <w:abstractNumId w:val="5"/>
  </w:num>
  <w:num w:numId="8">
    <w:abstractNumId w:val="3"/>
  </w:num>
  <w:num w:numId="9">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0FB7"/>
    <w:rsid w:val="00025198"/>
    <w:rsid w:val="00031A6A"/>
    <w:rsid w:val="00033F4D"/>
    <w:rsid w:val="000578A3"/>
    <w:rsid w:val="000648CC"/>
    <w:rsid w:val="00080147"/>
    <w:rsid w:val="000947B4"/>
    <w:rsid w:val="000A3EA8"/>
    <w:rsid w:val="000C59B8"/>
    <w:rsid w:val="000C6AF0"/>
    <w:rsid w:val="000E6C05"/>
    <w:rsid w:val="00104F33"/>
    <w:rsid w:val="00111DE2"/>
    <w:rsid w:val="00116B38"/>
    <w:rsid w:val="00121E46"/>
    <w:rsid w:val="00135406"/>
    <w:rsid w:val="00135972"/>
    <w:rsid w:val="001426A9"/>
    <w:rsid w:val="00142BD3"/>
    <w:rsid w:val="001528AD"/>
    <w:rsid w:val="00154D7C"/>
    <w:rsid w:val="001570B0"/>
    <w:rsid w:val="0015752C"/>
    <w:rsid w:val="00157737"/>
    <w:rsid w:val="00162161"/>
    <w:rsid w:val="00165277"/>
    <w:rsid w:val="00170592"/>
    <w:rsid w:val="00186351"/>
    <w:rsid w:val="00195D83"/>
    <w:rsid w:val="001A00C1"/>
    <w:rsid w:val="001A33FE"/>
    <w:rsid w:val="001A6FAF"/>
    <w:rsid w:val="001B33E0"/>
    <w:rsid w:val="001B4573"/>
    <w:rsid w:val="001C779F"/>
    <w:rsid w:val="001D2AC1"/>
    <w:rsid w:val="001D4E88"/>
    <w:rsid w:val="002052D3"/>
    <w:rsid w:val="002077EB"/>
    <w:rsid w:val="002123A1"/>
    <w:rsid w:val="002154B7"/>
    <w:rsid w:val="00220FC2"/>
    <w:rsid w:val="002222F4"/>
    <w:rsid w:val="00224FC0"/>
    <w:rsid w:val="00225EA4"/>
    <w:rsid w:val="00226EAF"/>
    <w:rsid w:val="00231F3A"/>
    <w:rsid w:val="00234199"/>
    <w:rsid w:val="002406EE"/>
    <w:rsid w:val="00243EC8"/>
    <w:rsid w:val="00250B2B"/>
    <w:rsid w:val="002644F5"/>
    <w:rsid w:val="00270D93"/>
    <w:rsid w:val="002745CC"/>
    <w:rsid w:val="0027512D"/>
    <w:rsid w:val="0028444A"/>
    <w:rsid w:val="002B4AF8"/>
    <w:rsid w:val="002B7924"/>
    <w:rsid w:val="002D28C3"/>
    <w:rsid w:val="002D39A4"/>
    <w:rsid w:val="002D7F78"/>
    <w:rsid w:val="002E3C35"/>
    <w:rsid w:val="002E65D3"/>
    <w:rsid w:val="002E6705"/>
    <w:rsid w:val="00301D08"/>
    <w:rsid w:val="0030329A"/>
    <w:rsid w:val="0031086F"/>
    <w:rsid w:val="0031414C"/>
    <w:rsid w:val="00314E01"/>
    <w:rsid w:val="0032089D"/>
    <w:rsid w:val="003310DE"/>
    <w:rsid w:val="003323B0"/>
    <w:rsid w:val="0035169A"/>
    <w:rsid w:val="0035259D"/>
    <w:rsid w:val="003554C0"/>
    <w:rsid w:val="00364B18"/>
    <w:rsid w:val="00391DB6"/>
    <w:rsid w:val="003A125D"/>
    <w:rsid w:val="003A4C70"/>
    <w:rsid w:val="003A6359"/>
    <w:rsid w:val="003A7BEF"/>
    <w:rsid w:val="003B17AB"/>
    <w:rsid w:val="003B215F"/>
    <w:rsid w:val="003C799C"/>
    <w:rsid w:val="003D0399"/>
    <w:rsid w:val="003E1C71"/>
    <w:rsid w:val="003F327B"/>
    <w:rsid w:val="00406166"/>
    <w:rsid w:val="0040704B"/>
    <w:rsid w:val="00410A55"/>
    <w:rsid w:val="00411300"/>
    <w:rsid w:val="00412B43"/>
    <w:rsid w:val="00415417"/>
    <w:rsid w:val="00425D4D"/>
    <w:rsid w:val="00426659"/>
    <w:rsid w:val="00450352"/>
    <w:rsid w:val="00454BDB"/>
    <w:rsid w:val="00464800"/>
    <w:rsid w:val="00465132"/>
    <w:rsid w:val="004720C2"/>
    <w:rsid w:val="00480C90"/>
    <w:rsid w:val="00480F1D"/>
    <w:rsid w:val="0048396F"/>
    <w:rsid w:val="00493C18"/>
    <w:rsid w:val="004A600C"/>
    <w:rsid w:val="004A6118"/>
    <w:rsid w:val="004B3932"/>
    <w:rsid w:val="004B5BA0"/>
    <w:rsid w:val="004C478D"/>
    <w:rsid w:val="004D25F7"/>
    <w:rsid w:val="004E2C26"/>
    <w:rsid w:val="004F00B7"/>
    <w:rsid w:val="004F36FF"/>
    <w:rsid w:val="0050445A"/>
    <w:rsid w:val="005125A8"/>
    <w:rsid w:val="00521AE8"/>
    <w:rsid w:val="00524109"/>
    <w:rsid w:val="00527180"/>
    <w:rsid w:val="0054201E"/>
    <w:rsid w:val="00555291"/>
    <w:rsid w:val="00566AD1"/>
    <w:rsid w:val="0058335F"/>
    <w:rsid w:val="00583EDE"/>
    <w:rsid w:val="0059301F"/>
    <w:rsid w:val="005A6079"/>
    <w:rsid w:val="005E2E12"/>
    <w:rsid w:val="005E4698"/>
    <w:rsid w:val="00610539"/>
    <w:rsid w:val="00610913"/>
    <w:rsid w:val="00613969"/>
    <w:rsid w:val="00617112"/>
    <w:rsid w:val="00625C35"/>
    <w:rsid w:val="00634CD1"/>
    <w:rsid w:val="00643AD6"/>
    <w:rsid w:val="00656313"/>
    <w:rsid w:val="006565F4"/>
    <w:rsid w:val="00657CB1"/>
    <w:rsid w:val="00664C0E"/>
    <w:rsid w:val="00664EDD"/>
    <w:rsid w:val="006709DA"/>
    <w:rsid w:val="0067297B"/>
    <w:rsid w:val="00684EEA"/>
    <w:rsid w:val="0069689B"/>
    <w:rsid w:val="006A1551"/>
    <w:rsid w:val="006B078E"/>
    <w:rsid w:val="006B5FF5"/>
    <w:rsid w:val="006B6E46"/>
    <w:rsid w:val="006F30AF"/>
    <w:rsid w:val="00701759"/>
    <w:rsid w:val="00705C15"/>
    <w:rsid w:val="0071600E"/>
    <w:rsid w:val="007208D1"/>
    <w:rsid w:val="00747288"/>
    <w:rsid w:val="00747DD3"/>
    <w:rsid w:val="0075355E"/>
    <w:rsid w:val="007549C8"/>
    <w:rsid w:val="00754A0B"/>
    <w:rsid w:val="00766D14"/>
    <w:rsid w:val="00767A0F"/>
    <w:rsid w:val="007A05F6"/>
    <w:rsid w:val="007B6F4A"/>
    <w:rsid w:val="007C7066"/>
    <w:rsid w:val="007E1C47"/>
    <w:rsid w:val="007E337A"/>
    <w:rsid w:val="007E3D87"/>
    <w:rsid w:val="007E5C70"/>
    <w:rsid w:val="007F2FF5"/>
    <w:rsid w:val="007F3F08"/>
    <w:rsid w:val="007F51EF"/>
    <w:rsid w:val="00804CC6"/>
    <w:rsid w:val="00817190"/>
    <w:rsid w:val="00820EE5"/>
    <w:rsid w:val="008260E2"/>
    <w:rsid w:val="008322BD"/>
    <w:rsid w:val="00833E0A"/>
    <w:rsid w:val="00834F73"/>
    <w:rsid w:val="00864CF8"/>
    <w:rsid w:val="00872819"/>
    <w:rsid w:val="00874914"/>
    <w:rsid w:val="00891422"/>
    <w:rsid w:val="00892E1A"/>
    <w:rsid w:val="008A003E"/>
    <w:rsid w:val="008A07D9"/>
    <w:rsid w:val="008A1628"/>
    <w:rsid w:val="008A3F29"/>
    <w:rsid w:val="008A64D0"/>
    <w:rsid w:val="008B0FC9"/>
    <w:rsid w:val="008B2295"/>
    <w:rsid w:val="008B660A"/>
    <w:rsid w:val="008C01DA"/>
    <w:rsid w:val="008D6D46"/>
    <w:rsid w:val="008F78E9"/>
    <w:rsid w:val="00911989"/>
    <w:rsid w:val="009179F9"/>
    <w:rsid w:val="00933E5E"/>
    <w:rsid w:val="00935218"/>
    <w:rsid w:val="009403F3"/>
    <w:rsid w:val="009555B7"/>
    <w:rsid w:val="009567AA"/>
    <w:rsid w:val="00967374"/>
    <w:rsid w:val="0097431F"/>
    <w:rsid w:val="009A343A"/>
    <w:rsid w:val="009B0E3E"/>
    <w:rsid w:val="009B2F23"/>
    <w:rsid w:val="009B57B3"/>
    <w:rsid w:val="009C009E"/>
    <w:rsid w:val="009C5B92"/>
    <w:rsid w:val="009C5C21"/>
    <w:rsid w:val="009C67D2"/>
    <w:rsid w:val="009D2920"/>
    <w:rsid w:val="009D5AEB"/>
    <w:rsid w:val="009F0E33"/>
    <w:rsid w:val="009F3859"/>
    <w:rsid w:val="00A030CE"/>
    <w:rsid w:val="00A149DF"/>
    <w:rsid w:val="00A168E8"/>
    <w:rsid w:val="00A1755C"/>
    <w:rsid w:val="00A20629"/>
    <w:rsid w:val="00A21B90"/>
    <w:rsid w:val="00A41805"/>
    <w:rsid w:val="00A42DCD"/>
    <w:rsid w:val="00A44893"/>
    <w:rsid w:val="00A526A8"/>
    <w:rsid w:val="00A52AFB"/>
    <w:rsid w:val="00A548CB"/>
    <w:rsid w:val="00A5521C"/>
    <w:rsid w:val="00A643E7"/>
    <w:rsid w:val="00A73C38"/>
    <w:rsid w:val="00A74FFB"/>
    <w:rsid w:val="00A777D8"/>
    <w:rsid w:val="00A93E5E"/>
    <w:rsid w:val="00AB16EC"/>
    <w:rsid w:val="00AB670D"/>
    <w:rsid w:val="00AC6049"/>
    <w:rsid w:val="00AD6175"/>
    <w:rsid w:val="00AF03C5"/>
    <w:rsid w:val="00B000D8"/>
    <w:rsid w:val="00B00F75"/>
    <w:rsid w:val="00B14033"/>
    <w:rsid w:val="00B145B6"/>
    <w:rsid w:val="00B279EB"/>
    <w:rsid w:val="00B419E3"/>
    <w:rsid w:val="00B50C81"/>
    <w:rsid w:val="00B557F8"/>
    <w:rsid w:val="00B55E3F"/>
    <w:rsid w:val="00B815FC"/>
    <w:rsid w:val="00B919F3"/>
    <w:rsid w:val="00B93FBC"/>
    <w:rsid w:val="00BA7DA0"/>
    <w:rsid w:val="00BB2EE4"/>
    <w:rsid w:val="00BC2108"/>
    <w:rsid w:val="00BC4B9A"/>
    <w:rsid w:val="00BD0E9E"/>
    <w:rsid w:val="00BD1BEC"/>
    <w:rsid w:val="00BD32FF"/>
    <w:rsid w:val="00BD7B2E"/>
    <w:rsid w:val="00BE4C6A"/>
    <w:rsid w:val="00C02092"/>
    <w:rsid w:val="00C04BCC"/>
    <w:rsid w:val="00C24D91"/>
    <w:rsid w:val="00C310E8"/>
    <w:rsid w:val="00C5005D"/>
    <w:rsid w:val="00C53342"/>
    <w:rsid w:val="00C53F14"/>
    <w:rsid w:val="00C600CF"/>
    <w:rsid w:val="00C6028F"/>
    <w:rsid w:val="00C6084F"/>
    <w:rsid w:val="00C62A66"/>
    <w:rsid w:val="00C70775"/>
    <w:rsid w:val="00C71458"/>
    <w:rsid w:val="00C74143"/>
    <w:rsid w:val="00C77613"/>
    <w:rsid w:val="00C80F95"/>
    <w:rsid w:val="00C828E7"/>
    <w:rsid w:val="00C86719"/>
    <w:rsid w:val="00C902D4"/>
    <w:rsid w:val="00C921DD"/>
    <w:rsid w:val="00CA58F1"/>
    <w:rsid w:val="00CA6391"/>
    <w:rsid w:val="00CC34BD"/>
    <w:rsid w:val="00CE161A"/>
    <w:rsid w:val="00CE3171"/>
    <w:rsid w:val="00CF1601"/>
    <w:rsid w:val="00D0172F"/>
    <w:rsid w:val="00D068A7"/>
    <w:rsid w:val="00D13CD0"/>
    <w:rsid w:val="00D17476"/>
    <w:rsid w:val="00D25B8F"/>
    <w:rsid w:val="00D32086"/>
    <w:rsid w:val="00D37A3F"/>
    <w:rsid w:val="00D4431D"/>
    <w:rsid w:val="00D4667A"/>
    <w:rsid w:val="00D63A1C"/>
    <w:rsid w:val="00D70283"/>
    <w:rsid w:val="00D7516F"/>
    <w:rsid w:val="00D8579F"/>
    <w:rsid w:val="00D95F8E"/>
    <w:rsid w:val="00DA0590"/>
    <w:rsid w:val="00DA6852"/>
    <w:rsid w:val="00DB7BEA"/>
    <w:rsid w:val="00DB7D4C"/>
    <w:rsid w:val="00DC1739"/>
    <w:rsid w:val="00DC1788"/>
    <w:rsid w:val="00DE319C"/>
    <w:rsid w:val="00DF0CA8"/>
    <w:rsid w:val="00DF2B48"/>
    <w:rsid w:val="00DF49A7"/>
    <w:rsid w:val="00E07EE2"/>
    <w:rsid w:val="00E07FD1"/>
    <w:rsid w:val="00E24573"/>
    <w:rsid w:val="00E25E1E"/>
    <w:rsid w:val="00E27EE7"/>
    <w:rsid w:val="00E31433"/>
    <w:rsid w:val="00E35404"/>
    <w:rsid w:val="00E37878"/>
    <w:rsid w:val="00E4001B"/>
    <w:rsid w:val="00E418BD"/>
    <w:rsid w:val="00E45109"/>
    <w:rsid w:val="00E47B7A"/>
    <w:rsid w:val="00E56A44"/>
    <w:rsid w:val="00E570E0"/>
    <w:rsid w:val="00E60269"/>
    <w:rsid w:val="00E77932"/>
    <w:rsid w:val="00E97830"/>
    <w:rsid w:val="00EA0D5D"/>
    <w:rsid w:val="00EA5673"/>
    <w:rsid w:val="00EA6AB7"/>
    <w:rsid w:val="00EE643C"/>
    <w:rsid w:val="00EF0683"/>
    <w:rsid w:val="00EF69D2"/>
    <w:rsid w:val="00EF766E"/>
    <w:rsid w:val="00F0070C"/>
    <w:rsid w:val="00F00EB7"/>
    <w:rsid w:val="00F03E0E"/>
    <w:rsid w:val="00F1243E"/>
    <w:rsid w:val="00F22998"/>
    <w:rsid w:val="00F27687"/>
    <w:rsid w:val="00F36AB6"/>
    <w:rsid w:val="00F37A09"/>
    <w:rsid w:val="00F409CE"/>
    <w:rsid w:val="00F42BEC"/>
    <w:rsid w:val="00F4379D"/>
    <w:rsid w:val="00F50D2D"/>
    <w:rsid w:val="00F56C8B"/>
    <w:rsid w:val="00F66810"/>
    <w:rsid w:val="00F846D9"/>
    <w:rsid w:val="00F84DF4"/>
    <w:rsid w:val="00F85C97"/>
    <w:rsid w:val="00FB37D2"/>
    <w:rsid w:val="00FB49FD"/>
    <w:rsid w:val="00FC4EFB"/>
    <w:rsid w:val="00FD068D"/>
    <w:rsid w:val="00FD4F28"/>
    <w:rsid w:val="00FE29AA"/>
    <w:rsid w:val="00FE3442"/>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4B5BA0"/>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391DB6"/>
    <w:pPr>
      <w:spacing w:after="480"/>
    </w:pPr>
    <w:rPr>
      <w:rFonts w:eastAsiaTheme="minorHAnsi" w:cstheme="minorBidi"/>
      <w:szCs w:val="22"/>
      <w:lang w:eastAsia="en-US"/>
    </w:rPr>
  </w:style>
  <w:style w:type="paragraph" w:customStyle="1" w:styleId="SCCCoram">
    <w:name w:val="SCC.Coram"/>
    <w:basedOn w:val="Normal"/>
    <w:next w:val="Normal"/>
    <w:link w:val="SCCCoramChar"/>
    <w:rsid w:val="00391DB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91DB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91DB6"/>
    <w:rPr>
      <w:rFonts w:eastAsiaTheme="minorHAnsi" w:cstheme="minorBidi"/>
      <w:sz w:val="24"/>
      <w:szCs w:val="22"/>
      <w:lang w:eastAsia="en-US"/>
    </w:rPr>
  </w:style>
  <w:style w:type="character" w:customStyle="1" w:styleId="SCCBanSummaryChar">
    <w:name w:val="SCC.BanSummary Char"/>
    <w:basedOn w:val="DefaultParagraphFont"/>
    <w:link w:val="SCCBanSummary"/>
    <w:rsid w:val="00391DB6"/>
    <w:rPr>
      <w:b/>
      <w:sz w:val="24"/>
    </w:rPr>
  </w:style>
  <w:style w:type="table" w:styleId="TableGrid">
    <w:name w:val="Table Grid"/>
    <w:basedOn w:val="TableNormal"/>
    <w:uiPriority w:val="59"/>
    <w:rsid w:val="00391DB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91DB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91DB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91DB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91DB6"/>
    <w:pPr>
      <w:numPr>
        <w:numId w:val="8"/>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91DB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391DB6"/>
    <w:pPr>
      <w:numPr>
        <w:ilvl w:val="2"/>
      </w:numPr>
    </w:pPr>
  </w:style>
  <w:style w:type="paragraph" w:customStyle="1" w:styleId="Title4LevelTitre4Niveau">
    <w:name w:val="Title 4 Level / Titre 4 Niveau"/>
    <w:basedOn w:val="Title3LevelTitre3Niveau"/>
    <w:next w:val="ParaNoNdepar-AltN"/>
    <w:uiPriority w:val="4"/>
    <w:qFormat/>
    <w:rsid w:val="00391DB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391DB6"/>
    <w:pPr>
      <w:numPr>
        <w:ilvl w:val="4"/>
      </w:numPr>
    </w:pPr>
  </w:style>
  <w:style w:type="paragraph" w:styleId="TOC1">
    <w:name w:val="toc 1"/>
    <w:basedOn w:val="Normal"/>
    <w:next w:val="Normal"/>
    <w:autoRedefine/>
    <w:uiPriority w:val="39"/>
    <w:unhideWhenUsed/>
    <w:rsid w:val="00391DB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91DB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91DB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91DB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91DB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91DB6"/>
    <w:pPr>
      <w:tabs>
        <w:tab w:val="left" w:pos="2160"/>
        <w:tab w:val="right" w:leader="dot" w:pos="8270"/>
      </w:tabs>
      <w:spacing w:after="100"/>
      <w:ind w:left="1800"/>
    </w:pPr>
    <w:rPr>
      <w:noProof/>
    </w:rPr>
  </w:style>
  <w:style w:type="table" w:customStyle="1" w:styleId="TableGrid1">
    <w:name w:val="Table Grid1"/>
    <w:basedOn w:val="TableNormal"/>
    <w:uiPriority w:val="59"/>
    <w:rsid w:val="00391DB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91DB6"/>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91DB6"/>
    <w:pPr>
      <w:numPr>
        <w:ilvl w:val="5"/>
      </w:numPr>
    </w:pPr>
    <w:rPr>
      <w:i/>
      <w:u w:val="none"/>
    </w:rPr>
  </w:style>
  <w:style w:type="paragraph" w:styleId="ListParagraph">
    <w:name w:val="List Paragraph"/>
    <w:basedOn w:val="Normal"/>
    <w:uiPriority w:val="34"/>
    <w:qFormat/>
    <w:rsid w:val="00391DB6"/>
    <w:pPr>
      <w:ind w:left="720"/>
      <w:contextualSpacing/>
    </w:pPr>
    <w:rPr>
      <w:rFonts w:eastAsiaTheme="minorHAnsi"/>
      <w:szCs w:val="24"/>
      <w:lang w:eastAsia="en-US"/>
    </w:rPr>
  </w:style>
  <w:style w:type="character" w:styleId="Hyperlink">
    <w:name w:val="Hyperlink"/>
    <w:basedOn w:val="DefaultParagraphFont"/>
    <w:uiPriority w:val="99"/>
    <w:unhideWhenUsed/>
    <w:rsid w:val="00391DB6"/>
    <w:rPr>
      <w:color w:val="0000FF" w:themeColor="hyperlink"/>
      <w:u w:val="single"/>
    </w:rPr>
  </w:style>
  <w:style w:type="paragraph" w:styleId="FootnoteText">
    <w:name w:val="footnote text"/>
    <w:basedOn w:val="Normal"/>
    <w:link w:val="FootnoteTextChar"/>
    <w:uiPriority w:val="99"/>
    <w:semiHidden/>
    <w:unhideWhenUsed/>
    <w:rsid w:val="00391DB6"/>
    <w:rPr>
      <w:rFonts w:asciiTheme="minorHAnsi" w:eastAsiaTheme="minorHAnsi" w:hAnsi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391DB6"/>
    <w:rPr>
      <w:rFonts w:asciiTheme="minorHAnsi" w:eastAsiaTheme="minorHAnsi" w:hAnsiTheme="minorHAnsi" w:cstheme="minorBidi"/>
      <w:lang w:val="en-US" w:eastAsia="en-US" w:bidi="en-US"/>
    </w:rPr>
  </w:style>
  <w:style w:type="character" w:styleId="FootnoteReference">
    <w:name w:val="footnote reference"/>
    <w:basedOn w:val="DefaultParagraphFont"/>
    <w:uiPriority w:val="99"/>
    <w:semiHidden/>
    <w:unhideWhenUsed/>
    <w:rsid w:val="00391DB6"/>
    <w:rPr>
      <w:vertAlign w:val="superscript"/>
    </w:rPr>
  </w:style>
  <w:style w:type="paragraph" w:customStyle="1" w:styleId="11">
    <w:name w:val="11"/>
    <w:basedOn w:val="Normal"/>
    <w:rsid w:val="00391DB6"/>
    <w:pPr>
      <w:autoSpaceDE w:val="0"/>
      <w:autoSpaceDN w:val="0"/>
    </w:pPr>
    <w:rPr>
      <w:szCs w:val="24"/>
    </w:rPr>
  </w:style>
  <w:style w:type="character" w:customStyle="1" w:styleId="hps">
    <w:name w:val="hps"/>
    <w:basedOn w:val="DefaultParagraphFont"/>
    <w:rsid w:val="00391DB6"/>
  </w:style>
  <w:style w:type="character" w:customStyle="1" w:styleId="reflex3-block">
    <w:name w:val="reflex3-block"/>
    <w:basedOn w:val="DefaultParagraphFont"/>
    <w:rsid w:val="00391DB6"/>
  </w:style>
  <w:style w:type="paragraph" w:styleId="DocumentMap">
    <w:name w:val="Document Map"/>
    <w:basedOn w:val="Normal"/>
    <w:link w:val="DocumentMapChar"/>
    <w:uiPriority w:val="99"/>
    <w:semiHidden/>
    <w:unhideWhenUsed/>
    <w:rsid w:val="00B14033"/>
    <w:rPr>
      <w:rFonts w:ascii="Tahoma" w:hAnsi="Tahoma" w:cs="Tahoma"/>
      <w:sz w:val="16"/>
      <w:szCs w:val="16"/>
    </w:rPr>
  </w:style>
  <w:style w:type="character" w:customStyle="1" w:styleId="DocumentMapChar">
    <w:name w:val="Document Map Char"/>
    <w:basedOn w:val="DefaultParagraphFont"/>
    <w:link w:val="DocumentMap"/>
    <w:uiPriority w:val="99"/>
    <w:semiHidden/>
    <w:rsid w:val="00B14033"/>
    <w:rPr>
      <w:rFonts w:ascii="Tahoma" w:hAnsi="Tahoma" w:cs="Tahoma"/>
      <w:sz w:val="16"/>
      <w:szCs w:val="16"/>
    </w:rPr>
  </w:style>
  <w:style w:type="character" w:customStyle="1" w:styleId="SCCLsocPartyRoleChar">
    <w:name w:val="SCC.Lsoc.PartyRole Char"/>
    <w:basedOn w:val="DefaultParagraphFont"/>
    <w:rsid w:val="00480F1D"/>
    <w:rPr>
      <w:lang w:val="en-CA"/>
    </w:rPr>
  </w:style>
  <w:style w:type="paragraph" w:customStyle="1" w:styleId="SCCLsocPrefix">
    <w:name w:val="SCC.Lsoc.Prefix"/>
    <w:basedOn w:val="Normal"/>
    <w:next w:val="Normal"/>
    <w:link w:val="SCCLsocPrefixChar"/>
    <w:rsid w:val="00480F1D"/>
    <w:rPr>
      <w:rFonts w:eastAsiaTheme="minorHAnsi" w:cstheme="minorBidi"/>
      <w:b/>
      <w:smallCaps/>
      <w:szCs w:val="24"/>
      <w:lang w:eastAsia="en-US"/>
    </w:rPr>
  </w:style>
  <w:style w:type="character" w:customStyle="1" w:styleId="SCCLsocPrefixChar">
    <w:name w:val="SCC.Lsoc.Prefix Char"/>
    <w:basedOn w:val="DefaultParagraphFont"/>
    <w:link w:val="SCCLsocPrefix"/>
    <w:rsid w:val="00480F1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F444B-8B62-44F1-9AB3-A36C6C3B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7827</Words>
  <Characters>44614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2015-04-21T19:29:00Z</dcterms:created>
  <dcterms:modified xsi:type="dcterms:W3CDTF">2015-10-02T18:56:00Z</dcterms:modified>
</cp:coreProperties>
</file>