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F4" w:rsidRPr="00326EF9" w:rsidRDefault="006565F4" w:rsidP="00FC4EFB">
      <w:pPr>
        <w:jc w:val="both"/>
      </w:pPr>
    </w:p>
    <w:p w:rsidR="00904E62" w:rsidRDefault="00904E62" w:rsidP="00904E62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505545720" r:id="rId8"/>
        </w:object>
      </w:r>
      <w:r>
        <w:t xml:space="preserve"> </w:t>
      </w:r>
      <w:r>
        <w:ptab w:relativeTo="margin" w:alignment="right" w:leader="none"/>
      </w:r>
    </w:p>
    <w:p w:rsidR="00904E62" w:rsidRDefault="00904E62" w:rsidP="00904E62">
      <w:pPr>
        <w:pStyle w:val="Header"/>
      </w:pPr>
    </w:p>
    <w:p w:rsidR="00904E62" w:rsidRPr="006B210C" w:rsidRDefault="00904E62" w:rsidP="00904E62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904E62" w:rsidRDefault="00904E62" w:rsidP="00904E62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904E62" w:rsidRPr="006B210C" w:rsidTr="00BC0EE5">
        <w:trPr>
          <w:cantSplit/>
        </w:trPr>
        <w:tc>
          <w:tcPr>
            <w:tcW w:w="6768" w:type="dxa"/>
          </w:tcPr>
          <w:p w:rsidR="00904E62" w:rsidRPr="00B32AF8" w:rsidRDefault="00904E62" w:rsidP="00BC0EE5">
            <w:pPr>
              <w:rPr>
                <w:lang w:val="fr-CA"/>
              </w:rPr>
            </w:pPr>
            <w:r w:rsidRPr="00B32AF8">
              <w:rPr>
                <w:b/>
                <w:smallCaps/>
                <w:lang w:val="fr-CA"/>
              </w:rPr>
              <w:t xml:space="preserve">Citation: </w:t>
            </w:r>
            <w:r w:rsidRPr="00B32AF8">
              <w:rPr>
                <w:rStyle w:val="SCCAppellantForRunningHeadChar"/>
                <w:smallCaps w:val="0"/>
                <w:lang w:val="fr-CA"/>
              </w:rPr>
              <w:t>Sanofi-Aventis</w:t>
            </w:r>
            <w:r w:rsidRPr="00B32AF8">
              <w:rPr>
                <w:smallCaps/>
                <w:lang w:val="fr-CA"/>
              </w:rPr>
              <w:t xml:space="preserve"> </w:t>
            </w:r>
            <w:r w:rsidRPr="00B32AF8">
              <w:rPr>
                <w:i/>
                <w:lang w:val="fr-CA"/>
              </w:rPr>
              <w:t xml:space="preserve">v. </w:t>
            </w:r>
            <w:r w:rsidRPr="00B32AF8">
              <w:rPr>
                <w:smallCaps/>
                <w:lang w:val="fr-CA"/>
              </w:rPr>
              <w:t>A</w:t>
            </w:r>
            <w:r w:rsidRPr="00B32AF8">
              <w:rPr>
                <w:rStyle w:val="SCCRespondentForRunningHeadChar"/>
                <w:smallCaps w:val="0"/>
                <w:lang w:val="fr-CA"/>
              </w:rPr>
              <w:t>potex Inc</w:t>
            </w:r>
            <w:r w:rsidRPr="00B32AF8">
              <w:rPr>
                <w:rStyle w:val="SCCRespondentForRunningHeadChar"/>
                <w:lang w:val="fr-CA"/>
              </w:rPr>
              <w:t>.</w:t>
            </w:r>
            <w:r w:rsidRPr="00B32AF8">
              <w:rPr>
                <w:lang w:val="fr-CA"/>
              </w:rPr>
              <w:t>, 2015 SCC </w:t>
            </w:r>
            <w:r>
              <w:rPr>
                <w:lang w:val="fr-CA"/>
              </w:rPr>
              <w:t>20, [2015] 2 S.C.R. 136</w:t>
            </w:r>
          </w:p>
        </w:tc>
        <w:tc>
          <w:tcPr>
            <w:tcW w:w="2808" w:type="dxa"/>
          </w:tcPr>
          <w:p w:rsidR="00904E62" w:rsidRPr="006B210C" w:rsidRDefault="00904E62" w:rsidP="00BC0EE5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20150420</w:t>
            </w:r>
          </w:p>
          <w:p w:rsidR="00904E62" w:rsidRPr="006B210C" w:rsidRDefault="00904E62" w:rsidP="00BC0EE5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35886</w:t>
            </w:r>
          </w:p>
        </w:tc>
      </w:tr>
    </w:tbl>
    <w:p w:rsidR="00904E62" w:rsidRPr="006B210C" w:rsidRDefault="00904E62" w:rsidP="00904E62"/>
    <w:p w:rsidR="00904E62" w:rsidRDefault="00904E62" w:rsidP="00904E62">
      <w:pPr>
        <w:pStyle w:val="SCCLsocPrefix"/>
      </w:pPr>
      <w:r>
        <w:t>Between:</w:t>
      </w:r>
    </w:p>
    <w:p w:rsidR="00904E62" w:rsidRDefault="00904E62" w:rsidP="00904E62">
      <w:pPr>
        <w:pStyle w:val="SCCLsocParty"/>
      </w:pPr>
    </w:p>
    <w:p w:rsidR="00904E62" w:rsidRDefault="00904E62" w:rsidP="00904E62">
      <w:pPr>
        <w:pStyle w:val="SCCLsocLastPartyInRole"/>
        <w:spacing w:after="0"/>
        <w:jc w:val="center"/>
        <w:rPr>
          <w:lang w:val="fr-CA"/>
        </w:rPr>
      </w:pPr>
      <w:r w:rsidRPr="0022753B">
        <w:rPr>
          <w:lang w:val="fr-CA"/>
        </w:rPr>
        <w:t>Sanofi-Aventis, Sanofi-Aventis Deut</w:t>
      </w:r>
      <w:r>
        <w:rPr>
          <w:lang w:val="fr-CA"/>
        </w:rPr>
        <w:t>schland GmbH</w:t>
      </w:r>
    </w:p>
    <w:p w:rsidR="00904E62" w:rsidRPr="00944D05" w:rsidRDefault="00904E62" w:rsidP="00904E62">
      <w:pPr>
        <w:jc w:val="center"/>
        <w:rPr>
          <w:b/>
          <w:lang w:val="fr-CA"/>
        </w:rPr>
      </w:pPr>
      <w:r w:rsidRPr="00944D05">
        <w:rPr>
          <w:b/>
          <w:lang w:val="fr-CA"/>
        </w:rPr>
        <w:t>and Sanofi-Aventis Canada Inc.</w:t>
      </w:r>
    </w:p>
    <w:p w:rsidR="00904E62" w:rsidRPr="0022753B" w:rsidRDefault="00904E62" w:rsidP="00904E62">
      <w:pPr>
        <w:jc w:val="center"/>
        <w:rPr>
          <w:lang w:val="fr-CA"/>
        </w:rPr>
      </w:pPr>
      <w:r w:rsidRPr="0022753B">
        <w:rPr>
          <w:lang w:val="fr-CA"/>
        </w:rPr>
        <w:t>Appellant</w:t>
      </w:r>
      <w:r>
        <w:rPr>
          <w:lang w:val="fr-CA"/>
        </w:rPr>
        <w:t>s</w:t>
      </w:r>
    </w:p>
    <w:p w:rsidR="00904E62" w:rsidRPr="00904E62" w:rsidRDefault="00904E62" w:rsidP="00904E62">
      <w:pPr>
        <w:pStyle w:val="SCCLsocVersus"/>
        <w:spacing w:after="0"/>
        <w:jc w:val="center"/>
        <w:rPr>
          <w:i w:val="0"/>
          <w:lang w:val="en-US"/>
        </w:rPr>
      </w:pPr>
      <w:r w:rsidRPr="00904E62">
        <w:rPr>
          <w:i w:val="0"/>
          <w:lang w:val="en-US"/>
        </w:rPr>
        <w:t>and</w:t>
      </w:r>
    </w:p>
    <w:p w:rsidR="00904E62" w:rsidRPr="00904E62" w:rsidRDefault="00904E62" w:rsidP="00904E62">
      <w:pPr>
        <w:jc w:val="center"/>
        <w:rPr>
          <w:b/>
          <w:lang w:val="en-US"/>
        </w:rPr>
      </w:pPr>
      <w:r w:rsidRPr="00904E62">
        <w:rPr>
          <w:b/>
          <w:lang w:val="en-US"/>
        </w:rPr>
        <w:t>Apotex Inc.</w:t>
      </w:r>
    </w:p>
    <w:p w:rsidR="00904E62" w:rsidRPr="00904E62" w:rsidRDefault="00904E62" w:rsidP="00904E62">
      <w:pPr>
        <w:jc w:val="center"/>
        <w:rPr>
          <w:lang w:val="en-US"/>
        </w:rPr>
      </w:pPr>
      <w:r w:rsidRPr="00904E62">
        <w:rPr>
          <w:lang w:val="en-US"/>
        </w:rPr>
        <w:t>Respondent</w:t>
      </w:r>
    </w:p>
    <w:p w:rsidR="00904E62" w:rsidRPr="00904E62" w:rsidRDefault="00904E62" w:rsidP="00904E62">
      <w:pPr>
        <w:jc w:val="center"/>
        <w:rPr>
          <w:lang w:val="en-US"/>
        </w:rPr>
      </w:pPr>
      <w:r w:rsidRPr="00904E62">
        <w:rPr>
          <w:lang w:val="en-US"/>
        </w:rPr>
        <w:t>- and -</w:t>
      </w:r>
    </w:p>
    <w:p w:rsidR="00904E62" w:rsidRPr="004460C5" w:rsidRDefault="00904E62" w:rsidP="00904E62">
      <w:pPr>
        <w:pStyle w:val="SCCLsocLastPartyInRole"/>
        <w:spacing w:after="0"/>
        <w:jc w:val="center"/>
        <w:rPr>
          <w:lang w:val="fr-CA"/>
        </w:rPr>
      </w:pPr>
      <w:r w:rsidRPr="004460C5">
        <w:rPr>
          <w:lang w:val="fr-CA"/>
        </w:rPr>
        <w:t>Sanofi-Aventis, Sanofi-Aventis Deutschland GmbH</w:t>
      </w:r>
    </w:p>
    <w:p w:rsidR="00904E62" w:rsidRDefault="00904E62" w:rsidP="00904E62">
      <w:pPr>
        <w:jc w:val="center"/>
        <w:rPr>
          <w:lang w:val="fr-CA"/>
        </w:rPr>
      </w:pPr>
      <w:r w:rsidRPr="00944D05">
        <w:rPr>
          <w:b/>
          <w:lang w:val="fr-CA"/>
        </w:rPr>
        <w:t>and Sanofi-Aventis Canada Inc.</w:t>
      </w:r>
    </w:p>
    <w:p w:rsidR="00904E62" w:rsidRPr="004460C5" w:rsidRDefault="00904E62" w:rsidP="00904E62">
      <w:pPr>
        <w:jc w:val="center"/>
        <w:rPr>
          <w:lang w:val="fr-CA"/>
        </w:rPr>
      </w:pPr>
      <w:r w:rsidRPr="00904E62">
        <w:rPr>
          <w:lang w:val="fr-CA"/>
        </w:rPr>
        <w:t>Appellants</w:t>
      </w:r>
    </w:p>
    <w:p w:rsidR="00904E62" w:rsidRPr="00904E62" w:rsidRDefault="00904E62" w:rsidP="00904E62">
      <w:pPr>
        <w:pStyle w:val="SCCLsocVersus"/>
        <w:spacing w:after="0"/>
        <w:jc w:val="center"/>
        <w:rPr>
          <w:i w:val="0"/>
          <w:lang w:val="en-US"/>
        </w:rPr>
      </w:pPr>
      <w:r w:rsidRPr="00904E62">
        <w:rPr>
          <w:i w:val="0"/>
          <w:lang w:val="en-US"/>
        </w:rPr>
        <w:t>and</w:t>
      </w:r>
    </w:p>
    <w:p w:rsidR="00904E62" w:rsidRPr="00904E62" w:rsidRDefault="00904E62" w:rsidP="00904E62">
      <w:pPr>
        <w:jc w:val="center"/>
        <w:rPr>
          <w:b/>
          <w:lang w:val="en-US"/>
        </w:rPr>
      </w:pPr>
      <w:r w:rsidRPr="00904E62">
        <w:rPr>
          <w:b/>
          <w:lang w:val="en-US"/>
        </w:rPr>
        <w:t>Apotex Inc.</w:t>
      </w:r>
    </w:p>
    <w:p w:rsidR="00904E62" w:rsidRPr="00904E62" w:rsidRDefault="00904E62" w:rsidP="00904E62">
      <w:pPr>
        <w:jc w:val="center"/>
        <w:rPr>
          <w:lang w:val="en-US"/>
        </w:rPr>
      </w:pPr>
      <w:r w:rsidRPr="00904E62">
        <w:rPr>
          <w:lang w:val="en-US"/>
        </w:rPr>
        <w:t>Respondent</w:t>
      </w:r>
    </w:p>
    <w:p w:rsidR="00904E62" w:rsidRPr="00904E62" w:rsidRDefault="00904E62" w:rsidP="00904E62">
      <w:pPr>
        <w:jc w:val="center"/>
        <w:rPr>
          <w:lang w:val="en-US"/>
        </w:rPr>
      </w:pPr>
      <w:r w:rsidRPr="00904E62">
        <w:rPr>
          <w:lang w:val="en-US"/>
        </w:rPr>
        <w:t>- and -</w:t>
      </w:r>
    </w:p>
    <w:p w:rsidR="00904E62" w:rsidRPr="004460C5" w:rsidRDefault="00904E62" w:rsidP="00904E62">
      <w:pPr>
        <w:pStyle w:val="SCCLsocLastPartyInRole"/>
        <w:spacing w:after="0"/>
        <w:jc w:val="center"/>
        <w:rPr>
          <w:lang w:val="fr-CA"/>
        </w:rPr>
      </w:pPr>
      <w:r w:rsidRPr="004460C5">
        <w:rPr>
          <w:lang w:val="fr-CA"/>
        </w:rPr>
        <w:t>Sanofi-Aventis, Sanofi-Aventis Deutschland GmbH</w:t>
      </w:r>
    </w:p>
    <w:p w:rsidR="00904E62" w:rsidRDefault="00904E62" w:rsidP="00904E62">
      <w:pPr>
        <w:jc w:val="center"/>
        <w:rPr>
          <w:lang w:val="fr-CA"/>
        </w:rPr>
      </w:pPr>
      <w:r w:rsidRPr="00944D05">
        <w:rPr>
          <w:b/>
          <w:lang w:val="fr-CA"/>
        </w:rPr>
        <w:t>and Sanofi-Aventis Canada Inc.</w:t>
      </w:r>
    </w:p>
    <w:p w:rsidR="00904E62" w:rsidRPr="004460C5" w:rsidRDefault="00904E62" w:rsidP="00904E62">
      <w:pPr>
        <w:jc w:val="center"/>
        <w:rPr>
          <w:lang w:val="fr-CA"/>
        </w:rPr>
      </w:pPr>
      <w:r w:rsidRPr="00904E62">
        <w:rPr>
          <w:lang w:val="fr-CA"/>
        </w:rPr>
        <w:t>Appellants</w:t>
      </w:r>
    </w:p>
    <w:p w:rsidR="00904E62" w:rsidRPr="00904E62" w:rsidRDefault="00904E62" w:rsidP="00904E62">
      <w:pPr>
        <w:pStyle w:val="SCCLsocVersus"/>
        <w:spacing w:after="0"/>
        <w:jc w:val="center"/>
        <w:rPr>
          <w:i w:val="0"/>
          <w:lang w:val="en-US"/>
        </w:rPr>
      </w:pPr>
      <w:r w:rsidRPr="00904E62">
        <w:rPr>
          <w:i w:val="0"/>
          <w:lang w:val="en-US"/>
        </w:rPr>
        <w:t>and</w:t>
      </w:r>
    </w:p>
    <w:p w:rsidR="00904E62" w:rsidRPr="00904E62" w:rsidRDefault="00904E62" w:rsidP="00904E62">
      <w:pPr>
        <w:jc w:val="center"/>
        <w:rPr>
          <w:b/>
          <w:lang w:val="en-US"/>
        </w:rPr>
      </w:pPr>
      <w:r w:rsidRPr="00904E62">
        <w:rPr>
          <w:b/>
          <w:lang w:val="en-US"/>
        </w:rPr>
        <w:t>Apotex Inc.</w:t>
      </w:r>
    </w:p>
    <w:p w:rsidR="00904E62" w:rsidRPr="00904E62" w:rsidRDefault="00904E62" w:rsidP="00904E62">
      <w:pPr>
        <w:jc w:val="center"/>
        <w:rPr>
          <w:lang w:val="en-US"/>
        </w:rPr>
      </w:pPr>
      <w:r w:rsidRPr="00B32AF8">
        <w:t>Respondent</w:t>
      </w:r>
    </w:p>
    <w:p w:rsidR="00904E62" w:rsidRPr="00904E62" w:rsidRDefault="00904E62" w:rsidP="00904E62">
      <w:pPr>
        <w:jc w:val="center"/>
        <w:rPr>
          <w:lang w:val="en-US"/>
        </w:rPr>
      </w:pPr>
      <w:r w:rsidRPr="00904E62">
        <w:rPr>
          <w:lang w:val="en-US"/>
        </w:rPr>
        <w:t>- and -</w:t>
      </w:r>
    </w:p>
    <w:p w:rsidR="00904E62" w:rsidRPr="004460C5" w:rsidRDefault="00904E62" w:rsidP="00904E62">
      <w:pPr>
        <w:pStyle w:val="SCCLsocLastPartyInRole"/>
        <w:spacing w:after="0"/>
        <w:jc w:val="center"/>
        <w:rPr>
          <w:lang w:val="fr-CA"/>
        </w:rPr>
      </w:pPr>
      <w:r w:rsidRPr="004460C5">
        <w:rPr>
          <w:lang w:val="fr-CA"/>
        </w:rPr>
        <w:t>Sanofi-Aventis, Sanofi-Aventis Deutschland GmbH</w:t>
      </w:r>
    </w:p>
    <w:p w:rsidR="00904E62" w:rsidRPr="00944D05" w:rsidRDefault="00904E62" w:rsidP="00904E62">
      <w:pPr>
        <w:jc w:val="center"/>
        <w:rPr>
          <w:b/>
          <w:lang w:val="fr-CA"/>
        </w:rPr>
      </w:pPr>
      <w:r w:rsidRPr="00944D05">
        <w:rPr>
          <w:b/>
          <w:lang w:val="fr-CA"/>
        </w:rPr>
        <w:t>and Sanofi-Aventis Canada Inc.</w:t>
      </w:r>
    </w:p>
    <w:p w:rsidR="00904E62" w:rsidRPr="004460C5" w:rsidRDefault="00904E62" w:rsidP="00904E62">
      <w:pPr>
        <w:jc w:val="center"/>
        <w:rPr>
          <w:lang w:val="fr-CA"/>
        </w:rPr>
      </w:pPr>
      <w:r w:rsidRPr="00904E62">
        <w:rPr>
          <w:lang w:val="fr-CA"/>
        </w:rPr>
        <w:t>Appellants</w:t>
      </w:r>
    </w:p>
    <w:p w:rsidR="00904E62" w:rsidRPr="004460C5" w:rsidRDefault="00904E62" w:rsidP="00904E62">
      <w:pPr>
        <w:jc w:val="center"/>
      </w:pPr>
      <w:r>
        <w:t>and</w:t>
      </w:r>
    </w:p>
    <w:p w:rsidR="00904E62" w:rsidRPr="00944D05" w:rsidRDefault="00904E62" w:rsidP="00904E62">
      <w:pPr>
        <w:jc w:val="center"/>
        <w:rPr>
          <w:b/>
        </w:rPr>
      </w:pPr>
      <w:r w:rsidRPr="00944D05">
        <w:rPr>
          <w:b/>
        </w:rPr>
        <w:t>Apotex Inc.</w:t>
      </w:r>
    </w:p>
    <w:p w:rsidR="00904E62" w:rsidRDefault="00904E62" w:rsidP="00904E62">
      <w:pPr>
        <w:jc w:val="center"/>
      </w:pPr>
      <w:r w:rsidRPr="004460C5">
        <w:t>Respondent</w:t>
      </w:r>
    </w:p>
    <w:p w:rsidR="00904E62" w:rsidRPr="00F3318A" w:rsidRDefault="00904E62" w:rsidP="00904E62">
      <w:pPr>
        <w:jc w:val="center"/>
      </w:pPr>
      <w:r>
        <w:t>and</w:t>
      </w:r>
    </w:p>
    <w:p w:rsidR="00904E62" w:rsidRDefault="00904E62" w:rsidP="00904E62">
      <w:pPr>
        <w:pStyle w:val="SCCLsocLastPartyInRole"/>
        <w:spacing w:after="0"/>
        <w:jc w:val="center"/>
      </w:pPr>
      <w:r>
        <w:t>Canadian Generic Pharmaceutical Association</w:t>
      </w:r>
    </w:p>
    <w:p w:rsidR="00904E62" w:rsidRPr="00944D05" w:rsidRDefault="00904E62" w:rsidP="00904E62">
      <w:pPr>
        <w:jc w:val="center"/>
        <w:rPr>
          <w:b/>
        </w:rPr>
      </w:pPr>
      <w:r w:rsidRPr="00944D05">
        <w:rPr>
          <w:b/>
        </w:rPr>
        <w:t>and Canada’s Research-Based Pharmaceutical Companies</w:t>
      </w:r>
    </w:p>
    <w:p w:rsidR="00904E62" w:rsidRDefault="00904E62" w:rsidP="00904E62">
      <w:pPr>
        <w:jc w:val="center"/>
      </w:pPr>
      <w:r>
        <w:t>Interveners</w:t>
      </w:r>
    </w:p>
    <w:p w:rsidR="00904E62" w:rsidRDefault="00904E62" w:rsidP="00904E62">
      <w:pPr>
        <w:jc w:val="center"/>
      </w:pPr>
    </w:p>
    <w:p w:rsidR="00904E62" w:rsidRDefault="00904E62" w:rsidP="00904E62"/>
    <w:p w:rsidR="00904E62" w:rsidRPr="006B210C" w:rsidRDefault="00904E62" w:rsidP="00904E62"/>
    <w:p w:rsidR="00904E62" w:rsidRDefault="00904E62" w:rsidP="00904E62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 xml:space="preserve"> McLachlin C.J. and Abella, Rothstein, Cromwell, Moldaver, Karakatsanis, Wagner, Gascon and Côté JJ.</w:t>
      </w:r>
    </w:p>
    <w:p w:rsidR="00904E62" w:rsidRPr="006B210C" w:rsidRDefault="00904E62" w:rsidP="00904E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904E62" w:rsidRPr="006B210C" w:rsidTr="00BC0EE5">
        <w:trPr>
          <w:cantSplit/>
        </w:trPr>
        <w:tc>
          <w:tcPr>
            <w:tcW w:w="3618" w:type="dxa"/>
          </w:tcPr>
          <w:p w:rsidR="00904E62" w:rsidRDefault="00904E62" w:rsidP="00BC0EE5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904E62" w:rsidRPr="006B210C" w:rsidRDefault="00904E62" w:rsidP="00BC0EE5">
            <w:r>
              <w:t>(paras. 1 and 2)</w:t>
            </w:r>
          </w:p>
        </w:tc>
        <w:tc>
          <w:tcPr>
            <w:tcW w:w="5958" w:type="dxa"/>
          </w:tcPr>
          <w:p w:rsidR="00904E62" w:rsidRPr="006B210C" w:rsidRDefault="00904E62" w:rsidP="00BC0EE5">
            <w:r>
              <w:t>McLachlin C.J. (Abella, Rothstein, Cromwell, Moldaver, Karakatsanis, Wagner, Gascon and Côté JJ. concurring)</w:t>
            </w:r>
          </w:p>
        </w:tc>
      </w:tr>
    </w:tbl>
    <w:p w:rsidR="00904E62" w:rsidRPr="006B210C" w:rsidRDefault="00904E62" w:rsidP="00904E62"/>
    <w:p w:rsidR="00904E62" w:rsidRPr="006B210C" w:rsidRDefault="00904E62" w:rsidP="00904E62"/>
    <w:p w:rsidR="00904E62" w:rsidRPr="006B210C" w:rsidRDefault="00904E62" w:rsidP="00904E6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</w:pict>
      </w:r>
    </w:p>
    <w:p w:rsidR="00904E62" w:rsidRDefault="00904E62" w:rsidP="00904E62"/>
    <w:p w:rsidR="00904E62" w:rsidRDefault="00904E62" w:rsidP="00904E62"/>
    <w:p w:rsidR="008322BD" w:rsidRPr="002B31CF" w:rsidRDefault="00BF6B56" w:rsidP="0035169A">
      <w:pPr>
        <w:spacing w:line="480" w:lineRule="auto"/>
        <w:jc w:val="both"/>
        <w:rPr>
          <w:smallCaps/>
          <w:lang w:val="fr-CA"/>
        </w:rPr>
      </w:pPr>
      <w:bookmarkStart w:id="0" w:name="_GoBack"/>
      <w:bookmarkEnd w:id="0"/>
      <w:r>
        <w:rPr>
          <w:rStyle w:val="SCCAppellantForRunningHeadChar"/>
          <w:smallCaps w:val="0"/>
          <w:lang w:val="fr-CA"/>
        </w:rPr>
        <w:t>Sanofi-A</w:t>
      </w:r>
      <w:r w:rsidR="0094193B" w:rsidRPr="00BF6B56">
        <w:rPr>
          <w:rStyle w:val="SCCAppellantForRunningHeadChar"/>
          <w:smallCaps w:val="0"/>
          <w:lang w:val="fr-CA"/>
        </w:rPr>
        <w:t>ventis</w:t>
      </w:r>
      <w:r w:rsidR="00480C90" w:rsidRPr="00BF6B56">
        <w:rPr>
          <w:smallCaps/>
          <w:lang w:val="fr-CA"/>
        </w:rPr>
        <w:t xml:space="preserve"> </w:t>
      </w:r>
      <w:r w:rsidR="009B57B3" w:rsidRPr="00BF6B56">
        <w:rPr>
          <w:i/>
          <w:lang w:val="fr-CA"/>
        </w:rPr>
        <w:t>v.</w:t>
      </w:r>
      <w:r>
        <w:rPr>
          <w:i/>
          <w:lang w:val="fr-CA"/>
        </w:rPr>
        <w:t xml:space="preserve"> </w:t>
      </w:r>
      <w:r>
        <w:rPr>
          <w:smallCaps/>
          <w:lang w:val="fr-CA"/>
        </w:rPr>
        <w:t>A</w:t>
      </w:r>
      <w:r>
        <w:rPr>
          <w:rStyle w:val="SCCRespondentForRunningHeadChar"/>
          <w:smallCaps w:val="0"/>
          <w:lang w:val="fr-CA"/>
        </w:rPr>
        <w:t>potex I</w:t>
      </w:r>
      <w:r w:rsidR="0094193B" w:rsidRPr="00BF6B56">
        <w:rPr>
          <w:rStyle w:val="SCCRespondentForRunningHeadChar"/>
          <w:smallCaps w:val="0"/>
          <w:lang w:val="fr-CA"/>
        </w:rPr>
        <w:t>nc.</w:t>
      </w:r>
      <w:r w:rsidR="002B31CF">
        <w:rPr>
          <w:rStyle w:val="SCCRespondentForRunningHeadChar"/>
          <w:smallCaps w:val="0"/>
          <w:lang w:val="fr-CA"/>
        </w:rPr>
        <w:t xml:space="preserve">, </w:t>
      </w:r>
      <w:r w:rsidR="002B31CF" w:rsidRPr="002B31CF">
        <w:rPr>
          <w:lang w:val="fr-CA"/>
        </w:rPr>
        <w:t>2015 SCC 20</w:t>
      </w:r>
      <w:r w:rsidR="002B31CF">
        <w:rPr>
          <w:lang w:val="fr-CA"/>
        </w:rPr>
        <w:t>, [2015] 2 S.C.R. 136</w:t>
      </w:r>
    </w:p>
    <w:p w:rsidR="00A149DF" w:rsidRPr="006D697B" w:rsidRDefault="00A149DF" w:rsidP="00FC4EFB">
      <w:pPr>
        <w:jc w:val="both"/>
        <w:rPr>
          <w:lang w:val="fr-CA"/>
        </w:rPr>
      </w:pPr>
    </w:p>
    <w:p w:rsidR="007F44EB" w:rsidRDefault="0022753B" w:rsidP="007F44EB">
      <w:pPr>
        <w:pStyle w:val="SCCLsocLastPartyInRole"/>
        <w:spacing w:after="0"/>
        <w:rPr>
          <w:lang w:val="fr-CA"/>
        </w:rPr>
      </w:pPr>
      <w:r w:rsidRPr="0022753B">
        <w:rPr>
          <w:lang w:val="fr-CA"/>
        </w:rPr>
        <w:t>Sanofi-Aventis, Sanofi-Aventis Deut</w:t>
      </w:r>
      <w:r w:rsidR="007F44EB">
        <w:rPr>
          <w:lang w:val="fr-CA"/>
        </w:rPr>
        <w:t xml:space="preserve">schland GmbH </w:t>
      </w:r>
    </w:p>
    <w:p w:rsidR="005F4A40" w:rsidRPr="0022753B" w:rsidRDefault="007F44EB">
      <w:pPr>
        <w:pStyle w:val="SCCLsocLastPartyInRole"/>
        <w:rPr>
          <w:lang w:val="fr-CA"/>
        </w:rPr>
      </w:pPr>
      <w:r>
        <w:rPr>
          <w:lang w:val="fr-CA"/>
        </w:rPr>
        <w:t>and Sanofi-Aventis Canada Inc.</w:t>
      </w:r>
      <w:r w:rsidR="00A73579" w:rsidRPr="0022753B">
        <w:rPr>
          <w:rStyle w:val="SCCLsocPartyRole"/>
          <w:lang w:val="fr-CA"/>
        </w:rPr>
        <w:tab/>
        <w:t>Appellant</w:t>
      </w:r>
      <w:r w:rsidR="004660D9">
        <w:rPr>
          <w:rStyle w:val="SCCLsocPartyRole"/>
          <w:lang w:val="fr-CA"/>
        </w:rPr>
        <w:t>s</w:t>
      </w:r>
    </w:p>
    <w:p w:rsidR="005F4A40" w:rsidRPr="007F7804" w:rsidRDefault="00A73579">
      <w:pPr>
        <w:pStyle w:val="SCCLsocVersus"/>
        <w:rPr>
          <w:lang w:val="fr-CA"/>
        </w:rPr>
      </w:pPr>
      <w:r w:rsidRPr="007F7804">
        <w:rPr>
          <w:lang w:val="fr-CA"/>
        </w:rPr>
        <w:t>v.</w:t>
      </w:r>
    </w:p>
    <w:p w:rsidR="005F4A40" w:rsidRPr="007F7804" w:rsidRDefault="004660D9">
      <w:pPr>
        <w:pStyle w:val="SCCLsocLastPartyInRole"/>
        <w:rPr>
          <w:rStyle w:val="SCCLsocPartyRole"/>
          <w:lang w:val="fr-CA"/>
        </w:rPr>
      </w:pPr>
      <w:r w:rsidRPr="007F7804">
        <w:rPr>
          <w:lang w:val="fr-CA"/>
        </w:rPr>
        <w:t>Apotex Inc.</w:t>
      </w:r>
      <w:r w:rsidR="00A73579" w:rsidRPr="007F7804">
        <w:rPr>
          <w:rStyle w:val="SCCLsocPartyRole"/>
          <w:lang w:val="fr-CA"/>
        </w:rPr>
        <w:tab/>
        <w:t>Respondent</w:t>
      </w:r>
    </w:p>
    <w:p w:rsidR="00F3318A" w:rsidRPr="004460C5" w:rsidRDefault="00901FA9" w:rsidP="00F3318A">
      <w:pPr>
        <w:spacing w:after="720"/>
        <w:rPr>
          <w:lang w:val="fr-CA"/>
        </w:rPr>
      </w:pPr>
      <w:r w:rsidRPr="004460C5">
        <w:rPr>
          <w:lang w:val="fr-CA"/>
        </w:rPr>
        <w:t xml:space="preserve">- </w:t>
      </w:r>
      <w:r w:rsidR="00F3318A" w:rsidRPr="004460C5">
        <w:rPr>
          <w:lang w:val="fr-CA"/>
        </w:rPr>
        <w:t>and</w:t>
      </w:r>
      <w:r w:rsidRPr="004460C5">
        <w:rPr>
          <w:lang w:val="fr-CA"/>
        </w:rPr>
        <w:t xml:space="preserve"> -</w:t>
      </w:r>
    </w:p>
    <w:p w:rsidR="00A149DF" w:rsidRPr="004460C5" w:rsidRDefault="00A149DF" w:rsidP="00FC4EFB">
      <w:pPr>
        <w:jc w:val="both"/>
        <w:rPr>
          <w:lang w:val="fr-CA"/>
        </w:rPr>
      </w:pPr>
    </w:p>
    <w:p w:rsidR="00901FA9" w:rsidRPr="004460C5" w:rsidRDefault="00901FA9" w:rsidP="00901FA9">
      <w:pPr>
        <w:pStyle w:val="SCCLsocLastPartyInRole"/>
        <w:spacing w:after="0"/>
        <w:rPr>
          <w:lang w:val="fr-CA"/>
        </w:rPr>
      </w:pPr>
      <w:r w:rsidRPr="004460C5">
        <w:rPr>
          <w:lang w:val="fr-CA"/>
        </w:rPr>
        <w:t xml:space="preserve">Sanofi-Aventis, Sanofi-Aventis Deutschland GmbH </w:t>
      </w:r>
    </w:p>
    <w:p w:rsidR="00901FA9" w:rsidRPr="004460C5" w:rsidRDefault="00901FA9" w:rsidP="00901FA9">
      <w:pPr>
        <w:pStyle w:val="SCCLsocLastPartyInRole"/>
        <w:rPr>
          <w:lang w:val="fr-CA"/>
        </w:rPr>
      </w:pPr>
      <w:r w:rsidRPr="004460C5">
        <w:rPr>
          <w:lang w:val="fr-CA"/>
        </w:rPr>
        <w:t>and Sanofi-Aventis Canada Inc.</w:t>
      </w:r>
      <w:r w:rsidRPr="004460C5">
        <w:rPr>
          <w:rStyle w:val="SCCLsocPartyRole"/>
          <w:lang w:val="fr-CA"/>
        </w:rPr>
        <w:tab/>
        <w:t>Appellants</w:t>
      </w:r>
    </w:p>
    <w:p w:rsidR="00901FA9" w:rsidRPr="004460C5" w:rsidRDefault="00901FA9" w:rsidP="00901FA9">
      <w:pPr>
        <w:pStyle w:val="SCCLsocVersus"/>
        <w:rPr>
          <w:lang w:val="fr-CA"/>
        </w:rPr>
      </w:pPr>
      <w:r w:rsidRPr="004460C5">
        <w:rPr>
          <w:lang w:val="fr-CA"/>
        </w:rPr>
        <w:t>v.</w:t>
      </w:r>
    </w:p>
    <w:p w:rsidR="00901FA9" w:rsidRPr="004460C5" w:rsidRDefault="00901FA9" w:rsidP="00901FA9">
      <w:pPr>
        <w:pStyle w:val="SCCLsocLastPartyInRole"/>
        <w:rPr>
          <w:rStyle w:val="SCCLsocPartyRole"/>
          <w:lang w:val="fr-CA"/>
        </w:rPr>
      </w:pPr>
      <w:r w:rsidRPr="004460C5">
        <w:rPr>
          <w:lang w:val="fr-CA"/>
        </w:rPr>
        <w:t>Apotex Inc.</w:t>
      </w:r>
      <w:r w:rsidRPr="004460C5">
        <w:rPr>
          <w:rStyle w:val="SCCLsocPartyRole"/>
          <w:lang w:val="fr-CA"/>
        </w:rPr>
        <w:tab/>
        <w:t>Respondent</w:t>
      </w:r>
    </w:p>
    <w:p w:rsidR="00901FA9" w:rsidRPr="004460C5" w:rsidRDefault="00901FA9" w:rsidP="00901FA9">
      <w:pPr>
        <w:spacing w:after="720"/>
        <w:rPr>
          <w:lang w:val="fr-CA"/>
        </w:rPr>
      </w:pPr>
      <w:r w:rsidRPr="004460C5">
        <w:rPr>
          <w:lang w:val="fr-CA"/>
        </w:rPr>
        <w:t>- and -</w:t>
      </w:r>
    </w:p>
    <w:p w:rsidR="00901FA9" w:rsidRPr="004460C5" w:rsidRDefault="00901FA9" w:rsidP="00901FA9">
      <w:pPr>
        <w:pStyle w:val="SCCLsocLastPartyInRole"/>
        <w:spacing w:after="0"/>
        <w:rPr>
          <w:lang w:val="fr-CA"/>
        </w:rPr>
      </w:pPr>
      <w:r w:rsidRPr="004460C5">
        <w:rPr>
          <w:lang w:val="fr-CA"/>
        </w:rPr>
        <w:t xml:space="preserve">Sanofi-Aventis, Sanofi-Aventis Deutschland GmbH </w:t>
      </w:r>
    </w:p>
    <w:p w:rsidR="00901FA9" w:rsidRPr="004460C5" w:rsidRDefault="00901FA9" w:rsidP="00901FA9">
      <w:pPr>
        <w:pStyle w:val="SCCLsocLastPartyInRole"/>
        <w:rPr>
          <w:lang w:val="fr-CA"/>
        </w:rPr>
      </w:pPr>
      <w:r w:rsidRPr="004460C5">
        <w:rPr>
          <w:lang w:val="fr-CA"/>
        </w:rPr>
        <w:t>and Sanofi-Aventis Canada Inc.</w:t>
      </w:r>
      <w:r w:rsidRPr="004460C5">
        <w:rPr>
          <w:rStyle w:val="SCCLsocPartyRole"/>
          <w:lang w:val="fr-CA"/>
        </w:rPr>
        <w:tab/>
        <w:t>Appellants</w:t>
      </w:r>
    </w:p>
    <w:p w:rsidR="00901FA9" w:rsidRPr="004460C5" w:rsidRDefault="00901FA9" w:rsidP="00901FA9">
      <w:pPr>
        <w:pStyle w:val="SCCLsocVersus"/>
        <w:rPr>
          <w:lang w:val="fr-CA"/>
        </w:rPr>
      </w:pPr>
      <w:r w:rsidRPr="004460C5">
        <w:rPr>
          <w:lang w:val="fr-CA"/>
        </w:rPr>
        <w:t>v.</w:t>
      </w:r>
    </w:p>
    <w:p w:rsidR="00901FA9" w:rsidRPr="004460C5" w:rsidRDefault="00901FA9" w:rsidP="00901FA9">
      <w:pPr>
        <w:pStyle w:val="SCCLsocLastPartyInRole"/>
        <w:rPr>
          <w:rStyle w:val="SCCLsocPartyRole"/>
          <w:lang w:val="fr-CA"/>
        </w:rPr>
      </w:pPr>
      <w:r w:rsidRPr="004460C5">
        <w:rPr>
          <w:lang w:val="fr-CA"/>
        </w:rPr>
        <w:lastRenderedPageBreak/>
        <w:t>Apotex Inc.</w:t>
      </w:r>
      <w:r w:rsidRPr="004460C5">
        <w:rPr>
          <w:rStyle w:val="SCCLsocPartyRole"/>
          <w:lang w:val="fr-CA"/>
        </w:rPr>
        <w:tab/>
        <w:t>Respondent</w:t>
      </w:r>
    </w:p>
    <w:p w:rsidR="00901FA9" w:rsidRPr="004460C5" w:rsidRDefault="00901FA9" w:rsidP="00901FA9">
      <w:pPr>
        <w:spacing w:after="720"/>
        <w:rPr>
          <w:lang w:val="fr-CA"/>
        </w:rPr>
      </w:pPr>
      <w:r w:rsidRPr="004460C5">
        <w:rPr>
          <w:lang w:val="fr-CA"/>
        </w:rPr>
        <w:t>- and -</w:t>
      </w:r>
    </w:p>
    <w:p w:rsidR="00901FA9" w:rsidRPr="004460C5" w:rsidRDefault="00901FA9" w:rsidP="00901FA9">
      <w:pPr>
        <w:pStyle w:val="SCCLsocLastPartyInRole"/>
        <w:spacing w:after="0"/>
        <w:rPr>
          <w:lang w:val="fr-CA"/>
        </w:rPr>
      </w:pPr>
      <w:r w:rsidRPr="004460C5">
        <w:rPr>
          <w:lang w:val="fr-CA"/>
        </w:rPr>
        <w:t xml:space="preserve">Sanofi-Aventis, Sanofi-Aventis Deutschland GmbH </w:t>
      </w:r>
    </w:p>
    <w:p w:rsidR="00901FA9" w:rsidRPr="004460C5" w:rsidRDefault="00901FA9" w:rsidP="00901FA9">
      <w:pPr>
        <w:pStyle w:val="SCCLsocLastPartyInRole"/>
        <w:rPr>
          <w:lang w:val="fr-CA"/>
        </w:rPr>
      </w:pPr>
      <w:r w:rsidRPr="004460C5">
        <w:rPr>
          <w:lang w:val="fr-CA"/>
        </w:rPr>
        <w:t>and Sanofi-Aventis Canada Inc.</w:t>
      </w:r>
      <w:r w:rsidRPr="004460C5">
        <w:rPr>
          <w:rStyle w:val="SCCLsocPartyRole"/>
          <w:lang w:val="fr-CA"/>
        </w:rPr>
        <w:tab/>
        <w:t>Appellants</w:t>
      </w:r>
    </w:p>
    <w:p w:rsidR="00901FA9" w:rsidRPr="004460C5" w:rsidRDefault="00901FA9" w:rsidP="00901FA9">
      <w:pPr>
        <w:pStyle w:val="SCCLsocVersus"/>
      </w:pPr>
      <w:r w:rsidRPr="004460C5">
        <w:t>v.</w:t>
      </w:r>
    </w:p>
    <w:p w:rsidR="00901FA9" w:rsidRDefault="00901FA9" w:rsidP="00901FA9">
      <w:pPr>
        <w:pStyle w:val="SCCLsocLastPartyInRole"/>
        <w:rPr>
          <w:rStyle w:val="SCCLsocPartyRole"/>
        </w:rPr>
      </w:pPr>
      <w:r w:rsidRPr="004460C5">
        <w:t>Apotex Inc.</w:t>
      </w:r>
      <w:r w:rsidRPr="004460C5">
        <w:rPr>
          <w:rStyle w:val="SCCLsocPartyRole"/>
        </w:rPr>
        <w:tab/>
        <w:t>Respondent</w:t>
      </w:r>
    </w:p>
    <w:p w:rsidR="00901FA9" w:rsidRPr="00F3318A" w:rsidRDefault="00901FA9" w:rsidP="00901FA9">
      <w:pPr>
        <w:spacing w:after="720"/>
      </w:pPr>
      <w:r>
        <w:t>and</w:t>
      </w:r>
    </w:p>
    <w:p w:rsidR="00BB731F" w:rsidRDefault="00BB731F" w:rsidP="00BB731F">
      <w:pPr>
        <w:pStyle w:val="SCCLsocLastPartyInRole"/>
        <w:spacing w:after="0"/>
      </w:pPr>
      <w:r>
        <w:t>Canadian Generic Pharmaceutical Association</w:t>
      </w:r>
    </w:p>
    <w:p w:rsidR="00F3318A" w:rsidRDefault="00BB731F" w:rsidP="00F3318A">
      <w:pPr>
        <w:pStyle w:val="SCCLsocLastPartyInRole"/>
      </w:pPr>
      <w:r>
        <w:t>and Canada’s Research-Based Pharmaceutical Companies</w:t>
      </w:r>
      <w:r w:rsidR="00F3318A">
        <w:rPr>
          <w:rStyle w:val="SCCLsocPartyRole"/>
        </w:rPr>
        <w:tab/>
      </w:r>
      <w:r>
        <w:rPr>
          <w:rStyle w:val="SCCLsocPartyRole"/>
        </w:rPr>
        <w:t>Interveners</w:t>
      </w: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4660D9">
        <w:rPr>
          <w:rStyle w:val="SCCAppellantForIndexChar"/>
        </w:rPr>
        <w:t>Sanofi-Aventis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4660D9">
        <w:rPr>
          <w:rStyle w:val="SCCRespondentForIndexChar"/>
        </w:rPr>
        <w:t>Apotex Inc.</w:t>
      </w:r>
    </w:p>
    <w:p w:rsidR="00426659" w:rsidRDefault="00426659" w:rsidP="00FC4EFB">
      <w:pPr>
        <w:jc w:val="both"/>
      </w:pPr>
    </w:p>
    <w:p w:rsidR="00426659" w:rsidRPr="00C02092" w:rsidRDefault="004F36FF" w:rsidP="00FC4EFB">
      <w:pPr>
        <w:pStyle w:val="SCCSystemYear"/>
        <w:jc w:val="both"/>
      </w:pPr>
      <w:r>
        <w:t>2015</w:t>
      </w:r>
      <w:r w:rsidR="003D0399">
        <w:t xml:space="preserve"> </w:t>
      </w:r>
      <w:r w:rsidR="0085199E">
        <w:t>SCC</w:t>
      </w:r>
      <w:r w:rsidR="005C2739">
        <w:t xml:space="preserve"> </w:t>
      </w:r>
      <w:r w:rsidR="0085199E">
        <w:t>20</w:t>
      </w:r>
    </w:p>
    <w:p w:rsidR="00426659" w:rsidRDefault="00426659" w:rsidP="00FC4EFB">
      <w:pPr>
        <w:jc w:val="both"/>
      </w:pPr>
    </w:p>
    <w:p w:rsidR="008322BD" w:rsidRDefault="00D8008C" w:rsidP="00FC4EFB">
      <w:pPr>
        <w:jc w:val="both"/>
      </w:pPr>
      <w:r>
        <w:t xml:space="preserve">File No.: </w:t>
      </w:r>
      <w:r w:rsidR="0085199E">
        <w:t>35886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8322BD" w:rsidRDefault="00D8008C" w:rsidP="00FC4EFB">
      <w:pPr>
        <w:jc w:val="both"/>
      </w:pPr>
      <w:r>
        <w:t xml:space="preserve">2015: </w:t>
      </w:r>
      <w:r w:rsidR="00156719">
        <w:t>April 20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r w:rsidR="004A776F">
        <w:t xml:space="preserve">McLachlin C.J. and </w:t>
      </w:r>
      <w:r>
        <w:t xml:space="preserve">Abella, Rothstein, Cromwell, </w:t>
      </w:r>
      <w:r w:rsidR="004A776F">
        <w:t xml:space="preserve">Moldaver, </w:t>
      </w:r>
      <w:r>
        <w:t>Karakatsanis, Wagner, Gascon and Côté JJ.</w:t>
      </w:r>
    </w:p>
    <w:p w:rsidR="00E97830" w:rsidRDefault="00E97830" w:rsidP="00FC4EFB">
      <w:pPr>
        <w:jc w:val="both"/>
      </w:pP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4A776F">
        <w:t>federal court of appeal</w:t>
      </w:r>
    </w:p>
    <w:p w:rsidR="003A4C70" w:rsidRPr="001426A9" w:rsidRDefault="003A4C70" w:rsidP="00FC4EFB">
      <w:pPr>
        <w:pStyle w:val="SCCNormalDoubleSpacing"/>
      </w:pPr>
    </w:p>
    <w:p w:rsidR="008322BD" w:rsidRPr="004460C5" w:rsidRDefault="009B57B3" w:rsidP="00FC4EFB">
      <w:pPr>
        <w:pStyle w:val="SCCNormalDoubleSpacing"/>
        <w:rPr>
          <w:i/>
        </w:rPr>
      </w:pPr>
      <w:r w:rsidRPr="00583EDE">
        <w:tab/>
      </w:r>
      <w:r w:rsidR="004460C5" w:rsidRPr="004460C5">
        <w:rPr>
          <w:i/>
        </w:rPr>
        <w:t xml:space="preserve">Intellectual property — Patents — Medicines — </w:t>
      </w:r>
      <w:r w:rsidR="00156719">
        <w:rPr>
          <w:i/>
        </w:rPr>
        <w:t>Manufacturer</w:t>
      </w:r>
      <w:r w:rsidR="004460C5" w:rsidRPr="004460C5">
        <w:rPr>
          <w:i/>
        </w:rPr>
        <w:t xml:space="preserve"> applied to market generic version of drug </w:t>
      </w:r>
      <w:r w:rsidR="00156719">
        <w:rPr>
          <w:i/>
        </w:rPr>
        <w:t xml:space="preserve">— Patentees of drug </w:t>
      </w:r>
      <w:r w:rsidR="004460C5" w:rsidRPr="004460C5">
        <w:rPr>
          <w:i/>
        </w:rPr>
        <w:t xml:space="preserve">applied for prohibition orders that triggered statutory stay under Patented Medicines (Notice of Compliance) Regulations and prevented </w:t>
      </w:r>
      <w:r w:rsidR="00156719">
        <w:rPr>
          <w:i/>
        </w:rPr>
        <w:t>manufacturer</w:t>
      </w:r>
      <w:r w:rsidR="004460C5" w:rsidRPr="004460C5">
        <w:rPr>
          <w:i/>
        </w:rPr>
        <w:t xml:space="preserve"> from selling generic for 24 months — </w:t>
      </w:r>
      <w:r w:rsidR="00156719">
        <w:rPr>
          <w:i/>
        </w:rPr>
        <w:lastRenderedPageBreak/>
        <w:t xml:space="preserve">Action for damages </w:t>
      </w:r>
      <w:r w:rsidR="004460C5" w:rsidRPr="004460C5">
        <w:rPr>
          <w:i/>
        </w:rPr>
        <w:t>brought under s</w:t>
      </w:r>
      <w:r w:rsidR="008E0245">
        <w:rPr>
          <w:i/>
        </w:rPr>
        <w:t>.</w:t>
      </w:r>
      <w:r w:rsidR="004460C5" w:rsidRPr="004460C5">
        <w:rPr>
          <w:i/>
        </w:rPr>
        <w:t xml:space="preserve"> 8 of Regulations </w:t>
      </w:r>
      <w:r w:rsidR="00156719">
        <w:rPr>
          <w:i/>
        </w:rPr>
        <w:t>for d</w:t>
      </w:r>
      <w:r w:rsidR="008E0245">
        <w:rPr>
          <w:i/>
        </w:rPr>
        <w:t>elayed market entry — Court of A</w:t>
      </w:r>
      <w:r w:rsidR="00156719">
        <w:rPr>
          <w:i/>
        </w:rPr>
        <w:t>ppeal holding that t</w:t>
      </w:r>
      <w:r w:rsidR="004460C5" w:rsidRPr="004460C5">
        <w:rPr>
          <w:i/>
        </w:rPr>
        <w:t>rial judge did not err in determining liability period of 24 month</w:t>
      </w:r>
      <w:r w:rsidR="00156719">
        <w:rPr>
          <w:i/>
        </w:rPr>
        <w:t>s, in determining that patentee</w:t>
      </w:r>
      <w:r w:rsidR="004460C5" w:rsidRPr="004460C5">
        <w:rPr>
          <w:i/>
        </w:rPr>
        <w:t xml:space="preserve">s’ authorized generic version would have entered market within three months and achieved 30 percent share of hypothetical market within liability period, or in determining that </w:t>
      </w:r>
      <w:r w:rsidR="00156719">
        <w:rPr>
          <w:i/>
        </w:rPr>
        <w:t>manufacturer</w:t>
      </w:r>
      <w:r w:rsidR="004460C5" w:rsidRPr="004460C5">
        <w:rPr>
          <w:i/>
        </w:rPr>
        <w:t xml:space="preserve"> entitled to compensation for lost sales of its generic version associated with un</w:t>
      </w:r>
      <w:r w:rsidR="00156719">
        <w:rPr>
          <w:i/>
        </w:rPr>
        <w:t xml:space="preserve">approved indications </w:t>
      </w:r>
      <w:r w:rsidR="004460C5" w:rsidRPr="004460C5">
        <w:rPr>
          <w:i/>
        </w:rPr>
        <w:t>— Patented Medicines (Notice of Compliance) Regulations, SOR/93-133.</w:t>
      </w:r>
    </w:p>
    <w:p w:rsidR="00A149DF" w:rsidRDefault="00A149DF" w:rsidP="00FC4EFB">
      <w:pPr>
        <w:pStyle w:val="SCCNormalDoubleSpacing"/>
      </w:pPr>
    </w:p>
    <w:p w:rsidR="00656313" w:rsidRPr="009A79A6" w:rsidRDefault="004C5E5E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272820">
        <w:t>Federal</w:t>
      </w:r>
      <w:r w:rsidR="00D8008C">
        <w:t xml:space="preserve"> Court of Appeal (</w:t>
      </w:r>
      <w:r w:rsidR="00272820">
        <w:t>Sharlow</w:t>
      </w:r>
      <w:r w:rsidR="00B939B4" w:rsidRPr="00B939B4">
        <w:t xml:space="preserve">, </w:t>
      </w:r>
      <w:r w:rsidR="00272820">
        <w:t>Pelletier</w:t>
      </w:r>
      <w:r w:rsidR="00B939B4" w:rsidRPr="00B939B4">
        <w:t xml:space="preserve"> </w:t>
      </w:r>
      <w:r w:rsidR="00B939B4">
        <w:t>and</w:t>
      </w:r>
      <w:r w:rsidR="00B939B4" w:rsidRPr="00B939B4">
        <w:t xml:space="preserve"> </w:t>
      </w:r>
      <w:r w:rsidR="00272820">
        <w:t>Mainville</w:t>
      </w:r>
      <w:r w:rsidR="00B939B4">
        <w:t xml:space="preserve"> JJ.A.</w:t>
      </w:r>
      <w:r w:rsidR="00B939B4" w:rsidRPr="00B939B4">
        <w:t>)</w:t>
      </w:r>
      <w:r w:rsidR="00B939B4">
        <w:t xml:space="preserve">, </w:t>
      </w:r>
      <w:r w:rsidR="00F01C6B" w:rsidRPr="00F01C6B">
        <w:t xml:space="preserve">2014 </w:t>
      </w:r>
      <w:r w:rsidR="004C773C">
        <w:t>FCA</w:t>
      </w:r>
      <w:r w:rsidR="00F01C6B" w:rsidRPr="00F01C6B">
        <w:t xml:space="preserve"> </w:t>
      </w:r>
      <w:r w:rsidR="004C773C">
        <w:t>68</w:t>
      </w:r>
      <w:r w:rsidR="00F01C6B" w:rsidRPr="00F01C6B">
        <w:t xml:space="preserve">, </w:t>
      </w:r>
      <w:r w:rsidR="004C773C">
        <w:t>456 N.R. 279, 125 C.P.R. (4th) 403, [2014] F.C.</w:t>
      </w:r>
      <w:r w:rsidR="00F01C6B" w:rsidRPr="00F01C6B">
        <w:t xml:space="preserve">J. No. </w:t>
      </w:r>
      <w:r w:rsidR="004C773C">
        <w:t>295</w:t>
      </w:r>
      <w:r w:rsidR="00153C78">
        <w:t xml:space="preserve"> (QL), 2014 CarswellNat</w:t>
      </w:r>
      <w:r w:rsidR="00F01C6B" w:rsidRPr="00F01C6B">
        <w:t xml:space="preserve"> </w:t>
      </w:r>
      <w:r w:rsidR="00153C78">
        <w:t>700</w:t>
      </w:r>
      <w:r w:rsidR="00F01C6B" w:rsidRPr="00F01C6B">
        <w:t xml:space="preserve"> (WL Can.)</w:t>
      </w:r>
      <w:r w:rsidR="00F01C6B">
        <w:t xml:space="preserve">, </w:t>
      </w:r>
      <w:r w:rsidR="009A79A6" w:rsidRPr="004460C5">
        <w:t xml:space="preserve">setting aside </w:t>
      </w:r>
      <w:r w:rsidR="00301185" w:rsidRPr="004460C5">
        <w:t>in part the judgment</w:t>
      </w:r>
      <w:r w:rsidR="009A79A6" w:rsidRPr="004460C5">
        <w:t xml:space="preserve"> of </w:t>
      </w:r>
      <w:r w:rsidR="00153C78" w:rsidRPr="004460C5">
        <w:t>Snider</w:t>
      </w:r>
      <w:r w:rsidR="009A79A6" w:rsidRPr="004460C5">
        <w:t xml:space="preserve"> J.</w:t>
      </w:r>
      <w:r w:rsidR="009A79A6">
        <w:t xml:space="preserve">, </w:t>
      </w:r>
      <w:r w:rsidR="009A79A6" w:rsidRPr="009A79A6">
        <w:t xml:space="preserve">2012 </w:t>
      </w:r>
      <w:r w:rsidR="00301185">
        <w:t>FC</w:t>
      </w:r>
      <w:r w:rsidR="009A79A6" w:rsidRPr="009A79A6">
        <w:t xml:space="preserve"> </w:t>
      </w:r>
      <w:r w:rsidR="00301185">
        <w:t>553</w:t>
      </w:r>
      <w:r w:rsidR="009A79A6" w:rsidRPr="009A79A6">
        <w:t xml:space="preserve">, </w:t>
      </w:r>
      <w:r w:rsidR="00BF46F9">
        <w:t>410 F.T.R. 78, [2012] F.C.</w:t>
      </w:r>
      <w:r w:rsidR="009A79A6" w:rsidRPr="009A79A6">
        <w:t xml:space="preserve">J. No. </w:t>
      </w:r>
      <w:r w:rsidR="00BF46F9">
        <w:t>620 (QL), 2012 CarswellNat 1646</w:t>
      </w:r>
      <w:r w:rsidR="009A79A6">
        <w:t xml:space="preserve"> (WL Can.)</w:t>
      </w:r>
      <w:r w:rsidR="009A79A6" w:rsidRPr="009A79A6">
        <w:t>.</w:t>
      </w:r>
      <w:r w:rsidR="00A77E66">
        <w:t xml:space="preserve"> Appeal </w:t>
      </w:r>
      <w:r w:rsidR="009B3F6C">
        <w:t>dismissed</w:t>
      </w:r>
      <w:r w:rsidR="00475938">
        <w:t>.</w:t>
      </w:r>
    </w:p>
    <w:p w:rsidR="00656313" w:rsidRDefault="00656313" w:rsidP="00FC4EFB">
      <w:pPr>
        <w:pStyle w:val="SCCNormalDoubleSpacing"/>
      </w:pPr>
    </w:p>
    <w:p w:rsidR="005F4A40" w:rsidRDefault="00A73579">
      <w:pPr>
        <w:pStyle w:val="SCCNormalDoubleSpacing"/>
      </w:pPr>
      <w:r>
        <w:rPr>
          <w:rStyle w:val="SCCCounselNameChar"/>
        </w:rPr>
        <w:tab/>
      </w:r>
      <w:r w:rsidR="00DA7564">
        <w:rPr>
          <w:rStyle w:val="SCCCounselNameChar"/>
        </w:rPr>
        <w:t>Andrew J. Reddon</w:t>
      </w:r>
      <w:r w:rsidRPr="003D34FE">
        <w:rPr>
          <w:rStyle w:val="SCCCounselSeparatorChar"/>
        </w:rPr>
        <w:t xml:space="preserve">, </w:t>
      </w:r>
      <w:r w:rsidR="00DA7564">
        <w:rPr>
          <w:rStyle w:val="SCCCounselNameChar"/>
        </w:rPr>
        <w:t>Steven G. Mason</w:t>
      </w:r>
      <w:r w:rsidR="00CD2860">
        <w:rPr>
          <w:rStyle w:val="SCCCounselNameChar"/>
          <w:i w:val="0"/>
        </w:rPr>
        <w:t xml:space="preserve">, </w:t>
      </w:r>
      <w:r w:rsidR="00CD2860">
        <w:rPr>
          <w:rStyle w:val="SCCCounselNameChar"/>
        </w:rPr>
        <w:t>David Tait</w:t>
      </w:r>
      <w:r w:rsidR="007660FF" w:rsidRPr="003D34FE">
        <w:rPr>
          <w:rStyle w:val="SCCCounselNameChar"/>
        </w:rPr>
        <w:t xml:space="preserve"> </w:t>
      </w:r>
      <w:r w:rsidR="007660FF" w:rsidRPr="003D34FE">
        <w:rPr>
          <w:rStyle w:val="SCCCounselSeparatorChar"/>
        </w:rPr>
        <w:t>and</w:t>
      </w:r>
      <w:r w:rsidR="007660FF" w:rsidRPr="003D34FE">
        <w:rPr>
          <w:rStyle w:val="SCCCounselNameChar"/>
        </w:rPr>
        <w:t xml:space="preserve"> </w:t>
      </w:r>
      <w:r w:rsidR="00CD2860">
        <w:rPr>
          <w:rStyle w:val="SCCCounselNameChar"/>
        </w:rPr>
        <w:t>Sanjaya Mendis</w:t>
      </w:r>
      <w:r w:rsidRPr="003D34FE">
        <w:rPr>
          <w:rStyle w:val="SCCCounselPartyRoleChar"/>
        </w:rPr>
        <w:t>, for the appellant</w:t>
      </w:r>
      <w:r w:rsidR="00CD2860">
        <w:rPr>
          <w:rStyle w:val="SCCCounselPartyRoleChar"/>
        </w:rPr>
        <w:t>s</w:t>
      </w:r>
      <w:r w:rsidRPr="003D34FE">
        <w:rPr>
          <w:rStyle w:val="SCCCounselPartyRoleChar"/>
        </w:rPr>
        <w:t>.</w:t>
      </w:r>
    </w:p>
    <w:p w:rsidR="005F4A40" w:rsidRDefault="005F4A40">
      <w:pPr>
        <w:pStyle w:val="SCCNormalDoubleSpacing"/>
      </w:pPr>
    </w:p>
    <w:p w:rsidR="005F4A40" w:rsidRDefault="00A73579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</w:r>
      <w:r w:rsidR="006A73F1">
        <w:rPr>
          <w:rStyle w:val="SCCCounselNameChar"/>
        </w:rPr>
        <w:t>Harry B. R</w:t>
      </w:r>
      <w:r w:rsidR="00241A8E">
        <w:rPr>
          <w:rStyle w:val="SCCCounselNameChar"/>
        </w:rPr>
        <w:t>adomski</w:t>
      </w:r>
      <w:r w:rsidR="004719F7">
        <w:rPr>
          <w:rStyle w:val="SCCCounselNameChar"/>
          <w:i w:val="0"/>
        </w:rPr>
        <w:t xml:space="preserve">, </w:t>
      </w:r>
      <w:r w:rsidR="00241A8E">
        <w:rPr>
          <w:rStyle w:val="SCCCounselNameChar"/>
        </w:rPr>
        <w:t>Andrew Brodkin</w:t>
      </w:r>
      <w:r w:rsidR="004719F7">
        <w:rPr>
          <w:rStyle w:val="SCCCounselNameChar"/>
          <w:i w:val="0"/>
        </w:rPr>
        <w:t xml:space="preserve">, </w:t>
      </w:r>
      <w:r w:rsidR="00241A8E">
        <w:rPr>
          <w:rStyle w:val="SCCCounselNameChar"/>
        </w:rPr>
        <w:t xml:space="preserve">David Scrimger </w:t>
      </w:r>
      <w:r w:rsidR="004719F7">
        <w:rPr>
          <w:rStyle w:val="SCCCounselNameChar"/>
          <w:i w:val="0"/>
        </w:rPr>
        <w:t xml:space="preserve">and </w:t>
      </w:r>
      <w:r w:rsidR="00241A8E">
        <w:rPr>
          <w:rStyle w:val="SCCCounselNameChar"/>
        </w:rPr>
        <w:t>Benjamin Hackett</w:t>
      </w:r>
      <w:r>
        <w:rPr>
          <w:rStyle w:val="SCCCounselPartyRoleChar"/>
        </w:rPr>
        <w:t>, for the respondent.</w:t>
      </w:r>
    </w:p>
    <w:p w:rsidR="00CB2CD5" w:rsidRDefault="00CB2CD5">
      <w:pPr>
        <w:pStyle w:val="SCCNormalDoubleSpacing"/>
        <w:rPr>
          <w:rStyle w:val="SCCCounselPartyRoleChar"/>
        </w:rPr>
      </w:pPr>
    </w:p>
    <w:p w:rsidR="00CB2CD5" w:rsidRDefault="00CB2CD5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</w:r>
      <w:r w:rsidR="003C6C97">
        <w:rPr>
          <w:rStyle w:val="SCCCounselNameChar"/>
        </w:rPr>
        <w:t>Jonathan Stainsby</w:t>
      </w:r>
      <w:r>
        <w:rPr>
          <w:rStyle w:val="SCCCounselNameChar"/>
          <w:i w:val="0"/>
        </w:rPr>
        <w:t xml:space="preserve">, </w:t>
      </w:r>
      <w:r w:rsidR="004460C5">
        <w:rPr>
          <w:rStyle w:val="SCCCounselNameChar"/>
        </w:rPr>
        <w:t>David W</w:t>
      </w:r>
      <w:r w:rsidR="003C6C97">
        <w:rPr>
          <w:rStyle w:val="SCCCounselNameChar"/>
        </w:rPr>
        <w:t>. Aitken</w:t>
      </w:r>
      <w:r w:rsidR="003C6C97">
        <w:rPr>
          <w:rStyle w:val="SCCCounselNameChar"/>
          <w:i w:val="0"/>
        </w:rPr>
        <w:t xml:space="preserve"> </w:t>
      </w:r>
      <w:r>
        <w:rPr>
          <w:rStyle w:val="SCCCounselNameChar"/>
          <w:i w:val="0"/>
        </w:rPr>
        <w:t xml:space="preserve">and </w:t>
      </w:r>
      <w:r w:rsidR="003C6C97">
        <w:rPr>
          <w:rStyle w:val="SCCCounselNameChar"/>
        </w:rPr>
        <w:t>Devin Doyle</w:t>
      </w:r>
      <w:r>
        <w:rPr>
          <w:rStyle w:val="SCCCounselPartyRoleChar"/>
        </w:rPr>
        <w:t>, for the intervener the Canadian Generic Pharmaceutical Association.</w:t>
      </w:r>
    </w:p>
    <w:p w:rsidR="00CB2CD5" w:rsidRDefault="00CB2CD5">
      <w:pPr>
        <w:pStyle w:val="SCCNormalDoubleSpacing"/>
      </w:pPr>
    </w:p>
    <w:p w:rsidR="00B67B40" w:rsidRPr="00B67B40" w:rsidRDefault="00B67B40" w:rsidP="00B67B40">
      <w:pPr>
        <w:pStyle w:val="SCCNormalDoubleSpacing"/>
      </w:pPr>
      <w:r w:rsidRPr="006D697B">
        <w:rPr>
          <w:i/>
        </w:rPr>
        <w:tab/>
      </w:r>
      <w:r w:rsidRPr="00B67B40">
        <w:rPr>
          <w:i/>
        </w:rPr>
        <w:t xml:space="preserve">Allyson Whyte Nowak </w:t>
      </w:r>
      <w:r w:rsidRPr="00B67B40">
        <w:t xml:space="preserve">and </w:t>
      </w:r>
      <w:r w:rsidRPr="00B67B40">
        <w:rPr>
          <w:i/>
        </w:rPr>
        <w:t>Jason Markwell</w:t>
      </w:r>
      <w:r w:rsidRPr="00B67B40">
        <w:t>, f</w:t>
      </w:r>
      <w:r>
        <w:t>or the intervener</w:t>
      </w:r>
      <w:r w:rsidR="00627D23">
        <w:t xml:space="preserve"> the</w:t>
      </w:r>
      <w:r>
        <w:t xml:space="preserve"> Canada’s Research-Based Pharmaceutical Companies.</w:t>
      </w:r>
    </w:p>
    <w:p w:rsidR="002C49DA" w:rsidRDefault="002C49DA">
      <w:pPr>
        <w:pStyle w:val="SCCNormalDoubleSpacing"/>
      </w:pPr>
    </w:p>
    <w:p w:rsidR="00FC4BD9" w:rsidRDefault="00BC0C53" w:rsidP="00FC4BD9">
      <w:pPr>
        <w:pStyle w:val="SCCNormalDoubleSpacing"/>
        <w:jc w:val="left"/>
      </w:pPr>
      <w:r>
        <w:tab/>
      </w:r>
      <w:r w:rsidR="00BD4F61">
        <w:t xml:space="preserve">The </w:t>
      </w:r>
      <w:r w:rsidR="00FC4BD9" w:rsidRPr="00FC4BD9">
        <w:t xml:space="preserve">judgment </w:t>
      </w:r>
      <w:r w:rsidR="00BD4F61">
        <w:t xml:space="preserve">of the Court was </w:t>
      </w:r>
      <w:r w:rsidR="00FC4BD9" w:rsidRPr="00FC4BD9">
        <w:t>delivered orally by</w:t>
      </w:r>
    </w:p>
    <w:p w:rsidR="00FC4BD9" w:rsidRDefault="00984383" w:rsidP="00A77E66">
      <w:pPr>
        <w:pStyle w:val="ParaNoNdepar-AltN"/>
        <w:tabs>
          <w:tab w:val="clear" w:pos="1152"/>
          <w:tab w:val="left" w:pos="1166"/>
        </w:tabs>
        <w:rPr>
          <w:szCs w:val="24"/>
        </w:rPr>
      </w:pPr>
      <w:r>
        <w:rPr>
          <w:smallCaps/>
          <w:szCs w:val="24"/>
        </w:rPr>
        <w:t>The Chief Justice</w:t>
      </w:r>
      <w:r w:rsidR="006E07DA" w:rsidRPr="00B95C9F">
        <w:rPr>
          <w:szCs w:val="24"/>
        </w:rPr>
        <w:t xml:space="preserve"> </w:t>
      </w:r>
      <w:r w:rsidR="006E07DA" w:rsidRPr="00B95C9F">
        <w:rPr>
          <w:rFonts w:cs="Times New Roman"/>
          <w:szCs w:val="24"/>
        </w:rPr>
        <w:t>—</w:t>
      </w:r>
      <w:r w:rsidR="006E07DA" w:rsidRPr="00B95C9F">
        <w:rPr>
          <w:szCs w:val="24"/>
        </w:rPr>
        <w:t xml:space="preserve"> </w:t>
      </w:r>
      <w:r w:rsidR="00EB128E" w:rsidRPr="00EB128E">
        <w:rPr>
          <w:szCs w:val="24"/>
        </w:rPr>
        <w:t xml:space="preserve">We are all of the view to dismiss the appeal substantially for the reasons of the majority </w:t>
      </w:r>
      <w:r w:rsidR="00EB128E">
        <w:rPr>
          <w:szCs w:val="24"/>
        </w:rPr>
        <w:t>of the Court of Appeal</w:t>
      </w:r>
      <w:r w:rsidR="00BD4F61" w:rsidRPr="00BD4F61">
        <w:rPr>
          <w:szCs w:val="24"/>
        </w:rPr>
        <w:t>.</w:t>
      </w:r>
    </w:p>
    <w:p w:rsidR="00EB128E" w:rsidRPr="004460C5" w:rsidRDefault="00EB128E" w:rsidP="00A77E66">
      <w:pPr>
        <w:pStyle w:val="ParaNoNdepar-AltN"/>
        <w:tabs>
          <w:tab w:val="clear" w:pos="1152"/>
          <w:tab w:val="left" w:pos="1166"/>
        </w:tabs>
        <w:rPr>
          <w:szCs w:val="24"/>
        </w:rPr>
      </w:pPr>
      <w:r w:rsidRPr="004460C5">
        <w:rPr>
          <w:szCs w:val="24"/>
        </w:rPr>
        <w:t>The appeal is dismissed with costs.</w:t>
      </w:r>
    </w:p>
    <w:p w:rsidR="009B57B3" w:rsidRDefault="009B57B3" w:rsidP="00FC4BD9">
      <w:pPr>
        <w:pStyle w:val="SCCNormalDoubleSpacing"/>
        <w:jc w:val="left"/>
      </w:pPr>
      <w:r w:rsidRPr="001426A9">
        <w:tab/>
      </w:r>
      <w:r w:rsidR="006E07DA" w:rsidRPr="006E07DA"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567CC8" w:rsidRDefault="00A73579" w:rsidP="00567CC8">
      <w:pPr>
        <w:pStyle w:val="SCCLawFirm"/>
      </w:pPr>
      <w:r>
        <w:tab/>
      </w:r>
      <w:r w:rsidR="00567CC8" w:rsidRPr="006D697B">
        <w:t>Solicitors for the appellants: McCarthy Tétrault, Toronto.</w:t>
      </w:r>
    </w:p>
    <w:p w:rsidR="00567CC8" w:rsidRDefault="00567CC8" w:rsidP="00567CC8">
      <w:pPr>
        <w:pStyle w:val="SCCLawFirm"/>
      </w:pPr>
    </w:p>
    <w:p w:rsidR="00567CC8" w:rsidRDefault="00567CC8" w:rsidP="00567CC8">
      <w:pPr>
        <w:pStyle w:val="SCCLawFirm"/>
      </w:pPr>
      <w:r>
        <w:tab/>
        <w:t>Solicitors for the respondent: Goodmans, Toronto.</w:t>
      </w:r>
    </w:p>
    <w:p w:rsidR="00567CC8" w:rsidRDefault="00567CC8" w:rsidP="00567CC8">
      <w:pPr>
        <w:pStyle w:val="SCCNormalDoubleSpacing"/>
      </w:pPr>
    </w:p>
    <w:p w:rsidR="00567CC8" w:rsidRDefault="00567CC8" w:rsidP="00567CC8">
      <w:pPr>
        <w:pStyle w:val="SCCNormalDoubleSpacing"/>
        <w:rPr>
          <w:i/>
        </w:rPr>
      </w:pPr>
      <w:r>
        <w:tab/>
      </w:r>
      <w:r>
        <w:rPr>
          <w:i/>
        </w:rPr>
        <w:t xml:space="preserve">Solicitors for the intervener the Canadian Generic Pharmaceutical Association: Aitken Klee, Toronto </w:t>
      </w:r>
      <w:r w:rsidRPr="001B6C78">
        <w:rPr>
          <w:i/>
        </w:rPr>
        <w:t>and Ottawa</w:t>
      </w:r>
      <w:r>
        <w:rPr>
          <w:i/>
        </w:rPr>
        <w:t xml:space="preserve">. </w:t>
      </w:r>
    </w:p>
    <w:p w:rsidR="00567CC8" w:rsidRDefault="00567CC8" w:rsidP="00567CC8">
      <w:pPr>
        <w:pStyle w:val="SCCNormalDoubleSpacing"/>
        <w:rPr>
          <w:i/>
        </w:rPr>
      </w:pPr>
    </w:p>
    <w:p w:rsidR="00567CC8" w:rsidRPr="006D697B" w:rsidRDefault="00567CC8" w:rsidP="00567CC8">
      <w:pPr>
        <w:pStyle w:val="SCCNormalDoubleSpacing"/>
        <w:rPr>
          <w:i/>
        </w:rPr>
      </w:pPr>
      <w:r>
        <w:rPr>
          <w:i/>
        </w:rPr>
        <w:tab/>
        <w:t xml:space="preserve">Solicitors for the intervener </w:t>
      </w:r>
      <w:r w:rsidR="00627D23">
        <w:rPr>
          <w:i/>
        </w:rPr>
        <w:t xml:space="preserve">the </w:t>
      </w:r>
      <w:r>
        <w:rPr>
          <w:i/>
        </w:rPr>
        <w:t>Canada’s Research-Based Pharmaceutical Companies: Norton Rose Fulbright Canada, Toronto.</w:t>
      </w:r>
    </w:p>
    <w:sectPr w:rsidR="00567CC8" w:rsidRPr="006D697B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A9" w:rsidRDefault="00901FA9">
      <w:r>
        <w:separator/>
      </w:r>
    </w:p>
  </w:endnote>
  <w:endnote w:type="continuationSeparator" w:id="0">
    <w:p w:rsidR="00901FA9" w:rsidRDefault="0090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A9" w:rsidRDefault="00901FA9">
      <w:r>
        <w:separator/>
      </w:r>
    </w:p>
  </w:footnote>
  <w:footnote w:type="continuationSeparator" w:id="0">
    <w:p w:rsidR="00901FA9" w:rsidRDefault="0090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4C"/>
    <w:rsid w:val="00000ED4"/>
    <w:rsid w:val="000173B3"/>
    <w:rsid w:val="00025198"/>
    <w:rsid w:val="000578A3"/>
    <w:rsid w:val="000648CC"/>
    <w:rsid w:val="00083732"/>
    <w:rsid w:val="000C59B8"/>
    <w:rsid w:val="000C6AF0"/>
    <w:rsid w:val="00104F33"/>
    <w:rsid w:val="00111DE2"/>
    <w:rsid w:val="00116B38"/>
    <w:rsid w:val="00126AB0"/>
    <w:rsid w:val="00135406"/>
    <w:rsid w:val="00135972"/>
    <w:rsid w:val="001426A9"/>
    <w:rsid w:val="00153C78"/>
    <w:rsid w:val="00154D7C"/>
    <w:rsid w:val="00156719"/>
    <w:rsid w:val="001570B0"/>
    <w:rsid w:val="0015752C"/>
    <w:rsid w:val="00157737"/>
    <w:rsid w:val="001627E7"/>
    <w:rsid w:val="00165277"/>
    <w:rsid w:val="00170592"/>
    <w:rsid w:val="00186351"/>
    <w:rsid w:val="00195D83"/>
    <w:rsid w:val="001A00C1"/>
    <w:rsid w:val="001B33E0"/>
    <w:rsid w:val="001B4573"/>
    <w:rsid w:val="001B6C78"/>
    <w:rsid w:val="001C0C57"/>
    <w:rsid w:val="001C779F"/>
    <w:rsid w:val="001D2AC1"/>
    <w:rsid w:val="001D4E88"/>
    <w:rsid w:val="001E53ED"/>
    <w:rsid w:val="00212D92"/>
    <w:rsid w:val="00220FC2"/>
    <w:rsid w:val="002222F4"/>
    <w:rsid w:val="00224FC0"/>
    <w:rsid w:val="00225EA4"/>
    <w:rsid w:val="00226EAF"/>
    <w:rsid w:val="0022753B"/>
    <w:rsid w:val="00231F3A"/>
    <w:rsid w:val="00234199"/>
    <w:rsid w:val="002406EE"/>
    <w:rsid w:val="00241A8E"/>
    <w:rsid w:val="00243EC8"/>
    <w:rsid w:val="00270D93"/>
    <w:rsid w:val="00272820"/>
    <w:rsid w:val="002745CC"/>
    <w:rsid w:val="002B31CF"/>
    <w:rsid w:val="002B7924"/>
    <w:rsid w:val="002C49DA"/>
    <w:rsid w:val="002D19D1"/>
    <w:rsid w:val="002D28C3"/>
    <w:rsid w:val="002D39A4"/>
    <w:rsid w:val="002E6705"/>
    <w:rsid w:val="002F4DBE"/>
    <w:rsid w:val="00301185"/>
    <w:rsid w:val="00301D08"/>
    <w:rsid w:val="0030329A"/>
    <w:rsid w:val="0031086F"/>
    <w:rsid w:val="0031414C"/>
    <w:rsid w:val="00314E01"/>
    <w:rsid w:val="0032089D"/>
    <w:rsid w:val="00326EF9"/>
    <w:rsid w:val="003310DE"/>
    <w:rsid w:val="003323B0"/>
    <w:rsid w:val="0034653C"/>
    <w:rsid w:val="0035169A"/>
    <w:rsid w:val="0035259D"/>
    <w:rsid w:val="00364B18"/>
    <w:rsid w:val="003A125D"/>
    <w:rsid w:val="003A18B1"/>
    <w:rsid w:val="003A4C70"/>
    <w:rsid w:val="003B215F"/>
    <w:rsid w:val="003C6C97"/>
    <w:rsid w:val="003C799C"/>
    <w:rsid w:val="003D0399"/>
    <w:rsid w:val="003D34FE"/>
    <w:rsid w:val="003E1C71"/>
    <w:rsid w:val="003F327B"/>
    <w:rsid w:val="00406166"/>
    <w:rsid w:val="0040704B"/>
    <w:rsid w:val="00410A55"/>
    <w:rsid w:val="00411300"/>
    <w:rsid w:val="00415417"/>
    <w:rsid w:val="00426659"/>
    <w:rsid w:val="00435673"/>
    <w:rsid w:val="004460C5"/>
    <w:rsid w:val="00450352"/>
    <w:rsid w:val="00454BDB"/>
    <w:rsid w:val="00464800"/>
    <w:rsid w:val="00465132"/>
    <w:rsid w:val="004660D9"/>
    <w:rsid w:val="004719F7"/>
    <w:rsid w:val="00475938"/>
    <w:rsid w:val="00480C90"/>
    <w:rsid w:val="0048396F"/>
    <w:rsid w:val="00493C18"/>
    <w:rsid w:val="004A600C"/>
    <w:rsid w:val="004A6118"/>
    <w:rsid w:val="004A776F"/>
    <w:rsid w:val="004C478D"/>
    <w:rsid w:val="004C5E5E"/>
    <w:rsid w:val="004C773C"/>
    <w:rsid w:val="004E2C26"/>
    <w:rsid w:val="004F36FF"/>
    <w:rsid w:val="005125A8"/>
    <w:rsid w:val="005204D0"/>
    <w:rsid w:val="00521AE8"/>
    <w:rsid w:val="00527180"/>
    <w:rsid w:val="0054201E"/>
    <w:rsid w:val="00555291"/>
    <w:rsid w:val="00556B9E"/>
    <w:rsid w:val="00566AD1"/>
    <w:rsid w:val="00567CC8"/>
    <w:rsid w:val="00583EDE"/>
    <w:rsid w:val="005A6079"/>
    <w:rsid w:val="005C2739"/>
    <w:rsid w:val="005C58E7"/>
    <w:rsid w:val="005E4698"/>
    <w:rsid w:val="005E4BAA"/>
    <w:rsid w:val="005F4A40"/>
    <w:rsid w:val="00610539"/>
    <w:rsid w:val="00613969"/>
    <w:rsid w:val="00625C35"/>
    <w:rsid w:val="00627D23"/>
    <w:rsid w:val="00656313"/>
    <w:rsid w:val="006565F4"/>
    <w:rsid w:val="00684EEA"/>
    <w:rsid w:val="0069689B"/>
    <w:rsid w:val="006A1551"/>
    <w:rsid w:val="006A6279"/>
    <w:rsid w:val="006A73F1"/>
    <w:rsid w:val="006B5FF5"/>
    <w:rsid w:val="006D697B"/>
    <w:rsid w:val="006E07DA"/>
    <w:rsid w:val="006F30AF"/>
    <w:rsid w:val="00701759"/>
    <w:rsid w:val="00705C15"/>
    <w:rsid w:val="0071600E"/>
    <w:rsid w:val="007208D1"/>
    <w:rsid w:val="007323BC"/>
    <w:rsid w:val="00747288"/>
    <w:rsid w:val="00747DD3"/>
    <w:rsid w:val="007549C8"/>
    <w:rsid w:val="00754A0B"/>
    <w:rsid w:val="007660FF"/>
    <w:rsid w:val="00766D14"/>
    <w:rsid w:val="00767A0F"/>
    <w:rsid w:val="007A05F6"/>
    <w:rsid w:val="007B6331"/>
    <w:rsid w:val="007B6F4A"/>
    <w:rsid w:val="007E1C47"/>
    <w:rsid w:val="007E337A"/>
    <w:rsid w:val="007E5C70"/>
    <w:rsid w:val="007F2FF5"/>
    <w:rsid w:val="007F3F08"/>
    <w:rsid w:val="007F44EB"/>
    <w:rsid w:val="007F7804"/>
    <w:rsid w:val="00804CC6"/>
    <w:rsid w:val="00817190"/>
    <w:rsid w:val="00820EE5"/>
    <w:rsid w:val="008260E2"/>
    <w:rsid w:val="008322BD"/>
    <w:rsid w:val="00833E0A"/>
    <w:rsid w:val="00834F73"/>
    <w:rsid w:val="00845204"/>
    <w:rsid w:val="0085199E"/>
    <w:rsid w:val="00860765"/>
    <w:rsid w:val="00864CF8"/>
    <w:rsid w:val="00872819"/>
    <w:rsid w:val="00874914"/>
    <w:rsid w:val="00891422"/>
    <w:rsid w:val="00892E1A"/>
    <w:rsid w:val="008A3F29"/>
    <w:rsid w:val="008B660A"/>
    <w:rsid w:val="008C01DA"/>
    <w:rsid w:val="008E0245"/>
    <w:rsid w:val="008F78E9"/>
    <w:rsid w:val="00901FA9"/>
    <w:rsid w:val="00904E62"/>
    <w:rsid w:val="00911989"/>
    <w:rsid w:val="00911FEB"/>
    <w:rsid w:val="009179F9"/>
    <w:rsid w:val="00933E5E"/>
    <w:rsid w:val="00935218"/>
    <w:rsid w:val="009403F3"/>
    <w:rsid w:val="0094193B"/>
    <w:rsid w:val="009555B7"/>
    <w:rsid w:val="009567AA"/>
    <w:rsid w:val="00957533"/>
    <w:rsid w:val="00961D72"/>
    <w:rsid w:val="00967374"/>
    <w:rsid w:val="00984383"/>
    <w:rsid w:val="009A343A"/>
    <w:rsid w:val="009A79A6"/>
    <w:rsid w:val="009B2F23"/>
    <w:rsid w:val="009B3F6C"/>
    <w:rsid w:val="009B57B3"/>
    <w:rsid w:val="009C5B92"/>
    <w:rsid w:val="009D2920"/>
    <w:rsid w:val="009D5AEB"/>
    <w:rsid w:val="009F0E33"/>
    <w:rsid w:val="00A030CE"/>
    <w:rsid w:val="00A149DF"/>
    <w:rsid w:val="00A15B12"/>
    <w:rsid w:val="00A1755C"/>
    <w:rsid w:val="00A21958"/>
    <w:rsid w:val="00A21B90"/>
    <w:rsid w:val="00A4071C"/>
    <w:rsid w:val="00A41805"/>
    <w:rsid w:val="00A42DCD"/>
    <w:rsid w:val="00A52AFB"/>
    <w:rsid w:val="00A548CB"/>
    <w:rsid w:val="00A5521C"/>
    <w:rsid w:val="00A63FF7"/>
    <w:rsid w:val="00A643E7"/>
    <w:rsid w:val="00A67E5C"/>
    <w:rsid w:val="00A73579"/>
    <w:rsid w:val="00A73C38"/>
    <w:rsid w:val="00A77E66"/>
    <w:rsid w:val="00A86AC8"/>
    <w:rsid w:val="00AB670D"/>
    <w:rsid w:val="00AF03C5"/>
    <w:rsid w:val="00B000D8"/>
    <w:rsid w:val="00B00F75"/>
    <w:rsid w:val="00B145B6"/>
    <w:rsid w:val="00B279EB"/>
    <w:rsid w:val="00B50C81"/>
    <w:rsid w:val="00B557F8"/>
    <w:rsid w:val="00B67B40"/>
    <w:rsid w:val="00B815FC"/>
    <w:rsid w:val="00B939B4"/>
    <w:rsid w:val="00B93FBC"/>
    <w:rsid w:val="00BA7DA0"/>
    <w:rsid w:val="00BB2EE4"/>
    <w:rsid w:val="00BB731F"/>
    <w:rsid w:val="00BC0C53"/>
    <w:rsid w:val="00BC2108"/>
    <w:rsid w:val="00BC3569"/>
    <w:rsid w:val="00BD0E9E"/>
    <w:rsid w:val="00BD1BEC"/>
    <w:rsid w:val="00BD32FF"/>
    <w:rsid w:val="00BD4F61"/>
    <w:rsid w:val="00BF46F9"/>
    <w:rsid w:val="00BF6B56"/>
    <w:rsid w:val="00C02092"/>
    <w:rsid w:val="00C24D91"/>
    <w:rsid w:val="00C53F14"/>
    <w:rsid w:val="00C600CF"/>
    <w:rsid w:val="00C6084F"/>
    <w:rsid w:val="00C60EE0"/>
    <w:rsid w:val="00C62A66"/>
    <w:rsid w:val="00C71458"/>
    <w:rsid w:val="00C7567E"/>
    <w:rsid w:val="00C77613"/>
    <w:rsid w:val="00C828E7"/>
    <w:rsid w:val="00C86719"/>
    <w:rsid w:val="00C921DD"/>
    <w:rsid w:val="00CA6391"/>
    <w:rsid w:val="00CB2CD5"/>
    <w:rsid w:val="00CB5678"/>
    <w:rsid w:val="00CC34BD"/>
    <w:rsid w:val="00CD2860"/>
    <w:rsid w:val="00CE161A"/>
    <w:rsid w:val="00CE162F"/>
    <w:rsid w:val="00CE3171"/>
    <w:rsid w:val="00CF1601"/>
    <w:rsid w:val="00D0172F"/>
    <w:rsid w:val="00D068A7"/>
    <w:rsid w:val="00D17476"/>
    <w:rsid w:val="00D23F32"/>
    <w:rsid w:val="00D32086"/>
    <w:rsid w:val="00D37A3F"/>
    <w:rsid w:val="00D4431D"/>
    <w:rsid w:val="00D4667A"/>
    <w:rsid w:val="00D63A1C"/>
    <w:rsid w:val="00D7516F"/>
    <w:rsid w:val="00D8008C"/>
    <w:rsid w:val="00D8579F"/>
    <w:rsid w:val="00D95F8E"/>
    <w:rsid w:val="00DA0590"/>
    <w:rsid w:val="00DA7564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23BD7"/>
    <w:rsid w:val="00E24573"/>
    <w:rsid w:val="00E25E1E"/>
    <w:rsid w:val="00E27EE7"/>
    <w:rsid w:val="00E35404"/>
    <w:rsid w:val="00E441AE"/>
    <w:rsid w:val="00E45109"/>
    <w:rsid w:val="00E47B7A"/>
    <w:rsid w:val="00E56A44"/>
    <w:rsid w:val="00E60269"/>
    <w:rsid w:val="00E77932"/>
    <w:rsid w:val="00E97830"/>
    <w:rsid w:val="00EB128E"/>
    <w:rsid w:val="00EE643C"/>
    <w:rsid w:val="00EF0683"/>
    <w:rsid w:val="00EF69D2"/>
    <w:rsid w:val="00EF766E"/>
    <w:rsid w:val="00F0070C"/>
    <w:rsid w:val="00F00EB7"/>
    <w:rsid w:val="00F01C6B"/>
    <w:rsid w:val="00F075B0"/>
    <w:rsid w:val="00F21747"/>
    <w:rsid w:val="00F258F6"/>
    <w:rsid w:val="00F3318A"/>
    <w:rsid w:val="00F36AB6"/>
    <w:rsid w:val="00F37A09"/>
    <w:rsid w:val="00F409CE"/>
    <w:rsid w:val="00F4379D"/>
    <w:rsid w:val="00F50D2D"/>
    <w:rsid w:val="00F56C8B"/>
    <w:rsid w:val="00F66810"/>
    <w:rsid w:val="00F80632"/>
    <w:rsid w:val="00F846D9"/>
    <w:rsid w:val="00F84DF4"/>
    <w:rsid w:val="00F85C97"/>
    <w:rsid w:val="00FA60D4"/>
    <w:rsid w:val="00FB37D2"/>
    <w:rsid w:val="00FC4BD9"/>
    <w:rsid w:val="00FC4EFB"/>
    <w:rsid w:val="00FD068D"/>
    <w:rsid w:val="00FD4F28"/>
    <w:rsid w:val="00FE069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6E07DA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904E62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904E62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904E62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904E62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2015-04-24T17:57:00Z</dcterms:created>
  <dcterms:modified xsi:type="dcterms:W3CDTF">2015-10-05T14:21:00Z</dcterms:modified>
</cp:coreProperties>
</file>