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E9" w:rsidRDefault="006668E9" w:rsidP="006668E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33331" r:id="rId8"/>
        </w:object>
      </w:r>
      <w:r>
        <w:t xml:space="preserve"> </w:t>
      </w:r>
      <w:r>
        <w:ptab w:relativeTo="margin" w:alignment="right" w:leader="none"/>
      </w:r>
    </w:p>
    <w:p w:rsidR="006668E9" w:rsidRDefault="006668E9" w:rsidP="006668E9">
      <w:pPr>
        <w:pStyle w:val="Header"/>
      </w:pPr>
    </w:p>
    <w:p w:rsidR="006668E9" w:rsidRPr="006B210C" w:rsidRDefault="006668E9" w:rsidP="006668E9">
      <w:pPr>
        <w:jc w:val="center"/>
        <w:rPr>
          <w:b/>
        </w:rPr>
      </w:pPr>
      <w:r w:rsidRPr="006B210C">
        <w:rPr>
          <w:b/>
        </w:rPr>
        <w:t>SUPREME COURT OF CANADA</w:t>
      </w:r>
    </w:p>
    <w:p w:rsidR="006668E9" w:rsidRDefault="006668E9" w:rsidP="006668E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6668E9" w:rsidRPr="006B210C" w:rsidTr="00EB4BD0">
        <w:trPr>
          <w:cantSplit/>
        </w:trPr>
        <w:tc>
          <w:tcPr>
            <w:tcW w:w="6768" w:type="dxa"/>
          </w:tcPr>
          <w:p w:rsidR="006668E9" w:rsidRPr="00AE3FE2" w:rsidRDefault="006668E9" w:rsidP="00EB4BD0">
            <w:pPr>
              <w:rPr>
                <w:lang w:val="fr-CA"/>
              </w:rPr>
            </w:pPr>
            <w:r w:rsidRPr="00AE3FE2">
              <w:rPr>
                <w:b/>
                <w:smallCaps/>
                <w:lang w:val="fr-CA"/>
              </w:rPr>
              <w:t>Citation:</w:t>
            </w:r>
            <w:r w:rsidRPr="00AE3FE2">
              <w:rPr>
                <w:lang w:val="fr-CA"/>
              </w:rPr>
              <w:t xml:space="preserve"> Société en commandite Place Mullins </w:t>
            </w:r>
            <w:r w:rsidRPr="00AE3FE2">
              <w:rPr>
                <w:i/>
                <w:lang w:val="fr-CA"/>
              </w:rPr>
              <w:t>v.</w:t>
            </w:r>
            <w:r w:rsidRPr="00AE3FE2">
              <w:rPr>
                <w:lang w:val="fr-CA"/>
              </w:rPr>
              <w:t xml:space="preserve"> Services immobiliers Diane Bisson </w:t>
            </w:r>
            <w:proofErr w:type="spellStart"/>
            <w:r w:rsidRPr="00AE3FE2">
              <w:rPr>
                <w:lang w:val="fr-CA"/>
              </w:rPr>
              <w:t>inc.</w:t>
            </w:r>
            <w:proofErr w:type="spellEnd"/>
            <w:r w:rsidRPr="00AE3FE2">
              <w:rPr>
                <w:lang w:val="fr-CA"/>
              </w:rPr>
              <w:t>, 2015 SCC 36</w:t>
            </w:r>
            <w:r>
              <w:rPr>
                <w:lang w:val="fr-CA"/>
              </w:rPr>
              <w:t>, [2015] 2 S.C.R. 699</w:t>
            </w:r>
          </w:p>
        </w:tc>
        <w:tc>
          <w:tcPr>
            <w:tcW w:w="2808" w:type="dxa"/>
          </w:tcPr>
          <w:p w:rsidR="006668E9" w:rsidRPr="006B210C" w:rsidRDefault="006668E9" w:rsidP="00EB4BD0">
            <w:r w:rsidRPr="006B210C">
              <w:rPr>
                <w:b/>
                <w:smallCaps/>
              </w:rPr>
              <w:t>Date</w:t>
            </w:r>
            <w:r>
              <w:rPr>
                <w:b/>
                <w:smallCaps/>
              </w:rPr>
              <w:t>:</w:t>
            </w:r>
            <w:r w:rsidRPr="006B210C">
              <w:t xml:space="preserve"> </w:t>
            </w:r>
            <w:r>
              <w:t>20150625</w:t>
            </w:r>
          </w:p>
          <w:p w:rsidR="006668E9" w:rsidRPr="006B210C" w:rsidRDefault="006668E9" w:rsidP="00EB4BD0">
            <w:r w:rsidRPr="006B210C">
              <w:rPr>
                <w:b/>
                <w:smallCaps/>
              </w:rPr>
              <w:t>Docket</w:t>
            </w:r>
            <w:r>
              <w:rPr>
                <w:b/>
                <w:smallCaps/>
              </w:rPr>
              <w:t>:</w:t>
            </w:r>
            <w:r w:rsidRPr="006B210C">
              <w:t xml:space="preserve"> </w:t>
            </w:r>
            <w:r>
              <w:t>35461</w:t>
            </w:r>
          </w:p>
        </w:tc>
      </w:tr>
    </w:tbl>
    <w:p w:rsidR="006668E9" w:rsidRPr="006B210C" w:rsidRDefault="006668E9" w:rsidP="006668E9"/>
    <w:p w:rsidR="006668E9" w:rsidRDefault="006668E9" w:rsidP="006668E9">
      <w:pPr>
        <w:pStyle w:val="SCCLsocPrefix"/>
      </w:pPr>
      <w:r>
        <w:t>Between:</w:t>
      </w:r>
    </w:p>
    <w:p w:rsidR="006668E9" w:rsidRPr="00AE3FE2" w:rsidRDefault="006668E9" w:rsidP="006668E9">
      <w:pPr>
        <w:pStyle w:val="SCCLsocParty"/>
        <w:jc w:val="center"/>
        <w:rPr>
          <w:lang w:val="fr-CA"/>
        </w:rPr>
      </w:pPr>
      <w:r w:rsidRPr="00AE3FE2">
        <w:rPr>
          <w:lang w:val="fr-CA"/>
        </w:rPr>
        <w:t xml:space="preserve">Société en commandite Place Mullins and 139612 Canada </w:t>
      </w:r>
      <w:proofErr w:type="spellStart"/>
      <w:r w:rsidRPr="00AE3FE2">
        <w:rPr>
          <w:lang w:val="fr-CA"/>
        </w:rPr>
        <w:t>inc.</w:t>
      </w:r>
      <w:proofErr w:type="spellEnd"/>
    </w:p>
    <w:p w:rsidR="006668E9" w:rsidRPr="00AE3FE2" w:rsidRDefault="006668E9" w:rsidP="006668E9">
      <w:pPr>
        <w:jc w:val="center"/>
        <w:rPr>
          <w:lang w:val="fr-CA"/>
        </w:rPr>
      </w:pPr>
      <w:proofErr w:type="spellStart"/>
      <w:r w:rsidRPr="00AE3FE2">
        <w:rPr>
          <w:lang w:val="fr-CA"/>
        </w:rPr>
        <w:t>Appellants</w:t>
      </w:r>
      <w:proofErr w:type="spellEnd"/>
    </w:p>
    <w:p w:rsidR="006668E9" w:rsidRPr="006668E9" w:rsidRDefault="006668E9" w:rsidP="006668E9">
      <w:pPr>
        <w:pStyle w:val="SCCLsocVersus"/>
        <w:spacing w:after="0"/>
        <w:jc w:val="center"/>
        <w:rPr>
          <w:i w:val="0"/>
          <w:lang w:val="fr-CA"/>
        </w:rPr>
      </w:pPr>
      <w:proofErr w:type="gramStart"/>
      <w:r w:rsidRPr="006668E9">
        <w:rPr>
          <w:i w:val="0"/>
          <w:lang w:val="fr-CA"/>
        </w:rPr>
        <w:t>and</w:t>
      </w:r>
      <w:proofErr w:type="gramEnd"/>
    </w:p>
    <w:p w:rsidR="006668E9" w:rsidRPr="00AE3FE2" w:rsidRDefault="006668E9" w:rsidP="006668E9">
      <w:pPr>
        <w:pStyle w:val="SCCLsocParty"/>
        <w:jc w:val="center"/>
        <w:rPr>
          <w:lang w:val="fr-CA"/>
        </w:rPr>
      </w:pPr>
      <w:r w:rsidRPr="00AE3FE2">
        <w:rPr>
          <w:lang w:val="fr-CA"/>
        </w:rPr>
        <w:t xml:space="preserve">Services immobiliers Diane Bisson </w:t>
      </w:r>
      <w:proofErr w:type="spellStart"/>
      <w:r w:rsidRPr="00AE3FE2">
        <w:rPr>
          <w:lang w:val="fr-CA"/>
        </w:rPr>
        <w:t>inc.</w:t>
      </w:r>
      <w:proofErr w:type="spellEnd"/>
    </w:p>
    <w:p w:rsidR="006668E9" w:rsidRDefault="006668E9" w:rsidP="006668E9">
      <w:pPr>
        <w:jc w:val="center"/>
      </w:pPr>
      <w:r>
        <w:t>Respondent</w:t>
      </w:r>
    </w:p>
    <w:p w:rsidR="006668E9" w:rsidRDefault="006668E9" w:rsidP="006668E9">
      <w:pPr>
        <w:jc w:val="center"/>
      </w:pPr>
      <w:bookmarkStart w:id="0" w:name="_GoBack"/>
      <w:bookmarkEnd w:id="0"/>
    </w:p>
    <w:p w:rsidR="006668E9" w:rsidRPr="006B210C" w:rsidRDefault="006668E9" w:rsidP="006668E9">
      <w:pPr>
        <w:jc w:val="center"/>
        <w:rPr>
          <w:b/>
          <w:smallCaps/>
        </w:rPr>
      </w:pPr>
      <w:r w:rsidRPr="006B210C">
        <w:rPr>
          <w:b/>
          <w:smallCaps/>
        </w:rPr>
        <w:t>Official English Translation</w:t>
      </w:r>
    </w:p>
    <w:p w:rsidR="006668E9" w:rsidRPr="006B210C" w:rsidRDefault="006668E9" w:rsidP="006668E9"/>
    <w:p w:rsidR="006668E9" w:rsidRPr="006B210C" w:rsidRDefault="006668E9" w:rsidP="006668E9">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Wagner, </w:t>
      </w:r>
      <w:proofErr w:type="spellStart"/>
      <w:r>
        <w:t>Gascon</w:t>
      </w:r>
      <w:proofErr w:type="spellEnd"/>
      <w:r>
        <w:t xml:space="preserve"> and </w:t>
      </w:r>
      <w:proofErr w:type="spellStart"/>
      <w:r>
        <w:t>Côté</w:t>
      </w:r>
      <w:proofErr w:type="spellEnd"/>
      <w:r>
        <w:t> JJ.</w:t>
      </w:r>
    </w:p>
    <w:p w:rsidR="006668E9" w:rsidRPr="006B210C" w:rsidRDefault="006668E9" w:rsidP="006668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668E9" w:rsidRPr="006B210C" w:rsidTr="00EB4BD0">
        <w:trPr>
          <w:cantSplit/>
        </w:trPr>
        <w:tc>
          <w:tcPr>
            <w:tcW w:w="3618" w:type="dxa"/>
          </w:tcPr>
          <w:p w:rsidR="006668E9" w:rsidRDefault="006668E9" w:rsidP="00EB4BD0">
            <w:pPr>
              <w:rPr>
                <w:b/>
                <w:smallCaps/>
              </w:rPr>
            </w:pPr>
            <w:r w:rsidRPr="006B210C">
              <w:rPr>
                <w:b/>
                <w:smallCaps/>
              </w:rPr>
              <w:t>Reasons for Judgment</w:t>
            </w:r>
            <w:r>
              <w:rPr>
                <w:b/>
                <w:smallCaps/>
              </w:rPr>
              <w:t>:</w:t>
            </w:r>
          </w:p>
          <w:p w:rsidR="006668E9" w:rsidRDefault="006668E9" w:rsidP="00EB4BD0">
            <w:r>
              <w:t xml:space="preserve">(paras. 1 to </w:t>
            </w:r>
            <w:r w:rsidRPr="00AC2931">
              <w:t>28</w:t>
            </w:r>
            <w:r>
              <w:t>)</w:t>
            </w:r>
          </w:p>
          <w:p w:rsidR="006668E9" w:rsidRPr="006B210C" w:rsidRDefault="006668E9" w:rsidP="00EB4BD0"/>
        </w:tc>
        <w:tc>
          <w:tcPr>
            <w:tcW w:w="5958" w:type="dxa"/>
          </w:tcPr>
          <w:p w:rsidR="006668E9" w:rsidRPr="006B210C" w:rsidRDefault="006668E9" w:rsidP="00EB4BD0">
            <w:r>
              <w:t>Wagner J. (</w:t>
            </w:r>
            <w:proofErr w:type="spellStart"/>
            <w:r>
              <w:t>McLachlin</w:t>
            </w:r>
            <w:proofErr w:type="spellEnd"/>
            <w:r>
              <w:t xml:space="preserve"> C.J. and </w:t>
            </w:r>
            <w:proofErr w:type="spellStart"/>
            <w:r>
              <w:t>Abella</w:t>
            </w:r>
            <w:proofErr w:type="spellEnd"/>
            <w:r>
              <w:t xml:space="preserve">, Rothstein, Cromwell, </w:t>
            </w:r>
            <w:proofErr w:type="spellStart"/>
            <w:r>
              <w:t>Gascon</w:t>
            </w:r>
            <w:proofErr w:type="spellEnd"/>
            <w:r>
              <w:t xml:space="preserve"> and </w:t>
            </w:r>
            <w:proofErr w:type="spellStart"/>
            <w:r>
              <w:t>Côté</w:t>
            </w:r>
            <w:proofErr w:type="spellEnd"/>
            <w:r>
              <w:t xml:space="preserve"> JJ. concurring)</w:t>
            </w:r>
          </w:p>
        </w:tc>
      </w:tr>
    </w:tbl>
    <w:p w:rsidR="006668E9" w:rsidRDefault="006668E9" w:rsidP="006668E9">
      <w:pPr>
        <w:rPr>
          <w:rStyle w:val="SCCHearingJudgmentDatesTextChar"/>
        </w:rPr>
      </w:pPr>
      <w:r>
        <w:rPr>
          <w:rStyle w:val="SCCHearingJudgmentDatesTitleChar"/>
        </w:rPr>
        <w:t xml:space="preserve">Appeal heard and judgment rendered: </w:t>
      </w:r>
      <w:r>
        <w:rPr>
          <w:rStyle w:val="SCCHearingJudgmentDatesTextChar"/>
        </w:rPr>
        <w:t>March 18, 2015</w:t>
      </w:r>
    </w:p>
    <w:p w:rsidR="006668E9" w:rsidRDefault="006668E9" w:rsidP="006668E9"/>
    <w:p w:rsidR="006668E9" w:rsidRDefault="006668E9" w:rsidP="006668E9">
      <w:r>
        <w:rPr>
          <w:rStyle w:val="SCCHearingJudgmentDatesTitleChar"/>
        </w:rPr>
        <w:t xml:space="preserve">Reasons delivered: </w:t>
      </w:r>
      <w:r>
        <w:rPr>
          <w:rStyle w:val="SCCHearingJudgmentDatesTextChar"/>
        </w:rPr>
        <w:t>June 25, 2015</w:t>
      </w:r>
    </w:p>
    <w:p w:rsidR="006668E9" w:rsidRPr="006B210C" w:rsidRDefault="006668E9" w:rsidP="006668E9"/>
    <w:p w:rsidR="006668E9" w:rsidRPr="006B210C" w:rsidRDefault="006668E9" w:rsidP="006668E9">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6668E9" w:rsidRPr="006668E9" w:rsidRDefault="006668E9" w:rsidP="005701A4">
      <w:pPr>
        <w:widowControl w:val="0"/>
        <w:spacing w:after="720"/>
        <w:jc w:val="both"/>
        <w:rPr>
          <w:rStyle w:val="SCCAppellantForRunningHeadChar"/>
          <w:smallCaps w:val="0"/>
        </w:rPr>
      </w:pPr>
    </w:p>
    <w:p w:rsidR="008322BD" w:rsidRPr="008B70B5" w:rsidRDefault="008B70B5" w:rsidP="005701A4">
      <w:pPr>
        <w:widowControl w:val="0"/>
        <w:spacing w:after="720"/>
        <w:jc w:val="both"/>
        <w:rPr>
          <w:lang w:val="fr-CA"/>
        </w:rPr>
      </w:pPr>
      <w:r>
        <w:rPr>
          <w:rStyle w:val="SCCAppellantForRunningHeadChar"/>
          <w:smallCaps w:val="0"/>
          <w:lang w:val="fr-CA"/>
        </w:rPr>
        <w:t>Société en commandite Place M</w:t>
      </w:r>
      <w:r w:rsidR="00C7747F" w:rsidRPr="008B70B5">
        <w:rPr>
          <w:rStyle w:val="SCCAppellantForRunningHeadChar"/>
          <w:smallCaps w:val="0"/>
          <w:lang w:val="fr-CA"/>
        </w:rPr>
        <w:t>ullins</w:t>
      </w:r>
      <w:r w:rsidR="00480C90" w:rsidRPr="0063652D">
        <w:rPr>
          <w:lang w:val="fr-CA"/>
        </w:rPr>
        <w:t xml:space="preserve"> </w:t>
      </w:r>
      <w:r w:rsidR="009B57B3" w:rsidRPr="0063652D">
        <w:rPr>
          <w:i/>
          <w:lang w:val="fr-CA"/>
        </w:rPr>
        <w:t>v.</w:t>
      </w:r>
      <w:r w:rsidR="00B000D8" w:rsidRPr="0063652D">
        <w:rPr>
          <w:lang w:val="fr-CA"/>
        </w:rPr>
        <w:t xml:space="preserve"> </w:t>
      </w:r>
      <w:r>
        <w:rPr>
          <w:lang w:val="fr-CA"/>
        </w:rPr>
        <w:t>S</w:t>
      </w:r>
      <w:r w:rsidR="00862953" w:rsidRPr="008B70B5">
        <w:rPr>
          <w:rStyle w:val="SCCRespondentForRunningHeadChar"/>
          <w:smallCaps w:val="0"/>
          <w:lang w:val="fr-CA"/>
        </w:rPr>
        <w:t>erv</w:t>
      </w:r>
      <w:r>
        <w:rPr>
          <w:rStyle w:val="SCCRespondentForRunningHeadChar"/>
          <w:smallCaps w:val="0"/>
          <w:lang w:val="fr-CA"/>
        </w:rPr>
        <w:t>ices immobiliers D</w:t>
      </w:r>
      <w:r w:rsidR="008F78E9" w:rsidRPr="008B70B5">
        <w:rPr>
          <w:rStyle w:val="SCCRespondentForRunningHeadChar"/>
          <w:smallCaps w:val="0"/>
          <w:lang w:val="fr-CA"/>
        </w:rPr>
        <w:t>ian</w:t>
      </w:r>
      <w:r>
        <w:rPr>
          <w:rStyle w:val="SCCRespondentForRunningHeadChar"/>
          <w:smallCaps w:val="0"/>
          <w:lang w:val="fr-CA"/>
        </w:rPr>
        <w:t>e B</w:t>
      </w:r>
      <w:r w:rsidR="00C7747F" w:rsidRPr="008B70B5">
        <w:rPr>
          <w:rStyle w:val="SCCRespondentForRunningHeadChar"/>
          <w:smallCaps w:val="0"/>
          <w:lang w:val="fr-CA"/>
        </w:rPr>
        <w:t>isson</w:t>
      </w:r>
      <w:r>
        <w:rPr>
          <w:rStyle w:val="SCCRespondentForRunningHeadChar"/>
          <w:smallCaps w:val="0"/>
          <w:lang w:val="fr-CA"/>
        </w:rPr>
        <w:t xml:space="preserve"> </w:t>
      </w:r>
      <w:proofErr w:type="spellStart"/>
      <w:r>
        <w:rPr>
          <w:rStyle w:val="SCCRespondentForRunningHeadChar"/>
          <w:smallCaps w:val="0"/>
          <w:lang w:val="fr-CA"/>
        </w:rPr>
        <w:t>inc.</w:t>
      </w:r>
      <w:proofErr w:type="spellEnd"/>
      <w:r>
        <w:rPr>
          <w:rStyle w:val="SCCRespondentForRunningHeadChar"/>
          <w:smallCaps w:val="0"/>
          <w:lang w:val="fr-CA"/>
        </w:rPr>
        <w:t xml:space="preserve">, </w:t>
      </w:r>
      <w:r w:rsidRPr="008B70B5">
        <w:rPr>
          <w:lang w:val="fr-CA"/>
        </w:rPr>
        <w:t>2015 SCC 36</w:t>
      </w:r>
      <w:r>
        <w:rPr>
          <w:lang w:val="fr-CA"/>
        </w:rPr>
        <w:t>, [2015] 2 S.C.R. 699</w:t>
      </w:r>
    </w:p>
    <w:p w:rsidR="00A60BBF" w:rsidRPr="0063652D" w:rsidRDefault="00C7747F" w:rsidP="005701A4">
      <w:pPr>
        <w:pStyle w:val="SCCLsocParty"/>
        <w:widowControl w:val="0"/>
        <w:rPr>
          <w:lang w:val="fr-CA"/>
        </w:rPr>
      </w:pPr>
      <w:r w:rsidRPr="0063652D">
        <w:rPr>
          <w:lang w:val="fr-CA"/>
        </w:rPr>
        <w:t>Soci</w:t>
      </w:r>
      <w:r w:rsidR="00E221A8" w:rsidRPr="0063652D">
        <w:rPr>
          <w:lang w:val="fr-CA"/>
        </w:rPr>
        <w:t>été en commandite Place Mullins and</w:t>
      </w:r>
    </w:p>
    <w:p w:rsidR="00A60BBF" w:rsidRPr="0063652D" w:rsidRDefault="00C7747F" w:rsidP="005701A4">
      <w:pPr>
        <w:pStyle w:val="SCCLsocLastPartyInRole"/>
        <w:widowControl w:val="0"/>
        <w:rPr>
          <w:lang w:val="fr-CA"/>
        </w:rPr>
      </w:pPr>
      <w:r w:rsidRPr="0063652D">
        <w:rPr>
          <w:lang w:val="fr-CA"/>
        </w:rPr>
        <w:t>139612 Canada inc.</w:t>
      </w:r>
      <w:r w:rsidRPr="0063652D">
        <w:rPr>
          <w:rStyle w:val="SCCLsocPartyRole"/>
          <w:lang w:val="fr-CA"/>
        </w:rPr>
        <w:tab/>
        <w:t>Appellant</w:t>
      </w:r>
      <w:r w:rsidR="003B1E3D">
        <w:rPr>
          <w:rStyle w:val="SCCLsocPartyRole"/>
          <w:lang w:val="fr-CA"/>
        </w:rPr>
        <w:t>s</w:t>
      </w:r>
    </w:p>
    <w:p w:rsidR="00A60BBF" w:rsidRPr="0063652D" w:rsidRDefault="00C7747F" w:rsidP="005701A4">
      <w:pPr>
        <w:pStyle w:val="SCCLsocVersus"/>
        <w:widowControl w:val="0"/>
        <w:rPr>
          <w:lang w:val="fr-CA"/>
        </w:rPr>
      </w:pPr>
      <w:r w:rsidRPr="0063652D">
        <w:rPr>
          <w:lang w:val="fr-CA"/>
        </w:rPr>
        <w:t>v.</w:t>
      </w:r>
    </w:p>
    <w:p w:rsidR="00A60BBF" w:rsidRPr="0063652D" w:rsidRDefault="00C7747F" w:rsidP="005701A4">
      <w:pPr>
        <w:pStyle w:val="SCCLsocLastPartyInRole"/>
        <w:widowControl w:val="0"/>
        <w:rPr>
          <w:lang w:val="fr-CA"/>
        </w:rPr>
      </w:pPr>
      <w:r w:rsidRPr="0063652D">
        <w:rPr>
          <w:lang w:val="fr-CA"/>
        </w:rPr>
        <w:lastRenderedPageBreak/>
        <w:t>Services immobiliers Diane Bisson inc.</w:t>
      </w:r>
      <w:r w:rsidRPr="0063652D">
        <w:rPr>
          <w:rStyle w:val="SCCLsocPartyRole"/>
          <w:lang w:val="fr-CA"/>
        </w:rPr>
        <w:tab/>
        <w:t>Respondent</w:t>
      </w:r>
    </w:p>
    <w:p w:rsidR="00426659" w:rsidRPr="0063652D" w:rsidRDefault="00426659" w:rsidP="005701A4">
      <w:pPr>
        <w:widowControl w:val="0"/>
        <w:spacing w:after="720"/>
        <w:jc w:val="both"/>
        <w:rPr>
          <w:b/>
          <w:lang w:val="fr-CA"/>
        </w:rPr>
      </w:pPr>
      <w:r w:rsidRPr="0063652D">
        <w:rPr>
          <w:b/>
          <w:lang w:val="fr-CA"/>
        </w:rPr>
        <w:t xml:space="preserve">Indexed as: </w:t>
      </w:r>
      <w:r w:rsidR="00826E8F" w:rsidRPr="0063652D">
        <w:rPr>
          <w:rStyle w:val="SCCAppellantForIndexChar"/>
          <w:lang w:val="fr-CA"/>
        </w:rPr>
        <w:t>Société en commandite Place Mullins</w:t>
      </w:r>
      <w:r w:rsidRPr="0063652D">
        <w:rPr>
          <w:b/>
          <w:lang w:val="fr-CA"/>
        </w:rPr>
        <w:t xml:space="preserve"> </w:t>
      </w:r>
      <w:r w:rsidRPr="0063652D">
        <w:rPr>
          <w:b/>
          <w:i/>
          <w:lang w:val="fr-CA"/>
        </w:rPr>
        <w:t>v.</w:t>
      </w:r>
      <w:r w:rsidRPr="0063652D">
        <w:rPr>
          <w:b/>
          <w:lang w:val="fr-CA"/>
        </w:rPr>
        <w:t xml:space="preserve"> </w:t>
      </w:r>
      <w:r w:rsidRPr="0063652D">
        <w:rPr>
          <w:rStyle w:val="SCCRespondentForIndexChar"/>
          <w:lang w:val="fr-CA"/>
        </w:rPr>
        <w:t>Services immobiliers Dian</w:t>
      </w:r>
      <w:r w:rsidR="00826E8F" w:rsidRPr="0063652D">
        <w:rPr>
          <w:rStyle w:val="SCCRespondentForIndexChar"/>
          <w:lang w:val="fr-CA"/>
        </w:rPr>
        <w:t>e Bisson</w:t>
      </w:r>
      <w:r w:rsidR="00160B52" w:rsidRPr="0063652D">
        <w:rPr>
          <w:rStyle w:val="SCCRespondentForIndexChar"/>
          <w:lang w:val="fr-CA"/>
        </w:rPr>
        <w:t xml:space="preserve"> inc.</w:t>
      </w:r>
    </w:p>
    <w:p w:rsidR="00426659" w:rsidRPr="0063652D" w:rsidRDefault="004F36FF" w:rsidP="005701A4">
      <w:pPr>
        <w:widowControl w:val="0"/>
        <w:spacing w:after="720"/>
        <w:jc w:val="both"/>
        <w:rPr>
          <w:b/>
        </w:rPr>
      </w:pPr>
      <w:r w:rsidRPr="0063652D">
        <w:rPr>
          <w:b/>
        </w:rPr>
        <w:t>2015</w:t>
      </w:r>
      <w:r w:rsidR="003D0399" w:rsidRPr="0063652D">
        <w:rPr>
          <w:b/>
        </w:rPr>
        <w:t xml:space="preserve"> </w:t>
      </w:r>
      <w:r w:rsidR="00A45032" w:rsidRPr="0063652D">
        <w:rPr>
          <w:b/>
        </w:rPr>
        <w:t>SCC 36</w:t>
      </w:r>
    </w:p>
    <w:p w:rsidR="008322BD" w:rsidRPr="0063652D" w:rsidRDefault="001A29C8" w:rsidP="005701A4">
      <w:pPr>
        <w:widowControl w:val="0"/>
        <w:spacing w:after="720"/>
        <w:jc w:val="both"/>
      </w:pPr>
      <w:r w:rsidRPr="0063652D">
        <w:t>File No.:</w:t>
      </w:r>
      <w:r w:rsidR="009B57B3" w:rsidRPr="0063652D">
        <w:t xml:space="preserve"> 35461.</w:t>
      </w:r>
    </w:p>
    <w:p w:rsidR="00607EC7" w:rsidRPr="0063652D" w:rsidRDefault="00607EC7" w:rsidP="005701A4">
      <w:pPr>
        <w:widowControl w:val="0"/>
        <w:jc w:val="both"/>
      </w:pPr>
      <w:r w:rsidRPr="0063652D">
        <w:t>Hearing and judgment: March</w:t>
      </w:r>
      <w:r w:rsidR="003157E5" w:rsidRPr="0063652D">
        <w:t> </w:t>
      </w:r>
      <w:r w:rsidRPr="0063652D">
        <w:t>18, 2015.</w:t>
      </w:r>
    </w:p>
    <w:p w:rsidR="008322BD" w:rsidRPr="0063652D" w:rsidRDefault="00607EC7" w:rsidP="005701A4">
      <w:pPr>
        <w:widowControl w:val="0"/>
        <w:spacing w:after="720"/>
        <w:jc w:val="both"/>
      </w:pPr>
      <w:r w:rsidRPr="0063652D">
        <w:t xml:space="preserve">Reasons delivered: </w:t>
      </w:r>
      <w:r w:rsidR="00B24C40" w:rsidRPr="0063652D">
        <w:t>June</w:t>
      </w:r>
      <w:r w:rsidR="003157E5" w:rsidRPr="0063652D">
        <w:t> </w:t>
      </w:r>
      <w:r w:rsidR="00B24C40" w:rsidRPr="0063652D">
        <w:t>25</w:t>
      </w:r>
      <w:r w:rsidRPr="0063652D">
        <w:t>, 2015.</w:t>
      </w:r>
    </w:p>
    <w:p w:rsidR="008322BD" w:rsidRPr="0063652D" w:rsidRDefault="001A29C8" w:rsidP="005701A4">
      <w:pPr>
        <w:widowControl w:val="0"/>
        <w:spacing w:after="720"/>
        <w:jc w:val="both"/>
      </w:pPr>
      <w:r w:rsidRPr="0063652D">
        <w:t xml:space="preserve">Present: </w:t>
      </w:r>
      <w:r w:rsidR="009B57B3" w:rsidRPr="0063652D">
        <w:t>McLachlin C.J. and Abella, Rothstein, Cromwell, Wagner, Gascon and Côté JJ.</w:t>
      </w:r>
    </w:p>
    <w:p w:rsidR="008322BD" w:rsidRPr="0063652D" w:rsidRDefault="00656313" w:rsidP="005701A4">
      <w:pPr>
        <w:pStyle w:val="SCCLowerCourtNameLowercase"/>
        <w:widowControl w:val="0"/>
        <w:spacing w:before="480" w:after="480"/>
      </w:pPr>
      <w:r w:rsidRPr="0063652D">
        <w:t>o</w:t>
      </w:r>
      <w:r w:rsidR="00170592" w:rsidRPr="0063652D">
        <w:t>n</w:t>
      </w:r>
      <w:r w:rsidR="00224FC0" w:rsidRPr="0063652D">
        <w:t xml:space="preserve"> </w:t>
      </w:r>
      <w:r w:rsidRPr="0063652D">
        <w:t>a</w:t>
      </w:r>
      <w:r w:rsidR="00170592" w:rsidRPr="0063652D">
        <w:t>ppeal</w:t>
      </w:r>
      <w:r w:rsidR="00224FC0" w:rsidRPr="0063652D">
        <w:t xml:space="preserve"> </w:t>
      </w:r>
      <w:r w:rsidR="00170592" w:rsidRPr="0063652D">
        <w:t>from</w:t>
      </w:r>
      <w:r w:rsidR="009567AA" w:rsidRPr="0063652D">
        <w:t xml:space="preserve"> the</w:t>
      </w:r>
      <w:r w:rsidR="00224FC0" w:rsidRPr="0063652D">
        <w:t xml:space="preserve"> </w:t>
      </w:r>
      <w:r w:rsidR="009B57B3" w:rsidRPr="0063652D">
        <w:t xml:space="preserve">court of appeal </w:t>
      </w:r>
      <w:r w:rsidR="000C1124" w:rsidRPr="0063652D">
        <w:t>for quebec</w:t>
      </w:r>
    </w:p>
    <w:p w:rsidR="00F46975" w:rsidRPr="0063652D" w:rsidRDefault="00F46975" w:rsidP="005701A4">
      <w:pPr>
        <w:pStyle w:val="SCCNormalDoubleSpacing"/>
        <w:widowControl w:val="0"/>
        <w:spacing w:before="480" w:after="480"/>
        <w:rPr>
          <w:i/>
        </w:rPr>
      </w:pPr>
      <w:r w:rsidRPr="0063652D">
        <w:tab/>
      </w:r>
      <w:r w:rsidRPr="0063652D">
        <w:rPr>
          <w:i/>
        </w:rPr>
        <w:t xml:space="preserve">Contracts </w:t>
      </w:r>
      <w:r w:rsidR="004B6999" w:rsidRPr="0063652D">
        <w:rPr>
          <w:i/>
          <w:lang w:val="en-US"/>
        </w:rPr>
        <w:t xml:space="preserve">— </w:t>
      </w:r>
      <w:r w:rsidRPr="0063652D">
        <w:rPr>
          <w:i/>
        </w:rPr>
        <w:t xml:space="preserve">Brokerage contract </w:t>
      </w:r>
      <w:r w:rsidR="004B6999" w:rsidRPr="0063652D">
        <w:rPr>
          <w:i/>
          <w:lang w:val="en-US"/>
        </w:rPr>
        <w:t xml:space="preserve">— </w:t>
      </w:r>
      <w:r w:rsidRPr="0063652D">
        <w:rPr>
          <w:i/>
        </w:rPr>
        <w:t xml:space="preserve">Commission </w:t>
      </w:r>
      <w:r w:rsidR="004B6999" w:rsidRPr="0063652D">
        <w:rPr>
          <w:i/>
          <w:lang w:val="en-US"/>
        </w:rPr>
        <w:t xml:space="preserve">— </w:t>
      </w:r>
      <w:r w:rsidRPr="0063652D">
        <w:rPr>
          <w:i/>
        </w:rPr>
        <w:t xml:space="preserve">Brokerage contract stipulating that broker entitled to payment of commission where agreement to sell immovable concluded or where seller voluntarily prevents free performance of contract </w:t>
      </w:r>
      <w:r w:rsidR="004B6999" w:rsidRPr="0063652D">
        <w:rPr>
          <w:i/>
          <w:lang w:val="en-US"/>
        </w:rPr>
        <w:t xml:space="preserve">— </w:t>
      </w:r>
      <w:r w:rsidRPr="0063652D">
        <w:rPr>
          <w:i/>
        </w:rPr>
        <w:t>Soil of promisor</w:t>
      </w:r>
      <w:r w:rsidR="00D62595" w:rsidRPr="0063652D">
        <w:rPr>
          <w:i/>
        </w:rPr>
        <w:noBreakHyphen/>
      </w:r>
      <w:r w:rsidRPr="0063652D">
        <w:rPr>
          <w:i/>
        </w:rPr>
        <w:t xml:space="preserve">sellers’ immovable contaminated </w:t>
      </w:r>
      <w:r w:rsidR="004B6999" w:rsidRPr="0063652D">
        <w:rPr>
          <w:i/>
          <w:lang w:val="en-US"/>
        </w:rPr>
        <w:t xml:space="preserve">— </w:t>
      </w:r>
      <w:r w:rsidRPr="0063652D">
        <w:rPr>
          <w:i/>
        </w:rPr>
        <w:t>Promisor</w:t>
      </w:r>
      <w:r w:rsidR="00D62595" w:rsidRPr="0063652D">
        <w:rPr>
          <w:i/>
        </w:rPr>
        <w:noBreakHyphen/>
      </w:r>
      <w:r w:rsidRPr="0063652D">
        <w:rPr>
          <w:i/>
        </w:rPr>
        <w:t xml:space="preserve">buyer repudiating initial promise and submitting new offer </w:t>
      </w:r>
      <w:r w:rsidR="004B6999" w:rsidRPr="0063652D">
        <w:rPr>
          <w:i/>
          <w:lang w:val="en-US"/>
        </w:rPr>
        <w:t xml:space="preserve">— </w:t>
      </w:r>
      <w:r w:rsidRPr="0063652D">
        <w:rPr>
          <w:i/>
        </w:rPr>
        <w:t>Promisor</w:t>
      </w:r>
      <w:r w:rsidR="00D62595" w:rsidRPr="0063652D">
        <w:rPr>
          <w:i/>
        </w:rPr>
        <w:noBreakHyphen/>
      </w:r>
      <w:r w:rsidRPr="0063652D">
        <w:rPr>
          <w:i/>
        </w:rPr>
        <w:t xml:space="preserve">sellers turning offer down </w:t>
      </w:r>
      <w:r w:rsidR="004B6999" w:rsidRPr="0063652D">
        <w:rPr>
          <w:i/>
          <w:lang w:val="en-US"/>
        </w:rPr>
        <w:t xml:space="preserve">— </w:t>
      </w:r>
      <w:r w:rsidRPr="0063652D">
        <w:rPr>
          <w:i/>
        </w:rPr>
        <w:t>Whether broker entitled to payment of its commission.</w:t>
      </w:r>
    </w:p>
    <w:p w:rsidR="00F46975" w:rsidRPr="0063652D" w:rsidRDefault="00F46975" w:rsidP="005701A4">
      <w:pPr>
        <w:pStyle w:val="SCCNormalDoubleSpacing"/>
        <w:widowControl w:val="0"/>
        <w:spacing w:before="480" w:after="480"/>
        <w:rPr>
          <w:i/>
        </w:rPr>
      </w:pPr>
      <w:r w:rsidRPr="0063652D">
        <w:tab/>
        <w:t>The promisor</w:t>
      </w:r>
      <w:r w:rsidR="00D62595" w:rsidRPr="0063652D">
        <w:noBreakHyphen/>
      </w:r>
      <w:r w:rsidRPr="0063652D">
        <w:t xml:space="preserve">sellers signed an exclusive brokerage contract — drawn up using a standard form of the Association des courtiers et agents immobiliers du Québec — under which they gave a brokerage enterprise a mandate to sell their </w:t>
      </w:r>
      <w:r w:rsidRPr="0063652D">
        <w:lastRenderedPageBreak/>
        <w:t>immovable. The contract stipulated that the promisor</w:t>
      </w:r>
      <w:r w:rsidR="00D62595" w:rsidRPr="0063652D">
        <w:noBreakHyphen/>
      </w:r>
      <w:r w:rsidRPr="0063652D">
        <w:t xml:space="preserve">sellers’ obligation to pay the brokerage enterprise’s commission would be triggered, </w:t>
      </w:r>
      <w:r w:rsidRPr="0063652D">
        <w:rPr>
          <w:i/>
        </w:rPr>
        <w:t>inter alia</w:t>
      </w:r>
      <w:r w:rsidRPr="0063652D">
        <w:t>, where an “agreement to sell the immovable” was concluded during the term of the contract, or if “the seller voluntarily prevents the free performance of th</w:t>
      </w:r>
      <w:r w:rsidR="00432FBC">
        <w:t>is</w:t>
      </w:r>
      <w:r w:rsidRPr="0063652D">
        <w:t xml:space="preserve"> contract”. The promisor</w:t>
      </w:r>
      <w:r w:rsidR="00D62595" w:rsidRPr="0063652D">
        <w:noBreakHyphen/>
      </w:r>
      <w:r w:rsidRPr="0063652D">
        <w:t>sellers initially accepted a promise to purchase obtained by the brokerage enterprise. This promise to purchase gave the promisor</w:t>
      </w:r>
      <w:r w:rsidR="00D62595" w:rsidRPr="0063652D">
        <w:noBreakHyphen/>
      </w:r>
      <w:r w:rsidRPr="0063652D">
        <w:t>buyer a right to withdraw the promise if he was not completely satisfied with the results of his due diligence on the immovable. After it was discovered that the immovable might be affected by environmental contamination, the promisor</w:t>
      </w:r>
      <w:r w:rsidR="00D62595" w:rsidRPr="0063652D">
        <w:noBreakHyphen/>
      </w:r>
      <w:r w:rsidRPr="0063652D">
        <w:t>buyer reiterated to the promisor</w:t>
      </w:r>
      <w:r w:rsidR="00D62595" w:rsidRPr="0063652D">
        <w:noBreakHyphen/>
      </w:r>
      <w:r w:rsidRPr="0063652D">
        <w:t>sellers that he intended to buy the immovable, but on condition that they decontaminate it at their own expense. The promisor</w:t>
      </w:r>
      <w:r w:rsidR="00D62595" w:rsidRPr="0063652D">
        <w:noBreakHyphen/>
      </w:r>
      <w:r w:rsidRPr="0063652D">
        <w:t>sellers refused, and the sale of the immovable never went through. The brokerage enterprise claimed from the promisor</w:t>
      </w:r>
      <w:r w:rsidR="00D62595" w:rsidRPr="0063652D">
        <w:noBreakHyphen/>
      </w:r>
      <w:r w:rsidRPr="0063652D">
        <w:t>sellers the commission amount set out in the brokerage contract, but the Superior Court dismissed the action. The Court of Appeal set aside that judgment in a split decision and allowed the appeal.</w:t>
      </w:r>
    </w:p>
    <w:p w:rsidR="00F46975" w:rsidRPr="0063652D" w:rsidRDefault="00F46975" w:rsidP="005701A4">
      <w:pPr>
        <w:pStyle w:val="SCCNormalDoubleSpacing"/>
        <w:widowControl w:val="0"/>
        <w:spacing w:before="480" w:after="480"/>
      </w:pPr>
      <w:r w:rsidRPr="0063652D">
        <w:tab/>
      </w:r>
      <w:r w:rsidRPr="0063652D">
        <w:rPr>
          <w:i/>
        </w:rPr>
        <w:t>Held</w:t>
      </w:r>
      <w:r w:rsidRPr="0063652D">
        <w:rPr>
          <w:rStyle w:val="QuoteChar"/>
          <w:i w:val="0"/>
          <w:color w:val="auto"/>
          <w:lang w:val="en-CA"/>
        </w:rPr>
        <w:t>:</w:t>
      </w:r>
      <w:r w:rsidRPr="0063652D">
        <w:t xml:space="preserve"> The appeal should be allowed.</w:t>
      </w:r>
    </w:p>
    <w:p w:rsidR="00F46975" w:rsidRPr="0063652D" w:rsidRDefault="00F46975" w:rsidP="005701A4">
      <w:pPr>
        <w:pStyle w:val="SCCNormalDoubleSpacing"/>
        <w:widowControl w:val="0"/>
        <w:spacing w:before="480" w:after="480"/>
      </w:pPr>
      <w:r w:rsidRPr="0063652D">
        <w:tab/>
        <w:t>In principle, where a contract contains a resolutory condition, the obligations for which the contract provides nevertheless arise and are exigible, as if they were pure and simple, as soon as it is signed. Thus, even though a promise to purchase can be resolved, it is binding on the parties as soon as it is concluded. But so long as a promise to purchase is not unconditionally binding on the promisor</w:t>
      </w:r>
      <w:r w:rsidRPr="0063652D">
        <w:noBreakHyphen/>
        <w:t>buyer and the promisor</w:t>
      </w:r>
      <w:r w:rsidRPr="0063652D">
        <w:noBreakHyphen/>
        <w:t xml:space="preserve">seller and it is not yet possible for one of them to bring an action to </w:t>
      </w:r>
      <w:r w:rsidRPr="0063652D">
        <w:lastRenderedPageBreak/>
        <w:t>compel transfer of title, there is no “agreement to sell the immovable” within the meaning of the brokerage contract. In this case, because the environmental assessment had shown that the soil was contaminated and because the promisor</w:t>
      </w:r>
      <w:r w:rsidR="00D62595" w:rsidRPr="0063652D">
        <w:noBreakHyphen/>
      </w:r>
      <w:r w:rsidRPr="0063652D">
        <w:t>buyer had clearly expressed his intention not to conclude a sale until such time as the property had been decontaminated at the promisor</w:t>
      </w:r>
      <w:r w:rsidR="00D62595" w:rsidRPr="0063652D">
        <w:noBreakHyphen/>
      </w:r>
      <w:r w:rsidRPr="0063652D">
        <w:t>sellers’ expense, the promisor</w:t>
      </w:r>
      <w:r w:rsidR="00D62595" w:rsidRPr="0063652D">
        <w:noBreakHyphen/>
      </w:r>
      <w:r w:rsidRPr="0063652D">
        <w:t>buyer had repudiated the initial promise and submitted a new offer to purchase. The initial promise to purchase never became unconditional, and the promisor</w:t>
      </w:r>
      <w:r w:rsidR="00D62595" w:rsidRPr="0063652D">
        <w:noBreakHyphen/>
      </w:r>
      <w:r w:rsidRPr="0063652D">
        <w:t>buyer’s new offer was never accepted. This means that no agreement to sell the immovable was concluded, and the brokerage enterprise was not entitled to be paid its commission.</w:t>
      </w:r>
    </w:p>
    <w:p w:rsidR="00F46975" w:rsidRPr="0063652D" w:rsidRDefault="00F46975" w:rsidP="005701A4">
      <w:pPr>
        <w:pStyle w:val="SCCNormalDoubleSpacing"/>
        <w:widowControl w:val="0"/>
        <w:spacing w:before="480" w:after="480"/>
      </w:pPr>
      <w:r w:rsidRPr="0063652D">
        <w:tab/>
        <w:t>Nor was the obligation to pay the commission triggered by the promisor</w:t>
      </w:r>
      <w:r w:rsidR="00D62595" w:rsidRPr="0063652D">
        <w:noBreakHyphen/>
      </w:r>
      <w:r w:rsidRPr="0063652D">
        <w:t>sellers’ voluntarily preventing the free performance of the brokerage contract. Under the promise to purchase, the promisor</w:t>
      </w:r>
      <w:r w:rsidR="00D62595" w:rsidRPr="0063652D">
        <w:noBreakHyphen/>
      </w:r>
      <w:r w:rsidRPr="0063652D">
        <w:t>sellers did not have an obligation either to decontaminate their property or to renegotiate the terms of the initial promise to purchase. Given that they had not known about the contamination when the brokerage contract was entered into, it cannot be concluded that they wrongfully prevented the completion of the sale. Although the brokerage contract contained a declaration by the promisor</w:t>
      </w:r>
      <w:r w:rsidR="00D62595" w:rsidRPr="0063652D">
        <w:noBreakHyphen/>
      </w:r>
      <w:r w:rsidRPr="0063652D">
        <w:t xml:space="preserve">sellers that the immovable was in accordance with environmental protection laws and regulations, the declarations set out in the brokerage contract cannot on their own, absent proof of bad faith, serve as a basis for arguing that the </w:t>
      </w:r>
      <w:r w:rsidR="00D62595" w:rsidRPr="0063652D">
        <w:t>promisor</w:t>
      </w:r>
      <w:r w:rsidR="00D62595" w:rsidRPr="0063652D">
        <w:noBreakHyphen/>
      </w:r>
      <w:r w:rsidRPr="0063652D">
        <w:t xml:space="preserve">sellers voluntarily prevented the free performance of the contract. Furthermore, those declarations are not warranties and the legal warranties could not apply, because no sale had been concluded. Under art. 1396 of the </w:t>
      </w:r>
      <w:r w:rsidRPr="0063652D">
        <w:rPr>
          <w:i/>
        </w:rPr>
        <w:t xml:space="preserve">Civil </w:t>
      </w:r>
      <w:r w:rsidRPr="0063652D">
        <w:rPr>
          <w:i/>
        </w:rPr>
        <w:lastRenderedPageBreak/>
        <w:t>Code of Québec</w:t>
      </w:r>
      <w:r w:rsidRPr="0063652D">
        <w:t>, an accepted promise to purchase is not equivalent to a sale and does not produce any of the effects of a sale. In sum, the promisor</w:t>
      </w:r>
      <w:r w:rsidR="00D62595" w:rsidRPr="0063652D">
        <w:noBreakHyphen/>
      </w:r>
      <w:r w:rsidRPr="0063652D">
        <w:t>sellers committed no fault in relation to their obligations under either the promise to purchase or the brokerage contract.</w:t>
      </w:r>
    </w:p>
    <w:p w:rsidR="007E1C47" w:rsidRPr="0063652D" w:rsidRDefault="002E6705" w:rsidP="005701A4">
      <w:pPr>
        <w:pStyle w:val="SCCNormalDoubleSpacing"/>
        <w:widowControl w:val="0"/>
        <w:spacing w:after="720" w:line="240" w:lineRule="auto"/>
        <w:rPr>
          <w:b/>
        </w:rPr>
      </w:pPr>
      <w:r w:rsidRPr="0063652D">
        <w:rPr>
          <w:b/>
        </w:rPr>
        <w:t>Cases Cited</w:t>
      </w:r>
    </w:p>
    <w:p w:rsidR="004E2C26" w:rsidRPr="0063652D" w:rsidRDefault="002E6705" w:rsidP="005701A4">
      <w:pPr>
        <w:pStyle w:val="SCCNormalDoubleSpacing"/>
        <w:widowControl w:val="0"/>
        <w:spacing w:before="480" w:after="480"/>
        <w:rPr>
          <w:lang w:val="fr-CA"/>
        </w:rPr>
      </w:pPr>
      <w:r w:rsidRPr="0063652D">
        <w:tab/>
      </w:r>
      <w:r w:rsidRPr="0063652D">
        <w:rPr>
          <w:b/>
        </w:rPr>
        <w:t>Referred to:</w:t>
      </w:r>
      <w:r w:rsidR="00BD0E9E" w:rsidRPr="0063652D">
        <w:t xml:space="preserve"> </w:t>
      </w:r>
      <w:r w:rsidR="00FE10E2" w:rsidRPr="0063652D">
        <w:rPr>
          <w:i/>
        </w:rPr>
        <w:t>H.W. Liebig &amp; Co. v. Leading Investments Ltd.</w:t>
      </w:r>
      <w:r w:rsidR="00FE10E2" w:rsidRPr="0063652D">
        <w:t xml:space="preserve">, [1986] 1 S.C.R. 70; </w:t>
      </w:r>
      <w:r w:rsidR="00FE10E2" w:rsidRPr="0063652D">
        <w:rPr>
          <w:i/>
        </w:rPr>
        <w:t>Royal Lepage des Moulins Inc. v. Baril</w:t>
      </w:r>
      <w:r w:rsidR="00FE10E2" w:rsidRPr="0063652D">
        <w:t xml:space="preserve">, 2004 CanLII 29347; </w:t>
      </w:r>
      <w:r w:rsidR="00FE10E2" w:rsidRPr="0063652D">
        <w:rPr>
          <w:i/>
        </w:rPr>
        <w:t>Mutuelle des fonctionnaires du Québec v. Immeubles G.C. Gagnon inc.</w:t>
      </w:r>
      <w:r w:rsidR="00FE10E2" w:rsidRPr="0063652D">
        <w:t xml:space="preserve">, 1997 CanLII 10674; </w:t>
      </w:r>
      <w:r w:rsidR="00FE10E2" w:rsidRPr="0063652D">
        <w:rPr>
          <w:i/>
        </w:rPr>
        <w:t>9118</w:t>
      </w:r>
      <w:r w:rsidR="00B010FC" w:rsidRPr="0063652D">
        <w:rPr>
          <w:i/>
        </w:rPr>
        <w:noBreakHyphen/>
      </w:r>
      <w:r w:rsidR="00FE10E2" w:rsidRPr="0063652D">
        <w:rPr>
          <w:i/>
        </w:rPr>
        <w:t xml:space="preserve">7781 Québec inc. </w:t>
      </w:r>
      <w:r w:rsidR="00FE10E2" w:rsidRPr="0063652D">
        <w:rPr>
          <w:i/>
          <w:lang w:val="fr-CA"/>
        </w:rPr>
        <w:t>(Groupe Sutton Millénia) v. Lerer</w:t>
      </w:r>
      <w:r w:rsidR="00FE10E2" w:rsidRPr="0063652D">
        <w:rPr>
          <w:lang w:val="fr-CA"/>
        </w:rPr>
        <w:t xml:space="preserve">, 2012 QCCA 430, [2012] R.J.Q. 331; </w:t>
      </w:r>
      <w:r w:rsidR="00FE10E2" w:rsidRPr="0063652D">
        <w:rPr>
          <w:i/>
          <w:lang w:val="fr-CA"/>
        </w:rPr>
        <w:t>Remax Alliance v. Placements Jabena inc.</w:t>
      </w:r>
      <w:r w:rsidR="00FE10E2" w:rsidRPr="0063652D">
        <w:rPr>
          <w:lang w:val="fr-CA"/>
        </w:rPr>
        <w:t xml:space="preserve">, 2007 QCCQ 12756; </w:t>
      </w:r>
      <w:r w:rsidR="00FE10E2" w:rsidRPr="0063652D">
        <w:rPr>
          <w:i/>
          <w:lang w:val="fr-CA"/>
        </w:rPr>
        <w:t>Racicot v. Mercier</w:t>
      </w:r>
      <w:r w:rsidR="00FE10E2" w:rsidRPr="0063652D">
        <w:rPr>
          <w:lang w:val="fr-CA"/>
        </w:rPr>
        <w:t>, [1968] B.R. 975.</w:t>
      </w:r>
    </w:p>
    <w:p w:rsidR="003B215F" w:rsidRPr="0063652D" w:rsidRDefault="002E6705" w:rsidP="005701A4">
      <w:pPr>
        <w:pStyle w:val="SCCNormalDoubleSpacing"/>
        <w:widowControl w:val="0"/>
        <w:spacing w:after="720" w:line="240" w:lineRule="auto"/>
      </w:pPr>
      <w:r w:rsidRPr="0063652D">
        <w:rPr>
          <w:b/>
        </w:rPr>
        <w:t>Statutes and Regulations Cite</w:t>
      </w:r>
      <w:r w:rsidR="00A41805" w:rsidRPr="0063652D">
        <w:rPr>
          <w:b/>
        </w:rPr>
        <w:t>d</w:t>
      </w:r>
    </w:p>
    <w:p w:rsidR="003C33A7" w:rsidRPr="0063652D" w:rsidRDefault="003C33A7" w:rsidP="005701A4">
      <w:pPr>
        <w:pStyle w:val="SCCNormalDoubleSpacing"/>
        <w:widowControl w:val="0"/>
        <w:spacing w:after="720" w:line="240" w:lineRule="auto"/>
        <w:ind w:left="547" w:hanging="547"/>
        <w:rPr>
          <w:lang w:val="fr-CA"/>
        </w:rPr>
      </w:pPr>
      <w:r w:rsidRPr="0063652D">
        <w:rPr>
          <w:i/>
          <w:lang w:val="en-US"/>
        </w:rPr>
        <w:t>Civil Code of Québec</w:t>
      </w:r>
      <w:r w:rsidR="00B010FC" w:rsidRPr="0063652D">
        <w:rPr>
          <w:lang w:val="en-US"/>
        </w:rPr>
        <w:t>, arts. </w:t>
      </w:r>
      <w:r w:rsidRPr="0063652D">
        <w:rPr>
          <w:lang w:val="fr-CA"/>
        </w:rPr>
        <w:t>1396, 1503, 1723, 1725.</w:t>
      </w:r>
    </w:p>
    <w:p w:rsidR="002E6705" w:rsidRPr="0063652D" w:rsidRDefault="002E6705" w:rsidP="005701A4">
      <w:pPr>
        <w:pStyle w:val="SCCNormalDoubleSpacing"/>
        <w:widowControl w:val="0"/>
        <w:spacing w:after="720" w:line="240" w:lineRule="auto"/>
        <w:rPr>
          <w:b/>
          <w:lang w:val="fr-CA"/>
        </w:rPr>
      </w:pPr>
      <w:r w:rsidRPr="0063652D">
        <w:rPr>
          <w:b/>
          <w:lang w:val="fr-CA"/>
        </w:rPr>
        <w:t>Authors Cited</w:t>
      </w:r>
    </w:p>
    <w:p w:rsidR="001545BB" w:rsidRPr="0063652D" w:rsidRDefault="001545BB" w:rsidP="005701A4">
      <w:pPr>
        <w:pStyle w:val="SCCNormalDoubleSpacing"/>
        <w:widowControl w:val="0"/>
        <w:spacing w:after="240" w:line="240" w:lineRule="auto"/>
        <w:ind w:left="547" w:hanging="547"/>
        <w:rPr>
          <w:lang w:val="fr-CA"/>
        </w:rPr>
      </w:pPr>
      <w:r w:rsidRPr="0063652D">
        <w:rPr>
          <w:lang w:val="fr-CA"/>
        </w:rPr>
        <w:t>Jobin, Pierre</w:t>
      </w:r>
      <w:r w:rsidR="00B010FC" w:rsidRPr="0063652D">
        <w:rPr>
          <w:lang w:val="fr-CA"/>
        </w:rPr>
        <w:noBreakHyphen/>
      </w:r>
      <w:r w:rsidRPr="0063652D">
        <w:rPr>
          <w:lang w:val="fr-CA"/>
        </w:rPr>
        <w:t xml:space="preserve">Gabriel, avec la collaboration de Michelle Cumyn. </w:t>
      </w:r>
      <w:r w:rsidRPr="0063652D">
        <w:rPr>
          <w:i/>
          <w:lang w:val="fr-CA"/>
        </w:rPr>
        <w:t>La vente</w:t>
      </w:r>
      <w:r w:rsidRPr="0063652D">
        <w:rPr>
          <w:lang w:val="fr-CA"/>
        </w:rPr>
        <w:t>, 3</w:t>
      </w:r>
      <w:r w:rsidRPr="0063652D">
        <w:rPr>
          <w:vertAlign w:val="superscript"/>
          <w:lang w:val="fr-CA"/>
        </w:rPr>
        <w:t>e</w:t>
      </w:r>
      <w:r w:rsidR="00B010FC" w:rsidRPr="0063652D">
        <w:rPr>
          <w:lang w:val="fr-CA"/>
        </w:rPr>
        <w:t> </w:t>
      </w:r>
      <w:r w:rsidRPr="0063652D">
        <w:rPr>
          <w:lang w:val="fr-CA"/>
        </w:rPr>
        <w:t>éd. Cowansville</w:t>
      </w:r>
      <w:r w:rsidR="00860656" w:rsidRPr="0063652D">
        <w:rPr>
          <w:lang w:val="fr-CA"/>
        </w:rPr>
        <w:t>, Qué.:</w:t>
      </w:r>
      <w:r w:rsidRPr="0063652D">
        <w:rPr>
          <w:lang w:val="fr-CA"/>
        </w:rPr>
        <w:t xml:space="preserve"> Yvon Blais, 2007.</w:t>
      </w:r>
    </w:p>
    <w:p w:rsidR="001545BB" w:rsidRPr="0063652D" w:rsidRDefault="001545BB" w:rsidP="005701A4">
      <w:pPr>
        <w:pStyle w:val="SCCNormalDoubleSpacing"/>
        <w:widowControl w:val="0"/>
        <w:spacing w:after="240" w:line="240" w:lineRule="auto"/>
        <w:ind w:left="547" w:hanging="547"/>
        <w:rPr>
          <w:lang w:val="fr-CA"/>
        </w:rPr>
      </w:pPr>
      <w:r w:rsidRPr="0063652D">
        <w:rPr>
          <w:lang w:val="fr-CA"/>
        </w:rPr>
        <w:t xml:space="preserve">Lluelles, Didier, et Benoît Moore. </w:t>
      </w:r>
      <w:r w:rsidRPr="0063652D">
        <w:rPr>
          <w:i/>
          <w:lang w:val="fr-CA"/>
        </w:rPr>
        <w:t>Droit des obligations</w:t>
      </w:r>
      <w:r w:rsidRPr="0063652D">
        <w:rPr>
          <w:lang w:val="fr-CA"/>
        </w:rPr>
        <w:t>, 2</w:t>
      </w:r>
      <w:r w:rsidRPr="0063652D">
        <w:rPr>
          <w:vertAlign w:val="superscript"/>
          <w:lang w:val="fr-CA"/>
        </w:rPr>
        <w:t>e</w:t>
      </w:r>
      <w:r w:rsidR="00B010FC" w:rsidRPr="0063652D">
        <w:rPr>
          <w:lang w:val="fr-CA"/>
        </w:rPr>
        <w:t> </w:t>
      </w:r>
      <w:r w:rsidRPr="0063652D">
        <w:rPr>
          <w:lang w:val="fr-CA"/>
        </w:rPr>
        <w:t>éd. Montréal</w:t>
      </w:r>
      <w:r w:rsidR="00860656" w:rsidRPr="0063652D">
        <w:rPr>
          <w:lang w:val="fr-CA"/>
        </w:rPr>
        <w:t>:</w:t>
      </w:r>
      <w:r w:rsidRPr="0063652D">
        <w:rPr>
          <w:lang w:val="fr-CA"/>
        </w:rPr>
        <w:t xml:space="preserve"> Thémis, 2012.</w:t>
      </w:r>
    </w:p>
    <w:p w:rsidR="001545BB" w:rsidRPr="00D4056A" w:rsidRDefault="001545BB" w:rsidP="005701A4">
      <w:pPr>
        <w:pStyle w:val="SCCNormalDoubleSpacing"/>
        <w:widowControl w:val="0"/>
        <w:spacing w:after="720" w:line="240" w:lineRule="auto"/>
        <w:ind w:left="547" w:hanging="547"/>
        <w:rPr>
          <w:lang w:val="en-US"/>
        </w:rPr>
      </w:pPr>
      <w:r w:rsidRPr="0063652D">
        <w:rPr>
          <w:lang w:val="fr-CA"/>
        </w:rPr>
        <w:t xml:space="preserve">Richard, Henri. </w:t>
      </w:r>
      <w:r w:rsidRPr="0063652D">
        <w:rPr>
          <w:i/>
          <w:lang w:val="fr-CA"/>
        </w:rPr>
        <w:t>Le courtage immobilier au Québec</w:t>
      </w:r>
      <w:r w:rsidR="00B010FC" w:rsidRPr="0063652D">
        <w:rPr>
          <w:i/>
          <w:lang w:val="fr-CA"/>
        </w:rPr>
        <w:t>:</w:t>
      </w:r>
      <w:r w:rsidRPr="0063652D">
        <w:rPr>
          <w:i/>
          <w:lang w:val="fr-CA"/>
        </w:rPr>
        <w:t xml:space="preserve"> Droits et obligations des agences, courtiers et clients</w:t>
      </w:r>
      <w:r w:rsidRPr="0063652D">
        <w:rPr>
          <w:lang w:val="fr-CA"/>
        </w:rPr>
        <w:t>, 3</w:t>
      </w:r>
      <w:r w:rsidRPr="0063652D">
        <w:rPr>
          <w:vertAlign w:val="superscript"/>
          <w:lang w:val="fr-CA"/>
        </w:rPr>
        <w:t>e</w:t>
      </w:r>
      <w:r w:rsidR="00D62595" w:rsidRPr="0063652D">
        <w:rPr>
          <w:lang w:val="fr-CA"/>
        </w:rPr>
        <w:t> </w:t>
      </w:r>
      <w:r w:rsidRPr="0063652D">
        <w:rPr>
          <w:lang w:val="fr-CA"/>
        </w:rPr>
        <w:t xml:space="preserve">éd. </w:t>
      </w:r>
      <w:r w:rsidRPr="00D4056A">
        <w:rPr>
          <w:lang w:val="en-US"/>
        </w:rPr>
        <w:t>Cowansville</w:t>
      </w:r>
      <w:r w:rsidR="00860656" w:rsidRPr="00D4056A">
        <w:rPr>
          <w:lang w:val="en-US"/>
        </w:rPr>
        <w:t>, Qué.:</w:t>
      </w:r>
      <w:r w:rsidRPr="00D4056A">
        <w:rPr>
          <w:lang w:val="en-US"/>
        </w:rPr>
        <w:t xml:space="preserve"> Yvon Blais, 2010.</w:t>
      </w:r>
    </w:p>
    <w:p w:rsidR="00656313" w:rsidRPr="0063652D" w:rsidRDefault="000C1124" w:rsidP="005701A4">
      <w:pPr>
        <w:pStyle w:val="SCCNormalDoubleSpacing"/>
        <w:widowControl w:val="0"/>
        <w:spacing w:before="480" w:after="480"/>
      </w:pPr>
      <w:r w:rsidRPr="00D4056A">
        <w:rPr>
          <w:lang w:val="en-US"/>
        </w:rPr>
        <w:lastRenderedPageBreak/>
        <w:tab/>
      </w:r>
      <w:r w:rsidR="009B57B3" w:rsidRPr="004B592B">
        <w:rPr>
          <w:lang w:val="en-US"/>
        </w:rPr>
        <w:t xml:space="preserve">APPEAL from a judgment of the </w:t>
      </w:r>
      <w:r w:rsidR="00CA2D13" w:rsidRPr="004B592B">
        <w:rPr>
          <w:lang w:val="en-US"/>
        </w:rPr>
        <w:t>Quebec Court of Appeal</w:t>
      </w:r>
      <w:r w:rsidR="009B57B3" w:rsidRPr="004B592B">
        <w:rPr>
          <w:lang w:val="en-US"/>
        </w:rPr>
        <w:t xml:space="preserve"> (</w:t>
      </w:r>
      <w:r w:rsidR="00CA2D13" w:rsidRPr="004B592B">
        <w:rPr>
          <w:lang w:val="en-US"/>
        </w:rPr>
        <w:t>Pelletier</w:t>
      </w:r>
      <w:r w:rsidR="0089474A" w:rsidRPr="004B592B">
        <w:rPr>
          <w:lang w:val="en-US"/>
        </w:rPr>
        <w:t xml:space="preserve"> an</w:t>
      </w:r>
      <w:r w:rsidR="00B010FC" w:rsidRPr="004B592B">
        <w:rPr>
          <w:lang w:val="en-US"/>
        </w:rPr>
        <w:t>d Fournier </w:t>
      </w:r>
      <w:r w:rsidR="0027236A" w:rsidRPr="004B592B">
        <w:rPr>
          <w:lang w:val="en-US"/>
        </w:rPr>
        <w:t>JJ.A. and Gag</w:t>
      </w:r>
      <w:r w:rsidR="0027236A" w:rsidRPr="0063652D">
        <w:t>non</w:t>
      </w:r>
      <w:r w:rsidR="00B010FC" w:rsidRPr="0063652D">
        <w:t> </w:t>
      </w:r>
      <w:r w:rsidR="0027236A" w:rsidRPr="0063652D">
        <w:t>J.</w:t>
      </w:r>
      <w:r w:rsidR="0089474A" w:rsidRPr="0063652D">
        <w:t xml:space="preserve"> (</w:t>
      </w:r>
      <w:r w:rsidR="0089474A" w:rsidRPr="0063652D">
        <w:rPr>
          <w:i/>
        </w:rPr>
        <w:t>ad hoc</w:t>
      </w:r>
      <w:r w:rsidR="0089474A" w:rsidRPr="0063652D">
        <w:t>)</w:t>
      </w:r>
      <w:r w:rsidR="00087D8F" w:rsidRPr="0063652D">
        <w:t>)</w:t>
      </w:r>
      <w:r w:rsidR="0089474A" w:rsidRPr="0063652D">
        <w:t xml:space="preserve">, </w:t>
      </w:r>
      <w:r w:rsidR="0027236A" w:rsidRPr="0063652D">
        <w:t xml:space="preserve">2013 QCCA 868, </w:t>
      </w:r>
      <w:r w:rsidR="00C618E4" w:rsidRPr="0063652D">
        <w:t>[2013] AZ</w:t>
      </w:r>
      <w:r w:rsidR="00B010FC" w:rsidRPr="0063652D">
        <w:noBreakHyphen/>
      </w:r>
      <w:r w:rsidR="00C618E4" w:rsidRPr="0063652D">
        <w:t xml:space="preserve">50964779, </w:t>
      </w:r>
      <w:r w:rsidR="00083E33" w:rsidRPr="0063652D">
        <w:t>[2013] J.Q. n</w:t>
      </w:r>
      <w:r w:rsidR="00083E33" w:rsidRPr="0063652D">
        <w:rPr>
          <w:vertAlign w:val="superscript"/>
        </w:rPr>
        <w:t>o</w:t>
      </w:r>
      <w:r w:rsidR="00B010FC" w:rsidRPr="0063652D">
        <w:t> </w:t>
      </w:r>
      <w:r w:rsidR="00083E33" w:rsidRPr="0063652D">
        <w:t>4684</w:t>
      </w:r>
      <w:r w:rsidR="00217A67" w:rsidRPr="0063652D">
        <w:t xml:space="preserve"> (QL)</w:t>
      </w:r>
      <w:r w:rsidR="00083E33" w:rsidRPr="0063652D">
        <w:t xml:space="preserve">, </w:t>
      </w:r>
      <w:r w:rsidR="005E6709" w:rsidRPr="0063652D">
        <w:rPr>
          <w:lang w:val="en-US"/>
        </w:rPr>
        <w:t xml:space="preserve">2013 CarswellQue 4404 (WL Can.), </w:t>
      </w:r>
      <w:r w:rsidR="00523B76" w:rsidRPr="0063652D">
        <w:t>setting aside a decision of Paquette</w:t>
      </w:r>
      <w:r w:rsidR="00B010FC" w:rsidRPr="0063652D">
        <w:t> </w:t>
      </w:r>
      <w:r w:rsidR="0093007C" w:rsidRPr="0063652D">
        <w:t xml:space="preserve">J., 2011 QCCS 1930, </w:t>
      </w:r>
      <w:r w:rsidR="00067562" w:rsidRPr="0063652D">
        <w:t>[2011] AZ</w:t>
      </w:r>
      <w:r w:rsidR="00B010FC" w:rsidRPr="0063652D">
        <w:noBreakHyphen/>
      </w:r>
      <w:r w:rsidR="00067562" w:rsidRPr="0063652D">
        <w:t>50745003, [2011] J.Q. n</w:t>
      </w:r>
      <w:r w:rsidR="00067562" w:rsidRPr="0063652D">
        <w:rPr>
          <w:vertAlign w:val="superscript"/>
        </w:rPr>
        <w:t>o</w:t>
      </w:r>
      <w:r w:rsidR="00B010FC" w:rsidRPr="0063652D">
        <w:t> </w:t>
      </w:r>
      <w:r w:rsidR="00067562" w:rsidRPr="0063652D">
        <w:t>4261</w:t>
      </w:r>
      <w:r w:rsidR="00217A67" w:rsidRPr="0063652D">
        <w:t xml:space="preserve"> (QL)</w:t>
      </w:r>
      <w:r w:rsidR="005E6709" w:rsidRPr="0063652D">
        <w:t xml:space="preserve">, </w:t>
      </w:r>
      <w:r w:rsidR="005E6709" w:rsidRPr="0063652D">
        <w:rPr>
          <w:lang w:val="en-US"/>
        </w:rPr>
        <w:t>2011 CarswellQue 4091 (WL Can.)</w:t>
      </w:r>
      <w:r w:rsidR="00217A67" w:rsidRPr="0063652D">
        <w:t xml:space="preserve">. </w:t>
      </w:r>
      <w:r w:rsidR="00372F50" w:rsidRPr="0063652D">
        <w:t xml:space="preserve">Appeal </w:t>
      </w:r>
      <w:r w:rsidR="00EA5E99" w:rsidRPr="0063652D">
        <w:t>allowed</w:t>
      </w:r>
      <w:r w:rsidR="00372F50" w:rsidRPr="0063652D">
        <w:t>.</w:t>
      </w:r>
    </w:p>
    <w:p w:rsidR="00A60BBF" w:rsidRPr="0063652D" w:rsidRDefault="00C7747F" w:rsidP="005701A4">
      <w:pPr>
        <w:pStyle w:val="SCCNormalDoubleSpacing"/>
        <w:widowControl w:val="0"/>
        <w:spacing w:before="480" w:after="480"/>
      </w:pPr>
      <w:r w:rsidRPr="0063652D">
        <w:rPr>
          <w:rStyle w:val="SCCCounselNameChar"/>
          <w:i w:val="0"/>
        </w:rPr>
        <w:tab/>
      </w:r>
      <w:r w:rsidR="00BB340D" w:rsidRPr="0063652D">
        <w:rPr>
          <w:rStyle w:val="SCCCounselNameChar"/>
        </w:rPr>
        <w:t xml:space="preserve">Vlatka (Carol) Kljajo </w:t>
      </w:r>
      <w:r w:rsidR="00BB340D" w:rsidRPr="0063652D">
        <w:rPr>
          <w:rStyle w:val="SCCCounselSeparatorChar"/>
        </w:rPr>
        <w:t>and</w:t>
      </w:r>
      <w:r w:rsidR="00BB340D" w:rsidRPr="0063652D">
        <w:rPr>
          <w:rStyle w:val="SCCCounselNameChar"/>
        </w:rPr>
        <w:t xml:space="preserve"> </w:t>
      </w:r>
      <w:r w:rsidRPr="0063652D">
        <w:rPr>
          <w:rStyle w:val="SCCCounselNameChar"/>
        </w:rPr>
        <w:t>Gabriel Di Genova</w:t>
      </w:r>
      <w:r w:rsidRPr="0063652D">
        <w:rPr>
          <w:rStyle w:val="SCCCounselPartyRoleChar"/>
        </w:rPr>
        <w:t>, for the appellant</w:t>
      </w:r>
      <w:r w:rsidR="00E221A8" w:rsidRPr="0063652D">
        <w:rPr>
          <w:rStyle w:val="SCCCounselPartyRoleChar"/>
        </w:rPr>
        <w:t>s</w:t>
      </w:r>
      <w:r w:rsidRPr="0063652D">
        <w:rPr>
          <w:rStyle w:val="SCCCounselPartyRoleChar"/>
        </w:rPr>
        <w:t>.</w:t>
      </w:r>
    </w:p>
    <w:p w:rsidR="00A60BBF" w:rsidRPr="0063652D" w:rsidRDefault="00C7747F" w:rsidP="005701A4">
      <w:pPr>
        <w:pStyle w:val="SCCNormalDoubleSpacing"/>
        <w:widowControl w:val="0"/>
        <w:spacing w:before="480" w:after="480"/>
      </w:pPr>
      <w:r w:rsidRPr="0063652D">
        <w:rPr>
          <w:rStyle w:val="SCCCounselNameChar"/>
          <w:i w:val="0"/>
        </w:rPr>
        <w:tab/>
      </w:r>
      <w:r w:rsidRPr="0063652D">
        <w:rPr>
          <w:rStyle w:val="SCCCounselNameChar"/>
        </w:rPr>
        <w:t>Pierre</w:t>
      </w:r>
      <w:r w:rsidR="009832D2">
        <w:rPr>
          <w:rStyle w:val="SCCCounselNameChar"/>
        </w:rPr>
        <w:t>-</w:t>
      </w:r>
      <w:r w:rsidR="007814D7" w:rsidRPr="0063652D">
        <w:rPr>
          <w:rStyle w:val="SCCCounselNameChar"/>
        </w:rPr>
        <w:t>G. </w:t>
      </w:r>
      <w:r w:rsidRPr="0063652D">
        <w:rPr>
          <w:rStyle w:val="SCCCounselNameChar"/>
        </w:rPr>
        <w:t>Champagne</w:t>
      </w:r>
      <w:r w:rsidRPr="0063652D">
        <w:rPr>
          <w:rStyle w:val="SCCCounselPartyRoleChar"/>
        </w:rPr>
        <w:t>, for the respondent.</w:t>
      </w:r>
    </w:p>
    <w:p w:rsidR="00610C9B" w:rsidRDefault="00530EDB" w:rsidP="005701A4">
      <w:pPr>
        <w:pStyle w:val="SCCNormalDoubleSpacing"/>
        <w:widowControl w:val="0"/>
        <w:spacing w:before="480" w:after="480"/>
      </w:pPr>
      <w:r>
        <w:tab/>
      </w:r>
      <w:r w:rsidR="00610C9B" w:rsidRPr="00502EF3">
        <w:t>English version of the judgment of the Court delivered by</w:t>
      </w:r>
    </w:p>
    <w:p w:rsidR="00610C9B" w:rsidRPr="00ED754F" w:rsidRDefault="00610C9B" w:rsidP="005701A4">
      <w:pPr>
        <w:pStyle w:val="JudgeJuge"/>
        <w:widowControl w:val="0"/>
        <w:outlineLvl w:val="0"/>
        <w:rPr>
          <w:lang w:val="en-CA"/>
        </w:rPr>
      </w:pPr>
      <w:r w:rsidRPr="004B592B">
        <w:rPr>
          <w:lang w:val="en-US"/>
        </w:rPr>
        <w:tab/>
      </w:r>
      <w:r w:rsidRPr="00ED754F">
        <w:rPr>
          <w:lang w:val="en-CA"/>
        </w:rPr>
        <w:t xml:space="preserve">Wagner J. — </w:t>
      </w:r>
    </w:p>
    <w:p w:rsidR="00610C9B" w:rsidRPr="00ED754F" w:rsidRDefault="00610C9B" w:rsidP="005701A4">
      <w:pPr>
        <w:pStyle w:val="Title1LevelTitre1Niveau-AltL"/>
        <w:widowControl w:val="0"/>
        <w:numPr>
          <w:ilvl w:val="0"/>
          <w:numId w:val="8"/>
        </w:numPr>
        <w:rPr>
          <w:rFonts w:cs="Times New Roman"/>
        </w:rPr>
      </w:pPr>
      <w:r w:rsidRPr="00ED754F">
        <w:rPr>
          <w:rFonts w:cs="Times New Roman"/>
        </w:rPr>
        <w:t>Introduction</w:t>
      </w:r>
    </w:p>
    <w:p w:rsidR="00610C9B" w:rsidRPr="00ED754F" w:rsidRDefault="00610C9B" w:rsidP="005701A4">
      <w:pPr>
        <w:pStyle w:val="ParaNoNdepar-AltN"/>
        <w:widowControl w:val="0"/>
        <w:rPr>
          <w:rFonts w:cs="Times New Roman"/>
          <w:lang w:val="en-CA"/>
        </w:rPr>
      </w:pPr>
      <w:r w:rsidRPr="00ED754F">
        <w:rPr>
          <w:rFonts w:cs="Times New Roman"/>
          <w:lang w:val="en-CA"/>
        </w:rPr>
        <w:t xml:space="preserve">A real estate broker’s compensation is uncertain in many respects. As La Forest J. put it in </w:t>
      </w:r>
      <w:r w:rsidRPr="00ED754F">
        <w:rPr>
          <w:rFonts w:cs="Times New Roman"/>
          <w:i/>
          <w:lang w:val="en-CA"/>
        </w:rPr>
        <w:t xml:space="preserve">H.W. Liebig &amp; </w:t>
      </w:r>
      <w:r w:rsidR="00530EDB">
        <w:rPr>
          <w:rFonts w:cs="Times New Roman"/>
          <w:i/>
          <w:lang w:val="en-CA"/>
        </w:rPr>
        <w:t>Co.</w:t>
      </w:r>
      <w:r w:rsidRPr="00ED754F">
        <w:rPr>
          <w:rFonts w:cs="Times New Roman"/>
          <w:i/>
          <w:lang w:val="en-CA"/>
        </w:rPr>
        <w:t xml:space="preserve"> v. Leading Investments Ltd.</w:t>
      </w:r>
      <w:r w:rsidRPr="00ED754F">
        <w:rPr>
          <w:rFonts w:cs="Times New Roman"/>
          <w:lang w:val="en-CA"/>
        </w:rPr>
        <w:t>, [1986] 1 S.C.R. 70, a brokerage contract is like a hunting licence in the sense that, “as in hunting, the broker may spend much time and effort but fail to achieve his goal” (p. 80). The case at bar provides a perfect illustration of this.</w:t>
      </w:r>
    </w:p>
    <w:p w:rsidR="00610C9B" w:rsidRPr="00ED754F" w:rsidRDefault="00610C9B" w:rsidP="005701A4">
      <w:pPr>
        <w:pStyle w:val="ParaNoNdepar-AltN"/>
        <w:widowControl w:val="0"/>
        <w:rPr>
          <w:rFonts w:cs="Times New Roman"/>
          <w:lang w:val="en-CA"/>
        </w:rPr>
      </w:pPr>
      <w:r w:rsidRPr="00ED754F">
        <w:rPr>
          <w:rFonts w:cs="Times New Roman"/>
          <w:lang w:val="en-CA"/>
        </w:rPr>
        <w:t xml:space="preserve">In this case, Services immobiliers Diane Bisson inc. (“respondent”), a brokerage enterprise, is claiming from Société en commandite Place Mullins and 139612 Canada inc. (“appellants”) the commission amount set out in a brokerage </w:t>
      </w:r>
      <w:r w:rsidRPr="00ED754F">
        <w:rPr>
          <w:rFonts w:cs="Times New Roman"/>
          <w:lang w:val="en-CA"/>
        </w:rPr>
        <w:lastRenderedPageBreak/>
        <w:t>contract even though the immovable in question was not sold during the term of that contract. The respondent initially argued, first, that an agreement to sell the immovable had been concluded by the appellants and the promisor</w:t>
      </w:r>
      <w:r w:rsidRPr="00ED754F">
        <w:rPr>
          <w:rFonts w:cs="Times New Roman"/>
          <w:lang w:val="en-CA"/>
        </w:rPr>
        <w:noBreakHyphen/>
        <w:t xml:space="preserve">buyer, David Douek, and, in the alternative, that the appellants, through their inaction, had prevented the free performance of the brokerage contract. </w:t>
      </w:r>
    </w:p>
    <w:p w:rsidR="00610C9B" w:rsidRPr="00ED754F" w:rsidRDefault="00610C9B" w:rsidP="005701A4">
      <w:pPr>
        <w:pStyle w:val="ParaNoNdepar-AltN"/>
        <w:widowControl w:val="0"/>
        <w:rPr>
          <w:rFonts w:cs="Times New Roman"/>
          <w:lang w:val="en-CA"/>
        </w:rPr>
      </w:pPr>
      <w:r w:rsidRPr="00ED754F">
        <w:rPr>
          <w:rFonts w:cs="Times New Roman"/>
          <w:lang w:val="en-CA"/>
        </w:rPr>
        <w:t>The appellants admitted that if either of those situations were proven, they would be required to pay the commission, but they asserted that neither of them had in fact occurred. There were essentially two issues:</w:t>
      </w:r>
    </w:p>
    <w:p w:rsidR="00610C9B" w:rsidRPr="00ED754F" w:rsidRDefault="00610C9B" w:rsidP="005701A4">
      <w:pPr>
        <w:pStyle w:val="Citation-AltC"/>
        <w:widowControl w:val="0"/>
        <w:tabs>
          <w:tab w:val="left" w:pos="900"/>
        </w:tabs>
        <w:spacing w:after="480" w:line="480" w:lineRule="auto"/>
        <w:ind w:left="900" w:hanging="900"/>
        <w:contextualSpacing w:val="0"/>
        <w:rPr>
          <w:lang w:val="en-CA"/>
        </w:rPr>
      </w:pPr>
      <w:r w:rsidRPr="00ED754F">
        <w:rPr>
          <w:lang w:val="en-CA"/>
        </w:rPr>
        <w:t>(1)</w:t>
      </w:r>
      <w:r w:rsidRPr="00ED754F">
        <w:rPr>
          <w:lang w:val="en-CA"/>
        </w:rPr>
        <w:tab/>
        <w:t>Was an “agreement to sell the IMMOVABLE” within the meaning of clause 6.1(3</w:t>
      </w:r>
      <w:r w:rsidRPr="00ED754F">
        <w:rPr>
          <w:vertAlign w:val="superscript"/>
          <w:lang w:val="en-CA"/>
        </w:rPr>
        <w:t>o</w:t>
      </w:r>
      <w:r w:rsidRPr="00ED754F">
        <w:rPr>
          <w:lang w:val="en-CA"/>
        </w:rPr>
        <w:t>) of the brokerage contract validly concluded?</w:t>
      </w:r>
    </w:p>
    <w:p w:rsidR="00610C9B" w:rsidRPr="00ED754F" w:rsidRDefault="00610C9B" w:rsidP="005701A4">
      <w:pPr>
        <w:pStyle w:val="Citation-AltC"/>
        <w:widowControl w:val="0"/>
        <w:tabs>
          <w:tab w:val="left" w:pos="900"/>
        </w:tabs>
        <w:spacing w:after="480" w:line="480" w:lineRule="auto"/>
        <w:ind w:left="900" w:hanging="900"/>
        <w:contextualSpacing w:val="0"/>
        <w:rPr>
          <w:lang w:val="en-CA"/>
        </w:rPr>
      </w:pPr>
      <w:r w:rsidRPr="00ED754F">
        <w:rPr>
          <w:lang w:val="en-CA"/>
        </w:rPr>
        <w:t>(2)</w:t>
      </w:r>
      <w:r w:rsidRPr="00ED754F">
        <w:rPr>
          <w:lang w:val="en-CA"/>
        </w:rPr>
        <w:tab/>
        <w:t>Did the appellants voluntarily prevent the free performance of the brokerage contract within the meaning of clause 6.1(4</w:t>
      </w:r>
      <w:r w:rsidRPr="00ED754F">
        <w:rPr>
          <w:vertAlign w:val="superscript"/>
          <w:lang w:val="en-CA"/>
        </w:rPr>
        <w:t>o</w:t>
      </w:r>
      <w:r w:rsidRPr="00ED754F">
        <w:rPr>
          <w:lang w:val="en-CA"/>
        </w:rPr>
        <w:t>)?</w:t>
      </w:r>
    </w:p>
    <w:p w:rsidR="00610C9B" w:rsidRPr="00ED754F" w:rsidRDefault="00610C9B" w:rsidP="005701A4">
      <w:pPr>
        <w:pStyle w:val="ParaNoNdepar-AltN"/>
        <w:widowControl w:val="0"/>
        <w:rPr>
          <w:rFonts w:cs="Times New Roman"/>
          <w:lang w:val="en-CA"/>
        </w:rPr>
      </w:pPr>
      <w:r w:rsidRPr="00ED754F">
        <w:rPr>
          <w:rFonts w:cs="Times New Roman"/>
          <w:lang w:val="en-CA"/>
        </w:rPr>
        <w:t>In the Superior Court and the Court of Appeal, the argument focused on the first of these two questions. In this Court, the respondent conceded that Mr. Douek had availed himself of the resolutory condition, which meant that no agreement to sell the immovable had actually been concluded. The alternative argument advanced in the Superior Court and the Court of Appeal has therefore become the principal argument in the appeal to this Court.</w:t>
      </w:r>
    </w:p>
    <w:p w:rsidR="00610C9B" w:rsidRPr="00ED754F" w:rsidRDefault="00610C9B" w:rsidP="005701A4">
      <w:pPr>
        <w:pStyle w:val="ParaNoNdepar-AltN"/>
        <w:widowControl w:val="0"/>
        <w:rPr>
          <w:rFonts w:cs="Times New Roman"/>
          <w:lang w:val="en-CA"/>
        </w:rPr>
      </w:pPr>
      <w:r w:rsidRPr="00ED754F">
        <w:rPr>
          <w:rFonts w:cs="Times New Roman"/>
          <w:lang w:val="en-CA"/>
        </w:rPr>
        <w:t xml:space="preserve">Despite the respondent’s concession that no agreement to sell the </w:t>
      </w:r>
      <w:r w:rsidRPr="00ED754F">
        <w:rPr>
          <w:rFonts w:cs="Times New Roman"/>
          <w:lang w:val="en-CA"/>
        </w:rPr>
        <w:lastRenderedPageBreak/>
        <w:t>immovable had been concluded, I will nonetheless consider both this argument based on clause 6.1(3</w:t>
      </w:r>
      <w:r w:rsidRPr="00ED754F">
        <w:rPr>
          <w:rFonts w:cs="Times New Roman"/>
          <w:vertAlign w:val="superscript"/>
          <w:lang w:val="en-CA"/>
        </w:rPr>
        <w:t>o</w:t>
      </w:r>
      <w:r w:rsidRPr="00ED754F">
        <w:rPr>
          <w:rFonts w:cs="Times New Roman"/>
          <w:lang w:val="en-CA"/>
        </w:rPr>
        <w:t>) and the one concerning free performance of the contract based on clause 6.1(4</w:t>
      </w:r>
      <w:r w:rsidRPr="00ED754F">
        <w:rPr>
          <w:rFonts w:cs="Times New Roman"/>
          <w:vertAlign w:val="superscript"/>
          <w:lang w:val="en-CA"/>
        </w:rPr>
        <w:t>o</w:t>
      </w:r>
      <w:r w:rsidRPr="00ED754F">
        <w:rPr>
          <w:rFonts w:cs="Times New Roman"/>
          <w:lang w:val="en-CA"/>
        </w:rPr>
        <w:t>). In my opinion, partly for the reasons given by Paquette J. of the Superior Court (2011 QCCS 1930) and by Fournier J.A. of the Court of Appeal (2013 QCCA 868), the respondent’s arguments must fail and the appeal must be allowed.</w:t>
      </w:r>
    </w:p>
    <w:p w:rsidR="00610C9B" w:rsidRPr="00ED754F" w:rsidRDefault="00610C9B" w:rsidP="005701A4">
      <w:pPr>
        <w:pStyle w:val="Title1LevelTitre1Niveau-AltL"/>
        <w:widowControl w:val="0"/>
        <w:numPr>
          <w:ilvl w:val="0"/>
          <w:numId w:val="8"/>
        </w:numPr>
        <w:rPr>
          <w:rFonts w:cs="Times New Roman"/>
        </w:rPr>
      </w:pPr>
      <w:r w:rsidRPr="00ED754F">
        <w:rPr>
          <w:rFonts w:cs="Times New Roman"/>
        </w:rPr>
        <w:t>Background Facts</w:t>
      </w:r>
    </w:p>
    <w:p w:rsidR="00610C9B" w:rsidRPr="00ED754F" w:rsidRDefault="00610C9B" w:rsidP="005701A4">
      <w:pPr>
        <w:pStyle w:val="ParaNoNdepar-AltN"/>
        <w:widowControl w:val="0"/>
        <w:rPr>
          <w:rFonts w:cs="Times New Roman"/>
          <w:lang w:val="en-CA"/>
        </w:rPr>
      </w:pPr>
      <w:r w:rsidRPr="00ED754F">
        <w:rPr>
          <w:rFonts w:cs="Times New Roman"/>
          <w:lang w:val="en-CA"/>
        </w:rPr>
        <w:t>On September 8, 2007, the appellants signed an exclusive brokerage contract with the respondent under which they gave the respondent a mandate to sell their immovable. The asking sale price, as amended on September 19, 2007, was $3,420,000. The contract was drawn up using a standard form of the Association des courtiers et agents immobiliers du Québec, clause 6.1 of which set out the situations that would trigger the appellants’ obligation to pay the commission. The relevant portions read as follow:</w:t>
      </w:r>
    </w:p>
    <w:p w:rsidR="00610C9B" w:rsidRPr="00ED754F" w:rsidRDefault="00610C9B" w:rsidP="005701A4">
      <w:pPr>
        <w:pStyle w:val="Citation-AltC"/>
        <w:widowControl w:val="0"/>
        <w:spacing w:after="240"/>
        <w:ind w:hanging="1166"/>
        <w:contextualSpacing w:val="0"/>
        <w:rPr>
          <w:lang w:val="en-CA"/>
        </w:rPr>
      </w:pPr>
      <w:r w:rsidRPr="00ED754F">
        <w:rPr>
          <w:lang w:val="en-CA"/>
        </w:rPr>
        <w:tab/>
        <w:t>[</w:t>
      </w:r>
      <w:r w:rsidRPr="00ED754F">
        <w:rPr>
          <w:smallCaps/>
          <w:lang w:val="en-CA"/>
        </w:rPr>
        <w:t>translation</w:t>
      </w:r>
      <w:r w:rsidRPr="00ED754F">
        <w:rPr>
          <w:lang w:val="en-CA"/>
        </w:rPr>
        <w:t>]</w:t>
      </w:r>
    </w:p>
    <w:p w:rsidR="00610C9B" w:rsidRPr="00ED754F" w:rsidRDefault="00610C9B" w:rsidP="005701A4">
      <w:pPr>
        <w:pStyle w:val="Citation-AltC"/>
        <w:widowControl w:val="0"/>
        <w:spacing w:after="240"/>
        <w:ind w:left="1560" w:hanging="426"/>
        <w:contextualSpacing w:val="0"/>
        <w:rPr>
          <w:lang w:val="en-CA"/>
        </w:rPr>
      </w:pPr>
      <w:r w:rsidRPr="00ED754F">
        <w:rPr>
          <w:lang w:val="en-CA"/>
        </w:rPr>
        <w:t>6.1</w:t>
      </w:r>
      <w:r w:rsidRPr="00ED754F">
        <w:rPr>
          <w:lang w:val="en-CA"/>
        </w:rPr>
        <w:tab/>
        <w:t>The SELLER shall pay to the BROKER compensation of:</w:t>
      </w:r>
    </w:p>
    <w:p w:rsidR="00610C9B" w:rsidRPr="00ED754F" w:rsidRDefault="00610C9B" w:rsidP="005701A4">
      <w:pPr>
        <w:pStyle w:val="Citation-AltC"/>
        <w:widowControl w:val="0"/>
        <w:spacing w:after="240"/>
        <w:ind w:left="1555" w:hanging="1555"/>
        <w:contextualSpacing w:val="0"/>
        <w:rPr>
          <w:lang w:val="en-CA"/>
        </w:rPr>
      </w:pPr>
      <w:r>
        <w:rPr>
          <w:lang w:val="en-CA"/>
        </w:rPr>
        <w:tab/>
      </w:r>
      <w:r w:rsidRPr="00ED754F">
        <w:rPr>
          <w:lang w:val="en-CA"/>
        </w:rPr>
        <w:t>Five percent (5% + GST + QST) of the sale price, in the cases provided in 1</w:t>
      </w:r>
      <w:r w:rsidRPr="00ED754F">
        <w:rPr>
          <w:vertAlign w:val="superscript"/>
          <w:lang w:val="en-CA"/>
        </w:rPr>
        <w:t>o</w:t>
      </w:r>
      <w:r w:rsidRPr="00ED754F">
        <w:rPr>
          <w:lang w:val="en-CA"/>
        </w:rPr>
        <w:t>, 2</w:t>
      </w:r>
      <w:r w:rsidRPr="00ED754F">
        <w:rPr>
          <w:vertAlign w:val="superscript"/>
          <w:lang w:val="en-CA"/>
        </w:rPr>
        <w:t>o</w:t>
      </w:r>
      <w:r w:rsidRPr="00ED754F">
        <w:rPr>
          <w:lang w:val="en-CA"/>
        </w:rPr>
        <w:t xml:space="preserve"> and 3</w:t>
      </w:r>
      <w:r w:rsidRPr="00ED754F">
        <w:rPr>
          <w:vertAlign w:val="superscript"/>
          <w:lang w:val="en-CA"/>
        </w:rPr>
        <w:t>o</w:t>
      </w:r>
      <w:r w:rsidRPr="00ED754F">
        <w:rPr>
          <w:lang w:val="en-CA"/>
        </w:rPr>
        <w:t xml:space="preserve"> below, or of the [sale] price [asked] in the case provided in 4</w:t>
      </w:r>
      <w:r w:rsidRPr="00ED754F">
        <w:rPr>
          <w:vertAlign w:val="superscript"/>
          <w:lang w:val="en-CA"/>
        </w:rPr>
        <w:t>o</w:t>
      </w:r>
      <w:r w:rsidRPr="00ED754F">
        <w:rPr>
          <w:lang w:val="en-CA"/>
        </w:rPr>
        <w:t xml:space="preserve"> below</w:t>
      </w:r>
      <w:r>
        <w:rPr>
          <w:lang w:val="en-CA"/>
        </w:rPr>
        <w:t xml:space="preserve"> . </w:t>
      </w:r>
      <w:r w:rsidRPr="00ED754F">
        <w:rPr>
          <w:lang w:val="en-CA"/>
        </w:rPr>
        <w:t>.</w:t>
      </w:r>
      <w:r>
        <w:rPr>
          <w:lang w:val="en-CA"/>
        </w:rPr>
        <w:t> </w:t>
      </w:r>
      <w:r w:rsidRPr="00ED754F">
        <w:rPr>
          <w:lang w:val="en-CA"/>
        </w:rPr>
        <w:t>. :</w:t>
      </w:r>
    </w:p>
    <w:p w:rsidR="00610C9B" w:rsidRPr="00ED754F" w:rsidRDefault="00610C9B" w:rsidP="005701A4">
      <w:pPr>
        <w:pStyle w:val="Citation-AltC"/>
        <w:widowControl w:val="0"/>
        <w:spacing w:after="240"/>
        <w:ind w:left="1440"/>
        <w:contextualSpacing w:val="0"/>
        <w:jc w:val="center"/>
        <w:rPr>
          <w:lang w:val="en-CA"/>
        </w:rPr>
      </w:pPr>
      <w:r w:rsidRPr="00ED754F">
        <w:rPr>
          <w:lang w:val="en-CA"/>
        </w:rPr>
        <w:t>. . .</w:t>
      </w:r>
    </w:p>
    <w:p w:rsidR="00610C9B" w:rsidRPr="00ED754F" w:rsidRDefault="00610C9B" w:rsidP="005701A4">
      <w:pPr>
        <w:pStyle w:val="Citation-AltC"/>
        <w:widowControl w:val="0"/>
        <w:spacing w:after="240"/>
        <w:ind w:left="1843" w:hanging="283"/>
        <w:contextualSpacing w:val="0"/>
        <w:rPr>
          <w:lang w:val="en-CA"/>
        </w:rPr>
      </w:pPr>
      <w:r w:rsidRPr="00ED754F">
        <w:rPr>
          <w:lang w:val="en-CA"/>
        </w:rPr>
        <w:t>3</w:t>
      </w:r>
      <w:r w:rsidRPr="00ED754F">
        <w:rPr>
          <w:vertAlign w:val="superscript"/>
          <w:lang w:val="en-CA"/>
        </w:rPr>
        <w:t>o</w:t>
      </w:r>
      <w:r w:rsidRPr="00ED754F">
        <w:rPr>
          <w:lang w:val="en-CA"/>
        </w:rPr>
        <w:tab/>
        <w:t>where an agreement to sell the IMMOVABLE is concluded during the term of this contract, whether through the BROKER or not; or</w:t>
      </w:r>
    </w:p>
    <w:p w:rsidR="00610C9B" w:rsidRPr="00ED754F" w:rsidRDefault="00610C9B" w:rsidP="005701A4">
      <w:pPr>
        <w:pStyle w:val="Citation-AltC"/>
        <w:widowControl w:val="0"/>
        <w:spacing w:after="240"/>
        <w:ind w:left="1843" w:hanging="288"/>
        <w:contextualSpacing w:val="0"/>
        <w:rPr>
          <w:lang w:val="en-CA"/>
        </w:rPr>
      </w:pPr>
      <w:r w:rsidRPr="00ED754F">
        <w:rPr>
          <w:lang w:val="en-CA"/>
        </w:rPr>
        <w:t>4</w:t>
      </w:r>
      <w:r w:rsidRPr="00ED754F">
        <w:rPr>
          <w:vertAlign w:val="superscript"/>
          <w:lang w:val="en-CA"/>
        </w:rPr>
        <w:t>o</w:t>
      </w:r>
      <w:r w:rsidRPr="00ED754F">
        <w:rPr>
          <w:lang w:val="en-CA"/>
        </w:rPr>
        <w:tab/>
        <w:t>where the SELLER voluntarily prevents the free performance of this contract.</w:t>
      </w:r>
    </w:p>
    <w:p w:rsidR="00610C9B" w:rsidRPr="00ED754F" w:rsidRDefault="00610C9B" w:rsidP="005701A4">
      <w:pPr>
        <w:pStyle w:val="Citation-AltC"/>
        <w:widowControl w:val="0"/>
        <w:ind w:left="1138" w:hanging="1138"/>
        <w:contextualSpacing w:val="0"/>
        <w:rPr>
          <w:lang w:val="en-CA"/>
        </w:rPr>
      </w:pPr>
      <w:r w:rsidRPr="00ED754F">
        <w:rPr>
          <w:lang w:val="en-CA"/>
        </w:rPr>
        <w:lastRenderedPageBreak/>
        <w:t>(A.R., vol. II, at p. 154)</w:t>
      </w:r>
    </w:p>
    <w:p w:rsidR="00610C9B" w:rsidRPr="00ED754F" w:rsidRDefault="00610C9B" w:rsidP="005701A4">
      <w:pPr>
        <w:pStyle w:val="ParaNoNdepar-AltN"/>
        <w:widowControl w:val="0"/>
        <w:rPr>
          <w:rFonts w:cs="Times New Roman"/>
          <w:lang w:val="en-CA"/>
        </w:rPr>
      </w:pPr>
      <w:r w:rsidRPr="00ED754F">
        <w:rPr>
          <w:rFonts w:cs="Times New Roman"/>
          <w:lang w:val="en-CA"/>
        </w:rPr>
        <w:t>On November 30, 2007, the respondent obtained Mr. Douek’s signature on a promise to purchase in the amount of</w:t>
      </w:r>
      <w:r>
        <w:rPr>
          <w:rFonts w:cs="Times New Roman"/>
          <w:lang w:val="en-CA"/>
        </w:rPr>
        <w:t xml:space="preserve"> </w:t>
      </w:r>
      <w:r w:rsidRPr="00ED754F">
        <w:rPr>
          <w:rFonts w:cs="Times New Roman"/>
          <w:lang w:val="en-CA"/>
        </w:rPr>
        <w:t>$3,260,000. The promise to purchase stipulated that the appellants would give Mr. Douek certain documents to enable him to do his due diligence, and that Mr. Douek would supply an environmental study as part of that process:</w:t>
      </w:r>
    </w:p>
    <w:p w:rsidR="00610C9B" w:rsidRPr="00ED754F" w:rsidRDefault="00610C9B" w:rsidP="005701A4">
      <w:pPr>
        <w:pStyle w:val="Citation-AltC"/>
        <w:widowControl w:val="0"/>
        <w:spacing w:after="240"/>
        <w:ind w:left="1200"/>
        <w:contextualSpacing w:val="0"/>
        <w:rPr>
          <w:lang w:val="en-CA"/>
        </w:rPr>
      </w:pPr>
      <w:r w:rsidRPr="00ED754F">
        <w:rPr>
          <w:lang w:val="en-CA"/>
        </w:rPr>
        <w:t>[</w:t>
      </w:r>
      <w:r w:rsidRPr="00ED754F">
        <w:rPr>
          <w:smallCaps/>
          <w:lang w:val="en-CA"/>
        </w:rPr>
        <w:t>translation</w:t>
      </w:r>
      <w:r w:rsidRPr="00ED754F">
        <w:rPr>
          <w:lang w:val="en-CA"/>
        </w:rPr>
        <w:t>]</w:t>
      </w:r>
    </w:p>
    <w:p w:rsidR="00610C9B" w:rsidRPr="00ED754F" w:rsidRDefault="00104987" w:rsidP="005701A4">
      <w:pPr>
        <w:pStyle w:val="Citation-AltC"/>
        <w:widowControl w:val="0"/>
        <w:tabs>
          <w:tab w:val="left" w:pos="1800"/>
        </w:tabs>
        <w:spacing w:after="240"/>
        <w:ind w:left="1800" w:hanging="630"/>
        <w:contextualSpacing w:val="0"/>
        <w:rPr>
          <w:b/>
          <w:lang w:val="en-CA"/>
        </w:rPr>
      </w:pPr>
      <w:r>
        <w:rPr>
          <w:b/>
          <w:lang w:val="en-CA"/>
        </w:rPr>
        <w:t>4.0</w:t>
      </w:r>
      <w:r>
        <w:rPr>
          <w:b/>
          <w:lang w:val="en-CA"/>
        </w:rPr>
        <w:tab/>
        <w:t>OBLIGATIONS-</w:t>
      </w:r>
      <w:r w:rsidR="00610C9B" w:rsidRPr="00ED754F">
        <w:rPr>
          <w:b/>
          <w:lang w:val="en-CA"/>
        </w:rPr>
        <w:t>DECLARATIONS AND OTHER CONDITIONS</w:t>
      </w:r>
    </w:p>
    <w:p w:rsidR="00610C9B" w:rsidRPr="00ED754F" w:rsidRDefault="00104987" w:rsidP="005701A4">
      <w:pPr>
        <w:pStyle w:val="Citation-AltC"/>
        <w:widowControl w:val="0"/>
        <w:spacing w:after="240"/>
        <w:ind w:left="2340" w:hanging="540"/>
        <w:contextualSpacing w:val="0"/>
        <w:rPr>
          <w:lang w:val="en-CA"/>
        </w:rPr>
      </w:pPr>
      <w:r>
        <w:rPr>
          <w:lang w:val="en-CA"/>
        </w:rPr>
        <w:t>4.1</w:t>
      </w:r>
      <w:r w:rsidR="00610C9B">
        <w:rPr>
          <w:lang w:val="en-CA"/>
        </w:rPr>
        <w:tab/>
      </w:r>
      <w:r w:rsidR="00610C9B" w:rsidRPr="00ED754F">
        <w:rPr>
          <w:lang w:val="en-CA"/>
        </w:rPr>
        <w:t xml:space="preserve">OWNERSHIP DOCUMENTS: </w:t>
      </w:r>
      <w:r w:rsidR="00610C9B" w:rsidRPr="00ED754F">
        <w:rPr>
          <w:u w:val="single"/>
          <w:lang w:val="en-CA"/>
        </w:rPr>
        <w:t>The SELLER shall provide</w:t>
      </w:r>
      <w:r w:rsidR="00610C9B" w:rsidRPr="00ED754F">
        <w:rPr>
          <w:lang w:val="en-CA"/>
        </w:rPr>
        <w:t>: (</w:t>
      </w:r>
      <w:r w:rsidR="00610C9B" w:rsidRPr="00104987">
        <w:rPr>
          <w:lang w:val="en-CA"/>
        </w:rPr>
        <w:t>a</w:t>
      </w:r>
      <w:r w:rsidR="00610C9B" w:rsidRPr="00ED754F">
        <w:rPr>
          <w:lang w:val="en-CA"/>
        </w:rPr>
        <w:t>) a valid title of ownership free of any charges and other real rights other than those declared herein and the usual servitudes of public utility; (</w:t>
      </w:r>
      <w:r w:rsidR="00610C9B" w:rsidRPr="00104987">
        <w:rPr>
          <w:lang w:val="en-CA"/>
        </w:rPr>
        <w:t>b</w:t>
      </w:r>
      <w:r w:rsidR="00610C9B" w:rsidRPr="00ED754F">
        <w:rPr>
          <w:lang w:val="en-CA"/>
        </w:rPr>
        <w:t>) any titles it may have in its possession; . . . and (</w:t>
      </w:r>
      <w:r w:rsidR="00610C9B" w:rsidRPr="00104987">
        <w:rPr>
          <w:lang w:val="en-CA"/>
        </w:rPr>
        <w:t>k</w:t>
      </w:r>
      <w:r w:rsidR="00610C9B" w:rsidRPr="00ED754F">
        <w:rPr>
          <w:lang w:val="en-CA"/>
        </w:rPr>
        <w:t>) </w:t>
      </w:r>
      <w:r w:rsidR="00610C9B" w:rsidRPr="00ED754F">
        <w:rPr>
          <w:u w:val="single"/>
          <w:lang w:val="en-CA"/>
        </w:rPr>
        <w:t>all other documents relevant to due diligence on the immovable</w:t>
      </w:r>
      <w:r w:rsidR="00610C9B" w:rsidRPr="00ED754F">
        <w:rPr>
          <w:lang w:val="en-CA"/>
        </w:rPr>
        <w:t>.</w:t>
      </w:r>
    </w:p>
    <w:p w:rsidR="00610C9B" w:rsidRPr="00ED754F" w:rsidRDefault="00610C9B" w:rsidP="005701A4">
      <w:pPr>
        <w:pStyle w:val="Citation-AltC"/>
        <w:widowControl w:val="0"/>
        <w:spacing w:after="240"/>
        <w:contextualSpacing w:val="0"/>
        <w:jc w:val="center"/>
        <w:rPr>
          <w:lang w:val="en-CA"/>
        </w:rPr>
      </w:pPr>
      <w:r w:rsidRPr="00ED754F">
        <w:rPr>
          <w:lang w:val="en-CA"/>
        </w:rPr>
        <w:t>. . .</w:t>
      </w:r>
    </w:p>
    <w:p w:rsidR="00610C9B" w:rsidRPr="00ED754F" w:rsidRDefault="00104987" w:rsidP="005701A4">
      <w:pPr>
        <w:pStyle w:val="Citation-AltC"/>
        <w:widowControl w:val="0"/>
        <w:spacing w:after="240"/>
        <w:ind w:left="2340" w:hanging="540"/>
        <w:contextualSpacing w:val="0"/>
        <w:rPr>
          <w:lang w:val="en-CA"/>
        </w:rPr>
      </w:pPr>
      <w:r>
        <w:rPr>
          <w:lang w:val="en-CA"/>
        </w:rPr>
        <w:t>4.14</w:t>
      </w:r>
      <w:r w:rsidR="00610C9B" w:rsidRPr="00ED754F">
        <w:rPr>
          <w:lang w:val="en-CA"/>
        </w:rPr>
        <w:tab/>
        <w:t xml:space="preserve">OTHER CONDITIONS: Following acceptance of this Promise to Purchase, the BUYER shall have fifteen (15) working days after receiving all the documents listed in article 4.1 of this Promise to Purchase (which the SELLER undertakes to supply to him within 48 hours after the Promise to Purchase is accepted) to inspect the immovable and verify the expenses and the current rents </w:t>
      </w:r>
      <w:r w:rsidR="00610C9B" w:rsidRPr="00ED754F">
        <w:rPr>
          <w:u w:val="single"/>
          <w:lang w:val="en-CA"/>
        </w:rPr>
        <w:t>to his complete satisfaction and at his sole discretion</w:t>
      </w:r>
      <w:r w:rsidR="00610C9B" w:rsidRPr="00ED754F">
        <w:rPr>
          <w:lang w:val="en-CA"/>
        </w:rPr>
        <w:t>. If the BUYER is not satisfied and written notice to this effect is sent by registered mail to the SELLER at the above</w:t>
      </w:r>
      <w:r w:rsidR="00610C9B" w:rsidRPr="00ED754F">
        <w:rPr>
          <w:lang w:val="en-CA"/>
        </w:rPr>
        <w:noBreakHyphen/>
        <w:t>mentioned address or to Services Immobiliers Diane Bisson inc., chartered real estate broker, before the expiration of that time, this Promise to Purchase shall be null and void and the deposit shall be returned immediately and in full to the BUYER. If no notice is given within that time, the BUYER shall be considered to be satisfied. . . .</w:t>
      </w:r>
    </w:p>
    <w:p w:rsidR="00610C9B" w:rsidRPr="00ED754F" w:rsidRDefault="00610C9B" w:rsidP="005701A4">
      <w:pPr>
        <w:pStyle w:val="Citation-AltC"/>
        <w:widowControl w:val="0"/>
        <w:ind w:left="3153" w:hanging="806"/>
        <w:contextualSpacing w:val="0"/>
        <w:rPr>
          <w:lang w:val="en-CA"/>
        </w:rPr>
      </w:pPr>
      <w:r w:rsidRPr="00ED754F">
        <w:rPr>
          <w:lang w:val="en-CA"/>
        </w:rPr>
        <w:t>4.14.1</w:t>
      </w:r>
      <w:r w:rsidRPr="00ED754F">
        <w:rPr>
          <w:lang w:val="en-CA"/>
        </w:rPr>
        <w:tab/>
        <w:t xml:space="preserve">ENVIRONMENTAL STUDIES: </w:t>
      </w:r>
      <w:r w:rsidR="004B592B">
        <w:rPr>
          <w:u w:val="single"/>
          <w:lang w:val="en-CA"/>
        </w:rPr>
        <w:t>The b</w:t>
      </w:r>
      <w:r w:rsidRPr="00ED754F">
        <w:rPr>
          <w:u w:val="single"/>
          <w:lang w:val="en-CA"/>
        </w:rPr>
        <w:t xml:space="preserve">uyer shall </w:t>
      </w:r>
      <w:r w:rsidRPr="00ED754F">
        <w:rPr>
          <w:u w:val="single"/>
          <w:lang w:val="en-CA"/>
        </w:rPr>
        <w:lastRenderedPageBreak/>
        <w:t>supply his environmental study</w:t>
      </w:r>
      <w:r w:rsidRPr="00104987">
        <w:rPr>
          <w:u w:val="single"/>
          <w:lang w:val="en-CA"/>
        </w:rPr>
        <w:t>.</w:t>
      </w:r>
      <w:r w:rsidRPr="00ED754F">
        <w:rPr>
          <w:lang w:val="en-CA"/>
        </w:rPr>
        <w:t xml:space="preserve"> [Emphasis added.]</w:t>
      </w:r>
    </w:p>
    <w:p w:rsidR="00610C9B" w:rsidRPr="00ED754F" w:rsidRDefault="00610C9B" w:rsidP="005701A4">
      <w:pPr>
        <w:pStyle w:val="Citation-AltC"/>
        <w:widowControl w:val="0"/>
        <w:ind w:left="1200" w:hanging="1200"/>
        <w:rPr>
          <w:lang w:val="en-CA"/>
        </w:rPr>
      </w:pPr>
      <w:r>
        <w:rPr>
          <w:lang w:val="en-CA"/>
        </w:rPr>
        <w:tab/>
      </w:r>
      <w:r w:rsidRPr="00ED754F">
        <w:rPr>
          <w:lang w:val="en-CA"/>
        </w:rPr>
        <w:t>(A.R., vol. II, at pp. 158 and 160)</w:t>
      </w:r>
    </w:p>
    <w:p w:rsidR="00610C9B" w:rsidRPr="00ED754F" w:rsidRDefault="00610C9B" w:rsidP="005701A4">
      <w:pPr>
        <w:pStyle w:val="ParaNoNdepar-AltN"/>
        <w:widowControl w:val="0"/>
        <w:rPr>
          <w:rFonts w:cs="Times New Roman"/>
          <w:lang w:val="en-CA"/>
        </w:rPr>
      </w:pPr>
      <w:r w:rsidRPr="00ED754F">
        <w:rPr>
          <w:rFonts w:cs="Times New Roman"/>
          <w:lang w:val="en-CA"/>
        </w:rPr>
        <w:t>The appellants accepted the promise to purchase on the same date. On January 11, 2008, Mr. Douek obtained a Phase I environmental site assessment report that identified potential environmental risks related to activities engaged in on the property in the past. After the potential contamination was discovered, Mr. Douek was granted an extension of the time he had been given to finalize his due diligence. The existence and extent of the contamination were confirmed in a Phase II report ordere</w:t>
      </w:r>
      <w:r w:rsidR="00104987">
        <w:rPr>
          <w:rFonts w:cs="Times New Roman"/>
          <w:lang w:val="en-CA"/>
        </w:rPr>
        <w:t>d by the appellants from Inspec-S</w:t>
      </w:r>
      <w:r w:rsidRPr="00ED754F">
        <w:rPr>
          <w:rFonts w:cs="Times New Roman"/>
          <w:lang w:val="en-CA"/>
        </w:rPr>
        <w:t>ol inc. and then in a second report ordered from Laforge Environnement inc. On July 14, 2008, the appellants received an estimate of over</w:t>
      </w:r>
      <w:r>
        <w:rPr>
          <w:rFonts w:cs="Times New Roman"/>
          <w:lang w:val="en-CA"/>
        </w:rPr>
        <w:t xml:space="preserve"> </w:t>
      </w:r>
      <w:r w:rsidRPr="00ED754F">
        <w:rPr>
          <w:rFonts w:cs="Times New Roman"/>
          <w:lang w:val="en-CA"/>
        </w:rPr>
        <w:t>$75,000 for decontamination of the soil.</w:t>
      </w:r>
    </w:p>
    <w:p w:rsidR="00610C9B" w:rsidRPr="00ED754F" w:rsidRDefault="00610C9B" w:rsidP="005701A4">
      <w:pPr>
        <w:pStyle w:val="ParaNoNdepar-AltN"/>
        <w:widowControl w:val="0"/>
        <w:rPr>
          <w:rFonts w:cs="Times New Roman"/>
          <w:lang w:val="en-CA"/>
        </w:rPr>
      </w:pPr>
      <w:r w:rsidRPr="00ED754F">
        <w:rPr>
          <w:rFonts w:cs="Times New Roman"/>
          <w:lang w:val="en-CA"/>
        </w:rPr>
        <w:t>On July 22, 2008, the appellants received a formal notice from Mr. Douek, who reiterated that he intended to buy the immovable, but on condition that the appellants decontaminate the soil at their own expense. Mr. Douek refused to assume any responsibility whatsoever for the cost of decontamination, which he knew from experience could exceed the estimate of</w:t>
      </w:r>
      <w:r>
        <w:rPr>
          <w:rFonts w:cs="Times New Roman"/>
          <w:lang w:val="en-CA"/>
        </w:rPr>
        <w:t xml:space="preserve"> </w:t>
      </w:r>
      <w:r w:rsidRPr="00ED754F">
        <w:rPr>
          <w:rFonts w:cs="Times New Roman"/>
          <w:lang w:val="en-CA"/>
        </w:rPr>
        <w:t>$75,314. The appellants refused and tried unsuccessfully to work out a compromise, but the sale of the immovable to Mr. Douek ultimately did not go through.</w:t>
      </w:r>
    </w:p>
    <w:p w:rsidR="00610C9B" w:rsidRPr="00ED754F" w:rsidRDefault="00610C9B" w:rsidP="005701A4">
      <w:pPr>
        <w:pStyle w:val="ParaNoNdepar-AltN"/>
        <w:widowControl w:val="0"/>
        <w:rPr>
          <w:rFonts w:cs="Times New Roman"/>
          <w:lang w:val="en-CA"/>
        </w:rPr>
      </w:pPr>
      <w:r w:rsidRPr="00ED754F">
        <w:rPr>
          <w:rFonts w:cs="Times New Roman"/>
          <w:lang w:val="en-CA"/>
        </w:rPr>
        <w:t>On August 5, 2008, the respondent brought its action, claiming</w:t>
      </w:r>
      <w:r>
        <w:rPr>
          <w:rFonts w:cs="Times New Roman"/>
          <w:lang w:val="en-CA"/>
        </w:rPr>
        <w:t xml:space="preserve"> </w:t>
      </w:r>
      <w:r w:rsidRPr="00ED754F">
        <w:rPr>
          <w:rFonts w:cs="Times New Roman"/>
          <w:lang w:val="en-CA"/>
        </w:rPr>
        <w:t xml:space="preserve">$183,986.25 from the appellants. This amount represented the commission of </w:t>
      </w:r>
      <w:r w:rsidRPr="00ED754F">
        <w:rPr>
          <w:rFonts w:cs="Times New Roman"/>
          <w:lang w:val="en-CA"/>
        </w:rPr>
        <w:lastRenderedPageBreak/>
        <w:t>5 percent of the accepted sale price and taxes, plus interest and the additional indemnity. The Superior Court dismissed the action, but the Court of Appeal set aside that judgment in a split decision and allowed the appeal.</w:t>
      </w:r>
    </w:p>
    <w:p w:rsidR="00610C9B" w:rsidRPr="00ED754F" w:rsidRDefault="00610C9B" w:rsidP="005701A4">
      <w:pPr>
        <w:pStyle w:val="Title1LevelTitre1Niveau-AltL"/>
        <w:widowControl w:val="0"/>
        <w:numPr>
          <w:ilvl w:val="0"/>
          <w:numId w:val="8"/>
        </w:numPr>
        <w:spacing w:before="0"/>
        <w:rPr>
          <w:rFonts w:cs="Times New Roman"/>
        </w:rPr>
      </w:pPr>
      <w:r w:rsidRPr="00ED754F">
        <w:rPr>
          <w:rFonts w:cs="Times New Roman"/>
        </w:rPr>
        <w:t>Analysis</w:t>
      </w:r>
    </w:p>
    <w:p w:rsidR="00610C9B" w:rsidRPr="00ED754F" w:rsidRDefault="00610C9B" w:rsidP="005701A4">
      <w:pPr>
        <w:pStyle w:val="Title2LevelTitre2Niveau"/>
        <w:widowControl w:val="0"/>
        <w:numPr>
          <w:ilvl w:val="1"/>
          <w:numId w:val="8"/>
        </w:numPr>
        <w:rPr>
          <w:rFonts w:cs="Times New Roman"/>
        </w:rPr>
      </w:pPr>
      <w:r w:rsidRPr="00ED754F">
        <w:rPr>
          <w:rFonts w:cs="Times New Roman"/>
        </w:rPr>
        <w:t xml:space="preserve">Was an “agreement to sell the </w:t>
      </w:r>
      <w:r w:rsidR="000D1BD4" w:rsidRPr="00ED754F">
        <w:rPr>
          <w:rFonts w:cs="Times New Roman"/>
        </w:rPr>
        <w:t>immovable</w:t>
      </w:r>
      <w:r w:rsidRPr="00ED754F">
        <w:rPr>
          <w:rFonts w:cs="Times New Roman"/>
        </w:rPr>
        <w:t xml:space="preserve">” </w:t>
      </w:r>
      <w:r w:rsidR="000D1BD4">
        <w:rPr>
          <w:rFonts w:cs="Times New Roman"/>
        </w:rPr>
        <w:t>Within the M</w:t>
      </w:r>
      <w:r w:rsidRPr="00ED754F">
        <w:rPr>
          <w:rFonts w:cs="Times New Roman"/>
        </w:rPr>
        <w:t xml:space="preserve">eaning of </w:t>
      </w:r>
      <w:r w:rsidR="00C6060B">
        <w:rPr>
          <w:rFonts w:cs="Times New Roman"/>
        </w:rPr>
        <w:t>C</w:t>
      </w:r>
      <w:r w:rsidRPr="00ED754F">
        <w:rPr>
          <w:rFonts w:cs="Times New Roman"/>
        </w:rPr>
        <w:t>lause 6.1(3</w:t>
      </w:r>
      <w:r w:rsidRPr="00ED754F">
        <w:rPr>
          <w:rFonts w:cs="Times New Roman"/>
          <w:vertAlign w:val="superscript"/>
        </w:rPr>
        <w:t>o</w:t>
      </w:r>
      <w:r w:rsidR="000D1BD4">
        <w:rPr>
          <w:rFonts w:cs="Times New Roman"/>
        </w:rPr>
        <w:t>) of the Brokerage Agreement Validly C</w:t>
      </w:r>
      <w:r w:rsidRPr="00ED754F">
        <w:rPr>
          <w:rFonts w:cs="Times New Roman"/>
        </w:rPr>
        <w:t>oncluded?</w:t>
      </w:r>
    </w:p>
    <w:p w:rsidR="00610C9B" w:rsidRPr="00ED754F" w:rsidRDefault="00610C9B" w:rsidP="005701A4">
      <w:pPr>
        <w:pStyle w:val="ParaNoNdepar-AltN"/>
        <w:widowControl w:val="0"/>
        <w:rPr>
          <w:rFonts w:cs="Times New Roman"/>
          <w:lang w:val="en-CA"/>
        </w:rPr>
      </w:pPr>
      <w:r w:rsidRPr="00ED754F">
        <w:rPr>
          <w:rFonts w:cs="Times New Roman"/>
          <w:lang w:val="en-CA"/>
        </w:rPr>
        <w:t>Although, as the Court of Appeal rightly noted, the Superior Court was wrong to base its analysis on clause 6.1(1</w:t>
      </w:r>
      <w:r w:rsidRPr="00ED754F">
        <w:rPr>
          <w:rFonts w:cs="Times New Roman"/>
          <w:vertAlign w:val="superscript"/>
          <w:lang w:val="en-CA"/>
        </w:rPr>
        <w:t>o</w:t>
      </w:r>
      <w:r w:rsidRPr="00ED754F">
        <w:rPr>
          <w:rFonts w:cs="Times New Roman"/>
          <w:lang w:val="en-CA"/>
        </w:rPr>
        <w:t>), I am of the opinion that the same reasoning applies and the result is the same if the issue is considered in the context of clause 6.1(3</w:t>
      </w:r>
      <w:r w:rsidRPr="00ED754F">
        <w:rPr>
          <w:rFonts w:cs="Times New Roman"/>
          <w:vertAlign w:val="superscript"/>
          <w:lang w:val="en-CA"/>
        </w:rPr>
        <w:t>o</w:t>
      </w:r>
      <w:r w:rsidRPr="00ED754F">
        <w:rPr>
          <w:rFonts w:cs="Times New Roman"/>
          <w:lang w:val="en-CA"/>
        </w:rPr>
        <w:t>).</w:t>
      </w:r>
    </w:p>
    <w:p w:rsidR="00610C9B" w:rsidRPr="00ED754F" w:rsidRDefault="00610C9B" w:rsidP="005701A4">
      <w:pPr>
        <w:pStyle w:val="ParaNoNdepar-AltN"/>
        <w:widowControl w:val="0"/>
        <w:rPr>
          <w:rFonts w:cs="Times New Roman"/>
          <w:lang w:val="en-CA"/>
        </w:rPr>
      </w:pPr>
      <w:r w:rsidRPr="00ED754F">
        <w:rPr>
          <w:rFonts w:cs="Times New Roman"/>
          <w:lang w:val="en-CA"/>
        </w:rPr>
        <w:t>Clause 6.1(3</w:t>
      </w:r>
      <w:r w:rsidRPr="00ED754F">
        <w:rPr>
          <w:rFonts w:cs="Times New Roman"/>
          <w:vertAlign w:val="superscript"/>
          <w:lang w:val="en-CA"/>
        </w:rPr>
        <w:t>o</w:t>
      </w:r>
      <w:r w:rsidRPr="00ED754F">
        <w:rPr>
          <w:rFonts w:cs="Times New Roman"/>
          <w:lang w:val="en-CA"/>
        </w:rPr>
        <w:t>), provides that the broker is entitled to the commission once an [</w:t>
      </w:r>
      <w:r w:rsidRPr="00ED754F">
        <w:rPr>
          <w:rFonts w:cs="Times New Roman"/>
          <w:smallCaps/>
          <w:lang w:val="en-CA"/>
        </w:rPr>
        <w:t>translation</w:t>
      </w:r>
      <w:r w:rsidRPr="00ED754F">
        <w:rPr>
          <w:rFonts w:cs="Times New Roman"/>
          <w:lang w:val="en-CA"/>
        </w:rPr>
        <w:t xml:space="preserve">] “agreement </w:t>
      </w:r>
      <w:r w:rsidRPr="00ED754F">
        <w:rPr>
          <w:rFonts w:cs="Times New Roman"/>
          <w:u w:val="single"/>
          <w:lang w:val="en-CA"/>
        </w:rPr>
        <w:t>to sell</w:t>
      </w:r>
      <w:r w:rsidRPr="00ED754F">
        <w:rPr>
          <w:rFonts w:cs="Times New Roman"/>
          <w:lang w:val="en-CA"/>
        </w:rPr>
        <w:t xml:space="preserve"> the </w:t>
      </w:r>
      <w:r w:rsidR="00794C6E" w:rsidRPr="00ED754F">
        <w:rPr>
          <w:rFonts w:cs="Times New Roman"/>
          <w:lang w:val="en-CA"/>
        </w:rPr>
        <w:t>IMMOVABLE</w:t>
      </w:r>
      <w:r w:rsidRPr="00ED754F">
        <w:rPr>
          <w:rFonts w:cs="Times New Roman"/>
          <w:lang w:val="en-CA"/>
        </w:rPr>
        <w:t>” is concluded</w:t>
      </w:r>
      <w:r w:rsidR="000D1BD4">
        <w:rPr>
          <w:rFonts w:cs="Times New Roman"/>
          <w:lang w:val="en-CA"/>
        </w:rPr>
        <w:t xml:space="preserve"> (emphasis added)</w:t>
      </w:r>
      <w:r w:rsidRPr="00ED754F">
        <w:rPr>
          <w:rFonts w:cs="Times New Roman"/>
          <w:lang w:val="en-CA"/>
        </w:rPr>
        <w:t>. A sale is therefore not necessary. The wording of the clause is broad enough to encompass a promise to pu</w:t>
      </w:r>
      <w:r w:rsidR="009832D2">
        <w:rPr>
          <w:rFonts w:cs="Times New Roman"/>
          <w:lang w:val="en-CA"/>
        </w:rPr>
        <w:t>rchase accepted by the promisor-</w:t>
      </w:r>
      <w:r w:rsidRPr="00ED754F">
        <w:rPr>
          <w:rFonts w:cs="Times New Roman"/>
          <w:lang w:val="en-CA"/>
        </w:rPr>
        <w:t>seller, but in my opinion, the obligations that flow from such a promise must also become certain, that is, unconditional.</w:t>
      </w:r>
    </w:p>
    <w:p w:rsidR="00610C9B" w:rsidRPr="00ED754F" w:rsidRDefault="00610C9B" w:rsidP="005701A4">
      <w:pPr>
        <w:pStyle w:val="ParaNoNdepar-AltN"/>
        <w:widowControl w:val="0"/>
        <w:numPr>
          <w:ilvl w:val="0"/>
          <w:numId w:val="10"/>
        </w:numPr>
        <w:rPr>
          <w:rFonts w:cs="Times New Roman"/>
          <w:lang w:val="en-CA"/>
        </w:rPr>
      </w:pPr>
      <w:r w:rsidRPr="00ED754F">
        <w:rPr>
          <w:rFonts w:cs="Times New Roman"/>
          <w:lang w:val="en-CA"/>
        </w:rPr>
        <w:t>In this case, clause 4.14 of the promise to purchase gave Mr. Douek a right to withdraw the promise if he was not completely satisfied with the results of his due diligence. To withdraw the promise if he was dissatisfied with those results, Mr. Douek had to give written notice to that effect to the promisor</w:t>
      </w:r>
      <w:r w:rsidRPr="00ED754F">
        <w:rPr>
          <w:rFonts w:cs="Times New Roman"/>
          <w:lang w:val="en-CA"/>
        </w:rPr>
        <w:noBreakHyphen/>
        <w:t xml:space="preserve">seller within the </w:t>
      </w:r>
      <w:r w:rsidRPr="00ED754F">
        <w:rPr>
          <w:rFonts w:cs="Times New Roman"/>
          <w:lang w:val="en-CA"/>
        </w:rPr>
        <w:lastRenderedPageBreak/>
        <w:t xml:space="preserve">specified time. The promise to purchase therefore remained conditional until it was withdrawn or until the expiration of the time in question. </w:t>
      </w:r>
    </w:p>
    <w:p w:rsidR="00610C9B" w:rsidRPr="00ED754F" w:rsidRDefault="00610C9B" w:rsidP="005701A4">
      <w:pPr>
        <w:pStyle w:val="ParaNoNdepar-AltN"/>
        <w:widowControl w:val="0"/>
        <w:rPr>
          <w:rFonts w:cs="Times New Roman"/>
          <w:lang w:val="en-CA"/>
        </w:rPr>
      </w:pPr>
      <w:r w:rsidRPr="00ED754F">
        <w:rPr>
          <w:rFonts w:cs="Times New Roman"/>
          <w:lang w:val="en-CA"/>
        </w:rPr>
        <w:t xml:space="preserve">In principle, where a contract contains a resolutory condition, the obligations for which the contract provides nevertheless arise and are exigible, as if they were pure and simple, as soon as it is signed (D. Lluelles and B. Moore, </w:t>
      </w:r>
      <w:r w:rsidRPr="00ED754F">
        <w:rPr>
          <w:rFonts w:cs="Times New Roman"/>
          <w:i/>
          <w:lang w:val="en-CA"/>
        </w:rPr>
        <w:t>Droit des obligations</w:t>
      </w:r>
      <w:r w:rsidRPr="00ED754F">
        <w:rPr>
          <w:rFonts w:cs="Times New Roman"/>
          <w:lang w:val="en-CA"/>
        </w:rPr>
        <w:t xml:space="preserve"> (2nd ed. 2012), at No. 2498). Thus, even though the promise to purchase could be resolved, it was binding on the parties as soon as it was concluded. Although this may at first glance seem sufficient for the purposes of clause 6.1(3</w:t>
      </w:r>
      <w:r w:rsidRPr="00ED754F">
        <w:rPr>
          <w:rFonts w:cs="Times New Roman"/>
          <w:vertAlign w:val="superscript"/>
          <w:lang w:val="en-CA"/>
        </w:rPr>
        <w:t>o</w:t>
      </w:r>
      <w:r w:rsidRPr="00ED754F">
        <w:rPr>
          <w:rFonts w:cs="Times New Roman"/>
          <w:lang w:val="en-CA"/>
        </w:rPr>
        <w:t>), I am of the opinion that so long as a promise to purchase is not unconditionally binding on the promisor</w:t>
      </w:r>
      <w:r w:rsidRPr="00ED754F">
        <w:rPr>
          <w:rFonts w:cs="Times New Roman"/>
          <w:lang w:val="en-CA"/>
        </w:rPr>
        <w:noBreakHyphen/>
        <w:t>buyer and the promisor</w:t>
      </w:r>
      <w:r w:rsidRPr="00ED754F">
        <w:rPr>
          <w:rFonts w:cs="Times New Roman"/>
          <w:lang w:val="en-CA"/>
        </w:rPr>
        <w:noBreakHyphen/>
        <w:t>seller and it is not yet possible for one of them to bring an action to compel transfer of title, there is no “agreement to sell the IMMOVABLE” within the meaning of clause 6.1(3</w:t>
      </w:r>
      <w:r w:rsidRPr="00ED754F">
        <w:rPr>
          <w:rFonts w:cs="Times New Roman"/>
          <w:vertAlign w:val="superscript"/>
          <w:lang w:val="en-CA"/>
        </w:rPr>
        <w:t>o</w:t>
      </w:r>
      <w:r w:rsidRPr="00ED754F">
        <w:rPr>
          <w:rFonts w:cs="Times New Roman"/>
          <w:lang w:val="en-CA"/>
        </w:rPr>
        <w:t>): see reasons of Paquette</w:t>
      </w:r>
      <w:r>
        <w:rPr>
          <w:rFonts w:cs="Times New Roman"/>
          <w:lang w:val="en-CA"/>
        </w:rPr>
        <w:t> </w:t>
      </w:r>
      <w:r w:rsidRPr="00ED754F">
        <w:rPr>
          <w:rFonts w:cs="Times New Roman"/>
          <w:lang w:val="en-CA"/>
        </w:rPr>
        <w:t>J., at para. 23, and Court of Appeal’s reasons, at para. 32. A different interpretation of this clause would result in the broker being entitled to be paid its commission as soon as the promise is accepted despite the condition. However, that payment would then be susceptible to the effects of the occurrence of the event to which the resolutory condition in the promise to purchase applies. It seems to me that a conclusion that there is a right to be paid the commission that is immediate but at risk would be inconsistent with the intention of the parties to such a contract. Since clause 6.1(3</w:t>
      </w:r>
      <w:r w:rsidRPr="00ED754F">
        <w:rPr>
          <w:rFonts w:cs="Times New Roman"/>
          <w:vertAlign w:val="superscript"/>
          <w:lang w:val="en-CA"/>
        </w:rPr>
        <w:t>o</w:t>
      </w:r>
      <w:r w:rsidRPr="00ED754F">
        <w:rPr>
          <w:rFonts w:cs="Times New Roman"/>
          <w:lang w:val="en-CA"/>
        </w:rPr>
        <w:t>) provides for the payment of compensation when an “agreement to sell the IMMOVABLE is concluded”, the agreement to which it refers is logically an unconditional agreement, one that is subject to no conditions — whether suspensive or resolutory — whatsoever.</w:t>
      </w:r>
    </w:p>
    <w:p w:rsidR="00610C9B" w:rsidRPr="00ED754F" w:rsidRDefault="00610C9B" w:rsidP="005701A4">
      <w:pPr>
        <w:pStyle w:val="ParaNoNdepar-AltN"/>
        <w:widowControl w:val="0"/>
        <w:rPr>
          <w:rFonts w:cs="Times New Roman"/>
          <w:lang w:val="en-CA"/>
        </w:rPr>
      </w:pPr>
      <w:r w:rsidRPr="00ED754F">
        <w:rPr>
          <w:rFonts w:cs="Times New Roman"/>
          <w:lang w:val="en-CA"/>
        </w:rPr>
        <w:lastRenderedPageBreak/>
        <w:t>In the instant case, because the environmental assessment showed that the soil was contaminated with hydrocarbons, there is no doubt that it was open to Mr. Douek to avail himself of the resolutory condition that had been stipulated in his favour. But what did he actually do? Although the formal notice sent to the appellants on July 22 reiterated that Mr. Douek intended to buy the property, it added two conditions to the initial promise to purchase. First, the appellants had to decontaminate the site at their own expense and, second, they had to provide Mr. Douek with a certificate of environmental conformit</w:t>
      </w:r>
      <w:r w:rsidR="005C3C90">
        <w:rPr>
          <w:rFonts w:cs="Times New Roman"/>
          <w:lang w:val="en-CA"/>
        </w:rPr>
        <w:t>y issued by the Ministère de l’E</w:t>
      </w:r>
      <w:r w:rsidRPr="00ED754F">
        <w:rPr>
          <w:rFonts w:cs="Times New Roman"/>
          <w:lang w:val="en-CA"/>
        </w:rPr>
        <w:t>nvironnement:</w:t>
      </w:r>
    </w:p>
    <w:p w:rsidR="00610C9B" w:rsidRPr="00ED754F" w:rsidRDefault="00610C9B" w:rsidP="005701A4">
      <w:pPr>
        <w:pStyle w:val="Citation-AltC"/>
        <w:widowControl w:val="0"/>
        <w:spacing w:after="240"/>
        <w:ind w:hanging="1166"/>
        <w:contextualSpacing w:val="0"/>
        <w:rPr>
          <w:lang w:val="en-CA"/>
        </w:rPr>
      </w:pPr>
      <w:r w:rsidRPr="00ED754F">
        <w:rPr>
          <w:lang w:val="en-CA"/>
        </w:rPr>
        <w:tab/>
        <w:t>[</w:t>
      </w:r>
      <w:r w:rsidRPr="00ED754F">
        <w:rPr>
          <w:smallCaps/>
          <w:lang w:val="en-CA"/>
        </w:rPr>
        <w:t>translation</w:t>
      </w:r>
      <w:r w:rsidRPr="00ED754F">
        <w:rPr>
          <w:lang w:val="en-CA"/>
        </w:rPr>
        <w:t xml:space="preserve">]  The seller is therefore bound by the said accepted promise to purchase between the parties </w:t>
      </w:r>
      <w:r w:rsidRPr="00ED754F">
        <w:rPr>
          <w:u w:val="single"/>
          <w:lang w:val="en-CA"/>
        </w:rPr>
        <w:t>until such time</w:t>
      </w:r>
      <w:r w:rsidRPr="00ED754F">
        <w:rPr>
          <w:lang w:val="en-CA"/>
        </w:rPr>
        <w:t xml:space="preserve"> as it provides the buyer with properties that are conforming, that is, decontaminated, together with a supporting report, thereby enabling the buyer to complete his due diligence. [Emphasis added.]</w:t>
      </w:r>
    </w:p>
    <w:p w:rsidR="00610C9B" w:rsidRPr="00ED754F" w:rsidRDefault="00610C9B" w:rsidP="005701A4">
      <w:pPr>
        <w:pStyle w:val="Citation-AltC"/>
        <w:widowControl w:val="0"/>
        <w:ind w:hanging="1166"/>
        <w:contextualSpacing w:val="0"/>
        <w:rPr>
          <w:lang w:val="en-CA"/>
        </w:rPr>
      </w:pPr>
      <w:r w:rsidRPr="00ED754F">
        <w:rPr>
          <w:lang w:val="en-CA"/>
        </w:rPr>
        <w:t>(A.R., vol. II, at p. 175)</w:t>
      </w:r>
    </w:p>
    <w:p w:rsidR="00610C9B" w:rsidRPr="00ED754F" w:rsidRDefault="00610C9B" w:rsidP="005701A4">
      <w:pPr>
        <w:pStyle w:val="ParaNoNdepar-AltN"/>
        <w:widowControl w:val="0"/>
        <w:rPr>
          <w:rFonts w:cs="Times New Roman"/>
          <w:lang w:val="en-CA"/>
        </w:rPr>
      </w:pPr>
      <w:r w:rsidRPr="00ED754F">
        <w:rPr>
          <w:rFonts w:cs="Times New Roman"/>
          <w:lang w:val="en-CA"/>
        </w:rPr>
        <w:t>Thus, Mr. Douek very clearly expressed his intention not to conclude a sale “until such time” as the property was decontaminated. This was also clear from Mr. Douek’s testimony at trial. He therefore unilaterally added two preconditions to the promise to purchase.</w:t>
      </w:r>
    </w:p>
    <w:p w:rsidR="00610C9B" w:rsidRPr="00ED754F" w:rsidRDefault="00610C9B" w:rsidP="005701A4">
      <w:pPr>
        <w:pStyle w:val="ParaNoNdepar-AltN"/>
        <w:widowControl w:val="0"/>
        <w:rPr>
          <w:rFonts w:cs="Times New Roman"/>
          <w:lang w:val="en-CA"/>
        </w:rPr>
      </w:pPr>
      <w:r w:rsidRPr="00ED754F">
        <w:rPr>
          <w:rFonts w:cs="Times New Roman"/>
          <w:lang w:val="en-CA"/>
        </w:rPr>
        <w:t xml:space="preserve">By sending that letter, Mr. Douek gave notice to the appellants that he was dissatisfied with the condition of the immovable as revealed by his due diligence. The conclusion of the majority of the Court of Appeal that Mr. Douek had expressly waived the exercise of his right of withdrawal is inconsistent with this observation </w:t>
      </w:r>
      <w:r w:rsidRPr="00ED754F">
        <w:rPr>
          <w:rFonts w:cs="Times New Roman"/>
          <w:lang w:val="en-CA"/>
        </w:rPr>
        <w:lastRenderedPageBreak/>
        <w:t>(paras. 47 and 50). There is no doubt that Mr. Douek still wanted to buy the immovable, but that is not the question. As the formal notice shows, there was no way he was going to buy the immovable in the condition it was in and at the price set in the promise</w:t>
      </w:r>
      <w:r>
        <w:rPr>
          <w:rFonts w:cs="Times New Roman"/>
          <w:lang w:val="en-CA"/>
        </w:rPr>
        <w:t xml:space="preserve"> to purchase. </w:t>
      </w:r>
      <w:r w:rsidRPr="00ED754F">
        <w:rPr>
          <w:rFonts w:cs="Times New Roman"/>
          <w:lang w:val="en-CA"/>
        </w:rPr>
        <w:t>He expressed his dissatisfaction unequivocally, and the resolutory condition was triggered when he communicated that dissatisfaction in writing. Through the notice, Mr. Douek repudiated the promise and submitted a new offer to purchase. The initial promise to purchase never became unconditional and Mr. Douek’s new offer was never accepted. This means that no agreement to sell the immovable was concluded within the meaning of clause 6.1(3</w:t>
      </w:r>
      <w:r w:rsidRPr="00ED754F">
        <w:rPr>
          <w:rFonts w:cs="Times New Roman"/>
          <w:vertAlign w:val="superscript"/>
          <w:lang w:val="en-CA"/>
        </w:rPr>
        <w:t>o</w:t>
      </w:r>
      <w:r w:rsidRPr="00ED754F">
        <w:rPr>
          <w:rFonts w:cs="Times New Roman"/>
          <w:lang w:val="en-CA"/>
        </w:rPr>
        <w:t xml:space="preserve">) of the brokerage contract. </w:t>
      </w:r>
    </w:p>
    <w:p w:rsidR="00610C9B" w:rsidRPr="00ED754F" w:rsidRDefault="000D1BD4" w:rsidP="005701A4">
      <w:pPr>
        <w:pStyle w:val="Title2LevelTitre2Niveau"/>
        <w:widowControl w:val="0"/>
        <w:numPr>
          <w:ilvl w:val="1"/>
          <w:numId w:val="8"/>
        </w:numPr>
        <w:rPr>
          <w:rFonts w:cs="Times New Roman"/>
        </w:rPr>
      </w:pPr>
      <w:r>
        <w:rPr>
          <w:rFonts w:cs="Times New Roman"/>
        </w:rPr>
        <w:t>Did the A</w:t>
      </w:r>
      <w:r w:rsidR="00610C9B" w:rsidRPr="00ED754F">
        <w:rPr>
          <w:rFonts w:cs="Times New Roman"/>
        </w:rPr>
        <w:t xml:space="preserve">ppellants </w:t>
      </w:r>
      <w:r>
        <w:rPr>
          <w:rFonts w:cs="Times New Roman"/>
        </w:rPr>
        <w:t>V</w:t>
      </w:r>
      <w:r w:rsidR="00610C9B" w:rsidRPr="00ED754F">
        <w:rPr>
          <w:rFonts w:cs="Times New Roman"/>
        </w:rPr>
        <w:t>oluntar</w:t>
      </w:r>
      <w:r>
        <w:rPr>
          <w:rFonts w:cs="Times New Roman"/>
        </w:rPr>
        <w:t>ily Prevent the Free Performance of the Brokerage Contract W</w:t>
      </w:r>
      <w:r w:rsidR="00610C9B" w:rsidRPr="00ED754F">
        <w:rPr>
          <w:rFonts w:cs="Times New Roman"/>
        </w:rPr>
        <w:t xml:space="preserve">ithin the </w:t>
      </w:r>
      <w:r>
        <w:rPr>
          <w:rFonts w:cs="Times New Roman"/>
        </w:rPr>
        <w:t>Meaning of C</w:t>
      </w:r>
      <w:r w:rsidR="00610C9B" w:rsidRPr="00ED754F">
        <w:rPr>
          <w:rFonts w:cs="Times New Roman"/>
        </w:rPr>
        <w:t>lause 6.1(4</w:t>
      </w:r>
      <w:r w:rsidR="00610C9B" w:rsidRPr="00ED754F">
        <w:rPr>
          <w:rFonts w:cs="Times New Roman"/>
          <w:vertAlign w:val="superscript"/>
        </w:rPr>
        <w:t>o</w:t>
      </w:r>
      <w:r w:rsidR="00610C9B" w:rsidRPr="00ED754F">
        <w:rPr>
          <w:rFonts w:cs="Times New Roman"/>
        </w:rPr>
        <w:t>)?</w:t>
      </w:r>
    </w:p>
    <w:p w:rsidR="00610C9B" w:rsidRPr="00ED754F" w:rsidRDefault="00610C9B" w:rsidP="005701A4">
      <w:pPr>
        <w:pStyle w:val="ParaNoNdepar-AltN"/>
        <w:widowControl w:val="0"/>
        <w:rPr>
          <w:rFonts w:cs="Times New Roman"/>
          <w:lang w:val="en-CA"/>
        </w:rPr>
      </w:pPr>
      <w:r w:rsidRPr="00ED754F">
        <w:rPr>
          <w:rFonts w:cs="Times New Roman"/>
          <w:lang w:val="en-CA"/>
        </w:rPr>
        <w:t xml:space="preserve">The respondent’s main argument in this Court is that the appellants could not refuse to decontaminate the immovable without violating art. 1503 of the </w:t>
      </w:r>
      <w:r w:rsidRPr="00ED754F">
        <w:rPr>
          <w:rFonts w:cs="Times New Roman"/>
          <w:i/>
          <w:lang w:val="en-CA"/>
        </w:rPr>
        <w:t>Civil Code of Québec</w:t>
      </w:r>
      <w:r w:rsidRPr="00ED754F">
        <w:rPr>
          <w:rFonts w:cs="Times New Roman"/>
          <w:lang w:val="en-CA"/>
        </w:rPr>
        <w:t xml:space="preserve"> (“</w:t>
      </w:r>
      <w:r w:rsidRPr="00ED754F">
        <w:rPr>
          <w:rFonts w:cs="Times New Roman"/>
          <w:i/>
          <w:lang w:val="en-CA"/>
        </w:rPr>
        <w:t>C.C.Q.</w:t>
      </w:r>
      <w:r w:rsidRPr="00ED754F">
        <w:rPr>
          <w:rFonts w:cs="Times New Roman"/>
          <w:lang w:val="en-CA"/>
        </w:rPr>
        <w:t>”), and that because they did in fact refuse to do so, they are liable to pay the commission under clause 6.1(4</w:t>
      </w:r>
      <w:r w:rsidRPr="00ED754F">
        <w:rPr>
          <w:rFonts w:cs="Times New Roman"/>
          <w:vertAlign w:val="superscript"/>
          <w:lang w:val="en-CA"/>
        </w:rPr>
        <w:t>o</w:t>
      </w:r>
      <w:r w:rsidRPr="00ED754F">
        <w:rPr>
          <w:rFonts w:cs="Times New Roman"/>
          <w:lang w:val="en-CA"/>
        </w:rPr>
        <w:t>) of the brokerage agreement.</w:t>
      </w:r>
    </w:p>
    <w:p w:rsidR="00610C9B" w:rsidRPr="00ED754F" w:rsidRDefault="00610C9B" w:rsidP="005701A4">
      <w:pPr>
        <w:pStyle w:val="ParaNoNdepar-AltN"/>
        <w:widowControl w:val="0"/>
        <w:rPr>
          <w:rFonts w:cs="Times New Roman"/>
          <w:lang w:val="en-CA"/>
        </w:rPr>
      </w:pPr>
      <w:r w:rsidRPr="00ED754F">
        <w:rPr>
          <w:rFonts w:cs="Times New Roman"/>
          <w:lang w:val="en-CA"/>
        </w:rPr>
        <w:t xml:space="preserve">Article 1503 </w:t>
      </w:r>
      <w:r w:rsidRPr="00ED754F">
        <w:rPr>
          <w:rFonts w:cs="Times New Roman"/>
          <w:i/>
          <w:lang w:val="en-CA"/>
        </w:rPr>
        <w:t>C.C.Q.</w:t>
      </w:r>
      <w:r w:rsidRPr="00ED754F">
        <w:rPr>
          <w:rFonts w:cs="Times New Roman"/>
          <w:lang w:val="en-CA"/>
        </w:rPr>
        <w:t xml:space="preserve"> provides that “[a] conditional obligation becomes absolute when the debtor whose obligation is subject to the condition prevents it from being fulfilled.” The effect of clause 6.1(4</w:t>
      </w:r>
      <w:r w:rsidRPr="00ED754F">
        <w:rPr>
          <w:rFonts w:cs="Times New Roman"/>
          <w:vertAlign w:val="superscript"/>
          <w:lang w:val="en-CA"/>
        </w:rPr>
        <w:t>o</w:t>
      </w:r>
      <w:r w:rsidRPr="00ED754F">
        <w:rPr>
          <w:rFonts w:cs="Times New Roman"/>
          <w:lang w:val="en-CA"/>
        </w:rPr>
        <w:t xml:space="preserve">) is that the seller has an obligation to pay the commission if he or she </w:t>
      </w:r>
      <w:r w:rsidRPr="00ED754F">
        <w:rPr>
          <w:rFonts w:cs="Times New Roman"/>
          <w:i/>
          <w:lang w:val="en-CA"/>
        </w:rPr>
        <w:t>voluntarily</w:t>
      </w:r>
      <w:r w:rsidRPr="00ED754F">
        <w:rPr>
          <w:rFonts w:cs="Times New Roman"/>
          <w:lang w:val="en-CA"/>
        </w:rPr>
        <w:t xml:space="preserve"> prevents the free performance of the brokerage contract. That clause mirrors art. 1503 </w:t>
      </w:r>
      <w:r w:rsidRPr="00ED754F">
        <w:rPr>
          <w:rFonts w:cs="Times New Roman"/>
          <w:i/>
          <w:lang w:val="en-CA"/>
        </w:rPr>
        <w:t>C.C.Q.</w:t>
      </w:r>
      <w:r w:rsidRPr="00ED754F">
        <w:rPr>
          <w:rFonts w:cs="Times New Roman"/>
          <w:lang w:val="en-CA"/>
        </w:rPr>
        <w:t xml:space="preserve"> To be able to rely on clause 6.1(4</w:t>
      </w:r>
      <w:r w:rsidRPr="00ED754F">
        <w:rPr>
          <w:rFonts w:cs="Times New Roman"/>
          <w:vertAlign w:val="superscript"/>
          <w:lang w:val="en-CA"/>
        </w:rPr>
        <w:t>o</w:t>
      </w:r>
      <w:r w:rsidRPr="00ED754F">
        <w:rPr>
          <w:rFonts w:cs="Times New Roman"/>
          <w:lang w:val="en-CA"/>
        </w:rPr>
        <w:t xml:space="preserve">), the respondent had to prove fault on the part of the seller, the </w:t>
      </w:r>
      <w:r w:rsidRPr="00ED754F">
        <w:rPr>
          <w:rFonts w:cs="Times New Roman"/>
          <w:lang w:val="en-CA"/>
        </w:rPr>
        <w:lastRenderedPageBreak/>
        <w:t xml:space="preserve">appellants in the case at bar: </w:t>
      </w:r>
      <w:r w:rsidR="000D1BD4">
        <w:rPr>
          <w:rFonts w:cs="Times New Roman"/>
          <w:i/>
          <w:lang w:val="en-CA"/>
        </w:rPr>
        <w:t>Royal Lepage des Moulins I</w:t>
      </w:r>
      <w:r w:rsidRPr="00ED754F">
        <w:rPr>
          <w:rFonts w:cs="Times New Roman"/>
          <w:i/>
          <w:lang w:val="en-CA"/>
        </w:rPr>
        <w:t>nc. v.</w:t>
      </w:r>
      <w:r w:rsidRPr="00ED754F">
        <w:rPr>
          <w:rFonts w:cs="Times New Roman"/>
          <w:lang w:val="en-CA"/>
        </w:rPr>
        <w:t xml:space="preserve"> </w:t>
      </w:r>
      <w:r w:rsidRPr="00ED754F">
        <w:rPr>
          <w:rFonts w:cs="Times New Roman"/>
          <w:i/>
          <w:lang w:val="en-CA"/>
        </w:rPr>
        <w:t>Baril</w:t>
      </w:r>
      <w:r w:rsidRPr="00ED754F">
        <w:rPr>
          <w:rFonts w:cs="Times New Roman"/>
          <w:lang w:val="en-CA"/>
        </w:rPr>
        <w:t>, 2004 CanLII 29347 (Que. C.A.), at paras. </w:t>
      </w:r>
      <w:r w:rsidRPr="00ED754F">
        <w:rPr>
          <w:rFonts w:cs="Times New Roman"/>
        </w:rPr>
        <w:t>17</w:t>
      </w:r>
      <w:r w:rsidRPr="00ED754F">
        <w:rPr>
          <w:rFonts w:cs="Times New Roman"/>
        </w:rPr>
        <w:noBreakHyphen/>
        <w:t xml:space="preserve">18; </w:t>
      </w:r>
      <w:r w:rsidRPr="00ED754F">
        <w:rPr>
          <w:rFonts w:cs="Times New Roman"/>
          <w:i/>
        </w:rPr>
        <w:t>Mutuelle des fonctionnaires du Québec v</w:t>
      </w:r>
      <w:r w:rsidRPr="00ED754F">
        <w:rPr>
          <w:rFonts w:cs="Times New Roman"/>
        </w:rPr>
        <w:t xml:space="preserve">. </w:t>
      </w:r>
      <w:r w:rsidRPr="00ED754F">
        <w:rPr>
          <w:rFonts w:cs="Times New Roman"/>
          <w:i/>
        </w:rPr>
        <w:t>Immeubles G.C. Gagnon inc.</w:t>
      </w:r>
      <w:r w:rsidRPr="00ED754F">
        <w:rPr>
          <w:rFonts w:cs="Times New Roman"/>
        </w:rPr>
        <w:t xml:space="preserve">, 1997 CanLII 10674 (Que. C.A.), at p. 7. </w:t>
      </w:r>
      <w:r w:rsidRPr="00ED754F">
        <w:rPr>
          <w:rFonts w:cs="Times New Roman"/>
          <w:lang w:val="en-CA"/>
        </w:rPr>
        <w:t>Thibault J.A. of the Quebec Court of Appeal was asked to interpret a stipulation similar to clause 6.1(4</w:t>
      </w:r>
      <w:r w:rsidRPr="00ED754F">
        <w:rPr>
          <w:rFonts w:cs="Times New Roman"/>
          <w:vertAlign w:val="superscript"/>
          <w:lang w:val="en-CA"/>
        </w:rPr>
        <w:t>o</w:t>
      </w:r>
      <w:r w:rsidRPr="00ED754F">
        <w:rPr>
          <w:rFonts w:cs="Times New Roman"/>
          <w:lang w:val="en-CA"/>
        </w:rPr>
        <w:t>) in a recent case, and in doing so she identified the evidence needed to trigger the application of the stipulation in question:</w:t>
      </w:r>
    </w:p>
    <w:p w:rsidR="00610C9B" w:rsidRPr="00ED754F" w:rsidRDefault="00610C9B" w:rsidP="005701A4">
      <w:pPr>
        <w:pStyle w:val="Citation-AltC"/>
        <w:widowControl w:val="0"/>
        <w:tabs>
          <w:tab w:val="left" w:pos="1440"/>
        </w:tabs>
        <w:spacing w:after="480"/>
        <w:ind w:left="1138" w:hanging="1138"/>
        <w:contextualSpacing w:val="0"/>
        <w:rPr>
          <w:lang w:val="en-CA"/>
        </w:rPr>
      </w:pPr>
      <w:r w:rsidRPr="00ED754F">
        <w:rPr>
          <w:lang w:val="en-CA"/>
        </w:rPr>
        <w:tab/>
      </w:r>
      <w:r>
        <w:rPr>
          <w:lang w:val="en-CA"/>
        </w:rPr>
        <w:tab/>
      </w:r>
      <w:r w:rsidRPr="00ED754F">
        <w:rPr>
          <w:lang w:val="en-CA"/>
        </w:rPr>
        <w:t>[</w:t>
      </w:r>
      <w:r w:rsidRPr="00ED754F">
        <w:rPr>
          <w:smallCaps/>
          <w:lang w:val="en-CA"/>
        </w:rPr>
        <w:t>translation</w:t>
      </w:r>
      <w:r w:rsidRPr="00ED754F">
        <w:rPr>
          <w:lang w:val="en-CA"/>
        </w:rPr>
        <w:t xml:space="preserve">]  In conclusion, in an action instituted by a broker to claim his or her remuneration or compensation under article 7.2 of the brokerage contract, the broker must establish the existence of a valid brokerage contract, the performance of the broker’s own obligations under that contract and . . . the fact that fulfilment [of the preconditions for the right to compensation] was prevented </w:t>
      </w:r>
      <w:r w:rsidRPr="00ED754F">
        <w:rPr>
          <w:u w:val="single"/>
          <w:lang w:val="en-CA"/>
        </w:rPr>
        <w:t>through the fault of the seller</w:t>
      </w:r>
      <w:r w:rsidRPr="00ED754F">
        <w:rPr>
          <w:lang w:val="en-CA"/>
        </w:rPr>
        <w:t xml:space="preserve">. [Emphasis added.] </w:t>
      </w:r>
    </w:p>
    <w:p w:rsidR="00610C9B" w:rsidRPr="00ED754F" w:rsidRDefault="00610C9B" w:rsidP="005701A4">
      <w:pPr>
        <w:pStyle w:val="Citation-AltC"/>
        <w:widowControl w:val="0"/>
        <w:spacing w:after="480" w:line="480" w:lineRule="auto"/>
        <w:ind w:left="0"/>
        <w:contextualSpacing w:val="0"/>
        <w:rPr>
          <w:lang w:val="en-CA"/>
        </w:rPr>
      </w:pPr>
      <w:r w:rsidRPr="00ED754F">
        <w:rPr>
          <w:lang w:val="en-CA"/>
        </w:rPr>
        <w:t>(</w:t>
      </w:r>
      <w:r w:rsidRPr="00ED754F">
        <w:rPr>
          <w:i/>
          <w:lang w:val="en-CA"/>
        </w:rPr>
        <w:t>9118</w:t>
      </w:r>
      <w:r w:rsidRPr="00ED754F">
        <w:rPr>
          <w:i/>
          <w:lang w:val="en-CA"/>
        </w:rPr>
        <w:noBreakHyphen/>
        <w:t>7781 Québec inc. (Groupe Sutton Millénia) v. Lerer</w:t>
      </w:r>
      <w:r w:rsidRPr="00ED754F">
        <w:rPr>
          <w:lang w:val="en-CA"/>
        </w:rPr>
        <w:t>, 2012 QCCA 430, [2012] R.J.Q. 331, at para. 36)</w:t>
      </w:r>
    </w:p>
    <w:p w:rsidR="00610C9B" w:rsidRPr="00ED754F" w:rsidRDefault="00610C9B" w:rsidP="005701A4">
      <w:pPr>
        <w:pStyle w:val="ParaNoNdepar-AltN"/>
        <w:widowControl w:val="0"/>
        <w:rPr>
          <w:rFonts w:cs="Times New Roman"/>
          <w:lang w:val="en-CA"/>
        </w:rPr>
      </w:pPr>
      <w:r w:rsidRPr="00ED754F">
        <w:rPr>
          <w:rFonts w:cs="Times New Roman"/>
          <w:lang w:val="en-CA"/>
        </w:rPr>
        <w:t>In my opinion, such a fault may result either from a failure by the promisor</w:t>
      </w:r>
      <w:r w:rsidRPr="00ED754F">
        <w:rPr>
          <w:rFonts w:cs="Times New Roman"/>
          <w:lang w:val="en-CA"/>
        </w:rPr>
        <w:noBreakHyphen/>
        <w:t>seller to do something it had an obligation to do, or from its doing something it had an obligation not to do. For example, a promisor</w:t>
      </w:r>
      <w:r w:rsidRPr="00ED754F">
        <w:rPr>
          <w:rFonts w:cs="Times New Roman"/>
          <w:lang w:val="en-CA"/>
        </w:rPr>
        <w:noBreakHyphen/>
        <w:t>seller who knowingly prevents or impedes the promisor</w:t>
      </w:r>
      <w:r w:rsidRPr="00ED754F">
        <w:rPr>
          <w:rFonts w:cs="Times New Roman"/>
          <w:lang w:val="en-CA"/>
        </w:rPr>
        <w:noBreakHyphen/>
        <w:t xml:space="preserve">buyer or its mandatary from doing its due diligence on the immovable will be considered to be at fault under art. 1503 </w:t>
      </w:r>
      <w:r w:rsidRPr="00ED754F">
        <w:rPr>
          <w:rFonts w:cs="Times New Roman"/>
          <w:i/>
          <w:lang w:val="en-CA"/>
        </w:rPr>
        <w:t>C.C.Q.</w:t>
      </w:r>
      <w:r w:rsidRPr="00ED754F">
        <w:rPr>
          <w:rFonts w:cs="Times New Roman"/>
          <w:lang w:val="en-CA"/>
        </w:rPr>
        <w:t xml:space="preserve"> and clause 6.1(4</w:t>
      </w:r>
      <w:r w:rsidRPr="00ED754F">
        <w:rPr>
          <w:rFonts w:cs="Times New Roman"/>
          <w:vertAlign w:val="superscript"/>
          <w:lang w:val="en-CA"/>
        </w:rPr>
        <w:t>o</w:t>
      </w:r>
      <w:r w:rsidRPr="00ED754F">
        <w:rPr>
          <w:rFonts w:cs="Times New Roman"/>
          <w:lang w:val="en-CA"/>
        </w:rPr>
        <w:t xml:space="preserve">). To determine whether there was a fault in the instant case, therefore, it will be necessary to establish what obligations the appellants had under the promise to purchase, on the one hand, and under the brokerage contract, on the other. </w:t>
      </w:r>
    </w:p>
    <w:p w:rsidR="00610C9B" w:rsidRPr="00ED754F" w:rsidRDefault="00610C9B" w:rsidP="005701A4">
      <w:pPr>
        <w:pStyle w:val="ParaNoNdepar-AltN"/>
        <w:widowControl w:val="0"/>
        <w:rPr>
          <w:rFonts w:cs="Times New Roman"/>
          <w:lang w:val="en-CA"/>
        </w:rPr>
      </w:pPr>
      <w:r w:rsidRPr="00ED754F">
        <w:rPr>
          <w:rFonts w:cs="Times New Roman"/>
          <w:lang w:val="en-CA"/>
        </w:rPr>
        <w:lastRenderedPageBreak/>
        <w:t>Under the promise to purchase concluded in this case, the appellants did not have an obligation either to decontaminate their property or to renegotiate the terms of the initial promise to purchase. They did not do anything that would have precluded the conclusion of an agreement with Mr. Douek. On the contrary, they co</w:t>
      </w:r>
      <w:r w:rsidRPr="00ED754F">
        <w:rPr>
          <w:rFonts w:cs="Times New Roman"/>
          <w:lang w:val="en-CA"/>
        </w:rPr>
        <w:noBreakHyphen/>
        <w:t>operated with him and did everything they could to ensure that the sale went through. The Superior Court and the Court of Appeal both found that the appellants had acted in good faith. Given that the appellants did not know about the contamination when the brokerage contract was entered into, it cannot be concluded that they wrongfully prevented the completion of the sale (</w:t>
      </w:r>
      <w:r w:rsidRPr="00ED754F">
        <w:rPr>
          <w:rFonts w:cs="Times New Roman"/>
          <w:i/>
          <w:lang w:val="en-CA"/>
        </w:rPr>
        <w:t>Remax Alliance v. Placements Jabena inc.</w:t>
      </w:r>
      <w:r w:rsidRPr="00ED754F">
        <w:rPr>
          <w:rFonts w:cs="Times New Roman"/>
          <w:lang w:val="en-CA"/>
        </w:rPr>
        <w:t xml:space="preserve">, 2007 QCCQ 12756; H. Richard, </w:t>
      </w:r>
      <w:r w:rsidRPr="00ED754F">
        <w:rPr>
          <w:rFonts w:cs="Times New Roman"/>
          <w:i/>
          <w:lang w:val="en-CA"/>
        </w:rPr>
        <w:t>Le courtage immobilier au Québec</w:t>
      </w:r>
      <w:r w:rsidRPr="00ED754F">
        <w:rPr>
          <w:rFonts w:cs="Times New Roman"/>
          <w:lang w:val="en-CA"/>
        </w:rPr>
        <w:t xml:space="preserve"> (3rd ed. 2010), at p. 199). </w:t>
      </w:r>
    </w:p>
    <w:p w:rsidR="00610C9B" w:rsidRPr="00ED754F" w:rsidRDefault="00610C9B" w:rsidP="005701A4">
      <w:pPr>
        <w:pStyle w:val="ParaNoNdepar-AltN"/>
        <w:widowControl w:val="0"/>
        <w:rPr>
          <w:rFonts w:cs="Times New Roman"/>
          <w:lang w:val="en-CA"/>
        </w:rPr>
      </w:pPr>
      <w:r w:rsidRPr="00ED754F">
        <w:rPr>
          <w:rFonts w:cs="Times New Roman"/>
          <w:lang w:val="en-CA"/>
        </w:rPr>
        <w:t>Moreover, the brokerage contract has two important parts: part 7, entitled [</w:t>
      </w:r>
      <w:r w:rsidRPr="00ED754F">
        <w:rPr>
          <w:rFonts w:cs="Times New Roman"/>
          <w:smallCaps/>
          <w:lang w:val="en-CA"/>
        </w:rPr>
        <w:t>translation</w:t>
      </w:r>
      <w:r w:rsidRPr="00ED754F">
        <w:rPr>
          <w:rFonts w:cs="Times New Roman"/>
          <w:lang w:val="en-CA"/>
        </w:rPr>
        <w:t xml:space="preserve">] “Declarations by the Seller”, and part 8, entitled “Obligations of the Seller”. </w:t>
      </w:r>
    </w:p>
    <w:p w:rsidR="00610C9B" w:rsidRDefault="00610C9B" w:rsidP="005701A4">
      <w:pPr>
        <w:pStyle w:val="ParaNoNdepar-AltN"/>
        <w:widowControl w:val="0"/>
        <w:rPr>
          <w:rFonts w:cs="Times New Roman"/>
          <w:lang w:val="en-CA"/>
        </w:rPr>
      </w:pPr>
      <w:r w:rsidRPr="00ED754F">
        <w:rPr>
          <w:rFonts w:cs="Times New Roman"/>
          <w:lang w:val="en-CA"/>
        </w:rPr>
        <w:t>Part 7 of the contract contains a series of declarations made by the seller in the broker’s favour, including the following:</w:t>
      </w:r>
    </w:p>
    <w:p w:rsidR="000D1BD4" w:rsidRPr="00ED754F" w:rsidRDefault="000D1BD4" w:rsidP="005701A4">
      <w:pPr>
        <w:pStyle w:val="ParaNoNdepar-AltN"/>
        <w:widowControl w:val="0"/>
        <w:numPr>
          <w:ilvl w:val="0"/>
          <w:numId w:val="0"/>
        </w:numPr>
        <w:spacing w:after="240" w:line="240" w:lineRule="auto"/>
        <w:ind w:left="1166"/>
        <w:rPr>
          <w:rFonts w:cs="Times New Roman"/>
          <w:lang w:val="en-CA"/>
        </w:rPr>
      </w:pPr>
      <w:r>
        <w:rPr>
          <w:rFonts w:cs="Times New Roman"/>
          <w:lang w:val="en-CA"/>
        </w:rPr>
        <w:t>[</w:t>
      </w:r>
      <w:r w:rsidRPr="000D1BD4">
        <w:rPr>
          <w:rFonts w:cs="Times New Roman"/>
          <w:smallCaps/>
          <w:lang w:val="en-CA"/>
        </w:rPr>
        <w:t>translation</w:t>
      </w:r>
      <w:r>
        <w:rPr>
          <w:rFonts w:cs="Times New Roman"/>
          <w:lang w:val="en-CA"/>
        </w:rPr>
        <w:t>]</w:t>
      </w:r>
    </w:p>
    <w:p w:rsidR="00610C9B" w:rsidRPr="00ED754F" w:rsidRDefault="00AE31C0" w:rsidP="005701A4">
      <w:pPr>
        <w:pStyle w:val="Citation-AltC"/>
        <w:widowControl w:val="0"/>
        <w:spacing w:after="240"/>
        <w:ind w:left="1560" w:hanging="426"/>
        <w:contextualSpacing w:val="0"/>
        <w:rPr>
          <w:lang w:val="en-CA"/>
        </w:rPr>
      </w:pPr>
      <w:r>
        <w:rPr>
          <w:lang w:val="en-CA"/>
        </w:rPr>
        <w:t>7.1</w:t>
      </w:r>
      <w:r>
        <w:rPr>
          <w:lang w:val="en-CA"/>
        </w:rPr>
        <w:tab/>
      </w:r>
      <w:r w:rsidR="00610C9B" w:rsidRPr="00ED754F">
        <w:rPr>
          <w:lang w:val="en-CA"/>
        </w:rPr>
        <w:t xml:space="preserve">The SELLER declares that the information contained in this contract is accurate and that he will provide to the BROKER any additional information regarding the IMMOVABLE </w:t>
      </w:r>
      <w:r w:rsidR="00610C9B" w:rsidRPr="00ED754F">
        <w:rPr>
          <w:u w:val="single"/>
          <w:lang w:val="en-CA"/>
        </w:rPr>
        <w:t>as soon as he becomes aware of it</w:t>
      </w:r>
      <w:r w:rsidR="00610C9B" w:rsidRPr="00ED754F">
        <w:rPr>
          <w:lang w:val="en-CA"/>
        </w:rPr>
        <w:t>.</w:t>
      </w:r>
    </w:p>
    <w:p w:rsidR="00610C9B" w:rsidRPr="00ED754F" w:rsidRDefault="00610C9B" w:rsidP="005701A4">
      <w:pPr>
        <w:pStyle w:val="Citation-AltC"/>
        <w:widowControl w:val="0"/>
        <w:spacing w:after="240"/>
        <w:ind w:left="1560" w:hanging="426"/>
        <w:contextualSpacing w:val="0"/>
        <w:rPr>
          <w:lang w:val="en-CA"/>
        </w:rPr>
      </w:pPr>
      <w:r w:rsidRPr="00ED754F">
        <w:rPr>
          <w:lang w:val="en-CA"/>
        </w:rPr>
        <w:t>7.2</w:t>
      </w:r>
      <w:r w:rsidRPr="00ED754F">
        <w:rPr>
          <w:lang w:val="en-CA"/>
        </w:rPr>
        <w:tab/>
        <w:t>The SELLER also declares that, unless stipulated otherwise, including in 11.1, in the Declarations by the Seller form or in any annex forming part of this contract:</w:t>
      </w:r>
    </w:p>
    <w:p w:rsidR="00610C9B" w:rsidRPr="00ED754F" w:rsidRDefault="00610C9B" w:rsidP="005701A4">
      <w:pPr>
        <w:pStyle w:val="Citation-AltC"/>
        <w:widowControl w:val="0"/>
        <w:spacing w:after="240"/>
        <w:ind w:left="1627"/>
        <w:contextualSpacing w:val="0"/>
        <w:jc w:val="center"/>
        <w:rPr>
          <w:lang w:val="en-CA"/>
        </w:rPr>
      </w:pPr>
      <w:r w:rsidRPr="00ED754F">
        <w:rPr>
          <w:lang w:val="en-CA"/>
        </w:rPr>
        <w:lastRenderedPageBreak/>
        <w:t>. . .</w:t>
      </w:r>
    </w:p>
    <w:p w:rsidR="00610C9B" w:rsidRPr="00ED754F" w:rsidRDefault="00610C9B" w:rsidP="005701A4">
      <w:pPr>
        <w:pStyle w:val="Citation-AltC"/>
        <w:widowControl w:val="0"/>
        <w:spacing w:after="240"/>
        <w:ind w:left="1985" w:hanging="425"/>
        <w:contextualSpacing w:val="0"/>
        <w:rPr>
          <w:lang w:val="en-CA"/>
        </w:rPr>
      </w:pPr>
      <w:r w:rsidRPr="00ED754F">
        <w:rPr>
          <w:lang w:val="en-CA"/>
        </w:rPr>
        <w:t>8</w:t>
      </w:r>
      <w:r w:rsidRPr="00ED754F">
        <w:rPr>
          <w:vertAlign w:val="superscript"/>
          <w:lang w:val="en-CA"/>
        </w:rPr>
        <w:t>o</w:t>
      </w:r>
      <w:r w:rsidRPr="00ED754F">
        <w:rPr>
          <w:lang w:val="en-CA"/>
        </w:rPr>
        <w:tab/>
        <w:t>the IMMOVABLE shall be sold free of any real right and other charges other than the usual and apparent servitudes of public utility, and that the SELLER shall hold any prospective buyer harmless from any violation to restrictions of public law affecting the IMMOVABLE that are exceptions to ordinary law;</w:t>
      </w:r>
    </w:p>
    <w:p w:rsidR="00610C9B" w:rsidRPr="00ED754F" w:rsidRDefault="00610C9B" w:rsidP="005701A4">
      <w:pPr>
        <w:pStyle w:val="Citation-AltC"/>
        <w:widowControl w:val="0"/>
        <w:spacing w:after="240"/>
        <w:ind w:left="1985" w:hanging="425"/>
        <w:contextualSpacing w:val="0"/>
        <w:jc w:val="center"/>
        <w:rPr>
          <w:lang w:val="en-CA"/>
        </w:rPr>
      </w:pPr>
      <w:r w:rsidRPr="00ED754F">
        <w:rPr>
          <w:lang w:val="en-CA"/>
        </w:rPr>
        <w:t>. . .</w:t>
      </w:r>
    </w:p>
    <w:p w:rsidR="00610C9B" w:rsidRPr="00ED754F" w:rsidRDefault="00610C9B" w:rsidP="005701A4">
      <w:pPr>
        <w:pStyle w:val="Citation-AltC"/>
        <w:widowControl w:val="0"/>
        <w:spacing w:after="240"/>
        <w:ind w:left="1987" w:hanging="432"/>
        <w:contextualSpacing w:val="0"/>
        <w:rPr>
          <w:lang w:val="en-CA"/>
        </w:rPr>
      </w:pPr>
      <w:r w:rsidRPr="00ED754F">
        <w:rPr>
          <w:lang w:val="en-CA"/>
        </w:rPr>
        <w:t>13</w:t>
      </w:r>
      <w:r w:rsidRPr="00ED754F">
        <w:rPr>
          <w:vertAlign w:val="superscript"/>
          <w:lang w:val="en-CA"/>
        </w:rPr>
        <w:t>o</w:t>
      </w:r>
      <w:r w:rsidRPr="00ED754F">
        <w:rPr>
          <w:lang w:val="en-CA"/>
        </w:rPr>
        <w:tab/>
      </w:r>
      <w:r w:rsidRPr="00ED754F">
        <w:rPr>
          <w:u w:val="single"/>
          <w:lang w:val="en-CA"/>
        </w:rPr>
        <w:t>the IMMOVABLE is in accordance with environmental protection laws and regulations</w:t>
      </w:r>
      <w:r w:rsidRPr="00ED754F">
        <w:rPr>
          <w:lang w:val="en-CA"/>
        </w:rPr>
        <w:t>. [Emphasis added.]</w:t>
      </w:r>
    </w:p>
    <w:p w:rsidR="00610C9B" w:rsidRPr="00ED754F" w:rsidRDefault="00610C9B" w:rsidP="005701A4">
      <w:pPr>
        <w:pStyle w:val="Citation-AltC"/>
        <w:widowControl w:val="0"/>
        <w:ind w:left="0"/>
        <w:contextualSpacing w:val="0"/>
        <w:rPr>
          <w:lang w:val="en-CA"/>
        </w:rPr>
      </w:pPr>
      <w:r w:rsidRPr="00ED754F">
        <w:rPr>
          <w:lang w:val="en-CA"/>
        </w:rPr>
        <w:t>(A.R., vol. II, at p. 154)</w:t>
      </w:r>
    </w:p>
    <w:p w:rsidR="00610C9B" w:rsidRPr="00ED754F" w:rsidRDefault="00610C9B" w:rsidP="005701A4">
      <w:pPr>
        <w:pStyle w:val="ParaNoNdepar-AltN"/>
        <w:widowControl w:val="0"/>
        <w:rPr>
          <w:rFonts w:cs="Times New Roman"/>
          <w:lang w:val="en-CA"/>
        </w:rPr>
      </w:pPr>
      <w:r w:rsidRPr="00ED754F">
        <w:rPr>
          <w:rFonts w:cs="Times New Roman"/>
          <w:lang w:val="en-CA"/>
        </w:rPr>
        <w:t>The respondent relies on the declaration in clause 7.2(13</w:t>
      </w:r>
      <w:r w:rsidRPr="00ED754F">
        <w:rPr>
          <w:rFonts w:cs="Times New Roman"/>
          <w:vertAlign w:val="superscript"/>
          <w:lang w:val="en-CA"/>
        </w:rPr>
        <w:t>o</w:t>
      </w:r>
      <w:r w:rsidRPr="00ED754F">
        <w:rPr>
          <w:rFonts w:cs="Times New Roman"/>
          <w:lang w:val="en-CA"/>
        </w:rPr>
        <w:t xml:space="preserve">) of the brokerage contract to argue that the appellants had an obligation to provide an immovable that was in accordance with environmental protection laws and regulations, which they did not do. Even though it was accepted that the immovable was not “in accordance” with environmental standards, the declarations set out in the brokerage contract cannot on their own, absent proof of bad faith, serve as a basis for arguing that the seller </w:t>
      </w:r>
      <w:r w:rsidRPr="00ED754F">
        <w:rPr>
          <w:rFonts w:cs="Times New Roman"/>
          <w:i/>
          <w:lang w:val="en-CA"/>
        </w:rPr>
        <w:t>voluntarily</w:t>
      </w:r>
      <w:r w:rsidRPr="00ED754F">
        <w:rPr>
          <w:rFonts w:cs="Times New Roman"/>
          <w:lang w:val="en-CA"/>
        </w:rPr>
        <w:t xml:space="preserve"> prevented the free performance of the contract. This situation cannot be said to constitute a wrongful act, since it is common ground that the appellants were not aware of the contamination of the property.</w:t>
      </w:r>
    </w:p>
    <w:p w:rsidR="00610C9B" w:rsidRDefault="00610C9B" w:rsidP="005701A4">
      <w:pPr>
        <w:pStyle w:val="ParaNoNdepar-AltN"/>
        <w:widowControl w:val="0"/>
        <w:rPr>
          <w:rFonts w:cs="Times New Roman"/>
          <w:lang w:val="en-CA"/>
        </w:rPr>
      </w:pPr>
      <w:r w:rsidRPr="00ED754F">
        <w:rPr>
          <w:rFonts w:cs="Times New Roman"/>
          <w:lang w:val="en-CA"/>
        </w:rPr>
        <w:t>Contrary to the respondent’s argument, these declarations by the seller are not warranties. This is clear from the fact that part 8 of the brokerage contract contains a clause that has almost exactly the same wording as the declaration in clause 7.2(8</w:t>
      </w:r>
      <w:r w:rsidRPr="00ED754F">
        <w:rPr>
          <w:rFonts w:cs="Times New Roman"/>
          <w:vertAlign w:val="superscript"/>
          <w:lang w:val="en-CA"/>
        </w:rPr>
        <w:t>o</w:t>
      </w:r>
      <w:r w:rsidRPr="00ED754F">
        <w:rPr>
          <w:rFonts w:cs="Times New Roman"/>
          <w:lang w:val="en-CA"/>
        </w:rPr>
        <w:t>) reproduced above:</w:t>
      </w:r>
    </w:p>
    <w:p w:rsidR="000D1BD4" w:rsidRPr="00ED754F" w:rsidRDefault="000D1BD4" w:rsidP="005701A4">
      <w:pPr>
        <w:pStyle w:val="ParaNoNdepar-AltN"/>
        <w:widowControl w:val="0"/>
        <w:numPr>
          <w:ilvl w:val="0"/>
          <w:numId w:val="0"/>
        </w:numPr>
        <w:spacing w:after="240" w:line="240" w:lineRule="auto"/>
        <w:ind w:left="1166"/>
        <w:rPr>
          <w:rFonts w:cs="Times New Roman"/>
          <w:lang w:val="en-CA"/>
        </w:rPr>
      </w:pPr>
      <w:r>
        <w:rPr>
          <w:rFonts w:cs="Times New Roman"/>
          <w:lang w:val="en-CA"/>
        </w:rPr>
        <w:t>[</w:t>
      </w:r>
      <w:r w:rsidRPr="000D1BD4">
        <w:rPr>
          <w:rFonts w:cs="Times New Roman"/>
          <w:smallCaps/>
          <w:lang w:val="en-CA"/>
        </w:rPr>
        <w:t>translation</w:t>
      </w:r>
      <w:r>
        <w:rPr>
          <w:rFonts w:cs="Times New Roman"/>
          <w:lang w:val="en-CA"/>
        </w:rPr>
        <w:t>]</w:t>
      </w:r>
    </w:p>
    <w:p w:rsidR="00610C9B" w:rsidRPr="00ED754F" w:rsidRDefault="00610C9B" w:rsidP="005701A4">
      <w:pPr>
        <w:pStyle w:val="Citation-AltC"/>
        <w:widowControl w:val="0"/>
        <w:spacing w:after="240"/>
        <w:ind w:left="1570" w:hanging="432"/>
        <w:contextualSpacing w:val="0"/>
        <w:rPr>
          <w:lang w:val="en-CA"/>
        </w:rPr>
      </w:pPr>
      <w:r w:rsidRPr="00ED754F">
        <w:rPr>
          <w:lang w:val="en-CA"/>
        </w:rPr>
        <w:lastRenderedPageBreak/>
        <w:t>8.4</w:t>
      </w:r>
      <w:r w:rsidRPr="00ED754F">
        <w:rPr>
          <w:lang w:val="en-CA"/>
        </w:rPr>
        <w:tab/>
        <w:t xml:space="preserve">The SELLER shall provide to the prospective buyer a valid title of ownership. The IMMOVABLE </w:t>
      </w:r>
      <w:r w:rsidRPr="00ED754F">
        <w:rPr>
          <w:u w:val="single"/>
          <w:lang w:val="en-CA"/>
        </w:rPr>
        <w:t>shall be sold free of any real right and other charges</w:t>
      </w:r>
      <w:r w:rsidRPr="00ED754F">
        <w:rPr>
          <w:lang w:val="en-CA"/>
        </w:rPr>
        <w:t xml:space="preserve"> other than the usual and apparent servitudes of public utility, and the SELLER </w:t>
      </w:r>
      <w:r w:rsidRPr="00ED754F">
        <w:rPr>
          <w:u w:val="single"/>
          <w:lang w:val="en-CA"/>
        </w:rPr>
        <w:t>shall hold any prospective buyer harmless from any violation to restrictions of public law</w:t>
      </w:r>
      <w:r w:rsidRPr="00ED754F">
        <w:rPr>
          <w:lang w:val="en-CA"/>
        </w:rPr>
        <w:t xml:space="preserve"> affecting the IMMOVABLE that are exceptions to ordinary law, except as otherwise stipulated, namely in 11.1 or any annex forming part of this contract. [Emphasis added.]</w:t>
      </w:r>
    </w:p>
    <w:p w:rsidR="00610C9B" w:rsidRPr="00ED754F" w:rsidRDefault="00610C9B" w:rsidP="005701A4">
      <w:pPr>
        <w:pStyle w:val="Citation-AltC"/>
        <w:widowControl w:val="0"/>
        <w:ind w:left="1195" w:hanging="1555"/>
        <w:contextualSpacing w:val="0"/>
        <w:rPr>
          <w:lang w:val="en-CA"/>
        </w:rPr>
      </w:pPr>
      <w:r w:rsidRPr="00ED754F">
        <w:rPr>
          <w:lang w:val="en-CA"/>
        </w:rPr>
        <w:t>(A.R., vol. II, at p. 154)</w:t>
      </w:r>
    </w:p>
    <w:p w:rsidR="00610C9B" w:rsidRPr="00ED754F" w:rsidRDefault="00610C9B" w:rsidP="005701A4">
      <w:pPr>
        <w:pStyle w:val="ContinueParaSuitedupar-AltP"/>
        <w:widowControl w:val="0"/>
        <w:rPr>
          <w:rFonts w:cs="Times New Roman"/>
          <w:lang w:val="en-CA"/>
        </w:rPr>
      </w:pPr>
      <w:r w:rsidRPr="00ED754F">
        <w:rPr>
          <w:rFonts w:cs="Times New Roman"/>
          <w:lang w:val="en-CA"/>
        </w:rPr>
        <w:t>If it were concluded that the clauses of both part 7 and part 8 constitute warranties, clauses 8.4 and 7.2(8</w:t>
      </w:r>
      <w:r w:rsidRPr="00ED754F">
        <w:rPr>
          <w:rFonts w:cs="Times New Roman"/>
          <w:vertAlign w:val="superscript"/>
          <w:lang w:val="en-CA"/>
        </w:rPr>
        <w:t>o</w:t>
      </w:r>
      <w:r w:rsidRPr="00ED754F">
        <w:rPr>
          <w:rFonts w:cs="Times New Roman"/>
          <w:lang w:val="en-CA"/>
        </w:rPr>
        <w:t>) would be redundant. Moreover, I note that there is no clause in part 8 that is equivalent or similar to clause 7.2(13</w:t>
      </w:r>
      <w:r w:rsidRPr="00ED754F">
        <w:rPr>
          <w:rFonts w:cs="Times New Roman"/>
          <w:vertAlign w:val="superscript"/>
          <w:lang w:val="en-CA"/>
        </w:rPr>
        <w:t>o</w:t>
      </w:r>
      <w:r w:rsidRPr="00ED754F">
        <w:rPr>
          <w:rFonts w:cs="Times New Roman"/>
          <w:lang w:val="en-CA"/>
        </w:rPr>
        <w:t>).</w:t>
      </w:r>
    </w:p>
    <w:p w:rsidR="00610C9B" w:rsidRPr="00ED754F" w:rsidRDefault="00610C9B" w:rsidP="005701A4">
      <w:pPr>
        <w:pStyle w:val="ParaNoNdepar-AltN"/>
        <w:widowControl w:val="0"/>
        <w:rPr>
          <w:rFonts w:cs="Times New Roman"/>
          <w:lang w:val="en-CA"/>
        </w:rPr>
      </w:pPr>
      <w:r w:rsidRPr="00ED754F">
        <w:rPr>
          <w:rFonts w:cs="Times New Roman"/>
          <w:lang w:val="en-CA"/>
        </w:rPr>
        <w:t xml:space="preserve">As for clause 8.4, it refers to warranties that are identical to the legal warranties provided for in arts. 1723 and 1725 </w:t>
      </w:r>
      <w:r w:rsidRPr="00ED754F">
        <w:rPr>
          <w:rFonts w:cs="Times New Roman"/>
          <w:i/>
          <w:lang w:val="en-CA"/>
        </w:rPr>
        <w:t>C.C.Q.</w:t>
      </w:r>
      <w:r w:rsidRPr="00ED754F">
        <w:rPr>
          <w:rFonts w:cs="Times New Roman"/>
          <w:lang w:val="en-CA"/>
        </w:rPr>
        <w:t xml:space="preserve">, which suggests that they are inapplicable as long as a sale has not been concluded. The appellants’ argument that the legal warranties could not apply because no sale had been concluded is correct in law. Article 1396 </w:t>
      </w:r>
      <w:r w:rsidRPr="00ED754F">
        <w:rPr>
          <w:rFonts w:cs="Times New Roman"/>
          <w:i/>
          <w:lang w:val="en-CA"/>
        </w:rPr>
        <w:t>C.C.Q.</w:t>
      </w:r>
      <w:r w:rsidRPr="00ED754F">
        <w:rPr>
          <w:rFonts w:cs="Times New Roman"/>
          <w:lang w:val="en-CA"/>
        </w:rPr>
        <w:t xml:space="preserve"> provides that a promise to contract is not equivalent to the proposed contract. An accepted promise to purchase is therefore not equivalent to a sale and does not produce any of the effects of a sale: P.</w:t>
      </w:r>
      <w:r w:rsidR="00C358B8">
        <w:rPr>
          <w:rFonts w:cs="Times New Roman"/>
          <w:lang w:val="en-CA"/>
        </w:rPr>
        <w:t>-</w:t>
      </w:r>
      <w:r w:rsidRPr="00ED754F">
        <w:rPr>
          <w:rFonts w:cs="Times New Roman"/>
          <w:lang w:val="en-CA"/>
        </w:rPr>
        <w:t>G. Jobin,</w:t>
      </w:r>
      <w:r>
        <w:rPr>
          <w:rFonts w:cs="Times New Roman"/>
          <w:lang w:val="en-CA"/>
        </w:rPr>
        <w:t xml:space="preserve"> with </w:t>
      </w:r>
      <w:r w:rsidR="000D1BD4">
        <w:rPr>
          <w:rFonts w:cs="Times New Roman"/>
          <w:lang w:val="en-CA"/>
        </w:rPr>
        <w:t xml:space="preserve">the collaboration of </w:t>
      </w:r>
      <w:r>
        <w:rPr>
          <w:rFonts w:cs="Times New Roman"/>
          <w:lang w:val="en-CA"/>
        </w:rPr>
        <w:t>M. </w:t>
      </w:r>
      <w:r w:rsidRPr="00ED754F">
        <w:rPr>
          <w:rFonts w:cs="Times New Roman"/>
          <w:lang w:val="en-CA"/>
        </w:rPr>
        <w:t xml:space="preserve">Cumyn, </w:t>
      </w:r>
      <w:r w:rsidRPr="00ED754F">
        <w:rPr>
          <w:rFonts w:cs="Times New Roman"/>
          <w:i/>
          <w:lang w:val="en-CA"/>
        </w:rPr>
        <w:t>La vente</w:t>
      </w:r>
      <w:r w:rsidRPr="00ED754F">
        <w:rPr>
          <w:rFonts w:cs="Times New Roman"/>
          <w:lang w:val="en-CA"/>
        </w:rPr>
        <w:t xml:space="preserve"> (3rd ed. 2007), at p. 54. In any event, contamination cannot be considered a real right, nor has the respondent identified any statutory provision that supports its contention that contamination violates a restriction of public law. In short, the refusal to decontaminate the immovable did not amount to a fault that violated clause 8.4. Nor did it represent an act by which the seller voluntarily prevented the free performance of the brokerage contract. To this extent, </w:t>
      </w:r>
      <w:r w:rsidRPr="00ED754F">
        <w:rPr>
          <w:rFonts w:cs="Times New Roman"/>
          <w:i/>
          <w:lang w:val="en-CA"/>
        </w:rPr>
        <w:t>Racicot v. Mercier</w:t>
      </w:r>
      <w:r w:rsidRPr="00ED754F">
        <w:rPr>
          <w:rFonts w:cs="Times New Roman"/>
          <w:lang w:val="en-CA"/>
        </w:rPr>
        <w:t xml:space="preserve">, [1968] B.R. 975 (C.A.), on which the respondent bases its </w:t>
      </w:r>
      <w:r w:rsidRPr="00ED754F">
        <w:rPr>
          <w:rFonts w:cs="Times New Roman"/>
          <w:lang w:val="en-CA"/>
        </w:rPr>
        <w:lastRenderedPageBreak/>
        <w:t xml:space="preserve">argument, is therefore of no assistance to it. </w:t>
      </w:r>
    </w:p>
    <w:p w:rsidR="00610C9B" w:rsidRPr="00ED754F" w:rsidRDefault="00610C9B" w:rsidP="005701A4">
      <w:pPr>
        <w:pStyle w:val="ParaNoNdepar-AltN"/>
        <w:widowControl w:val="0"/>
        <w:rPr>
          <w:rFonts w:cs="Times New Roman"/>
          <w:lang w:val="en-CA"/>
        </w:rPr>
      </w:pPr>
      <w:r w:rsidRPr="00ED754F">
        <w:rPr>
          <w:rFonts w:cs="Times New Roman"/>
          <w:lang w:val="en-CA"/>
        </w:rPr>
        <w:t>In sum, the appellants committed no fault in relation to their obligations under either the promise to purchase or the brokerage contract. They therefore did not voluntarily prevent the free performance of that contract within the meaning of clause 6.1(4</w:t>
      </w:r>
      <w:r w:rsidRPr="00ED754F">
        <w:rPr>
          <w:rFonts w:cs="Times New Roman"/>
          <w:vertAlign w:val="superscript"/>
          <w:lang w:val="en-CA"/>
        </w:rPr>
        <w:t>o</w:t>
      </w:r>
      <w:r w:rsidRPr="00ED754F">
        <w:rPr>
          <w:rFonts w:cs="Times New Roman"/>
          <w:lang w:val="en-CA"/>
        </w:rPr>
        <w:t xml:space="preserve">). </w:t>
      </w:r>
    </w:p>
    <w:p w:rsidR="00610C9B" w:rsidRPr="00ED754F" w:rsidRDefault="00610C9B" w:rsidP="005701A4">
      <w:pPr>
        <w:pStyle w:val="Title1LevelTitre1Niveau-AltL"/>
        <w:widowControl w:val="0"/>
        <w:numPr>
          <w:ilvl w:val="0"/>
          <w:numId w:val="8"/>
        </w:numPr>
        <w:jc w:val="left"/>
        <w:rPr>
          <w:rFonts w:cs="Times New Roman"/>
        </w:rPr>
      </w:pPr>
      <w:r w:rsidRPr="00ED754F">
        <w:rPr>
          <w:rFonts w:cs="Times New Roman"/>
        </w:rPr>
        <w:t>Disposition</w:t>
      </w:r>
    </w:p>
    <w:p w:rsidR="00610C9B" w:rsidRPr="00ED754F" w:rsidRDefault="00610C9B" w:rsidP="005701A4">
      <w:pPr>
        <w:pStyle w:val="ParaNoNdepar-AltN"/>
        <w:widowControl w:val="0"/>
        <w:rPr>
          <w:rFonts w:cs="Times New Roman"/>
          <w:lang w:val="en-CA"/>
        </w:rPr>
      </w:pPr>
      <w:r w:rsidRPr="00ED754F">
        <w:rPr>
          <w:rFonts w:cs="Times New Roman"/>
          <w:lang w:val="en-CA"/>
        </w:rPr>
        <w:t>For these reasons, I would allow the appeal with costs throughout, except for the costs awarded against the appellants on the motion to extend time in this Court.</w:t>
      </w:r>
    </w:p>
    <w:p w:rsidR="009B57B3" w:rsidRPr="0063652D" w:rsidRDefault="009B57B3" w:rsidP="005701A4">
      <w:pPr>
        <w:pStyle w:val="SCCNormalDoubleSpacing"/>
        <w:widowControl w:val="0"/>
        <w:spacing w:before="480" w:after="480"/>
      </w:pPr>
      <w:r w:rsidRPr="00610C9B">
        <w:rPr>
          <w:lang w:val="en-US"/>
        </w:rPr>
        <w:tab/>
      </w:r>
      <w:r w:rsidR="00656313" w:rsidRPr="0063652D">
        <w:rPr>
          <w:i/>
        </w:rPr>
        <w:t>Appeal</w:t>
      </w:r>
      <w:r w:rsidR="002C60A8" w:rsidRPr="0063652D">
        <w:rPr>
          <w:i/>
        </w:rPr>
        <w:t xml:space="preserve"> </w:t>
      </w:r>
      <w:r w:rsidR="00EA5E99" w:rsidRPr="0063652D">
        <w:rPr>
          <w:i/>
        </w:rPr>
        <w:t>allowed with costs</w:t>
      </w:r>
      <w:r w:rsidR="002C60A8" w:rsidRPr="0063652D">
        <w:rPr>
          <w:i/>
        </w:rPr>
        <w:t>.</w:t>
      </w:r>
    </w:p>
    <w:p w:rsidR="002A3E41" w:rsidRPr="0063652D" w:rsidRDefault="00C7747F" w:rsidP="005701A4">
      <w:pPr>
        <w:pStyle w:val="SCCLawFirm"/>
        <w:widowControl w:val="0"/>
        <w:spacing w:before="480" w:after="480"/>
      </w:pPr>
      <w:r w:rsidRPr="0063652D">
        <w:tab/>
      </w:r>
      <w:r w:rsidR="002A3E41" w:rsidRPr="0063652D">
        <w:t>Solicitors for the appellant</w:t>
      </w:r>
      <w:r w:rsidR="00E221A8" w:rsidRPr="0063652D">
        <w:t>s</w:t>
      </w:r>
      <w:r w:rsidR="00B010FC" w:rsidRPr="0063652D">
        <w:t>: </w:t>
      </w:r>
      <w:r w:rsidR="002A3E41" w:rsidRPr="0063652D">
        <w:t xml:space="preserve">Mitchell </w:t>
      </w:r>
      <w:proofErr w:type="spellStart"/>
      <w:r w:rsidR="002A3E41" w:rsidRPr="0063652D">
        <w:t>Gattuso</w:t>
      </w:r>
      <w:proofErr w:type="spellEnd"/>
      <w:r w:rsidR="002A3E41" w:rsidRPr="0063652D">
        <w:t>, Montréal.</w:t>
      </w:r>
    </w:p>
    <w:p w:rsidR="00A60BBF" w:rsidRPr="0063652D" w:rsidRDefault="002A3E41" w:rsidP="005701A4">
      <w:pPr>
        <w:pStyle w:val="SCCLawFirm"/>
        <w:widowControl w:val="0"/>
        <w:rPr>
          <w:lang w:val="fr-CA"/>
        </w:rPr>
      </w:pPr>
      <w:r w:rsidRPr="0063652D">
        <w:tab/>
      </w:r>
      <w:r w:rsidRPr="0063652D">
        <w:rPr>
          <w:lang w:val="fr-CA"/>
        </w:rPr>
        <w:t xml:space="preserve">Solicitors for the </w:t>
      </w:r>
      <w:proofErr w:type="spellStart"/>
      <w:r w:rsidRPr="0063652D">
        <w:rPr>
          <w:lang w:val="fr-CA"/>
        </w:rPr>
        <w:t>respondent</w:t>
      </w:r>
      <w:proofErr w:type="spellEnd"/>
      <w:r w:rsidR="00B010FC" w:rsidRPr="0063652D">
        <w:rPr>
          <w:lang w:val="fr-CA"/>
        </w:rPr>
        <w:t>: </w:t>
      </w:r>
      <w:r w:rsidRPr="0063652D">
        <w:rPr>
          <w:lang w:val="fr-CA"/>
        </w:rPr>
        <w:t xml:space="preserve">de </w:t>
      </w:r>
      <w:proofErr w:type="spellStart"/>
      <w:r w:rsidRPr="0063652D">
        <w:rPr>
          <w:lang w:val="fr-CA"/>
        </w:rPr>
        <w:t>Grandpré</w:t>
      </w:r>
      <w:proofErr w:type="spellEnd"/>
      <w:r w:rsidRPr="0063652D">
        <w:rPr>
          <w:lang w:val="fr-CA"/>
        </w:rPr>
        <w:t xml:space="preserve"> Joli</w:t>
      </w:r>
      <w:r w:rsidR="00B010FC" w:rsidRPr="0063652D">
        <w:rPr>
          <w:lang w:val="fr-CA"/>
        </w:rPr>
        <w:noBreakHyphen/>
      </w:r>
      <w:r w:rsidRPr="0063652D">
        <w:rPr>
          <w:lang w:val="fr-CA"/>
        </w:rPr>
        <w:t>Cœur, Montréal.</w:t>
      </w:r>
    </w:p>
    <w:p w:rsidR="00A60BBF" w:rsidRPr="0063652D" w:rsidRDefault="00A60BBF" w:rsidP="005701A4">
      <w:pPr>
        <w:pStyle w:val="SCCLawFirm"/>
        <w:widowControl w:val="0"/>
        <w:rPr>
          <w:lang w:val="fr-CA"/>
        </w:rPr>
      </w:pPr>
    </w:p>
    <w:sectPr w:rsidR="00A60BBF" w:rsidRPr="0063652D"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C0" w:rsidRDefault="00AE31C0">
      <w:r>
        <w:separator/>
      </w:r>
    </w:p>
  </w:endnote>
  <w:endnote w:type="continuationSeparator" w:id="0">
    <w:p w:rsidR="00AE31C0" w:rsidRDefault="00A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C0" w:rsidRDefault="00AE31C0">
      <w:r>
        <w:separator/>
      </w:r>
    </w:p>
  </w:footnote>
  <w:footnote w:type="continuationSeparator" w:id="0">
    <w:p w:rsidR="00AE31C0" w:rsidRDefault="00AE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C0" w:rsidRPr="00450352" w:rsidRDefault="00AE31C0"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320D08"/>
    <w:multiLevelType w:val="hybridMultilevel"/>
    <w:tmpl w:val="900481CE"/>
    <w:lvl w:ilvl="0" w:tplc="04160998">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BA8C2B7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25198"/>
    <w:rsid w:val="000454FA"/>
    <w:rsid w:val="000578A3"/>
    <w:rsid w:val="000648CC"/>
    <w:rsid w:val="00067562"/>
    <w:rsid w:val="00083E33"/>
    <w:rsid w:val="00087D8F"/>
    <w:rsid w:val="000971A7"/>
    <w:rsid w:val="000C1124"/>
    <w:rsid w:val="000C59B8"/>
    <w:rsid w:val="000C6AF0"/>
    <w:rsid w:val="000D1BD4"/>
    <w:rsid w:val="000D70D5"/>
    <w:rsid w:val="000F192F"/>
    <w:rsid w:val="00104987"/>
    <w:rsid w:val="00104F33"/>
    <w:rsid w:val="00111DE2"/>
    <w:rsid w:val="00116B38"/>
    <w:rsid w:val="001274A2"/>
    <w:rsid w:val="00135406"/>
    <w:rsid w:val="00135972"/>
    <w:rsid w:val="001426A9"/>
    <w:rsid w:val="001545BB"/>
    <w:rsid w:val="00154D7C"/>
    <w:rsid w:val="001570B0"/>
    <w:rsid w:val="0015752C"/>
    <w:rsid w:val="00157737"/>
    <w:rsid w:val="00160B52"/>
    <w:rsid w:val="00165277"/>
    <w:rsid w:val="00170592"/>
    <w:rsid w:val="00186351"/>
    <w:rsid w:val="001876E1"/>
    <w:rsid w:val="001901A2"/>
    <w:rsid w:val="00195D83"/>
    <w:rsid w:val="001A00C1"/>
    <w:rsid w:val="001A29C8"/>
    <w:rsid w:val="001B03F7"/>
    <w:rsid w:val="001B33E0"/>
    <w:rsid w:val="001B4573"/>
    <w:rsid w:val="001C779F"/>
    <w:rsid w:val="001D2AC1"/>
    <w:rsid w:val="001D4E88"/>
    <w:rsid w:val="001E016C"/>
    <w:rsid w:val="00217A67"/>
    <w:rsid w:val="00220FC2"/>
    <w:rsid w:val="002222F4"/>
    <w:rsid w:val="00224FC0"/>
    <w:rsid w:val="00225EA4"/>
    <w:rsid w:val="00226EAF"/>
    <w:rsid w:val="00231F3A"/>
    <w:rsid w:val="00234199"/>
    <w:rsid w:val="002406EE"/>
    <w:rsid w:val="00243EC8"/>
    <w:rsid w:val="0025316C"/>
    <w:rsid w:val="00270D93"/>
    <w:rsid w:val="0027236A"/>
    <w:rsid w:val="00273A33"/>
    <w:rsid w:val="002745CC"/>
    <w:rsid w:val="002876B5"/>
    <w:rsid w:val="00291C98"/>
    <w:rsid w:val="002A3E41"/>
    <w:rsid w:val="002B7924"/>
    <w:rsid w:val="002C60A8"/>
    <w:rsid w:val="002D0F51"/>
    <w:rsid w:val="002D28C3"/>
    <w:rsid w:val="002D39A4"/>
    <w:rsid w:val="002D7347"/>
    <w:rsid w:val="002E6705"/>
    <w:rsid w:val="00301D08"/>
    <w:rsid w:val="0030329A"/>
    <w:rsid w:val="0031086F"/>
    <w:rsid w:val="0031414C"/>
    <w:rsid w:val="00314E01"/>
    <w:rsid w:val="003157E5"/>
    <w:rsid w:val="0032089D"/>
    <w:rsid w:val="003310DE"/>
    <w:rsid w:val="003323B0"/>
    <w:rsid w:val="0035169A"/>
    <w:rsid w:val="0035259D"/>
    <w:rsid w:val="00364B18"/>
    <w:rsid w:val="00372F50"/>
    <w:rsid w:val="00377E65"/>
    <w:rsid w:val="003A125D"/>
    <w:rsid w:val="003A4C70"/>
    <w:rsid w:val="003B1E3D"/>
    <w:rsid w:val="003B215F"/>
    <w:rsid w:val="003C33A7"/>
    <w:rsid w:val="003C799C"/>
    <w:rsid w:val="003D0399"/>
    <w:rsid w:val="003E1C71"/>
    <w:rsid w:val="003F327B"/>
    <w:rsid w:val="00406166"/>
    <w:rsid w:val="0040704B"/>
    <w:rsid w:val="00410A55"/>
    <w:rsid w:val="00411300"/>
    <w:rsid w:val="00415417"/>
    <w:rsid w:val="00426659"/>
    <w:rsid w:val="00427FCA"/>
    <w:rsid w:val="00432FBC"/>
    <w:rsid w:val="00450352"/>
    <w:rsid w:val="00454BDB"/>
    <w:rsid w:val="00464800"/>
    <w:rsid w:val="00465132"/>
    <w:rsid w:val="00480C90"/>
    <w:rsid w:val="0048396F"/>
    <w:rsid w:val="00490D44"/>
    <w:rsid w:val="00493C18"/>
    <w:rsid w:val="004A600C"/>
    <w:rsid w:val="004A6118"/>
    <w:rsid w:val="004B592B"/>
    <w:rsid w:val="004B6999"/>
    <w:rsid w:val="004B6FB3"/>
    <w:rsid w:val="004C478D"/>
    <w:rsid w:val="004E2C26"/>
    <w:rsid w:val="004F36FF"/>
    <w:rsid w:val="00511D5A"/>
    <w:rsid w:val="005125A8"/>
    <w:rsid w:val="00521AE8"/>
    <w:rsid w:val="00523B76"/>
    <w:rsid w:val="00527180"/>
    <w:rsid w:val="00530EDB"/>
    <w:rsid w:val="0054201E"/>
    <w:rsid w:val="00555291"/>
    <w:rsid w:val="00566AD1"/>
    <w:rsid w:val="005701A4"/>
    <w:rsid w:val="00583EDE"/>
    <w:rsid w:val="005A6079"/>
    <w:rsid w:val="005C3C90"/>
    <w:rsid w:val="005E1A56"/>
    <w:rsid w:val="005E4698"/>
    <w:rsid w:val="005E6709"/>
    <w:rsid w:val="00607EC7"/>
    <w:rsid w:val="00610539"/>
    <w:rsid w:val="00610C9B"/>
    <w:rsid w:val="00613969"/>
    <w:rsid w:val="00625C35"/>
    <w:rsid w:val="0063652D"/>
    <w:rsid w:val="00656313"/>
    <w:rsid w:val="006565F4"/>
    <w:rsid w:val="006668E9"/>
    <w:rsid w:val="00684EEA"/>
    <w:rsid w:val="00691680"/>
    <w:rsid w:val="0069689B"/>
    <w:rsid w:val="006A1551"/>
    <w:rsid w:val="006B5FF5"/>
    <w:rsid w:val="006F30AF"/>
    <w:rsid w:val="006F51C4"/>
    <w:rsid w:val="00701759"/>
    <w:rsid w:val="00705C15"/>
    <w:rsid w:val="0071600E"/>
    <w:rsid w:val="007208D1"/>
    <w:rsid w:val="00747288"/>
    <w:rsid w:val="00747DD3"/>
    <w:rsid w:val="007549C8"/>
    <w:rsid w:val="00754A0B"/>
    <w:rsid w:val="00766D14"/>
    <w:rsid w:val="007675E1"/>
    <w:rsid w:val="00767A0F"/>
    <w:rsid w:val="007814D7"/>
    <w:rsid w:val="00794C6E"/>
    <w:rsid w:val="007A05F6"/>
    <w:rsid w:val="007B6F4A"/>
    <w:rsid w:val="007E1C47"/>
    <w:rsid w:val="007E337A"/>
    <w:rsid w:val="007E5C70"/>
    <w:rsid w:val="007F2FF5"/>
    <w:rsid w:val="007F3F08"/>
    <w:rsid w:val="008045A2"/>
    <w:rsid w:val="00804CC6"/>
    <w:rsid w:val="00817190"/>
    <w:rsid w:val="00820EE5"/>
    <w:rsid w:val="008260E2"/>
    <w:rsid w:val="00826E8F"/>
    <w:rsid w:val="008322BD"/>
    <w:rsid w:val="00833E0A"/>
    <w:rsid w:val="00834F73"/>
    <w:rsid w:val="00860656"/>
    <w:rsid w:val="00862953"/>
    <w:rsid w:val="00864CF8"/>
    <w:rsid w:val="00872819"/>
    <w:rsid w:val="0087427E"/>
    <w:rsid w:val="00874914"/>
    <w:rsid w:val="00891422"/>
    <w:rsid w:val="00892E1A"/>
    <w:rsid w:val="0089474A"/>
    <w:rsid w:val="008A3F29"/>
    <w:rsid w:val="008B660A"/>
    <w:rsid w:val="008B70B5"/>
    <w:rsid w:val="008C01DA"/>
    <w:rsid w:val="008F78E9"/>
    <w:rsid w:val="00911989"/>
    <w:rsid w:val="009179F9"/>
    <w:rsid w:val="0093007C"/>
    <w:rsid w:val="00933E5E"/>
    <w:rsid w:val="00935218"/>
    <w:rsid w:val="009403F3"/>
    <w:rsid w:val="009555B7"/>
    <w:rsid w:val="009567AA"/>
    <w:rsid w:val="00967374"/>
    <w:rsid w:val="009832D2"/>
    <w:rsid w:val="009A343A"/>
    <w:rsid w:val="009B2F23"/>
    <w:rsid w:val="009B57B3"/>
    <w:rsid w:val="009C5B92"/>
    <w:rsid w:val="009C6DC1"/>
    <w:rsid w:val="009D2920"/>
    <w:rsid w:val="009D5AEB"/>
    <w:rsid w:val="009F0E33"/>
    <w:rsid w:val="00A030CE"/>
    <w:rsid w:val="00A149DF"/>
    <w:rsid w:val="00A1755C"/>
    <w:rsid w:val="00A21579"/>
    <w:rsid w:val="00A21B90"/>
    <w:rsid w:val="00A41805"/>
    <w:rsid w:val="00A41E94"/>
    <w:rsid w:val="00A42DCD"/>
    <w:rsid w:val="00A45032"/>
    <w:rsid w:val="00A52AFB"/>
    <w:rsid w:val="00A548CB"/>
    <w:rsid w:val="00A5521C"/>
    <w:rsid w:val="00A60BBF"/>
    <w:rsid w:val="00A61194"/>
    <w:rsid w:val="00A643E7"/>
    <w:rsid w:val="00A73C38"/>
    <w:rsid w:val="00A73E35"/>
    <w:rsid w:val="00A84E6A"/>
    <w:rsid w:val="00A86ADD"/>
    <w:rsid w:val="00AB670D"/>
    <w:rsid w:val="00AE31C0"/>
    <w:rsid w:val="00AF03C5"/>
    <w:rsid w:val="00B000D8"/>
    <w:rsid w:val="00B00F75"/>
    <w:rsid w:val="00B010FC"/>
    <w:rsid w:val="00B145B6"/>
    <w:rsid w:val="00B24C40"/>
    <w:rsid w:val="00B279EB"/>
    <w:rsid w:val="00B50C81"/>
    <w:rsid w:val="00B557F8"/>
    <w:rsid w:val="00B65F35"/>
    <w:rsid w:val="00B815FC"/>
    <w:rsid w:val="00B93FBC"/>
    <w:rsid w:val="00BA7DA0"/>
    <w:rsid w:val="00BB2EE4"/>
    <w:rsid w:val="00BB340D"/>
    <w:rsid w:val="00BC2108"/>
    <w:rsid w:val="00BD0E9E"/>
    <w:rsid w:val="00BD1BEC"/>
    <w:rsid w:val="00BD32FF"/>
    <w:rsid w:val="00C02092"/>
    <w:rsid w:val="00C24D91"/>
    <w:rsid w:val="00C358B8"/>
    <w:rsid w:val="00C53F14"/>
    <w:rsid w:val="00C600CF"/>
    <w:rsid w:val="00C6060B"/>
    <w:rsid w:val="00C6084F"/>
    <w:rsid w:val="00C618E4"/>
    <w:rsid w:val="00C62A66"/>
    <w:rsid w:val="00C71458"/>
    <w:rsid w:val="00C7747F"/>
    <w:rsid w:val="00C77613"/>
    <w:rsid w:val="00C828E7"/>
    <w:rsid w:val="00C86719"/>
    <w:rsid w:val="00C921DD"/>
    <w:rsid w:val="00CA2D13"/>
    <w:rsid w:val="00CA6391"/>
    <w:rsid w:val="00CC34BD"/>
    <w:rsid w:val="00CD3F51"/>
    <w:rsid w:val="00CD4413"/>
    <w:rsid w:val="00CE161A"/>
    <w:rsid w:val="00CE3171"/>
    <w:rsid w:val="00CE31BA"/>
    <w:rsid w:val="00CF1601"/>
    <w:rsid w:val="00D0172F"/>
    <w:rsid w:val="00D068A7"/>
    <w:rsid w:val="00D17476"/>
    <w:rsid w:val="00D32086"/>
    <w:rsid w:val="00D37A3F"/>
    <w:rsid w:val="00D4056A"/>
    <w:rsid w:val="00D4431D"/>
    <w:rsid w:val="00D4667A"/>
    <w:rsid w:val="00D62595"/>
    <w:rsid w:val="00D63A1C"/>
    <w:rsid w:val="00D7516F"/>
    <w:rsid w:val="00D8579F"/>
    <w:rsid w:val="00D95F8E"/>
    <w:rsid w:val="00DA0590"/>
    <w:rsid w:val="00DB7BEA"/>
    <w:rsid w:val="00DC1739"/>
    <w:rsid w:val="00DC1788"/>
    <w:rsid w:val="00DD38DC"/>
    <w:rsid w:val="00DE319C"/>
    <w:rsid w:val="00DF0CA8"/>
    <w:rsid w:val="00DF2B48"/>
    <w:rsid w:val="00DF49A7"/>
    <w:rsid w:val="00E07EE2"/>
    <w:rsid w:val="00E07FD1"/>
    <w:rsid w:val="00E221A8"/>
    <w:rsid w:val="00E24573"/>
    <w:rsid w:val="00E25E1E"/>
    <w:rsid w:val="00E27EE7"/>
    <w:rsid w:val="00E35404"/>
    <w:rsid w:val="00E362B1"/>
    <w:rsid w:val="00E45109"/>
    <w:rsid w:val="00E47B7A"/>
    <w:rsid w:val="00E56A44"/>
    <w:rsid w:val="00E60269"/>
    <w:rsid w:val="00E76AE8"/>
    <w:rsid w:val="00E77932"/>
    <w:rsid w:val="00E97830"/>
    <w:rsid w:val="00EA5E99"/>
    <w:rsid w:val="00EE4758"/>
    <w:rsid w:val="00EE643C"/>
    <w:rsid w:val="00EF0683"/>
    <w:rsid w:val="00EF69D2"/>
    <w:rsid w:val="00EF766E"/>
    <w:rsid w:val="00F0070C"/>
    <w:rsid w:val="00F00EB7"/>
    <w:rsid w:val="00F12895"/>
    <w:rsid w:val="00F36AB6"/>
    <w:rsid w:val="00F37A09"/>
    <w:rsid w:val="00F409CE"/>
    <w:rsid w:val="00F4379D"/>
    <w:rsid w:val="00F46975"/>
    <w:rsid w:val="00F50D2D"/>
    <w:rsid w:val="00F56C8B"/>
    <w:rsid w:val="00F66810"/>
    <w:rsid w:val="00F846D9"/>
    <w:rsid w:val="00F84DF4"/>
    <w:rsid w:val="00F85C97"/>
    <w:rsid w:val="00FB37D2"/>
    <w:rsid w:val="00FC4EFB"/>
    <w:rsid w:val="00FD068D"/>
    <w:rsid w:val="00FD4F28"/>
    <w:rsid w:val="00FE10E2"/>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NoSpacing">
    <w:name w:val="No Spacing"/>
    <w:uiPriority w:val="1"/>
    <w:rsid w:val="00610C9B"/>
    <w:rPr>
      <w:sz w:val="24"/>
    </w:rPr>
  </w:style>
  <w:style w:type="paragraph" w:customStyle="1" w:styleId="SCCLsocOtherPartyRoleSeparator">
    <w:name w:val="SCC.Lsoc.OtherPartyRoleSeparator"/>
    <w:basedOn w:val="Normal"/>
    <w:next w:val="Normal"/>
    <w:link w:val="SCCLsocOtherPartyRoleSeparatorChar"/>
    <w:rsid w:val="00610C9B"/>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610C9B"/>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610C9B"/>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610C9B"/>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610C9B"/>
    <w:rPr>
      <w:b/>
      <w:sz w:val="24"/>
    </w:rPr>
  </w:style>
  <w:style w:type="table" w:styleId="TableGrid">
    <w:name w:val="Table Grid"/>
    <w:basedOn w:val="TableNormal"/>
    <w:uiPriority w:val="59"/>
    <w:rsid w:val="00610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10C9B"/>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610C9B"/>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610C9B"/>
    <w:pPr>
      <w:tabs>
        <w:tab w:val="left" w:pos="1166"/>
      </w:tabs>
      <w:spacing w:after="480" w:line="480" w:lineRule="auto"/>
    </w:pPr>
    <w:rPr>
      <w:smallCaps/>
      <w:sz w:val="24"/>
      <w:lang w:val="fr-CA"/>
    </w:rPr>
  </w:style>
  <w:style w:type="paragraph" w:customStyle="1" w:styleId="ParaNoNdepar-AltN">
    <w:name w:val="Para. No. / Nº de par. - Alt N"/>
    <w:qFormat/>
    <w:rsid w:val="00610C9B"/>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610C9B"/>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10C9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610C9B"/>
    <w:pPr>
      <w:numPr>
        <w:ilvl w:val="2"/>
      </w:numPr>
    </w:pPr>
  </w:style>
  <w:style w:type="paragraph" w:customStyle="1" w:styleId="Title4LevelTitre4Niveau">
    <w:name w:val="Title 4 Level / Titre 4 Niveau"/>
    <w:basedOn w:val="Title3LevelTitre3Niveau"/>
    <w:next w:val="ParaNoNdepar-AltN"/>
    <w:uiPriority w:val="4"/>
    <w:qFormat/>
    <w:rsid w:val="00610C9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610C9B"/>
    <w:pPr>
      <w:numPr>
        <w:ilvl w:val="4"/>
      </w:numPr>
    </w:pPr>
  </w:style>
  <w:style w:type="paragraph" w:customStyle="1" w:styleId="TitleTitre-AltT">
    <w:name w:val="Title / Titre - Alt T"/>
    <w:next w:val="ParaNoNdepar-AltN"/>
    <w:uiPriority w:val="3"/>
    <w:qFormat/>
    <w:rsid w:val="00610C9B"/>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10C9B"/>
    <w:pPr>
      <w:numPr>
        <w:ilvl w:val="5"/>
      </w:numPr>
    </w:pPr>
    <w:rPr>
      <w:i/>
      <w:u w:val="none"/>
    </w:rPr>
  </w:style>
  <w:style w:type="paragraph" w:styleId="DocumentMap">
    <w:name w:val="Document Map"/>
    <w:basedOn w:val="Normal"/>
    <w:link w:val="DocumentMapChar"/>
    <w:uiPriority w:val="99"/>
    <w:semiHidden/>
    <w:unhideWhenUsed/>
    <w:rsid w:val="00610C9B"/>
    <w:rPr>
      <w:rFonts w:ascii="Tahoma" w:hAnsi="Tahoma" w:cs="Tahoma"/>
      <w:sz w:val="16"/>
      <w:szCs w:val="16"/>
      <w:lang w:val="fr-CA"/>
    </w:rPr>
  </w:style>
  <w:style w:type="character" w:customStyle="1" w:styleId="DocumentMapChar">
    <w:name w:val="Document Map Char"/>
    <w:basedOn w:val="DefaultParagraphFont"/>
    <w:link w:val="DocumentMap"/>
    <w:uiPriority w:val="99"/>
    <w:semiHidden/>
    <w:rsid w:val="00610C9B"/>
    <w:rPr>
      <w:rFonts w:ascii="Tahoma" w:hAnsi="Tahoma" w:cs="Tahoma"/>
      <w:sz w:val="16"/>
      <w:szCs w:val="16"/>
      <w:lang w:val="fr-CA"/>
    </w:rPr>
  </w:style>
  <w:style w:type="paragraph" w:styleId="ListParagraph">
    <w:name w:val="List Paragraph"/>
    <w:basedOn w:val="Normal"/>
    <w:uiPriority w:val="34"/>
    <w:rsid w:val="00610C9B"/>
    <w:pPr>
      <w:ind w:left="720"/>
      <w:contextualSpacing/>
    </w:pPr>
    <w:rPr>
      <w:lang w:val="fr-CA"/>
    </w:rPr>
  </w:style>
  <w:style w:type="table" w:customStyle="1" w:styleId="TableGrid1">
    <w:name w:val="Table Grid1"/>
    <w:basedOn w:val="TableNormal"/>
    <w:next w:val="TableGrid"/>
    <w:uiPriority w:val="59"/>
    <w:rsid w:val="00610C9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668E9"/>
    <w:rPr>
      <w:lang w:val="en-CA"/>
    </w:rPr>
  </w:style>
  <w:style w:type="paragraph" w:customStyle="1" w:styleId="SCCLsocPrefix">
    <w:name w:val="SCC.Lsoc.Prefix"/>
    <w:basedOn w:val="Normal"/>
    <w:next w:val="Normal"/>
    <w:link w:val="SCCLsocPrefixChar"/>
    <w:rsid w:val="006668E9"/>
    <w:rPr>
      <w:rFonts w:eastAsiaTheme="minorHAnsi" w:cstheme="minorBidi"/>
      <w:b/>
      <w:smallCaps/>
      <w:szCs w:val="24"/>
      <w:lang w:eastAsia="en-US"/>
    </w:rPr>
  </w:style>
  <w:style w:type="character" w:customStyle="1" w:styleId="SCCLsocPrefixChar">
    <w:name w:val="SCC.Lsoc.Prefix Char"/>
    <w:basedOn w:val="DefaultParagraphFont"/>
    <w:link w:val="SCCLsocPrefix"/>
    <w:rsid w:val="006668E9"/>
    <w:rPr>
      <w:rFonts w:eastAsiaTheme="minorHAnsi" w:cstheme="minorBidi"/>
      <w:b/>
      <w:smallCaps/>
      <w:sz w:val="24"/>
      <w:szCs w:val="24"/>
      <w:lang w:eastAsia="en-US"/>
    </w:rPr>
  </w:style>
  <w:style w:type="paragraph" w:customStyle="1" w:styleId="SCCHearingJudgmentDatesText">
    <w:name w:val="SCC.HearingJudgmentDatesText"/>
    <w:basedOn w:val="Normal"/>
    <w:next w:val="Normal"/>
    <w:link w:val="SCCHearingJudgmentDatesTextChar"/>
    <w:rsid w:val="006668E9"/>
    <w:rPr>
      <w:rFonts w:eastAsiaTheme="minorHAnsi" w:cstheme="minorBidi"/>
      <w:szCs w:val="24"/>
      <w:lang w:eastAsia="en-US"/>
    </w:rPr>
  </w:style>
  <w:style w:type="character" w:customStyle="1" w:styleId="SCCHearingJudgmentDatesTextChar">
    <w:name w:val="SCC.HearingJudgmentDatesText Char"/>
    <w:basedOn w:val="DefaultParagraphFont"/>
    <w:link w:val="SCCHearingJudgmentDatesText"/>
    <w:rsid w:val="006668E9"/>
    <w:rPr>
      <w:rFonts w:eastAsiaTheme="minorHAnsi" w:cstheme="minorBidi"/>
      <w:sz w:val="24"/>
      <w:szCs w:val="24"/>
      <w:lang w:eastAsia="en-US"/>
    </w:rPr>
  </w:style>
  <w:style w:type="paragraph" w:customStyle="1" w:styleId="SCCHearingJudgmentDatesTitle">
    <w:name w:val="SCC.HearingJudgmentDatesTitle"/>
    <w:basedOn w:val="Normal"/>
    <w:next w:val="Normal"/>
    <w:link w:val="SCCHearingJudgmentDatesTitleChar"/>
    <w:rsid w:val="006668E9"/>
    <w:rPr>
      <w:rFonts w:eastAsiaTheme="minorHAnsi" w:cstheme="minorBidi"/>
      <w:b/>
      <w:smallCaps/>
      <w:szCs w:val="24"/>
      <w:lang w:eastAsia="en-US"/>
    </w:rPr>
  </w:style>
  <w:style w:type="character" w:customStyle="1" w:styleId="SCCHearingJudgmentDatesTitleChar">
    <w:name w:val="SCC.HearingJudgmentDatesTitle Char"/>
    <w:basedOn w:val="DefaultParagraphFont"/>
    <w:link w:val="SCCHearingJudgmentDatesTitle"/>
    <w:rsid w:val="006668E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2015-06-25T12:47:00Z</dcterms:created>
  <dcterms:modified xsi:type="dcterms:W3CDTF">2015-11-12T16:36:00Z</dcterms:modified>
</cp:coreProperties>
</file>