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15F" w:rsidRDefault="00AF615F" w:rsidP="00AF615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8842108" r:id="rId9"/>
        </w:object>
      </w:r>
      <w:r>
        <w:t xml:space="preserve"> </w:t>
      </w:r>
      <w:r>
        <w:ptab w:relativeTo="margin" w:alignment="right" w:leader="none"/>
      </w:r>
    </w:p>
    <w:p w:rsidR="00AF615F" w:rsidRDefault="00AF615F" w:rsidP="00AF615F">
      <w:pPr>
        <w:pStyle w:val="Header"/>
      </w:pPr>
    </w:p>
    <w:p w:rsidR="00AF615F" w:rsidRPr="006B210C" w:rsidRDefault="00AF615F" w:rsidP="00AF615F">
      <w:pPr>
        <w:jc w:val="center"/>
        <w:rPr>
          <w:b/>
        </w:rPr>
      </w:pPr>
      <w:r w:rsidRPr="006B210C">
        <w:rPr>
          <w:b/>
        </w:rPr>
        <w:t>SUPREME COURT OF CANADA</w:t>
      </w:r>
    </w:p>
    <w:p w:rsidR="00AF615F" w:rsidRDefault="00AF615F" w:rsidP="00AF615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AF615F" w:rsidRPr="006B210C" w:rsidTr="00461A24">
        <w:trPr>
          <w:cantSplit/>
        </w:trPr>
        <w:tc>
          <w:tcPr>
            <w:tcW w:w="6768" w:type="dxa"/>
          </w:tcPr>
          <w:p w:rsidR="00AF615F" w:rsidRPr="00837585" w:rsidRDefault="00AF615F" w:rsidP="00461A24">
            <w:pPr>
              <w:rPr>
                <w:lang w:val="fr-CA"/>
              </w:rPr>
            </w:pPr>
            <w:r w:rsidRPr="00837585">
              <w:rPr>
                <w:b/>
                <w:smallCaps/>
                <w:lang w:val="fr-CA"/>
              </w:rPr>
              <w:t>Citation</w:t>
            </w:r>
            <w:proofErr w:type="gramStart"/>
            <w:r w:rsidRPr="00837585">
              <w:rPr>
                <w:b/>
                <w:smallCaps/>
                <w:lang w:val="fr-CA"/>
              </w:rPr>
              <w:t>:</w:t>
            </w:r>
            <w:r w:rsidRPr="00837585">
              <w:rPr>
                <w:lang w:val="fr-CA"/>
              </w:rPr>
              <w:t xml:space="preserve"> </w:t>
            </w:r>
            <w:r>
              <w:rPr>
                <w:lang w:val="fr-CA"/>
              </w:rPr>
              <w:t xml:space="preserve"> </w:t>
            </w:r>
            <w:proofErr w:type="spellStart"/>
            <w:r w:rsidRPr="00837585">
              <w:rPr>
                <w:lang w:val="fr-CA"/>
              </w:rPr>
              <w:t>Quebec</w:t>
            </w:r>
            <w:proofErr w:type="spellEnd"/>
            <w:proofErr w:type="gramEnd"/>
            <w:r w:rsidRPr="00837585">
              <w:rPr>
                <w:lang w:val="fr-CA"/>
              </w:rPr>
              <w:t xml:space="preserve"> (Commission des droits de la personne et des droits de la jeunesse) </w:t>
            </w:r>
            <w:r w:rsidRPr="00837585">
              <w:rPr>
                <w:i/>
                <w:lang w:val="fr-CA"/>
              </w:rPr>
              <w:t>v.</w:t>
            </w:r>
            <w:r w:rsidRPr="00837585">
              <w:rPr>
                <w:lang w:val="fr-CA"/>
              </w:rPr>
              <w:t xml:space="preserve"> Bombardier Inc. (Bombardier Aerospace Training Center), 2015 SCC 39</w:t>
            </w:r>
            <w:r w:rsidRPr="00AF615F">
              <w:rPr>
                <w:lang w:val="fr-CA"/>
              </w:rPr>
              <w:t>, [2015] 2 S.C.R. 789</w:t>
            </w:r>
          </w:p>
        </w:tc>
        <w:tc>
          <w:tcPr>
            <w:tcW w:w="2808" w:type="dxa"/>
          </w:tcPr>
          <w:p w:rsidR="00AF615F" w:rsidRPr="006B210C" w:rsidRDefault="00AF615F" w:rsidP="00461A24">
            <w:r w:rsidRPr="006B210C">
              <w:rPr>
                <w:b/>
                <w:smallCaps/>
              </w:rPr>
              <w:t>Date</w:t>
            </w:r>
            <w:r>
              <w:rPr>
                <w:b/>
                <w:smallCaps/>
              </w:rPr>
              <w:t>:</w:t>
            </w:r>
            <w:r w:rsidRPr="006B210C">
              <w:t xml:space="preserve"> </w:t>
            </w:r>
            <w:r>
              <w:t>20150723</w:t>
            </w:r>
          </w:p>
          <w:p w:rsidR="00AF615F" w:rsidRPr="006B210C" w:rsidRDefault="00AF615F" w:rsidP="00461A24">
            <w:r w:rsidRPr="006B210C">
              <w:rPr>
                <w:b/>
                <w:smallCaps/>
              </w:rPr>
              <w:t>Docket</w:t>
            </w:r>
            <w:r>
              <w:rPr>
                <w:b/>
                <w:smallCaps/>
              </w:rPr>
              <w:t>:</w:t>
            </w:r>
            <w:r w:rsidRPr="006B210C">
              <w:t xml:space="preserve"> </w:t>
            </w:r>
            <w:r>
              <w:t>35625</w:t>
            </w:r>
          </w:p>
        </w:tc>
      </w:tr>
    </w:tbl>
    <w:p w:rsidR="00AF615F" w:rsidRPr="006B210C" w:rsidRDefault="00AF615F" w:rsidP="00AF615F"/>
    <w:p w:rsidR="00AF615F" w:rsidRPr="00A26143" w:rsidRDefault="00AF615F" w:rsidP="00AF615F">
      <w:pPr>
        <w:pStyle w:val="SCCLsocPrefix"/>
        <w:rPr>
          <w:lang w:val="fr-CA"/>
        </w:rPr>
      </w:pPr>
      <w:proofErr w:type="spellStart"/>
      <w:r w:rsidRPr="00A26143">
        <w:rPr>
          <w:lang w:val="fr-CA"/>
        </w:rPr>
        <w:t>Between</w:t>
      </w:r>
      <w:proofErr w:type="spellEnd"/>
      <w:r w:rsidRPr="00A26143">
        <w:rPr>
          <w:lang w:val="fr-CA"/>
        </w:rPr>
        <w:t>:</w:t>
      </w:r>
    </w:p>
    <w:p w:rsidR="00AF615F" w:rsidRPr="00837585" w:rsidRDefault="00AF615F" w:rsidP="00AF615F">
      <w:pPr>
        <w:pStyle w:val="SCCLsocParty"/>
        <w:jc w:val="center"/>
        <w:rPr>
          <w:lang w:val="fr-CA"/>
        </w:rPr>
      </w:pPr>
      <w:r w:rsidRPr="00837585">
        <w:rPr>
          <w:lang w:val="fr-CA"/>
        </w:rPr>
        <w:t>Commission des droits de la personne et des droits de la jeunesse</w:t>
      </w:r>
    </w:p>
    <w:p w:rsidR="00AF615F" w:rsidRPr="00A26143" w:rsidRDefault="00AF615F" w:rsidP="00AF615F">
      <w:pPr>
        <w:jc w:val="center"/>
        <w:rPr>
          <w:lang w:val="fr-CA"/>
        </w:rPr>
      </w:pPr>
      <w:proofErr w:type="spellStart"/>
      <w:r w:rsidRPr="00A26143">
        <w:rPr>
          <w:lang w:val="fr-CA"/>
        </w:rPr>
        <w:t>Appellant</w:t>
      </w:r>
      <w:proofErr w:type="spellEnd"/>
    </w:p>
    <w:p w:rsidR="00AF615F" w:rsidRPr="00A26143" w:rsidRDefault="00AF615F" w:rsidP="00AF615F">
      <w:pPr>
        <w:pStyle w:val="SCCLsocVersus"/>
        <w:spacing w:after="0"/>
        <w:jc w:val="center"/>
        <w:rPr>
          <w:i w:val="0"/>
          <w:lang w:val="fr-CA"/>
        </w:rPr>
      </w:pPr>
      <w:proofErr w:type="gramStart"/>
      <w:r w:rsidRPr="00A26143">
        <w:rPr>
          <w:i w:val="0"/>
          <w:lang w:val="fr-CA"/>
        </w:rPr>
        <w:t>and</w:t>
      </w:r>
      <w:proofErr w:type="gramEnd"/>
    </w:p>
    <w:p w:rsidR="00AF615F" w:rsidRPr="00A26143" w:rsidRDefault="00AF615F" w:rsidP="00AF615F">
      <w:pPr>
        <w:pStyle w:val="SCCLsocParty"/>
        <w:jc w:val="center"/>
        <w:rPr>
          <w:lang w:val="fr-CA"/>
        </w:rPr>
      </w:pPr>
      <w:r w:rsidRPr="00A26143">
        <w:rPr>
          <w:lang w:val="fr-CA"/>
        </w:rPr>
        <w:t xml:space="preserve">Bombardier Inc. (Bombardier Aerospace Training Center) and </w:t>
      </w:r>
      <w:proofErr w:type="spellStart"/>
      <w:r w:rsidRPr="00A26143">
        <w:rPr>
          <w:lang w:val="fr-CA"/>
        </w:rPr>
        <w:t>Javed</w:t>
      </w:r>
      <w:proofErr w:type="spellEnd"/>
      <w:r w:rsidRPr="00A26143">
        <w:rPr>
          <w:lang w:val="fr-CA"/>
        </w:rPr>
        <w:t xml:space="preserve"> </w:t>
      </w:r>
      <w:proofErr w:type="spellStart"/>
      <w:r w:rsidRPr="00A26143">
        <w:rPr>
          <w:lang w:val="fr-CA"/>
        </w:rPr>
        <w:t>Latif</w:t>
      </w:r>
      <w:proofErr w:type="spellEnd"/>
    </w:p>
    <w:p w:rsidR="00AF615F" w:rsidRPr="00A26143" w:rsidRDefault="00AF615F" w:rsidP="00AF615F">
      <w:pPr>
        <w:jc w:val="center"/>
        <w:rPr>
          <w:lang w:val="fr-CA"/>
        </w:rPr>
      </w:pPr>
      <w:proofErr w:type="spellStart"/>
      <w:r w:rsidRPr="00A26143">
        <w:rPr>
          <w:lang w:val="fr-CA"/>
        </w:rPr>
        <w:t>Respondents</w:t>
      </w:r>
      <w:proofErr w:type="spellEnd"/>
    </w:p>
    <w:p w:rsidR="00AF615F" w:rsidRPr="00A26143" w:rsidRDefault="00AF615F" w:rsidP="00A26143">
      <w:pPr>
        <w:pStyle w:val="SCCLsocSubfileSeparator"/>
        <w:tabs>
          <w:tab w:val="left" w:pos="3348"/>
          <w:tab w:val="center" w:pos="4140"/>
        </w:tabs>
        <w:spacing w:after="0"/>
        <w:jc w:val="both"/>
        <w:rPr>
          <w:b/>
          <w:smallCaps/>
        </w:rPr>
      </w:pPr>
      <w:r w:rsidRPr="00A26143">
        <w:rPr>
          <w:b/>
          <w:smallCaps/>
        </w:rPr>
        <w:t>And Between:</w:t>
      </w:r>
    </w:p>
    <w:p w:rsidR="00AF615F" w:rsidRPr="00BE1868" w:rsidRDefault="00AF615F" w:rsidP="00AF615F">
      <w:pPr>
        <w:pStyle w:val="SCCLsocParty"/>
        <w:jc w:val="center"/>
        <w:rPr>
          <w:lang w:val="fr-CA"/>
        </w:rPr>
      </w:pPr>
      <w:bookmarkStart w:id="0" w:name="_GoBack"/>
      <w:bookmarkEnd w:id="0"/>
      <w:proofErr w:type="spellStart"/>
      <w:r w:rsidRPr="00BE1868">
        <w:rPr>
          <w:lang w:val="fr-CA"/>
        </w:rPr>
        <w:t>Javed</w:t>
      </w:r>
      <w:proofErr w:type="spellEnd"/>
      <w:r w:rsidRPr="00BE1868">
        <w:rPr>
          <w:lang w:val="fr-CA"/>
        </w:rPr>
        <w:t xml:space="preserve"> </w:t>
      </w:r>
      <w:proofErr w:type="spellStart"/>
      <w:r w:rsidRPr="00BE1868">
        <w:rPr>
          <w:lang w:val="fr-CA"/>
        </w:rPr>
        <w:t>Latif</w:t>
      </w:r>
      <w:proofErr w:type="spellEnd"/>
    </w:p>
    <w:p w:rsidR="00AF615F" w:rsidRPr="00BE1868" w:rsidRDefault="00AF615F" w:rsidP="00AF615F">
      <w:pPr>
        <w:jc w:val="center"/>
        <w:rPr>
          <w:lang w:val="fr-CA"/>
        </w:rPr>
      </w:pPr>
      <w:proofErr w:type="spellStart"/>
      <w:r w:rsidRPr="00BE1868">
        <w:rPr>
          <w:lang w:val="fr-CA"/>
        </w:rPr>
        <w:t>Appellant</w:t>
      </w:r>
      <w:proofErr w:type="spellEnd"/>
    </w:p>
    <w:p w:rsidR="00AF615F" w:rsidRPr="00AF615F" w:rsidRDefault="00AF615F" w:rsidP="00AF615F">
      <w:pPr>
        <w:pStyle w:val="SCCLsocVersus"/>
        <w:spacing w:after="0"/>
        <w:jc w:val="center"/>
        <w:rPr>
          <w:i w:val="0"/>
          <w:lang w:val="fr-CA"/>
        </w:rPr>
      </w:pPr>
      <w:proofErr w:type="gramStart"/>
      <w:r w:rsidRPr="00AF615F">
        <w:rPr>
          <w:i w:val="0"/>
          <w:lang w:val="fr-CA"/>
        </w:rPr>
        <w:t>and</w:t>
      </w:r>
      <w:proofErr w:type="gramEnd"/>
    </w:p>
    <w:p w:rsidR="00AF615F" w:rsidRPr="00837585" w:rsidRDefault="00AF615F" w:rsidP="00AF615F">
      <w:pPr>
        <w:pStyle w:val="SCCLsocParty"/>
        <w:jc w:val="center"/>
        <w:rPr>
          <w:lang w:val="fr-CA"/>
        </w:rPr>
      </w:pPr>
      <w:r w:rsidRPr="00837585">
        <w:rPr>
          <w:lang w:val="fr-CA"/>
        </w:rPr>
        <w:t>Bombardier Inc. (Bombardier Aerospace Training Cent</w:t>
      </w:r>
      <w:r>
        <w:rPr>
          <w:lang w:val="fr-CA"/>
        </w:rPr>
        <w:t>er) and</w:t>
      </w:r>
      <w:r w:rsidRPr="00837585">
        <w:rPr>
          <w:lang w:val="fr-CA"/>
        </w:rPr>
        <w:t xml:space="preserve"> Commission des droits de la personne et des droits de la jeunesse</w:t>
      </w:r>
    </w:p>
    <w:p w:rsidR="00AF615F" w:rsidRDefault="00AF615F" w:rsidP="00AF615F">
      <w:pPr>
        <w:jc w:val="center"/>
      </w:pPr>
      <w:r>
        <w:t>Respondents</w:t>
      </w:r>
    </w:p>
    <w:p w:rsidR="00AF615F" w:rsidRDefault="00AF615F" w:rsidP="00AF615F">
      <w:pPr>
        <w:pStyle w:val="SCCLsocOtherPartySeparator"/>
        <w:spacing w:after="0"/>
        <w:jc w:val="center"/>
      </w:pPr>
      <w:r>
        <w:t xml:space="preserve">- </w:t>
      </w:r>
      <w:proofErr w:type="gramStart"/>
      <w:r>
        <w:t>and</w:t>
      </w:r>
      <w:proofErr w:type="gramEnd"/>
      <w:r>
        <w:t xml:space="preserve"> -</w:t>
      </w:r>
    </w:p>
    <w:p w:rsidR="00AF615F" w:rsidRDefault="00AF615F" w:rsidP="00AF615F">
      <w:pPr>
        <w:pStyle w:val="SCCLsocParty"/>
        <w:jc w:val="center"/>
      </w:pPr>
      <w:r>
        <w:t>Canadian Civil Liberties Association, Canadian Human Rights Commission, Center for Research-Action on Race Relations, National Council of Canadian Muslims, Canadian Muslim Lawyers Association and South Asian Legal Clinic of Ontario</w:t>
      </w:r>
    </w:p>
    <w:p w:rsidR="00AF615F" w:rsidRDefault="00AF615F" w:rsidP="00AF615F">
      <w:pPr>
        <w:jc w:val="center"/>
      </w:pPr>
      <w:r>
        <w:t>Interveners</w:t>
      </w:r>
    </w:p>
    <w:p w:rsidR="00AF615F" w:rsidRDefault="00AF615F" w:rsidP="00AF615F">
      <w:pPr>
        <w:jc w:val="center"/>
      </w:pPr>
    </w:p>
    <w:p w:rsidR="00AF615F" w:rsidRPr="006B210C" w:rsidRDefault="00AF615F" w:rsidP="00AF615F">
      <w:pPr>
        <w:jc w:val="center"/>
        <w:rPr>
          <w:b/>
          <w:smallCaps/>
        </w:rPr>
      </w:pPr>
      <w:r w:rsidRPr="006B210C">
        <w:rPr>
          <w:b/>
          <w:smallCaps/>
        </w:rPr>
        <w:t>Official English Translation</w:t>
      </w:r>
    </w:p>
    <w:p w:rsidR="00AF615F" w:rsidRDefault="00AF615F" w:rsidP="00AF615F">
      <w:pPr>
        <w:rPr>
          <w:b/>
          <w:smallCaps/>
        </w:rPr>
      </w:pPr>
    </w:p>
    <w:p w:rsidR="00AF615F" w:rsidRPr="006B210C" w:rsidRDefault="00AF615F" w:rsidP="00AF615F">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Karakatsanis</w:t>
      </w:r>
      <w:proofErr w:type="spellEnd"/>
      <w:r>
        <w:t xml:space="preserve">, Wagner and </w:t>
      </w:r>
      <w:proofErr w:type="spellStart"/>
      <w:r>
        <w:t>Côté</w:t>
      </w:r>
      <w:proofErr w:type="spellEnd"/>
      <w:r>
        <w:t> JJ.</w:t>
      </w:r>
    </w:p>
    <w:p w:rsidR="00AF615F" w:rsidRPr="006B210C" w:rsidRDefault="00AF615F" w:rsidP="00AF61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F615F" w:rsidRPr="006B210C" w:rsidTr="00461A24">
        <w:trPr>
          <w:cantSplit/>
        </w:trPr>
        <w:tc>
          <w:tcPr>
            <w:tcW w:w="3618" w:type="dxa"/>
          </w:tcPr>
          <w:p w:rsidR="00AF615F" w:rsidRDefault="00AF615F" w:rsidP="00461A24">
            <w:pPr>
              <w:rPr>
                <w:b/>
                <w:smallCaps/>
              </w:rPr>
            </w:pPr>
            <w:r>
              <w:rPr>
                <w:b/>
                <w:smallCaps/>
              </w:rPr>
              <w:t xml:space="preserve">Joint </w:t>
            </w:r>
            <w:r w:rsidRPr="006B210C">
              <w:rPr>
                <w:b/>
                <w:smallCaps/>
              </w:rPr>
              <w:t>Reasons for Judgment</w:t>
            </w:r>
            <w:r>
              <w:rPr>
                <w:b/>
                <w:smallCaps/>
              </w:rPr>
              <w:t>:</w:t>
            </w:r>
          </w:p>
          <w:p w:rsidR="00AF615F" w:rsidRPr="006B210C" w:rsidRDefault="00AF615F" w:rsidP="00461A24">
            <w:r>
              <w:t>(paras. 1 to 107)</w:t>
            </w:r>
          </w:p>
        </w:tc>
        <w:tc>
          <w:tcPr>
            <w:tcW w:w="5958" w:type="dxa"/>
          </w:tcPr>
          <w:p w:rsidR="00AF615F" w:rsidRPr="006B210C" w:rsidRDefault="00AF615F" w:rsidP="00461A24">
            <w:r>
              <w:t xml:space="preserve">Wagner and </w:t>
            </w:r>
            <w:proofErr w:type="spellStart"/>
            <w:r>
              <w:t>Côté</w:t>
            </w:r>
            <w:proofErr w:type="spellEnd"/>
            <w:r>
              <w:t xml:space="preserve"> JJ. (</w:t>
            </w:r>
            <w:proofErr w:type="spellStart"/>
            <w:r>
              <w:t>McLachlin</w:t>
            </w:r>
            <w:proofErr w:type="spellEnd"/>
            <w:r>
              <w:t xml:space="preserve"> C.J. and </w:t>
            </w:r>
            <w:proofErr w:type="spellStart"/>
            <w:r>
              <w:t>Abella</w:t>
            </w:r>
            <w:proofErr w:type="spellEnd"/>
            <w:r>
              <w:t xml:space="preserve">, Rothstein, Cromwell and </w:t>
            </w:r>
            <w:proofErr w:type="spellStart"/>
            <w:r>
              <w:t>Karakatsanis</w:t>
            </w:r>
            <w:proofErr w:type="spellEnd"/>
            <w:r>
              <w:t xml:space="preserve"> JJ. concurring)</w:t>
            </w:r>
          </w:p>
        </w:tc>
      </w:tr>
    </w:tbl>
    <w:p w:rsidR="00AF615F" w:rsidRPr="006B210C" w:rsidRDefault="00AF615F" w:rsidP="00AF615F"/>
    <w:p w:rsidR="00AF615F" w:rsidRPr="006B210C" w:rsidRDefault="00A26143" w:rsidP="00AF615F">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AF615F" w:rsidRPr="00AF615F" w:rsidRDefault="00AF615F" w:rsidP="00E810E1">
      <w:pPr>
        <w:widowControl w:val="0"/>
        <w:spacing w:after="720"/>
        <w:jc w:val="both"/>
      </w:pPr>
    </w:p>
    <w:p w:rsidR="008322BD" w:rsidRPr="003A6CBA" w:rsidRDefault="003A6CBA" w:rsidP="00E810E1">
      <w:pPr>
        <w:widowControl w:val="0"/>
        <w:spacing w:after="720"/>
        <w:jc w:val="both"/>
        <w:rPr>
          <w:lang w:val="fr-CA"/>
        </w:rPr>
      </w:pPr>
      <w:proofErr w:type="spellStart"/>
      <w:r w:rsidRPr="003A6CBA">
        <w:rPr>
          <w:lang w:val="fr-CA"/>
        </w:rPr>
        <w:t>Quebec</w:t>
      </w:r>
      <w:proofErr w:type="spellEnd"/>
      <w:r w:rsidRPr="003A6CBA">
        <w:rPr>
          <w:lang w:val="fr-CA"/>
        </w:rPr>
        <w:t xml:space="preserve"> (</w:t>
      </w:r>
      <w:r w:rsidRPr="003A6CBA">
        <w:rPr>
          <w:rStyle w:val="SCCAppellantForIndexChar"/>
          <w:b w:val="0"/>
          <w:lang w:val="fr-CA"/>
        </w:rPr>
        <w:t>Commission des droits de la personne et des droits de la jeunesse)</w:t>
      </w:r>
      <w:r w:rsidRPr="003A6CBA">
        <w:rPr>
          <w:lang w:val="fr-CA"/>
        </w:rPr>
        <w:t xml:space="preserve"> </w:t>
      </w:r>
      <w:r w:rsidRPr="003A6CBA">
        <w:rPr>
          <w:i/>
          <w:lang w:val="fr-CA"/>
        </w:rPr>
        <w:t>v.</w:t>
      </w:r>
      <w:r w:rsidRPr="003A6CBA">
        <w:rPr>
          <w:lang w:val="fr-CA"/>
        </w:rPr>
        <w:t xml:space="preserve"> </w:t>
      </w:r>
      <w:r w:rsidRPr="003A6CBA">
        <w:rPr>
          <w:rStyle w:val="SCCRespondentForIndexChar"/>
          <w:b w:val="0"/>
          <w:lang w:val="fr-CA"/>
        </w:rPr>
        <w:t>Bombardier Inc. (</w:t>
      </w:r>
      <w:r w:rsidRPr="003A6CBA">
        <w:rPr>
          <w:lang w:val="fr-CA"/>
        </w:rPr>
        <w:t>Bombardier Aerospace Training Center)</w:t>
      </w:r>
      <w:r>
        <w:rPr>
          <w:lang w:val="fr-CA"/>
        </w:rPr>
        <w:t xml:space="preserve">, </w:t>
      </w:r>
      <w:r w:rsidRPr="00AF615F">
        <w:rPr>
          <w:lang w:val="fr-CA"/>
        </w:rPr>
        <w:t xml:space="preserve">2015 SCC 39, [2015] 2 </w:t>
      </w:r>
      <w:r w:rsidRPr="00AF615F">
        <w:rPr>
          <w:lang w:val="fr-CA"/>
        </w:rPr>
        <w:lastRenderedPageBreak/>
        <w:t>S.C.R. 789</w:t>
      </w:r>
    </w:p>
    <w:p w:rsidR="00AC5392" w:rsidRPr="00EB7620" w:rsidRDefault="006550E1" w:rsidP="00E810E1">
      <w:pPr>
        <w:pStyle w:val="SCCLsocLastPartyInRole"/>
        <w:widowControl w:val="0"/>
        <w:rPr>
          <w:lang w:val="fr-CA"/>
        </w:rPr>
      </w:pPr>
      <w:r w:rsidRPr="00EB7620">
        <w:rPr>
          <w:lang w:val="fr-CA"/>
        </w:rPr>
        <w:t>Commission des droits de la personne et des droits de la jeunesse</w:t>
      </w:r>
      <w:r w:rsidRPr="00EB7620">
        <w:rPr>
          <w:rStyle w:val="SCCLsocPartyRole"/>
          <w:lang w:val="fr-CA"/>
        </w:rPr>
        <w:tab/>
      </w:r>
      <w:proofErr w:type="spellStart"/>
      <w:r w:rsidRPr="00EB7620">
        <w:rPr>
          <w:rStyle w:val="SCCLsocPartyRole"/>
          <w:lang w:val="fr-CA"/>
        </w:rPr>
        <w:t>Appellant</w:t>
      </w:r>
      <w:proofErr w:type="spellEnd"/>
    </w:p>
    <w:p w:rsidR="00AC5392" w:rsidRPr="00EB7620" w:rsidRDefault="006550E1" w:rsidP="00E810E1">
      <w:pPr>
        <w:pStyle w:val="SCCLsocVersus"/>
        <w:widowControl w:val="0"/>
        <w:rPr>
          <w:lang w:val="fr-CA"/>
        </w:rPr>
      </w:pPr>
      <w:r w:rsidRPr="00EB7620">
        <w:rPr>
          <w:lang w:val="fr-CA"/>
        </w:rPr>
        <w:t>v.</w:t>
      </w:r>
    </w:p>
    <w:p w:rsidR="00AC5392" w:rsidRPr="00EB7620" w:rsidRDefault="006550E1" w:rsidP="00E810E1">
      <w:pPr>
        <w:pStyle w:val="SCCLsocParty"/>
        <w:widowControl w:val="0"/>
        <w:rPr>
          <w:lang w:val="fr-CA"/>
        </w:rPr>
      </w:pPr>
      <w:r w:rsidRPr="00EB7620">
        <w:rPr>
          <w:lang w:val="fr-CA"/>
        </w:rPr>
        <w:t>Bombardier Inc. (Bombardier Aerospace Training Center) and</w:t>
      </w:r>
    </w:p>
    <w:p w:rsidR="00AC5392" w:rsidRPr="00EB7620" w:rsidRDefault="006550E1" w:rsidP="00E810E1">
      <w:pPr>
        <w:pStyle w:val="SCCLsocLastPartyInRole"/>
        <w:widowControl w:val="0"/>
        <w:rPr>
          <w:lang w:val="fr-CA"/>
        </w:rPr>
      </w:pPr>
      <w:proofErr w:type="spellStart"/>
      <w:r w:rsidRPr="00EB7620">
        <w:rPr>
          <w:lang w:val="fr-CA"/>
        </w:rPr>
        <w:t>Javed</w:t>
      </w:r>
      <w:proofErr w:type="spellEnd"/>
      <w:r w:rsidRPr="00EB7620">
        <w:rPr>
          <w:lang w:val="fr-CA"/>
        </w:rPr>
        <w:t xml:space="preserve"> </w:t>
      </w:r>
      <w:proofErr w:type="spellStart"/>
      <w:r w:rsidRPr="00EB7620">
        <w:rPr>
          <w:lang w:val="fr-CA"/>
        </w:rPr>
        <w:t>Latif</w:t>
      </w:r>
      <w:proofErr w:type="spellEnd"/>
      <w:r w:rsidRPr="00EB7620">
        <w:rPr>
          <w:rStyle w:val="SCCLsocPartyRole"/>
          <w:lang w:val="fr-CA"/>
        </w:rPr>
        <w:tab/>
      </w:r>
      <w:proofErr w:type="spellStart"/>
      <w:r w:rsidRPr="00EB7620">
        <w:rPr>
          <w:rStyle w:val="SCCLsocPartyRole"/>
          <w:lang w:val="fr-CA"/>
        </w:rPr>
        <w:t>Respondents</w:t>
      </w:r>
      <w:proofErr w:type="spellEnd"/>
    </w:p>
    <w:p w:rsidR="00AC5392" w:rsidRPr="00EB7620" w:rsidRDefault="00570231" w:rsidP="00E810E1">
      <w:pPr>
        <w:pStyle w:val="SCCLsocSubfileSeparator"/>
        <w:widowControl w:val="0"/>
        <w:rPr>
          <w:lang w:val="fr-CA"/>
        </w:rPr>
      </w:pPr>
      <w:r w:rsidRPr="00EB7620">
        <w:rPr>
          <w:lang w:val="fr-CA"/>
        </w:rPr>
        <w:noBreakHyphen/>
      </w:r>
      <w:r w:rsidR="006550E1" w:rsidRPr="00EB7620">
        <w:rPr>
          <w:lang w:val="fr-CA"/>
        </w:rPr>
        <w:t xml:space="preserve"> </w:t>
      </w:r>
      <w:proofErr w:type="gramStart"/>
      <w:r w:rsidR="006550E1" w:rsidRPr="00EB7620">
        <w:rPr>
          <w:lang w:val="fr-CA"/>
        </w:rPr>
        <w:t>and</w:t>
      </w:r>
      <w:proofErr w:type="gramEnd"/>
      <w:r w:rsidR="006550E1" w:rsidRPr="00EB7620">
        <w:rPr>
          <w:lang w:val="fr-CA"/>
        </w:rPr>
        <w:t xml:space="preserve"> </w:t>
      </w:r>
      <w:r w:rsidRPr="00EB7620">
        <w:rPr>
          <w:lang w:val="fr-CA"/>
        </w:rPr>
        <w:noBreakHyphen/>
      </w:r>
    </w:p>
    <w:p w:rsidR="00AC5392" w:rsidRPr="00EB7620" w:rsidRDefault="006550E1" w:rsidP="00E810E1">
      <w:pPr>
        <w:pStyle w:val="SCCLsocLastPartyInRole"/>
        <w:widowControl w:val="0"/>
        <w:rPr>
          <w:lang w:val="fr-CA"/>
        </w:rPr>
      </w:pPr>
      <w:proofErr w:type="spellStart"/>
      <w:r w:rsidRPr="00EB7620">
        <w:rPr>
          <w:lang w:val="fr-CA"/>
        </w:rPr>
        <w:t>Javed</w:t>
      </w:r>
      <w:proofErr w:type="spellEnd"/>
      <w:r w:rsidRPr="00EB7620">
        <w:rPr>
          <w:lang w:val="fr-CA"/>
        </w:rPr>
        <w:t xml:space="preserve"> </w:t>
      </w:r>
      <w:proofErr w:type="spellStart"/>
      <w:r w:rsidRPr="00EB7620">
        <w:rPr>
          <w:lang w:val="fr-CA"/>
        </w:rPr>
        <w:t>Latif</w:t>
      </w:r>
      <w:proofErr w:type="spellEnd"/>
      <w:r w:rsidRPr="00EB7620">
        <w:rPr>
          <w:rStyle w:val="SCCLsocPartyRole"/>
          <w:lang w:val="fr-CA"/>
        </w:rPr>
        <w:tab/>
      </w:r>
      <w:proofErr w:type="spellStart"/>
      <w:r w:rsidRPr="00EB7620">
        <w:rPr>
          <w:rStyle w:val="SCCLsocPartyRole"/>
          <w:lang w:val="fr-CA"/>
        </w:rPr>
        <w:t>Appellant</w:t>
      </w:r>
      <w:proofErr w:type="spellEnd"/>
    </w:p>
    <w:p w:rsidR="00AC5392" w:rsidRPr="00EB7620" w:rsidRDefault="006550E1" w:rsidP="00E810E1">
      <w:pPr>
        <w:pStyle w:val="SCCLsocVersus"/>
        <w:widowControl w:val="0"/>
        <w:rPr>
          <w:lang w:val="fr-CA"/>
        </w:rPr>
      </w:pPr>
      <w:r w:rsidRPr="00EB7620">
        <w:rPr>
          <w:lang w:val="fr-CA"/>
        </w:rPr>
        <w:t>v.</w:t>
      </w:r>
    </w:p>
    <w:p w:rsidR="00AC5392" w:rsidRPr="00EB7620" w:rsidRDefault="006550E1" w:rsidP="00E810E1">
      <w:pPr>
        <w:pStyle w:val="SCCLsocParty"/>
        <w:widowControl w:val="0"/>
        <w:rPr>
          <w:lang w:val="fr-CA"/>
        </w:rPr>
      </w:pPr>
      <w:r w:rsidRPr="00EB7620">
        <w:rPr>
          <w:lang w:val="fr-CA"/>
        </w:rPr>
        <w:t>Bombardier Inc. (Bombardier Aerospace Training Center) and</w:t>
      </w:r>
    </w:p>
    <w:p w:rsidR="00AC5392" w:rsidRPr="00EB7620" w:rsidRDefault="006550E1" w:rsidP="00E810E1">
      <w:pPr>
        <w:pStyle w:val="SCCLsocLastPartyInRole"/>
        <w:widowControl w:val="0"/>
        <w:rPr>
          <w:lang w:val="fr-CA"/>
        </w:rPr>
      </w:pPr>
      <w:r w:rsidRPr="00EB7620">
        <w:rPr>
          <w:lang w:val="fr-CA"/>
        </w:rPr>
        <w:t>Commission des droits de la personne et des droits de la jeunesse</w:t>
      </w:r>
      <w:r w:rsidRPr="00EB7620">
        <w:rPr>
          <w:rStyle w:val="SCCLsocPartyRole"/>
          <w:lang w:val="fr-CA"/>
        </w:rPr>
        <w:tab/>
      </w:r>
      <w:proofErr w:type="spellStart"/>
      <w:r w:rsidRPr="00EB7620">
        <w:rPr>
          <w:rStyle w:val="SCCLsocPartyRole"/>
          <w:lang w:val="fr-CA"/>
        </w:rPr>
        <w:t>Respondents</w:t>
      </w:r>
      <w:proofErr w:type="spellEnd"/>
    </w:p>
    <w:p w:rsidR="00AC5392" w:rsidRPr="00BA4482" w:rsidRDefault="006550E1" w:rsidP="00E810E1">
      <w:pPr>
        <w:pStyle w:val="SCCLsocOtherPartySeparator"/>
        <w:widowControl w:val="0"/>
      </w:pPr>
      <w:proofErr w:type="gramStart"/>
      <w:r w:rsidRPr="00BA4482">
        <w:t>and</w:t>
      </w:r>
      <w:proofErr w:type="gramEnd"/>
    </w:p>
    <w:p w:rsidR="00AC5392" w:rsidRPr="00BA4482" w:rsidRDefault="006550E1" w:rsidP="00E810E1">
      <w:pPr>
        <w:pStyle w:val="SCCLsocParty"/>
        <w:widowControl w:val="0"/>
      </w:pPr>
      <w:r w:rsidRPr="00BA4482">
        <w:t>Canadian Civil Liberties Association,</w:t>
      </w:r>
    </w:p>
    <w:p w:rsidR="00AC5392" w:rsidRPr="00BA4482" w:rsidRDefault="006550E1" w:rsidP="00E810E1">
      <w:pPr>
        <w:pStyle w:val="SCCLsocParty"/>
        <w:widowControl w:val="0"/>
      </w:pPr>
      <w:r w:rsidRPr="00BA4482">
        <w:t>Canadian Human Rights Commission,</w:t>
      </w:r>
    </w:p>
    <w:p w:rsidR="00AC5392" w:rsidRPr="00BA4482" w:rsidRDefault="006550E1" w:rsidP="00E810E1">
      <w:pPr>
        <w:pStyle w:val="SCCLsocParty"/>
        <w:widowControl w:val="0"/>
      </w:pPr>
      <w:r w:rsidRPr="00BA4482">
        <w:t>Center for Research</w:t>
      </w:r>
      <w:r w:rsidR="00570231" w:rsidRPr="00BA4482">
        <w:noBreakHyphen/>
      </w:r>
      <w:r w:rsidRPr="00BA4482">
        <w:t>Action on Race Relations,</w:t>
      </w:r>
    </w:p>
    <w:p w:rsidR="00AC5392" w:rsidRPr="00BA4482" w:rsidRDefault="006550E1" w:rsidP="00E810E1">
      <w:pPr>
        <w:pStyle w:val="SCCLsocParty"/>
        <w:widowControl w:val="0"/>
      </w:pPr>
      <w:r w:rsidRPr="00BA4482">
        <w:t>National Council of Canadian Muslims,</w:t>
      </w:r>
    </w:p>
    <w:p w:rsidR="00AC5392" w:rsidRPr="00BA4482" w:rsidRDefault="006550E1" w:rsidP="00E810E1">
      <w:pPr>
        <w:pStyle w:val="SCCLsocParty"/>
        <w:widowControl w:val="0"/>
      </w:pPr>
      <w:r w:rsidRPr="00BA4482">
        <w:t>Canadian Muslim Lawyers Association and</w:t>
      </w:r>
    </w:p>
    <w:p w:rsidR="00AC5392" w:rsidRPr="00BA4482" w:rsidRDefault="006550E1" w:rsidP="00E810E1">
      <w:pPr>
        <w:pStyle w:val="SCCLsocLastPartyInRole"/>
        <w:widowControl w:val="0"/>
      </w:pPr>
      <w:r w:rsidRPr="00BA4482">
        <w:t>South Asian Legal Clinic of Ontario</w:t>
      </w:r>
      <w:r w:rsidRPr="00BA4482">
        <w:rPr>
          <w:rStyle w:val="SCCLsocPartyRole"/>
        </w:rPr>
        <w:tab/>
        <w:t>Interveners</w:t>
      </w:r>
    </w:p>
    <w:p w:rsidR="00426659" w:rsidRPr="00BA4482" w:rsidRDefault="00426659" w:rsidP="00E810E1">
      <w:pPr>
        <w:widowControl w:val="0"/>
        <w:spacing w:after="720"/>
        <w:jc w:val="both"/>
        <w:rPr>
          <w:b/>
        </w:rPr>
      </w:pPr>
      <w:proofErr w:type="spellStart"/>
      <w:r w:rsidRPr="00EB7620">
        <w:rPr>
          <w:b/>
          <w:lang w:val="fr-CA"/>
        </w:rPr>
        <w:t>Indexed</w:t>
      </w:r>
      <w:proofErr w:type="spellEnd"/>
      <w:r w:rsidRPr="00EB7620">
        <w:rPr>
          <w:b/>
          <w:lang w:val="fr-CA"/>
        </w:rPr>
        <w:t xml:space="preserve"> as: </w:t>
      </w:r>
      <w:proofErr w:type="spellStart"/>
      <w:r w:rsidR="00EF5CB0" w:rsidRPr="00EB7620">
        <w:rPr>
          <w:b/>
          <w:lang w:val="fr-CA"/>
        </w:rPr>
        <w:t>Quebec</w:t>
      </w:r>
      <w:proofErr w:type="spellEnd"/>
      <w:r w:rsidR="00EF5CB0" w:rsidRPr="00EB7620">
        <w:rPr>
          <w:b/>
          <w:lang w:val="fr-CA"/>
        </w:rPr>
        <w:t xml:space="preserve"> (</w:t>
      </w:r>
      <w:r w:rsidR="00EF5CB0" w:rsidRPr="00EB7620">
        <w:rPr>
          <w:rStyle w:val="SCCAppellantForIndexChar"/>
          <w:lang w:val="fr-CA"/>
        </w:rPr>
        <w:t>Commission des droits de la personne et des droits de la jeunesse)</w:t>
      </w:r>
      <w:r w:rsidRPr="00EB7620">
        <w:rPr>
          <w:b/>
          <w:lang w:val="fr-CA"/>
        </w:rPr>
        <w:t xml:space="preserve"> </w:t>
      </w:r>
      <w:r w:rsidRPr="00EB7620">
        <w:rPr>
          <w:b/>
          <w:i/>
          <w:lang w:val="fr-CA"/>
        </w:rPr>
        <w:t>v.</w:t>
      </w:r>
      <w:r w:rsidRPr="00EB7620">
        <w:rPr>
          <w:b/>
          <w:lang w:val="fr-CA"/>
        </w:rPr>
        <w:t xml:space="preserve"> </w:t>
      </w:r>
      <w:r w:rsidRPr="00EB7620">
        <w:rPr>
          <w:rStyle w:val="SCCRespondentForIndexChar"/>
          <w:lang w:val="fr-CA"/>
        </w:rPr>
        <w:t>Bombardier Inc.</w:t>
      </w:r>
      <w:r w:rsidR="007D19EF" w:rsidRPr="00EB7620">
        <w:rPr>
          <w:rStyle w:val="SCCRespondentForIndexChar"/>
          <w:lang w:val="fr-CA"/>
        </w:rPr>
        <w:t xml:space="preserve"> </w:t>
      </w:r>
      <w:r w:rsidR="007D19EF" w:rsidRPr="00BA4482">
        <w:rPr>
          <w:rStyle w:val="SCCRespondentForIndexChar"/>
        </w:rPr>
        <w:t>(</w:t>
      </w:r>
      <w:r w:rsidR="0054740C" w:rsidRPr="00BA4482">
        <w:rPr>
          <w:b/>
        </w:rPr>
        <w:t>Bombardier Aerospace Training Center)</w:t>
      </w:r>
    </w:p>
    <w:p w:rsidR="00426659" w:rsidRPr="00BA4482" w:rsidRDefault="004F36FF" w:rsidP="00E810E1">
      <w:pPr>
        <w:pStyle w:val="SCCSystemYear"/>
        <w:widowControl w:val="0"/>
        <w:spacing w:after="720"/>
        <w:jc w:val="both"/>
      </w:pPr>
      <w:r w:rsidRPr="00BA4482">
        <w:lastRenderedPageBreak/>
        <w:t>2015</w:t>
      </w:r>
      <w:r w:rsidR="003D0399" w:rsidRPr="00BA4482">
        <w:t xml:space="preserve"> </w:t>
      </w:r>
      <w:r w:rsidR="002C45D6" w:rsidRPr="00BA4482">
        <w:t>SCC 39</w:t>
      </w:r>
    </w:p>
    <w:p w:rsidR="008322BD" w:rsidRPr="00BA4482" w:rsidRDefault="009B57B3" w:rsidP="00E810E1">
      <w:pPr>
        <w:widowControl w:val="0"/>
        <w:spacing w:after="720"/>
        <w:jc w:val="both"/>
      </w:pPr>
      <w:r w:rsidRPr="00BA4482">
        <w:t>File No.:</w:t>
      </w:r>
      <w:r w:rsidR="00EF5CB0" w:rsidRPr="00BA4482">
        <w:t xml:space="preserve"> </w:t>
      </w:r>
      <w:r w:rsidRPr="00BA4482">
        <w:t>35625.</w:t>
      </w:r>
    </w:p>
    <w:p w:rsidR="008322BD" w:rsidRPr="00BA4482" w:rsidRDefault="00EF5CB0" w:rsidP="00E810E1">
      <w:pPr>
        <w:widowControl w:val="0"/>
        <w:spacing w:after="720"/>
        <w:jc w:val="both"/>
      </w:pPr>
      <w:r w:rsidRPr="00BA4482">
        <w:t xml:space="preserve">2015: </w:t>
      </w:r>
      <w:r w:rsidR="00570231" w:rsidRPr="00BA4482">
        <w:t>January </w:t>
      </w:r>
      <w:r w:rsidR="004F36FF" w:rsidRPr="00BA4482">
        <w:t>23</w:t>
      </w:r>
      <w:r w:rsidR="00661C40" w:rsidRPr="00BA4482">
        <w:t>; 2015: July </w:t>
      </w:r>
      <w:r w:rsidR="00755FA9" w:rsidRPr="00BA4482">
        <w:t>23</w:t>
      </w:r>
      <w:r w:rsidR="009B57B3" w:rsidRPr="00BA4482">
        <w:t>.</w:t>
      </w:r>
    </w:p>
    <w:p w:rsidR="008322BD" w:rsidRPr="00BA4482" w:rsidRDefault="00EF5CB0" w:rsidP="00E810E1">
      <w:pPr>
        <w:widowControl w:val="0"/>
        <w:spacing w:after="720"/>
        <w:jc w:val="both"/>
      </w:pPr>
      <w:r w:rsidRPr="00BA4482">
        <w:t xml:space="preserve">Present: </w:t>
      </w:r>
      <w:r w:rsidR="009B57B3" w:rsidRPr="00BA4482">
        <w:t>McLachlin C.J. and Abella, Rothstein, Cromwell, Karakatsanis, Wagner and Côté JJ.</w:t>
      </w:r>
    </w:p>
    <w:p w:rsidR="008322BD" w:rsidRPr="00BA4482" w:rsidRDefault="00656313" w:rsidP="00E810E1">
      <w:pPr>
        <w:pStyle w:val="SCCLowerCourtNameLowercase"/>
        <w:widowControl w:val="0"/>
        <w:spacing w:after="720" w:line="240" w:lineRule="auto"/>
      </w:pPr>
      <w:r w:rsidRPr="00BA4482">
        <w:t>o</w:t>
      </w:r>
      <w:r w:rsidR="00170592" w:rsidRPr="00BA4482">
        <w:t>n</w:t>
      </w:r>
      <w:r w:rsidR="00224FC0" w:rsidRPr="00BA4482">
        <w:t xml:space="preserve"> </w:t>
      </w:r>
      <w:r w:rsidRPr="00BA4482">
        <w:t>a</w:t>
      </w:r>
      <w:r w:rsidR="00170592" w:rsidRPr="00BA4482">
        <w:t>ppeal</w:t>
      </w:r>
      <w:r w:rsidR="00224FC0" w:rsidRPr="00BA4482">
        <w:t xml:space="preserve"> </w:t>
      </w:r>
      <w:r w:rsidR="00170592" w:rsidRPr="00BA4482">
        <w:t>from</w:t>
      </w:r>
      <w:r w:rsidR="009567AA" w:rsidRPr="00BA4482">
        <w:t xml:space="preserve"> the</w:t>
      </w:r>
      <w:r w:rsidR="00224FC0" w:rsidRPr="00BA4482">
        <w:t xml:space="preserve"> </w:t>
      </w:r>
      <w:r w:rsidR="009B57B3" w:rsidRPr="00BA4482">
        <w:t>court of appeal f</w:t>
      </w:r>
      <w:r w:rsidR="00EF5CB0" w:rsidRPr="00BA4482">
        <w:t>or</w:t>
      </w:r>
      <w:r w:rsidR="009B57B3" w:rsidRPr="00BA4482">
        <w:t xml:space="preserve"> quebec</w:t>
      </w:r>
    </w:p>
    <w:p w:rsidR="00F92515" w:rsidRPr="00BA4482" w:rsidRDefault="00F92515" w:rsidP="00E810E1">
      <w:pPr>
        <w:pStyle w:val="SCCNormalDoubleSpacing"/>
        <w:widowControl w:val="0"/>
        <w:spacing w:before="480" w:after="480"/>
        <w:rPr>
          <w:i/>
        </w:rPr>
      </w:pPr>
      <w:r w:rsidRPr="00BA4482">
        <w:tab/>
      </w:r>
      <w:r w:rsidRPr="00BA4482">
        <w:rPr>
          <w:i/>
        </w:rPr>
        <w:t xml:space="preserve">Human rights </w:t>
      </w:r>
      <w:r w:rsidR="00755FA9" w:rsidRPr="00BA4482">
        <w:rPr>
          <w:i/>
        </w:rPr>
        <w:t>—</w:t>
      </w:r>
      <w:r w:rsidRPr="00BA4482">
        <w:rPr>
          <w:i/>
        </w:rPr>
        <w:t xml:space="preserve"> Right to equality </w:t>
      </w:r>
      <w:r w:rsidR="00755FA9" w:rsidRPr="00BA4482">
        <w:rPr>
          <w:i/>
        </w:rPr>
        <w:t xml:space="preserve">— </w:t>
      </w:r>
      <w:r w:rsidRPr="00BA4482">
        <w:rPr>
          <w:i/>
        </w:rPr>
        <w:t xml:space="preserve">Discrimination based on national or ethnic origin </w:t>
      </w:r>
      <w:r w:rsidR="00755FA9" w:rsidRPr="00BA4482">
        <w:rPr>
          <w:i/>
        </w:rPr>
        <w:t xml:space="preserve">— </w:t>
      </w:r>
      <w:r w:rsidRPr="00BA4482">
        <w:rPr>
          <w:i/>
        </w:rPr>
        <w:t xml:space="preserve">Evidence </w:t>
      </w:r>
      <w:r w:rsidR="00755FA9" w:rsidRPr="00BA4482">
        <w:rPr>
          <w:i/>
        </w:rPr>
        <w:t xml:space="preserve">— </w:t>
      </w:r>
      <w:r w:rsidRPr="00BA4482">
        <w:rPr>
          <w:i/>
        </w:rPr>
        <w:t xml:space="preserve">Canadian company denying request for pilot training made by Canadian citizen of Pakistani origin on basis of decision of U.S. authorities to prohibit training of pilot in question in United States </w:t>
      </w:r>
      <w:r w:rsidR="00755FA9" w:rsidRPr="00BA4482">
        <w:rPr>
          <w:i/>
        </w:rPr>
        <w:t xml:space="preserve">— </w:t>
      </w:r>
      <w:r w:rsidRPr="00BA4482">
        <w:rPr>
          <w:i/>
        </w:rPr>
        <w:t>Two-step process for di</w:t>
      </w:r>
      <w:r w:rsidR="00D5345B" w:rsidRPr="00BA4482">
        <w:rPr>
          <w:i/>
        </w:rPr>
        <w:t>scrimination complaint under s. </w:t>
      </w:r>
      <w:r w:rsidRPr="00BA4482">
        <w:rPr>
          <w:i/>
        </w:rPr>
        <w:t xml:space="preserve">10 of Quebec Charter </w:t>
      </w:r>
      <w:r w:rsidR="00755FA9" w:rsidRPr="00BA4482">
        <w:rPr>
          <w:i/>
        </w:rPr>
        <w:t xml:space="preserve">— </w:t>
      </w:r>
      <w:r w:rsidRPr="00BA4482">
        <w:rPr>
          <w:i/>
        </w:rPr>
        <w:t xml:space="preserve">Definition of prima facie discrimination, and degree of proof required in order to establish it </w:t>
      </w:r>
      <w:r w:rsidR="00755FA9" w:rsidRPr="00BA4482">
        <w:rPr>
          <w:i/>
        </w:rPr>
        <w:t xml:space="preserve">— </w:t>
      </w:r>
      <w:r w:rsidRPr="00BA4482">
        <w:rPr>
          <w:i/>
        </w:rPr>
        <w:t xml:space="preserve">Whether prima facie discrimination has been proven in this case </w:t>
      </w:r>
      <w:r w:rsidR="00755FA9" w:rsidRPr="00BA4482">
        <w:rPr>
          <w:i/>
        </w:rPr>
        <w:t xml:space="preserve">— </w:t>
      </w:r>
      <w:r w:rsidRPr="00BA4482">
        <w:rPr>
          <w:i/>
        </w:rPr>
        <w:t xml:space="preserve">Charter of human rights </w:t>
      </w:r>
      <w:r w:rsidR="00D5345B" w:rsidRPr="00BA4482">
        <w:rPr>
          <w:i/>
        </w:rPr>
        <w:t>and freedoms, CQLR, c. C</w:t>
      </w:r>
      <w:r w:rsidR="00D5345B" w:rsidRPr="00BA4482">
        <w:rPr>
          <w:i/>
        </w:rPr>
        <w:noBreakHyphen/>
        <w:t>12, s. </w:t>
      </w:r>
      <w:r w:rsidRPr="00BA4482">
        <w:rPr>
          <w:i/>
        </w:rPr>
        <w:t>10.</w:t>
      </w:r>
    </w:p>
    <w:p w:rsidR="003F2A71" w:rsidRPr="00BA4482" w:rsidRDefault="00F92515" w:rsidP="00E810E1">
      <w:pPr>
        <w:pStyle w:val="SCCNormalDoubleSpacing"/>
        <w:widowControl w:val="0"/>
        <w:spacing w:before="480" w:after="480"/>
      </w:pPr>
      <w:r w:rsidRPr="00BA4482">
        <w:tab/>
        <w:t xml:space="preserve">B </w:t>
      </w:r>
      <w:r w:rsidRPr="00BA4482">
        <w:rPr>
          <w:iCs/>
        </w:rPr>
        <w:t>operates two centres, in Montréal and Dallas, at which pilots are trained on the types of aircraft it produces</w:t>
      </w:r>
      <w:r w:rsidRPr="00BA4482">
        <w:t xml:space="preserve">. </w:t>
      </w:r>
      <w:r w:rsidRPr="00BA4482">
        <w:rPr>
          <w:iCs/>
        </w:rPr>
        <w:t>This training is offered to pilots holding</w:t>
      </w:r>
      <w:r w:rsidRPr="00BA4482">
        <w:t xml:space="preserve"> licences issued by various authorities, including Canada and the United States. L, a Canadian citizen born in Pakistan, held Canadian and U.S. pilot’s licences. In 2004, L registered for training at B’s Dallas centre under his U.S. licence. A security </w:t>
      </w:r>
      <w:r w:rsidRPr="00BA4482">
        <w:lastRenderedPageBreak/>
        <w:t>clearance from the U.S. authorities was requested for L in accordance with enhanced aviation security measures that had been implemented by the United States in the wake of the</w:t>
      </w:r>
      <w:r w:rsidR="00D5345B" w:rsidRPr="00BA4482">
        <w:t xml:space="preserve"> terrorist attacks of September </w:t>
      </w:r>
      <w:r w:rsidRPr="00BA4482">
        <w:t xml:space="preserve">11, 2001. This request was denied. As a result, L could not receive the training from B under his U.S. licence. B also refused to train him at its Montréal centre under his Canadian licence. Being of the view that B’s refusal constituted discrimination against him, L filed a complaint with the Commission des droits de la personne et des droits de la jeunesse (“Commission”). After investigating, the Commission initiated proceedings in the Human Rights Tribunal in which it alleged that B had impaired L’s right to avail himself of services ordinarily offered to the public and his right to the safeguard of his dignity and reputation without discrimination based on ethnic or national origin, contrary to ss. 4, 10 and 12 of the Quebec </w:t>
      </w:r>
      <w:r w:rsidRPr="00BA4482">
        <w:rPr>
          <w:i/>
          <w:iCs/>
        </w:rPr>
        <w:t>Charter</w:t>
      </w:r>
      <w:r w:rsidRPr="00BA4482">
        <w:t xml:space="preserve"> </w:t>
      </w:r>
      <w:r w:rsidRPr="00BA4482">
        <w:rPr>
          <w:i/>
        </w:rPr>
        <w:t>of human rights and freedoms</w:t>
      </w:r>
      <w:r w:rsidRPr="00BA4482">
        <w:t xml:space="preserve">. </w:t>
      </w:r>
    </w:p>
    <w:p w:rsidR="00F92515" w:rsidRPr="00BA4482" w:rsidRDefault="003F2A71" w:rsidP="00E810E1">
      <w:pPr>
        <w:pStyle w:val="SCCNormalDoubleSpacing"/>
        <w:widowControl w:val="0"/>
        <w:spacing w:before="480" w:after="480"/>
      </w:pPr>
      <w:r w:rsidRPr="00BA4482">
        <w:tab/>
      </w:r>
      <w:r w:rsidR="00F92515" w:rsidRPr="00BA4482">
        <w:t xml:space="preserve">The Tribunal agreed with the Commission, ordering B to pay damages to L. It also ordered B to cease applying or considering the standards and decisions </w:t>
      </w:r>
      <w:r w:rsidR="00D5345B" w:rsidRPr="00BA4482">
        <w:t xml:space="preserve">of the U.S. </w:t>
      </w:r>
      <w:r w:rsidR="00F92515" w:rsidRPr="00BA4482">
        <w:t xml:space="preserve">authorities in national security matters when dealing with applications for the training of pilots under Canadian pilot’s licences. The Court of Appeal set aside the Tribunal’s decision on the basis that the Tribunal could not find that B had discriminated against L without proof that the U.S. authorities’ decision was itself based on a ground that is prohibited under the </w:t>
      </w:r>
      <w:r w:rsidR="00F92515" w:rsidRPr="00BA4482">
        <w:rPr>
          <w:i/>
        </w:rPr>
        <w:t>Charter</w:t>
      </w:r>
      <w:r w:rsidR="00F92515" w:rsidRPr="00BA4482">
        <w:t>.</w:t>
      </w:r>
    </w:p>
    <w:p w:rsidR="00F92515" w:rsidRPr="00BA4482" w:rsidRDefault="00F92515" w:rsidP="00E810E1">
      <w:pPr>
        <w:pStyle w:val="SCCNormalDoubleSpacing"/>
        <w:widowControl w:val="0"/>
        <w:spacing w:before="480" w:after="480"/>
      </w:pPr>
      <w:r w:rsidRPr="00BA4482">
        <w:tab/>
      </w:r>
      <w:r w:rsidRPr="00BA4482">
        <w:rPr>
          <w:i/>
        </w:rPr>
        <w:t>Held</w:t>
      </w:r>
      <w:r w:rsidRPr="00BA4482">
        <w:t>: The appeals should be dismissed.</w:t>
      </w:r>
    </w:p>
    <w:p w:rsidR="00F92515" w:rsidRPr="00BA4482" w:rsidRDefault="00F92515" w:rsidP="00E810E1">
      <w:pPr>
        <w:pStyle w:val="SCCNormalDoubleSpacing"/>
        <w:widowControl w:val="0"/>
        <w:spacing w:before="480" w:after="480"/>
      </w:pPr>
      <w:r w:rsidRPr="00BA4482">
        <w:tab/>
        <w:t xml:space="preserve">An application with respect to a complaint under the </w:t>
      </w:r>
      <w:r w:rsidRPr="00BA4482">
        <w:rPr>
          <w:i/>
          <w:iCs/>
        </w:rPr>
        <w:t>Charter</w:t>
      </w:r>
      <w:r w:rsidRPr="00BA4482">
        <w:t xml:space="preserve"> involves a </w:t>
      </w:r>
      <w:r w:rsidRPr="00BA4482">
        <w:lastRenderedPageBreak/>
        <w:t>two</w:t>
      </w:r>
      <w:r w:rsidRPr="00BA4482">
        <w:noBreakHyphen/>
        <w:t>step process that successively imposes separate burdens of proof on the plaintiff and the defendant. Whatever form discrimination takes, this two</w:t>
      </w:r>
      <w:r w:rsidRPr="00BA4482">
        <w:noBreakHyphen/>
        <w:t xml:space="preserve">step analysis does not change. The fact that racial profiling is recognized as a prohibited form of discrimination does not therefore change this process. At the first step, s. 10 of the </w:t>
      </w:r>
      <w:r w:rsidRPr="00BA4482">
        <w:rPr>
          <w:i/>
        </w:rPr>
        <w:t>Charter</w:t>
      </w:r>
      <w:r w:rsidRPr="00BA4482">
        <w:t xml:space="preserve"> requires that the plaintiff prove three elements: (1) a distinction, exclusion or preference, (2) based on one of the grounds list</w:t>
      </w:r>
      <w:r w:rsidR="00D5345B" w:rsidRPr="00BA4482">
        <w:t>ed in the first paragraph of s. </w:t>
      </w:r>
      <w:r w:rsidRPr="00BA4482">
        <w:t>10, and (3) which has the effect of nullifying or impairing the right to full and equal recognition and exercise of a human right or freedom. If these three elements are established, there is “</w:t>
      </w:r>
      <w:r w:rsidRPr="00BA4482">
        <w:rPr>
          <w:i/>
          <w:iCs/>
        </w:rPr>
        <w:t>prima facie</w:t>
      </w:r>
      <w:r w:rsidRPr="00BA4482">
        <w:t xml:space="preserve"> discrimination”. At the second step, the defendant can justify his or her decision or conduct on the basis of the exemptions provided for in the applicable human rights legislation or those developed by the courts. If the defendant fails to do so, discrimination will then be found to have occurred.</w:t>
      </w:r>
    </w:p>
    <w:p w:rsidR="00F92515" w:rsidRPr="00BA4482" w:rsidRDefault="00F92515" w:rsidP="00E810E1">
      <w:pPr>
        <w:pStyle w:val="SCCNormalDoubleSpacing"/>
        <w:widowControl w:val="0"/>
        <w:spacing w:before="480" w:after="480"/>
      </w:pPr>
      <w:r w:rsidRPr="00BA4482">
        <w:tab/>
        <w:t xml:space="preserve">The first element of </w:t>
      </w:r>
      <w:r w:rsidRPr="00BA4482">
        <w:rPr>
          <w:i/>
        </w:rPr>
        <w:t>prima facie</w:t>
      </w:r>
      <w:r w:rsidRPr="00BA4482">
        <w:t xml:space="preserve"> discrimination is not problematic: the plaintiff must prove the existence of differential treatment, that is, that a decision, a measure or conduct affects him or her differently from others to whom it m</w:t>
      </w:r>
      <w:r w:rsidR="00D5345B" w:rsidRPr="00BA4482">
        <w:t xml:space="preserve">ay apply. As regards the second </w:t>
      </w:r>
      <w:r w:rsidRPr="00BA4482">
        <w:t xml:space="preserve">element, the plaintiff has the burden of showing that there is a connection between a prohibited ground of discrimination and the distinction, exclusion or preference of which he or she complains or, in other words, that the ground in question was a factor in the distinction, exclusion or preference. It is not essential that this connection be an exclusive one: for a particular decision or action to be considered discriminatory, the prohibited ground need only have contributed to it. Lastly, as to the third element, the plaintiff must show that the distinction, exclusion or preference affects the full and equal exercise of a right or freedom guaranteed to </w:t>
      </w:r>
      <w:r w:rsidRPr="00BA4482">
        <w:lastRenderedPageBreak/>
        <w:t xml:space="preserve">him or her by the </w:t>
      </w:r>
      <w:r w:rsidRPr="00BA4482">
        <w:rPr>
          <w:i/>
          <w:iCs/>
        </w:rPr>
        <w:t>Charter</w:t>
      </w:r>
      <w:r w:rsidRPr="00BA4482">
        <w:t xml:space="preserve">. The Quebec </w:t>
      </w:r>
      <w:r w:rsidRPr="00BA4482">
        <w:rPr>
          <w:i/>
        </w:rPr>
        <w:t>Charter</w:t>
      </w:r>
      <w:r w:rsidRPr="00BA4482">
        <w:t xml:space="preserve">, unlike the </w:t>
      </w:r>
      <w:r w:rsidRPr="00BA4482">
        <w:rPr>
          <w:i/>
          <w:iCs/>
        </w:rPr>
        <w:t>Canadian Charter of Rights and Freedoms</w:t>
      </w:r>
      <w:r w:rsidRPr="00BA4482">
        <w:t xml:space="preserve">, does not protect the right to equality </w:t>
      </w:r>
      <w:r w:rsidRPr="00BA4482">
        <w:rPr>
          <w:i/>
        </w:rPr>
        <w:t>per se</w:t>
      </w:r>
      <w:r w:rsidRPr="00BA4482">
        <w:t xml:space="preserve">; this right is protected only in the exercise of the other rights and freedoms guaranteed by the </w:t>
      </w:r>
      <w:r w:rsidRPr="00BA4482">
        <w:rPr>
          <w:i/>
        </w:rPr>
        <w:t>Charter</w:t>
      </w:r>
      <w:r w:rsidRPr="00BA4482">
        <w:t>. The right to non</w:t>
      </w:r>
      <w:r w:rsidRPr="00BA4482">
        <w:noBreakHyphen/>
        <w:t>discrimination cannot therefore serve as a basis for an application on its own and must necessarily be attached to another human right or freedom recognized by law.</w:t>
      </w:r>
    </w:p>
    <w:p w:rsidR="00F92515" w:rsidRPr="00BA4482" w:rsidRDefault="00F92515" w:rsidP="00E810E1">
      <w:pPr>
        <w:pStyle w:val="SCCNormalDoubleSpacing"/>
        <w:widowControl w:val="0"/>
        <w:spacing w:before="480" w:after="480"/>
      </w:pPr>
      <w:r w:rsidRPr="00BA4482">
        <w:tab/>
        <w:t xml:space="preserve">The plaintiff must prove the three elements of </w:t>
      </w:r>
      <w:r w:rsidRPr="00BA4482">
        <w:rPr>
          <w:i/>
        </w:rPr>
        <w:t>prima facie</w:t>
      </w:r>
      <w:r w:rsidRPr="00BA4482">
        <w:t xml:space="preserve"> discrimination in accordance with the standard of proof that normally applies in the civil law, namely that of proof on a balance of probabilities. In a discrimination context, the expression “</w:t>
      </w:r>
      <w:r w:rsidRPr="00BA4482">
        <w:rPr>
          <w:i/>
          <w:iCs/>
        </w:rPr>
        <w:t>prima facie</w:t>
      </w:r>
      <w:r w:rsidRPr="00BA4482">
        <w:t>” refers only to the first step of the process and does not alter the applicable degree of proof. The use of this expression can be explained quite simply on the basis of the two</w:t>
      </w:r>
      <w:r w:rsidRPr="00BA4482">
        <w:noBreakHyphen/>
        <w:t xml:space="preserve">step test for complaints of discrimination under the </w:t>
      </w:r>
      <w:r w:rsidRPr="00BA4482">
        <w:rPr>
          <w:i/>
        </w:rPr>
        <w:t>Charter</w:t>
      </w:r>
      <w:r w:rsidRPr="00BA4482">
        <w:t xml:space="preserve">, and it concerns only the three elements that must be proven by the plaintiff at the first step. If no justification is established by the defendant, proof of these three elements on a balance of probabilities will be sufficient for the tribunal to find that s. 10 of the </w:t>
      </w:r>
      <w:r w:rsidRPr="00BA4482">
        <w:rPr>
          <w:i/>
          <w:iCs/>
        </w:rPr>
        <w:t xml:space="preserve">Charter </w:t>
      </w:r>
      <w:r w:rsidRPr="00BA4482">
        <w:rPr>
          <w:iCs/>
        </w:rPr>
        <w:t>has been violated</w:t>
      </w:r>
      <w:r w:rsidRPr="00BA4482">
        <w:t xml:space="preserve">. If, on the other hand, the defendant succeeds in justifying his or her decision or conduct, also in accordance with </w:t>
      </w:r>
      <w:r w:rsidRPr="00BA4482">
        <w:rPr>
          <w:szCs w:val="24"/>
        </w:rPr>
        <w:t>the standard of proof on a balance of probabilities,</w:t>
      </w:r>
      <w:r w:rsidRPr="00BA4482">
        <w:t xml:space="preserve"> there will have been no violation, not even if </w:t>
      </w:r>
      <w:r w:rsidRPr="00BA4482">
        <w:rPr>
          <w:i/>
        </w:rPr>
        <w:t>prima facie</w:t>
      </w:r>
      <w:r w:rsidRPr="00BA4482">
        <w:t xml:space="preserve"> discrimination is found to have occurred. The defendant can therefore either present evidence to refute the allegation of </w:t>
      </w:r>
      <w:r w:rsidRPr="00BA4482">
        <w:rPr>
          <w:i/>
          <w:iCs/>
        </w:rPr>
        <w:t>prima facie</w:t>
      </w:r>
      <w:r w:rsidRPr="00BA4482">
        <w:rPr>
          <w:iCs/>
        </w:rPr>
        <w:t xml:space="preserve"> discrimination</w:t>
      </w:r>
      <w:r w:rsidRPr="00BA4482">
        <w:t>, put forward a defence justifying the discrimination, or do both.</w:t>
      </w:r>
    </w:p>
    <w:p w:rsidR="00F92515" w:rsidRPr="00BA4482" w:rsidRDefault="00F92515" w:rsidP="00E810E1">
      <w:pPr>
        <w:pStyle w:val="SCCNormalDoubleSpacing"/>
        <w:widowControl w:val="0"/>
        <w:spacing w:before="480" w:after="480"/>
      </w:pPr>
      <w:r w:rsidRPr="00BA4482">
        <w:tab/>
        <w:t xml:space="preserve">Because the Tribunal’s decision in this case was not supported by the </w:t>
      </w:r>
      <w:r w:rsidRPr="00BA4482">
        <w:lastRenderedPageBreak/>
        <w:t xml:space="preserve">evidence in the record, it was unreasonable and must be set aside. The Commission had to show that B’s decision was discriminatory by establishing on a balance of probabilities that there was a connection between the decision and L’s ethnic or national origin. Because B’s decision to deny L’s request for training was based solely on the U.S. authorities’ refusal to issue him a security clearance, proof of a connection between the U.S. authorities’ decision and a prohibited ground of discrimination would have satisfied the requirements of the second element of the test for </w:t>
      </w:r>
      <w:r w:rsidRPr="00BA4482">
        <w:rPr>
          <w:i/>
        </w:rPr>
        <w:t>prima facie</w:t>
      </w:r>
      <w:r w:rsidRPr="00BA4482">
        <w:t xml:space="preserve"> discrimination. However, the Commission did not adduce sufficient evidence — either direct or circumstantial — to show that L’s ethnic or national origin had played any role in the U.S. authorities’ unfavourable reply to his security screening request. It cannot be presumed solely on the basis of a social context of discrimination against a group that a specific decision against a member of that group is necessarily based on a prohibited ground under the </w:t>
      </w:r>
      <w:r w:rsidRPr="00BA4482">
        <w:rPr>
          <w:i/>
        </w:rPr>
        <w:t>Charter</w:t>
      </w:r>
      <w:r w:rsidRPr="00BA4482">
        <w:t xml:space="preserve">. In practice, this would amount to reversing the burden of proof in discrimination matters. Evidence of discrimination, even if it is circumstantial, must be tangibly related to the impugned decision or conduct. As a result, it was not open to the Tribunal in this case to conclude that B’s decision constituted </w:t>
      </w:r>
      <w:r w:rsidRPr="00BA4482">
        <w:rPr>
          <w:i/>
        </w:rPr>
        <w:t xml:space="preserve">prima facie </w:t>
      </w:r>
      <w:r w:rsidRPr="00BA4482">
        <w:t xml:space="preserve">discrimination under the </w:t>
      </w:r>
      <w:r w:rsidRPr="00BA4482">
        <w:rPr>
          <w:i/>
        </w:rPr>
        <w:t>Charter</w:t>
      </w:r>
      <w:r w:rsidRPr="00BA4482">
        <w:t xml:space="preserve">. The conclusion in this case does not mean that a company can blindly comply with a discriminatory decision of a foreign authority without exposing itself to liability under the </w:t>
      </w:r>
      <w:r w:rsidRPr="00BA4482">
        <w:rPr>
          <w:i/>
        </w:rPr>
        <w:t>Charter</w:t>
      </w:r>
      <w:r w:rsidRPr="00BA4482">
        <w:t>. This conclusion flows from the fact that there is simply no evidence of a connection between a prohibited ground and the foreign decision in question.</w:t>
      </w:r>
    </w:p>
    <w:p w:rsidR="007E1C47" w:rsidRPr="00EB7620" w:rsidRDefault="002E6705" w:rsidP="00E810E1">
      <w:pPr>
        <w:pStyle w:val="SCCNormalDoubleSpacing"/>
        <w:widowControl w:val="0"/>
        <w:spacing w:after="720" w:line="240" w:lineRule="auto"/>
        <w:rPr>
          <w:b/>
          <w:lang w:val="fr-CA"/>
        </w:rPr>
      </w:pPr>
      <w:r w:rsidRPr="00EB7620">
        <w:rPr>
          <w:b/>
          <w:lang w:val="fr-CA"/>
        </w:rPr>
        <w:t xml:space="preserve">Cases </w:t>
      </w:r>
      <w:proofErr w:type="spellStart"/>
      <w:r w:rsidRPr="00EB7620">
        <w:rPr>
          <w:b/>
          <w:lang w:val="fr-CA"/>
        </w:rPr>
        <w:t>Cited</w:t>
      </w:r>
      <w:proofErr w:type="spellEnd"/>
    </w:p>
    <w:p w:rsidR="004E2C26" w:rsidRPr="00EB7620" w:rsidRDefault="002E6705" w:rsidP="00E810E1">
      <w:pPr>
        <w:pStyle w:val="SCCNormalDoubleSpacing"/>
        <w:widowControl w:val="0"/>
        <w:spacing w:before="480" w:after="480"/>
        <w:rPr>
          <w:lang w:val="fr-CA"/>
        </w:rPr>
      </w:pPr>
      <w:r w:rsidRPr="00EB7620">
        <w:rPr>
          <w:lang w:val="fr-CA"/>
        </w:rPr>
        <w:lastRenderedPageBreak/>
        <w:tab/>
      </w:r>
      <w:proofErr w:type="spellStart"/>
      <w:r w:rsidRPr="00EB7620">
        <w:rPr>
          <w:b/>
          <w:lang w:val="fr-CA"/>
        </w:rPr>
        <w:t>Referred</w:t>
      </w:r>
      <w:proofErr w:type="spellEnd"/>
      <w:r w:rsidRPr="00EB7620">
        <w:rPr>
          <w:b/>
          <w:lang w:val="fr-CA"/>
        </w:rPr>
        <w:t xml:space="preserve"> to:</w:t>
      </w:r>
      <w:r w:rsidR="00BD0E9E" w:rsidRPr="00EB7620">
        <w:rPr>
          <w:lang w:val="fr-CA"/>
        </w:rPr>
        <w:t xml:space="preserve"> </w:t>
      </w:r>
      <w:r w:rsidR="00C529AF" w:rsidRPr="00EB7620">
        <w:rPr>
          <w:i/>
          <w:iCs/>
          <w:lang w:val="fr-CA"/>
        </w:rPr>
        <w:t>Béliveau St</w:t>
      </w:r>
      <w:r w:rsidR="00570231" w:rsidRPr="00EB7620">
        <w:rPr>
          <w:i/>
          <w:iCs/>
          <w:lang w:val="fr-CA"/>
        </w:rPr>
        <w:noBreakHyphen/>
      </w:r>
      <w:r w:rsidR="00C529AF" w:rsidRPr="00EB7620">
        <w:rPr>
          <w:i/>
          <w:iCs/>
          <w:lang w:val="fr-CA"/>
        </w:rPr>
        <w:t>Jacques v</w:t>
      </w:r>
      <w:r w:rsidR="005D66B5" w:rsidRPr="00EB7620">
        <w:rPr>
          <w:i/>
          <w:iCs/>
          <w:lang w:val="fr-CA"/>
        </w:rPr>
        <w:t xml:space="preserve">. Fédération des employées et employés de services publics </w:t>
      </w:r>
      <w:proofErr w:type="spellStart"/>
      <w:r w:rsidR="005D66B5" w:rsidRPr="00EB7620">
        <w:rPr>
          <w:i/>
          <w:iCs/>
          <w:lang w:val="fr-CA"/>
        </w:rPr>
        <w:t>inc.</w:t>
      </w:r>
      <w:proofErr w:type="spellEnd"/>
      <w:r w:rsidR="005D66B5" w:rsidRPr="00EB7620">
        <w:rPr>
          <w:lang w:val="fr-CA"/>
        </w:rPr>
        <w:t xml:space="preserve">, [1996] 2 </w:t>
      </w:r>
      <w:r w:rsidR="00C529AF" w:rsidRPr="00EB7620">
        <w:rPr>
          <w:lang w:val="fr-CA"/>
        </w:rPr>
        <w:t>S.C.R</w:t>
      </w:r>
      <w:r w:rsidR="005D66B5" w:rsidRPr="00EB7620">
        <w:rPr>
          <w:lang w:val="fr-CA"/>
        </w:rPr>
        <w:t xml:space="preserve">. 345; </w:t>
      </w:r>
      <w:proofErr w:type="spellStart"/>
      <w:r w:rsidR="008A4B2F" w:rsidRPr="00EB7620">
        <w:rPr>
          <w:i/>
          <w:iCs/>
          <w:lang w:val="fr-CA"/>
        </w:rPr>
        <w:t>Que</w:t>
      </w:r>
      <w:r w:rsidR="005D66B5" w:rsidRPr="00EB7620">
        <w:rPr>
          <w:i/>
          <w:iCs/>
          <w:lang w:val="fr-CA"/>
        </w:rPr>
        <w:t>bec</w:t>
      </w:r>
      <w:proofErr w:type="spellEnd"/>
      <w:r w:rsidR="005D66B5" w:rsidRPr="00EB7620">
        <w:rPr>
          <w:i/>
          <w:iCs/>
          <w:lang w:val="fr-CA"/>
        </w:rPr>
        <w:t xml:space="preserve"> (Commission des droits de la personne</w:t>
      </w:r>
      <w:r w:rsidR="008A4B2F" w:rsidRPr="00EB7620">
        <w:rPr>
          <w:i/>
          <w:iCs/>
          <w:lang w:val="fr-CA"/>
        </w:rPr>
        <w:t xml:space="preserve"> et des droits de la jeunesse) v</w:t>
      </w:r>
      <w:r w:rsidR="005D66B5" w:rsidRPr="00EB7620">
        <w:rPr>
          <w:i/>
          <w:iCs/>
          <w:lang w:val="fr-CA"/>
        </w:rPr>
        <w:t>. Montréal (</w:t>
      </w:r>
      <w:r w:rsidR="008A4B2F" w:rsidRPr="00EB7620">
        <w:rPr>
          <w:i/>
          <w:iCs/>
          <w:lang w:val="fr-CA"/>
        </w:rPr>
        <w:t>City</w:t>
      </w:r>
      <w:r w:rsidR="005D66B5" w:rsidRPr="00EB7620">
        <w:rPr>
          <w:i/>
          <w:iCs/>
          <w:lang w:val="fr-CA"/>
        </w:rPr>
        <w:t>)</w:t>
      </w:r>
      <w:r w:rsidR="008A4B2F" w:rsidRPr="00EB7620">
        <w:rPr>
          <w:lang w:val="fr-CA"/>
        </w:rPr>
        <w:t>, 2000</w:t>
      </w:r>
      <w:r w:rsidR="005D66B5" w:rsidRPr="00EB7620">
        <w:rPr>
          <w:lang w:val="fr-CA"/>
        </w:rPr>
        <w:t xml:space="preserve"> SC</w:t>
      </w:r>
      <w:r w:rsidR="008A4B2F" w:rsidRPr="00EB7620">
        <w:rPr>
          <w:lang w:val="fr-CA"/>
        </w:rPr>
        <w:t>C</w:t>
      </w:r>
      <w:r w:rsidR="005D66B5" w:rsidRPr="00EB7620">
        <w:rPr>
          <w:lang w:val="fr-CA"/>
        </w:rPr>
        <w:t xml:space="preserve"> 27, [2000] 1 </w:t>
      </w:r>
      <w:r w:rsidR="008A4B2F" w:rsidRPr="00EB7620">
        <w:rPr>
          <w:lang w:val="fr-CA"/>
        </w:rPr>
        <w:t>S.C.R</w:t>
      </w:r>
      <w:r w:rsidR="005D66B5" w:rsidRPr="00EB7620">
        <w:rPr>
          <w:lang w:val="fr-CA"/>
        </w:rPr>
        <w:t xml:space="preserve">. 665; </w:t>
      </w:r>
      <w:r w:rsidR="006C390A" w:rsidRPr="00EB7620">
        <w:rPr>
          <w:i/>
          <w:lang w:val="fr-CA"/>
        </w:rPr>
        <w:t xml:space="preserve">de </w:t>
      </w:r>
      <w:r w:rsidR="005D66B5" w:rsidRPr="00EB7620">
        <w:rPr>
          <w:i/>
          <w:iCs/>
          <w:lang w:val="fr-CA"/>
        </w:rPr>
        <w:t>Mo</w:t>
      </w:r>
      <w:r w:rsidR="006C390A" w:rsidRPr="00EB7620">
        <w:rPr>
          <w:i/>
          <w:iCs/>
          <w:lang w:val="fr-CA"/>
        </w:rPr>
        <w:t>ntigny v</w:t>
      </w:r>
      <w:r w:rsidR="005D66B5" w:rsidRPr="00EB7620">
        <w:rPr>
          <w:i/>
          <w:iCs/>
          <w:lang w:val="fr-CA"/>
        </w:rPr>
        <w:t>. Brossard (Succession)</w:t>
      </w:r>
      <w:r w:rsidR="005D66B5" w:rsidRPr="00EB7620">
        <w:rPr>
          <w:lang w:val="fr-CA"/>
        </w:rPr>
        <w:t>, 2010 SC</w:t>
      </w:r>
      <w:r w:rsidR="002A74B9" w:rsidRPr="00EB7620">
        <w:rPr>
          <w:lang w:val="fr-CA"/>
        </w:rPr>
        <w:t>C</w:t>
      </w:r>
      <w:r w:rsidR="005D66B5" w:rsidRPr="00EB7620">
        <w:rPr>
          <w:lang w:val="fr-CA"/>
        </w:rPr>
        <w:t xml:space="preserve"> 51, [2010] 3 </w:t>
      </w:r>
      <w:r w:rsidR="002A74B9" w:rsidRPr="00EB7620">
        <w:rPr>
          <w:lang w:val="fr-CA"/>
        </w:rPr>
        <w:t>S.C.R</w:t>
      </w:r>
      <w:r w:rsidR="005D66B5" w:rsidRPr="00EB7620">
        <w:rPr>
          <w:lang w:val="fr-CA"/>
        </w:rPr>
        <w:t xml:space="preserve">. 64; </w:t>
      </w:r>
      <w:r w:rsidR="00443D51" w:rsidRPr="00EB7620">
        <w:rPr>
          <w:i/>
          <w:iCs/>
          <w:lang w:val="fr-CA"/>
        </w:rPr>
        <w:t xml:space="preserve">New </w:t>
      </w:r>
      <w:r w:rsidR="005D66B5" w:rsidRPr="00EB7620">
        <w:rPr>
          <w:i/>
          <w:iCs/>
          <w:lang w:val="fr-CA"/>
        </w:rPr>
        <w:t>Brunswick (</w:t>
      </w:r>
      <w:proofErr w:type="spellStart"/>
      <w:r w:rsidR="00A815FA" w:rsidRPr="00EB7620">
        <w:rPr>
          <w:i/>
          <w:iCs/>
          <w:lang w:val="fr-CA"/>
        </w:rPr>
        <w:t>Human</w:t>
      </w:r>
      <w:proofErr w:type="spellEnd"/>
      <w:r w:rsidR="00A815FA" w:rsidRPr="00EB7620">
        <w:rPr>
          <w:i/>
          <w:iCs/>
          <w:lang w:val="fr-CA"/>
        </w:rPr>
        <w:t xml:space="preserve"> </w:t>
      </w:r>
      <w:proofErr w:type="spellStart"/>
      <w:r w:rsidR="00A815FA" w:rsidRPr="00EB7620">
        <w:rPr>
          <w:i/>
          <w:iCs/>
          <w:lang w:val="fr-CA"/>
        </w:rPr>
        <w:t>Rights</w:t>
      </w:r>
      <w:proofErr w:type="spellEnd"/>
      <w:r w:rsidR="00A815FA" w:rsidRPr="00EB7620">
        <w:rPr>
          <w:i/>
          <w:iCs/>
          <w:lang w:val="fr-CA"/>
        </w:rPr>
        <w:t xml:space="preserve"> Commission) v</w:t>
      </w:r>
      <w:r w:rsidR="005D66B5" w:rsidRPr="00EB7620">
        <w:rPr>
          <w:i/>
          <w:iCs/>
          <w:lang w:val="fr-CA"/>
        </w:rPr>
        <w:t xml:space="preserve">. </w:t>
      </w:r>
      <w:proofErr w:type="spellStart"/>
      <w:r w:rsidR="005D66B5" w:rsidRPr="00EB7620">
        <w:rPr>
          <w:i/>
          <w:iCs/>
          <w:lang w:val="fr-CA"/>
        </w:rPr>
        <w:t>Potash</w:t>
      </w:r>
      <w:proofErr w:type="spellEnd"/>
      <w:r w:rsidR="005D66B5" w:rsidRPr="00EB7620">
        <w:rPr>
          <w:i/>
          <w:iCs/>
          <w:lang w:val="fr-CA"/>
        </w:rPr>
        <w:t xml:space="preserve"> Corporation of Saskatchewan Inc</w:t>
      </w:r>
      <w:r w:rsidR="005D66B5" w:rsidRPr="00EB7620">
        <w:rPr>
          <w:lang w:val="fr-CA"/>
        </w:rPr>
        <w:t>., 2008 SC</w:t>
      </w:r>
      <w:r w:rsidR="00A815FA" w:rsidRPr="00EB7620">
        <w:rPr>
          <w:lang w:val="fr-CA"/>
        </w:rPr>
        <w:t>C</w:t>
      </w:r>
      <w:r w:rsidR="005D66B5" w:rsidRPr="00EB7620">
        <w:rPr>
          <w:lang w:val="fr-CA"/>
        </w:rPr>
        <w:t xml:space="preserve"> 45, [2008] 2 </w:t>
      </w:r>
      <w:r w:rsidR="00A815FA" w:rsidRPr="00EB7620">
        <w:rPr>
          <w:lang w:val="fr-CA"/>
        </w:rPr>
        <w:t>S.C.R</w:t>
      </w:r>
      <w:r w:rsidR="005D66B5" w:rsidRPr="00EB7620">
        <w:rPr>
          <w:lang w:val="fr-CA"/>
        </w:rPr>
        <w:t xml:space="preserve">. 604; </w:t>
      </w:r>
      <w:r w:rsidR="005153C8" w:rsidRPr="00EB7620">
        <w:rPr>
          <w:i/>
          <w:iCs/>
          <w:lang w:val="fr-CA"/>
        </w:rPr>
        <w:t xml:space="preserve">Ontario </w:t>
      </w:r>
      <w:proofErr w:type="spellStart"/>
      <w:r w:rsidR="005153C8" w:rsidRPr="00EB7620">
        <w:rPr>
          <w:i/>
          <w:iCs/>
          <w:lang w:val="fr-CA"/>
        </w:rPr>
        <w:t>Human</w:t>
      </w:r>
      <w:proofErr w:type="spellEnd"/>
      <w:r w:rsidR="005153C8" w:rsidRPr="00EB7620">
        <w:rPr>
          <w:i/>
          <w:iCs/>
          <w:lang w:val="fr-CA"/>
        </w:rPr>
        <w:t xml:space="preserve"> </w:t>
      </w:r>
      <w:proofErr w:type="spellStart"/>
      <w:r w:rsidR="005153C8" w:rsidRPr="00EB7620">
        <w:rPr>
          <w:i/>
          <w:iCs/>
          <w:lang w:val="fr-CA"/>
        </w:rPr>
        <w:t>Rights</w:t>
      </w:r>
      <w:proofErr w:type="spellEnd"/>
      <w:r w:rsidR="005153C8" w:rsidRPr="00EB7620">
        <w:rPr>
          <w:i/>
          <w:iCs/>
          <w:lang w:val="fr-CA"/>
        </w:rPr>
        <w:t xml:space="preserve"> Commission v</w:t>
      </w:r>
      <w:r w:rsidR="005D66B5" w:rsidRPr="00EB7620">
        <w:rPr>
          <w:i/>
          <w:iCs/>
          <w:lang w:val="fr-CA"/>
        </w:rPr>
        <w:t xml:space="preserve">. </w:t>
      </w:r>
      <w:proofErr w:type="spellStart"/>
      <w:r w:rsidR="005D66B5" w:rsidRPr="00EB7620">
        <w:rPr>
          <w:i/>
          <w:iCs/>
          <w:lang w:val="fr-CA"/>
        </w:rPr>
        <w:t>Simpsons</w:t>
      </w:r>
      <w:proofErr w:type="spellEnd"/>
      <w:r w:rsidR="00570231" w:rsidRPr="00EB7620">
        <w:rPr>
          <w:i/>
          <w:iCs/>
          <w:lang w:val="fr-CA"/>
        </w:rPr>
        <w:noBreakHyphen/>
      </w:r>
      <w:r w:rsidR="005D66B5" w:rsidRPr="00EB7620">
        <w:rPr>
          <w:i/>
          <w:iCs/>
          <w:lang w:val="fr-CA"/>
        </w:rPr>
        <w:t>Sears</w:t>
      </w:r>
      <w:r w:rsidR="005153C8" w:rsidRPr="00EB7620">
        <w:rPr>
          <w:i/>
          <w:iCs/>
          <w:lang w:val="fr-CA"/>
        </w:rPr>
        <w:t xml:space="preserve"> Ltd.</w:t>
      </w:r>
      <w:r w:rsidR="005D66B5" w:rsidRPr="00EB7620">
        <w:rPr>
          <w:lang w:val="fr-CA"/>
        </w:rPr>
        <w:t xml:space="preserve">, [1985] 2 </w:t>
      </w:r>
      <w:r w:rsidR="005153C8" w:rsidRPr="00EB7620">
        <w:rPr>
          <w:lang w:val="fr-CA"/>
        </w:rPr>
        <w:t>S.C.R</w:t>
      </w:r>
      <w:r w:rsidR="005D66B5" w:rsidRPr="00EB7620">
        <w:rPr>
          <w:lang w:val="fr-CA"/>
        </w:rPr>
        <w:t xml:space="preserve">. 536; </w:t>
      </w:r>
      <w:r w:rsidR="005D66B5" w:rsidRPr="00EB7620">
        <w:rPr>
          <w:i/>
          <w:iCs/>
          <w:lang w:val="fr-CA"/>
        </w:rPr>
        <w:t>Commission</w:t>
      </w:r>
      <w:r w:rsidR="00EE76C7" w:rsidRPr="00EB7620">
        <w:rPr>
          <w:i/>
          <w:iCs/>
          <w:lang w:val="fr-CA"/>
        </w:rPr>
        <w:t xml:space="preserve"> scolaire régionale de Chambly v</w:t>
      </w:r>
      <w:r w:rsidR="005D66B5" w:rsidRPr="00EB7620">
        <w:rPr>
          <w:i/>
          <w:iCs/>
          <w:lang w:val="fr-CA"/>
        </w:rPr>
        <w:t xml:space="preserve">. </w:t>
      </w:r>
      <w:proofErr w:type="spellStart"/>
      <w:r w:rsidR="005D66B5" w:rsidRPr="00EB7620">
        <w:rPr>
          <w:i/>
          <w:iCs/>
          <w:lang w:val="fr-CA"/>
        </w:rPr>
        <w:t>Bergevin</w:t>
      </w:r>
      <w:proofErr w:type="spellEnd"/>
      <w:r w:rsidR="005D66B5" w:rsidRPr="00EB7620">
        <w:rPr>
          <w:lang w:val="fr-CA"/>
        </w:rPr>
        <w:t xml:space="preserve">, [1994] 2 </w:t>
      </w:r>
      <w:r w:rsidR="00EE76C7" w:rsidRPr="00EB7620">
        <w:rPr>
          <w:lang w:val="fr-CA"/>
        </w:rPr>
        <w:t>S.C.R</w:t>
      </w:r>
      <w:r w:rsidR="005D66B5" w:rsidRPr="00EB7620">
        <w:rPr>
          <w:lang w:val="fr-CA"/>
        </w:rPr>
        <w:t xml:space="preserve">. 525; </w:t>
      </w:r>
      <w:r w:rsidR="00C243E9" w:rsidRPr="00EB7620">
        <w:rPr>
          <w:i/>
          <w:iCs/>
          <w:lang w:val="fr-CA"/>
        </w:rPr>
        <w:t xml:space="preserve">Forget v. </w:t>
      </w:r>
      <w:proofErr w:type="spellStart"/>
      <w:r w:rsidR="00C243E9" w:rsidRPr="00EB7620">
        <w:rPr>
          <w:i/>
          <w:iCs/>
          <w:lang w:val="fr-CA"/>
        </w:rPr>
        <w:t>Quebec</w:t>
      </w:r>
      <w:proofErr w:type="spellEnd"/>
      <w:r w:rsidR="00C243E9" w:rsidRPr="00EB7620">
        <w:rPr>
          <w:i/>
          <w:iCs/>
          <w:lang w:val="fr-CA"/>
        </w:rPr>
        <w:t xml:space="preserve"> (Attorney General</w:t>
      </w:r>
      <w:r w:rsidR="005D66B5" w:rsidRPr="00EB7620">
        <w:rPr>
          <w:i/>
          <w:iCs/>
          <w:lang w:val="fr-CA"/>
        </w:rPr>
        <w:t>)</w:t>
      </w:r>
      <w:r w:rsidR="005D66B5" w:rsidRPr="00EB7620">
        <w:rPr>
          <w:lang w:val="fr-CA"/>
        </w:rPr>
        <w:t xml:space="preserve">, [1988] 2 </w:t>
      </w:r>
      <w:r w:rsidR="00B176FA" w:rsidRPr="00EB7620">
        <w:rPr>
          <w:lang w:val="fr-CA"/>
        </w:rPr>
        <w:t>S.C.R</w:t>
      </w:r>
      <w:r w:rsidR="005D66B5" w:rsidRPr="00EB7620">
        <w:rPr>
          <w:lang w:val="fr-CA"/>
        </w:rPr>
        <w:t xml:space="preserve">. 90; </w:t>
      </w:r>
      <w:r w:rsidR="00E20733" w:rsidRPr="00EB7620">
        <w:rPr>
          <w:i/>
          <w:lang w:val="fr-CA"/>
        </w:rPr>
        <w:t xml:space="preserve">Ford v. </w:t>
      </w:r>
      <w:proofErr w:type="spellStart"/>
      <w:r w:rsidR="00E20733" w:rsidRPr="00EB7620">
        <w:rPr>
          <w:i/>
          <w:lang w:val="fr-CA"/>
        </w:rPr>
        <w:t>Quebec</w:t>
      </w:r>
      <w:proofErr w:type="spellEnd"/>
      <w:r w:rsidR="00E20733" w:rsidRPr="00EB7620">
        <w:rPr>
          <w:i/>
          <w:lang w:val="fr-CA"/>
        </w:rPr>
        <w:t xml:space="preserve"> (Attorney General)</w:t>
      </w:r>
      <w:r w:rsidR="00E20733" w:rsidRPr="00EB7620">
        <w:rPr>
          <w:lang w:val="fr-CA"/>
        </w:rPr>
        <w:t xml:space="preserve">, [1988] 2 </w:t>
      </w:r>
      <w:r w:rsidR="00C61634" w:rsidRPr="00EB7620">
        <w:rPr>
          <w:lang w:val="fr-CA"/>
        </w:rPr>
        <w:t>S.C.R</w:t>
      </w:r>
      <w:r w:rsidR="00E20733" w:rsidRPr="00EB7620">
        <w:rPr>
          <w:lang w:val="fr-CA"/>
        </w:rPr>
        <w:t xml:space="preserve">. 712; </w:t>
      </w:r>
      <w:r w:rsidR="005D66B5" w:rsidRPr="00EB7620">
        <w:rPr>
          <w:i/>
          <w:iCs/>
          <w:lang w:val="fr-CA"/>
        </w:rPr>
        <w:t>C</w:t>
      </w:r>
      <w:r w:rsidR="001C3A45" w:rsidRPr="00EB7620">
        <w:rPr>
          <w:i/>
          <w:iCs/>
          <w:lang w:val="fr-CA"/>
        </w:rPr>
        <w:t>anad</w:t>
      </w:r>
      <w:r w:rsidR="00EC2C35" w:rsidRPr="00EB7620">
        <w:rPr>
          <w:i/>
          <w:iCs/>
          <w:lang w:val="fr-CA"/>
        </w:rPr>
        <w:t>ian</w:t>
      </w:r>
      <w:r w:rsidR="001C3A45" w:rsidRPr="00EB7620">
        <w:rPr>
          <w:i/>
          <w:iCs/>
          <w:lang w:val="fr-CA"/>
        </w:rPr>
        <w:t xml:space="preserve"> National </w:t>
      </w:r>
      <w:proofErr w:type="spellStart"/>
      <w:r w:rsidR="001C3A45" w:rsidRPr="00EB7620">
        <w:rPr>
          <w:i/>
          <w:iCs/>
          <w:lang w:val="fr-CA"/>
        </w:rPr>
        <w:t>Railway</w:t>
      </w:r>
      <w:proofErr w:type="spellEnd"/>
      <w:r w:rsidR="001C3A45" w:rsidRPr="00EB7620">
        <w:rPr>
          <w:i/>
          <w:iCs/>
          <w:lang w:val="fr-CA"/>
        </w:rPr>
        <w:t xml:space="preserve"> Co.</w:t>
      </w:r>
      <w:r w:rsidR="005D66B5" w:rsidRPr="00EB7620">
        <w:rPr>
          <w:i/>
          <w:iCs/>
          <w:lang w:val="fr-CA"/>
        </w:rPr>
        <w:t xml:space="preserve"> </w:t>
      </w:r>
      <w:r w:rsidR="001C3A45" w:rsidRPr="00EB7620">
        <w:rPr>
          <w:i/>
          <w:iCs/>
          <w:lang w:val="fr-CA"/>
        </w:rPr>
        <w:t>v</w:t>
      </w:r>
      <w:r w:rsidR="005D66B5" w:rsidRPr="00EB7620">
        <w:rPr>
          <w:i/>
          <w:iCs/>
          <w:lang w:val="fr-CA"/>
        </w:rPr>
        <w:t>. Canada (</w:t>
      </w:r>
      <w:r w:rsidR="001C3A45" w:rsidRPr="00EB7620">
        <w:rPr>
          <w:i/>
          <w:iCs/>
          <w:lang w:val="fr-CA"/>
        </w:rPr>
        <w:t xml:space="preserve">Canadian </w:t>
      </w:r>
      <w:proofErr w:type="spellStart"/>
      <w:r w:rsidR="001C3A45" w:rsidRPr="00EB7620">
        <w:rPr>
          <w:i/>
          <w:iCs/>
          <w:lang w:val="fr-CA"/>
        </w:rPr>
        <w:t>Human</w:t>
      </w:r>
      <w:proofErr w:type="spellEnd"/>
      <w:r w:rsidR="001C3A45" w:rsidRPr="00EB7620">
        <w:rPr>
          <w:i/>
          <w:iCs/>
          <w:lang w:val="fr-CA"/>
        </w:rPr>
        <w:t xml:space="preserve"> </w:t>
      </w:r>
      <w:proofErr w:type="spellStart"/>
      <w:r w:rsidR="001C3A45" w:rsidRPr="00EB7620">
        <w:rPr>
          <w:i/>
          <w:iCs/>
          <w:lang w:val="fr-CA"/>
        </w:rPr>
        <w:t>Rights</w:t>
      </w:r>
      <w:proofErr w:type="spellEnd"/>
      <w:r w:rsidR="001C3A45" w:rsidRPr="00EB7620">
        <w:rPr>
          <w:i/>
          <w:iCs/>
          <w:lang w:val="fr-CA"/>
        </w:rPr>
        <w:t xml:space="preserve"> Commission</w:t>
      </w:r>
      <w:r w:rsidR="005D66B5" w:rsidRPr="00EB7620">
        <w:rPr>
          <w:i/>
          <w:iCs/>
          <w:lang w:val="fr-CA"/>
        </w:rPr>
        <w:t>)</w:t>
      </w:r>
      <w:r w:rsidR="005D66B5" w:rsidRPr="00EB7620">
        <w:rPr>
          <w:lang w:val="fr-CA"/>
        </w:rPr>
        <w:t xml:space="preserve">, [1987] 1 </w:t>
      </w:r>
      <w:r w:rsidR="001C3A45" w:rsidRPr="00EB7620">
        <w:rPr>
          <w:lang w:val="fr-CA"/>
        </w:rPr>
        <w:t>S.C.R</w:t>
      </w:r>
      <w:r w:rsidR="005D66B5" w:rsidRPr="00EB7620">
        <w:rPr>
          <w:lang w:val="fr-CA"/>
        </w:rPr>
        <w:t xml:space="preserve">. 1114; </w:t>
      </w:r>
      <w:r w:rsidR="00746191" w:rsidRPr="00EB7620">
        <w:rPr>
          <w:i/>
          <w:iCs/>
          <w:lang w:val="fr-CA"/>
        </w:rPr>
        <w:t xml:space="preserve">Devine v. </w:t>
      </w:r>
      <w:proofErr w:type="spellStart"/>
      <w:r w:rsidR="00746191" w:rsidRPr="00EB7620">
        <w:rPr>
          <w:i/>
          <w:iCs/>
          <w:lang w:val="fr-CA"/>
        </w:rPr>
        <w:t>Que</w:t>
      </w:r>
      <w:r w:rsidR="005D66B5" w:rsidRPr="00EB7620">
        <w:rPr>
          <w:i/>
          <w:iCs/>
          <w:lang w:val="fr-CA"/>
        </w:rPr>
        <w:t>bec</w:t>
      </w:r>
      <w:proofErr w:type="spellEnd"/>
      <w:r w:rsidR="005D66B5" w:rsidRPr="00EB7620">
        <w:rPr>
          <w:i/>
          <w:iCs/>
          <w:lang w:val="fr-CA"/>
        </w:rPr>
        <w:t xml:space="preserve"> (</w:t>
      </w:r>
      <w:r w:rsidR="00746191" w:rsidRPr="00EB7620">
        <w:rPr>
          <w:i/>
          <w:iCs/>
          <w:lang w:val="fr-CA"/>
        </w:rPr>
        <w:t>Attorney General</w:t>
      </w:r>
      <w:r w:rsidR="005D66B5" w:rsidRPr="00EB7620">
        <w:rPr>
          <w:i/>
          <w:iCs/>
          <w:lang w:val="fr-CA"/>
        </w:rPr>
        <w:t>)</w:t>
      </w:r>
      <w:r w:rsidR="005D66B5" w:rsidRPr="00EB7620">
        <w:rPr>
          <w:lang w:val="fr-CA"/>
        </w:rPr>
        <w:t xml:space="preserve">, [1988] 2 </w:t>
      </w:r>
      <w:r w:rsidR="00746191" w:rsidRPr="00EB7620">
        <w:rPr>
          <w:lang w:val="fr-CA"/>
        </w:rPr>
        <w:t>S.C.R</w:t>
      </w:r>
      <w:r w:rsidR="005D66B5" w:rsidRPr="00EB7620">
        <w:rPr>
          <w:lang w:val="fr-CA"/>
        </w:rPr>
        <w:t xml:space="preserve">. 790; </w:t>
      </w:r>
      <w:r w:rsidR="00CB3B3A" w:rsidRPr="00EB7620">
        <w:rPr>
          <w:i/>
          <w:iCs/>
          <w:lang w:val="fr-CA"/>
        </w:rPr>
        <w:t xml:space="preserve">McGill </w:t>
      </w:r>
      <w:proofErr w:type="spellStart"/>
      <w:r w:rsidR="00CB3B3A" w:rsidRPr="00EB7620">
        <w:rPr>
          <w:i/>
          <w:iCs/>
          <w:lang w:val="fr-CA"/>
        </w:rPr>
        <w:t>University</w:t>
      </w:r>
      <w:proofErr w:type="spellEnd"/>
      <w:r w:rsidR="00CB3B3A" w:rsidRPr="00EB7620">
        <w:rPr>
          <w:i/>
          <w:iCs/>
          <w:lang w:val="fr-CA"/>
        </w:rPr>
        <w:t xml:space="preserve"> </w:t>
      </w:r>
      <w:proofErr w:type="spellStart"/>
      <w:r w:rsidR="00CB3B3A" w:rsidRPr="00EB7620">
        <w:rPr>
          <w:i/>
          <w:iCs/>
          <w:lang w:val="fr-CA"/>
        </w:rPr>
        <w:t>Health</w:t>
      </w:r>
      <w:proofErr w:type="spellEnd"/>
      <w:r w:rsidR="00CB3B3A" w:rsidRPr="00EB7620">
        <w:rPr>
          <w:i/>
          <w:iCs/>
          <w:lang w:val="fr-CA"/>
        </w:rPr>
        <w:t xml:space="preserve"> Centre (</w:t>
      </w:r>
      <w:proofErr w:type="spellStart"/>
      <w:r w:rsidR="00CB3B3A" w:rsidRPr="00EB7620">
        <w:rPr>
          <w:i/>
          <w:iCs/>
          <w:lang w:val="fr-CA"/>
        </w:rPr>
        <w:t>Montreal</w:t>
      </w:r>
      <w:proofErr w:type="spellEnd"/>
      <w:r w:rsidR="00CB3B3A" w:rsidRPr="00EB7620">
        <w:rPr>
          <w:i/>
          <w:iCs/>
          <w:lang w:val="fr-CA"/>
        </w:rPr>
        <w:t xml:space="preserve"> General </w:t>
      </w:r>
      <w:proofErr w:type="spellStart"/>
      <w:r w:rsidR="00CB3B3A" w:rsidRPr="00EB7620">
        <w:rPr>
          <w:i/>
          <w:iCs/>
          <w:lang w:val="fr-CA"/>
        </w:rPr>
        <w:t>Hospital</w:t>
      </w:r>
      <w:proofErr w:type="spellEnd"/>
      <w:r w:rsidR="005D66B5" w:rsidRPr="00EB7620">
        <w:rPr>
          <w:i/>
          <w:iCs/>
          <w:lang w:val="fr-CA"/>
        </w:rPr>
        <w:t xml:space="preserve">) </w:t>
      </w:r>
      <w:r w:rsidR="00CB3B3A" w:rsidRPr="00EB7620">
        <w:rPr>
          <w:i/>
          <w:iCs/>
          <w:lang w:val="fr-CA"/>
        </w:rPr>
        <w:t>v</w:t>
      </w:r>
      <w:r w:rsidR="005D66B5" w:rsidRPr="00EB7620">
        <w:rPr>
          <w:i/>
          <w:iCs/>
          <w:lang w:val="fr-CA"/>
        </w:rPr>
        <w:t>. Syndicat des employés de l</w:t>
      </w:r>
      <w:r w:rsidR="00D60164" w:rsidRPr="00EB7620">
        <w:rPr>
          <w:i/>
          <w:iCs/>
          <w:lang w:val="fr-CA"/>
        </w:rPr>
        <w:t>’</w:t>
      </w:r>
      <w:r w:rsidR="005D66B5" w:rsidRPr="00EB7620">
        <w:rPr>
          <w:i/>
          <w:iCs/>
          <w:lang w:val="fr-CA"/>
        </w:rPr>
        <w:t>Hôpital général de Montréal</w:t>
      </w:r>
      <w:r w:rsidR="005D66B5" w:rsidRPr="00EB7620">
        <w:rPr>
          <w:lang w:val="fr-CA"/>
        </w:rPr>
        <w:t>, 2007 SC</w:t>
      </w:r>
      <w:r w:rsidR="00303268" w:rsidRPr="00EB7620">
        <w:rPr>
          <w:lang w:val="fr-CA"/>
        </w:rPr>
        <w:t>C</w:t>
      </w:r>
      <w:r w:rsidR="005D66B5" w:rsidRPr="00EB7620">
        <w:rPr>
          <w:lang w:val="fr-CA"/>
        </w:rPr>
        <w:t xml:space="preserve"> 4, [2007] 1 </w:t>
      </w:r>
      <w:r w:rsidR="00303268" w:rsidRPr="00EB7620">
        <w:rPr>
          <w:lang w:val="fr-CA"/>
        </w:rPr>
        <w:t>S.C.R</w:t>
      </w:r>
      <w:r w:rsidR="005D66B5" w:rsidRPr="00EB7620">
        <w:rPr>
          <w:lang w:val="fr-CA"/>
        </w:rPr>
        <w:t xml:space="preserve">. 161; </w:t>
      </w:r>
      <w:r w:rsidR="00DC43FD" w:rsidRPr="00EB7620">
        <w:rPr>
          <w:i/>
          <w:iCs/>
          <w:lang w:val="fr-CA"/>
        </w:rPr>
        <w:t>Moore v</w:t>
      </w:r>
      <w:r w:rsidR="005D66B5" w:rsidRPr="00EB7620">
        <w:rPr>
          <w:i/>
          <w:iCs/>
          <w:lang w:val="fr-CA"/>
        </w:rPr>
        <w:t xml:space="preserve">. </w:t>
      </w:r>
      <w:r w:rsidR="00DC43FD" w:rsidRPr="00EB7620">
        <w:rPr>
          <w:i/>
          <w:iCs/>
          <w:lang w:val="fr-CA"/>
        </w:rPr>
        <w:t>British Columbia (</w:t>
      </w:r>
      <w:proofErr w:type="spellStart"/>
      <w:r w:rsidR="00DC43FD" w:rsidRPr="00EB7620">
        <w:rPr>
          <w:i/>
          <w:iCs/>
          <w:lang w:val="fr-CA"/>
        </w:rPr>
        <w:t>E</w:t>
      </w:r>
      <w:r w:rsidR="005D66B5" w:rsidRPr="00EB7620">
        <w:rPr>
          <w:i/>
          <w:iCs/>
          <w:lang w:val="fr-CA"/>
        </w:rPr>
        <w:t>ducation</w:t>
      </w:r>
      <w:proofErr w:type="spellEnd"/>
      <w:r w:rsidR="005D66B5" w:rsidRPr="00EB7620">
        <w:rPr>
          <w:i/>
          <w:iCs/>
          <w:lang w:val="fr-CA"/>
        </w:rPr>
        <w:t>)</w:t>
      </w:r>
      <w:r w:rsidR="005D66B5" w:rsidRPr="00EB7620">
        <w:rPr>
          <w:lang w:val="fr-CA"/>
        </w:rPr>
        <w:t>, 2012 SC</w:t>
      </w:r>
      <w:r w:rsidR="00DC43FD" w:rsidRPr="00EB7620">
        <w:rPr>
          <w:lang w:val="fr-CA"/>
        </w:rPr>
        <w:t>C</w:t>
      </w:r>
      <w:r w:rsidR="005D66B5" w:rsidRPr="00EB7620">
        <w:rPr>
          <w:lang w:val="fr-CA"/>
        </w:rPr>
        <w:t xml:space="preserve"> 61, [2012] 3 </w:t>
      </w:r>
      <w:r w:rsidR="00DC43FD" w:rsidRPr="00EB7620">
        <w:rPr>
          <w:lang w:val="fr-CA"/>
        </w:rPr>
        <w:t>S.C.R</w:t>
      </w:r>
      <w:r w:rsidR="005D66B5" w:rsidRPr="00EB7620">
        <w:rPr>
          <w:lang w:val="fr-CA"/>
        </w:rPr>
        <w:t xml:space="preserve">. 360; </w:t>
      </w:r>
      <w:r w:rsidR="00720455" w:rsidRPr="00EB7620">
        <w:rPr>
          <w:i/>
          <w:iCs/>
          <w:lang w:val="fr-CA"/>
        </w:rPr>
        <w:t>British Columbia</w:t>
      </w:r>
      <w:r w:rsidR="005D66B5" w:rsidRPr="00EB7620">
        <w:rPr>
          <w:i/>
          <w:iCs/>
          <w:lang w:val="fr-CA"/>
        </w:rPr>
        <w:t xml:space="preserve"> (Public Service </w:t>
      </w:r>
      <w:proofErr w:type="spellStart"/>
      <w:r w:rsidR="00720455" w:rsidRPr="00EB7620">
        <w:rPr>
          <w:i/>
          <w:iCs/>
          <w:lang w:val="fr-CA"/>
        </w:rPr>
        <w:t>Employee</w:t>
      </w:r>
      <w:proofErr w:type="spellEnd"/>
      <w:r w:rsidR="00720455" w:rsidRPr="00EB7620">
        <w:rPr>
          <w:i/>
          <w:iCs/>
          <w:lang w:val="fr-CA"/>
        </w:rPr>
        <w:t xml:space="preserve"> Relations Commission) v</w:t>
      </w:r>
      <w:r w:rsidR="005D66B5" w:rsidRPr="00EB7620">
        <w:rPr>
          <w:i/>
          <w:iCs/>
          <w:lang w:val="fr-CA"/>
        </w:rPr>
        <w:t>. BCGSEU</w:t>
      </w:r>
      <w:r w:rsidR="005D66B5" w:rsidRPr="00EB7620">
        <w:rPr>
          <w:lang w:val="fr-CA"/>
        </w:rPr>
        <w:t xml:space="preserve">, [1999] 3 </w:t>
      </w:r>
      <w:r w:rsidR="00720455" w:rsidRPr="00EB7620">
        <w:rPr>
          <w:lang w:val="fr-CA"/>
        </w:rPr>
        <w:t>S.C.R</w:t>
      </w:r>
      <w:r w:rsidR="005D66B5" w:rsidRPr="00EB7620">
        <w:rPr>
          <w:lang w:val="fr-CA"/>
        </w:rPr>
        <w:t xml:space="preserve">. 3; </w:t>
      </w:r>
      <w:r w:rsidR="007A7C5C" w:rsidRPr="00EB7620">
        <w:rPr>
          <w:i/>
          <w:iCs/>
          <w:lang w:val="fr-CA"/>
        </w:rPr>
        <w:t xml:space="preserve">Gaz métropolitain </w:t>
      </w:r>
      <w:proofErr w:type="spellStart"/>
      <w:r w:rsidR="007A7C5C" w:rsidRPr="00EB7620">
        <w:rPr>
          <w:i/>
          <w:iCs/>
          <w:lang w:val="fr-CA"/>
        </w:rPr>
        <w:t>inc.</w:t>
      </w:r>
      <w:proofErr w:type="spellEnd"/>
      <w:r w:rsidR="007A7C5C" w:rsidRPr="00EB7620">
        <w:rPr>
          <w:i/>
          <w:iCs/>
          <w:lang w:val="fr-CA"/>
        </w:rPr>
        <w:t xml:space="preserve"> v</w:t>
      </w:r>
      <w:r w:rsidR="005D66B5" w:rsidRPr="00EB7620">
        <w:rPr>
          <w:i/>
          <w:iCs/>
          <w:lang w:val="fr-CA"/>
        </w:rPr>
        <w:t>. Commission des droits de la personne et des droits de la jeunesse</w:t>
      </w:r>
      <w:r w:rsidR="005D66B5" w:rsidRPr="00EB7620">
        <w:rPr>
          <w:lang w:val="fr-CA"/>
        </w:rPr>
        <w:t>, 2011 QCCA 1201</w:t>
      </w:r>
      <w:r w:rsidR="00742634" w:rsidRPr="00EB7620">
        <w:rPr>
          <w:lang w:val="fr-CA"/>
        </w:rPr>
        <w:t xml:space="preserve">, </w:t>
      </w:r>
      <w:proofErr w:type="spellStart"/>
      <w:r w:rsidR="00742634" w:rsidRPr="00EB7620">
        <w:rPr>
          <w:lang w:val="fr-CA"/>
        </w:rPr>
        <w:t>aff</w:t>
      </w:r>
      <w:r w:rsidR="00D60164" w:rsidRPr="00EB7620">
        <w:rPr>
          <w:lang w:val="fr-CA"/>
        </w:rPr>
        <w:t>’</w:t>
      </w:r>
      <w:r w:rsidR="00742634" w:rsidRPr="00EB7620">
        <w:rPr>
          <w:lang w:val="fr-CA"/>
        </w:rPr>
        <w:t>g</w:t>
      </w:r>
      <w:proofErr w:type="spellEnd"/>
      <w:r w:rsidR="00742634" w:rsidRPr="00EB7620">
        <w:rPr>
          <w:lang w:val="fr-CA"/>
        </w:rPr>
        <w:t xml:space="preserve"> </w:t>
      </w:r>
      <w:r w:rsidR="006D203C" w:rsidRPr="00EB7620">
        <w:rPr>
          <w:lang w:val="fr-CA"/>
        </w:rPr>
        <w:t xml:space="preserve">in part </w:t>
      </w:r>
      <w:r w:rsidR="00742634" w:rsidRPr="00EB7620">
        <w:rPr>
          <w:lang w:val="fr-CA"/>
        </w:rPr>
        <w:t>2008 QCTDP</w:t>
      </w:r>
      <w:r w:rsidR="00CD2DCB" w:rsidRPr="00EB7620">
        <w:rPr>
          <w:lang w:val="fr-CA"/>
        </w:rPr>
        <w:t xml:space="preserve"> 24</w:t>
      </w:r>
      <w:r w:rsidR="005D66B5" w:rsidRPr="00EB7620">
        <w:rPr>
          <w:lang w:val="fr-CA"/>
        </w:rPr>
        <w:t xml:space="preserve">; </w:t>
      </w:r>
      <w:r w:rsidR="00316CA7" w:rsidRPr="00EB7620">
        <w:rPr>
          <w:i/>
          <w:iCs/>
          <w:lang w:val="fr-CA"/>
        </w:rPr>
        <w:t>Andrews v. Law Society of British Columbia</w:t>
      </w:r>
      <w:r w:rsidR="00316CA7" w:rsidRPr="00EB7620">
        <w:rPr>
          <w:lang w:val="fr-CA"/>
        </w:rPr>
        <w:t xml:space="preserve">, [1989] 1 S.C.R. 143; </w:t>
      </w:r>
      <w:r w:rsidR="0089001A" w:rsidRPr="00EB7620">
        <w:rPr>
          <w:i/>
          <w:iCs/>
          <w:lang w:val="fr-CA"/>
        </w:rPr>
        <w:t>Commission des droits de la personne du Québec v. Ville de Québec</w:t>
      </w:r>
      <w:r w:rsidR="000736D6" w:rsidRPr="00EB7620">
        <w:rPr>
          <w:lang w:val="fr-CA"/>
        </w:rPr>
        <w:t>, [1989]</w:t>
      </w:r>
      <w:r w:rsidR="005D66B5" w:rsidRPr="00EB7620">
        <w:rPr>
          <w:lang w:val="fr-CA"/>
        </w:rPr>
        <w:t xml:space="preserve"> R.J.Q. 831</w:t>
      </w:r>
      <w:r w:rsidR="00F76F30" w:rsidRPr="00EB7620">
        <w:rPr>
          <w:lang w:val="fr-CA"/>
        </w:rPr>
        <w:t xml:space="preserve">, </w:t>
      </w:r>
      <w:proofErr w:type="spellStart"/>
      <w:r w:rsidR="00F76F30" w:rsidRPr="00EB7620">
        <w:rPr>
          <w:lang w:val="fr-CA"/>
        </w:rPr>
        <w:t>leave</w:t>
      </w:r>
      <w:proofErr w:type="spellEnd"/>
      <w:r w:rsidR="00F76F30" w:rsidRPr="00EB7620">
        <w:rPr>
          <w:lang w:val="fr-CA"/>
        </w:rPr>
        <w:t xml:space="preserve"> to </w:t>
      </w:r>
      <w:proofErr w:type="spellStart"/>
      <w:r w:rsidR="00F76F30" w:rsidRPr="00EB7620">
        <w:rPr>
          <w:lang w:val="fr-CA"/>
        </w:rPr>
        <w:t>appeal</w:t>
      </w:r>
      <w:proofErr w:type="spellEnd"/>
      <w:r w:rsidR="00F76F30" w:rsidRPr="00EB7620">
        <w:rPr>
          <w:lang w:val="fr-CA"/>
        </w:rPr>
        <w:t xml:space="preserve"> </w:t>
      </w:r>
      <w:proofErr w:type="spellStart"/>
      <w:r w:rsidR="00F76F30" w:rsidRPr="00EB7620">
        <w:rPr>
          <w:lang w:val="fr-CA"/>
        </w:rPr>
        <w:t>refused</w:t>
      </w:r>
      <w:proofErr w:type="spellEnd"/>
      <w:r w:rsidR="0005791C" w:rsidRPr="00EB7620">
        <w:rPr>
          <w:lang w:val="fr-CA"/>
        </w:rPr>
        <w:t>, [1989] 2 S.C.R. vi</w:t>
      </w:r>
      <w:r w:rsidR="005D66B5" w:rsidRPr="00EB7620">
        <w:rPr>
          <w:lang w:val="fr-CA"/>
        </w:rPr>
        <w:t xml:space="preserve">; </w:t>
      </w:r>
      <w:r w:rsidR="005D66B5" w:rsidRPr="00EB7620">
        <w:rPr>
          <w:i/>
          <w:iCs/>
          <w:lang w:val="fr-CA"/>
        </w:rPr>
        <w:t xml:space="preserve">Peel Law </w:t>
      </w:r>
      <w:proofErr w:type="spellStart"/>
      <w:r w:rsidR="002772E9" w:rsidRPr="00EB7620">
        <w:rPr>
          <w:i/>
          <w:iCs/>
          <w:lang w:val="fr-CA"/>
        </w:rPr>
        <w:t>Assn</w:t>
      </w:r>
      <w:proofErr w:type="spellEnd"/>
      <w:r w:rsidR="002772E9" w:rsidRPr="00EB7620">
        <w:rPr>
          <w:i/>
          <w:iCs/>
          <w:lang w:val="fr-CA"/>
        </w:rPr>
        <w:t>.</w:t>
      </w:r>
      <w:r w:rsidR="005D66B5" w:rsidRPr="00EB7620">
        <w:rPr>
          <w:i/>
          <w:iCs/>
          <w:lang w:val="fr-CA"/>
        </w:rPr>
        <w:t xml:space="preserve"> </w:t>
      </w:r>
      <w:r w:rsidR="002772E9" w:rsidRPr="00EB7620">
        <w:rPr>
          <w:i/>
          <w:iCs/>
          <w:lang w:val="fr-CA"/>
        </w:rPr>
        <w:t>v</w:t>
      </w:r>
      <w:r w:rsidR="005D66B5" w:rsidRPr="00EB7620">
        <w:rPr>
          <w:i/>
          <w:iCs/>
          <w:lang w:val="fr-CA"/>
        </w:rPr>
        <w:t>. Pieters</w:t>
      </w:r>
      <w:r w:rsidR="005D66B5" w:rsidRPr="00EB7620">
        <w:rPr>
          <w:lang w:val="fr-CA"/>
        </w:rPr>
        <w:t>, 2013 ONCA 396</w:t>
      </w:r>
      <w:r w:rsidR="002772E9" w:rsidRPr="00EB7620">
        <w:rPr>
          <w:lang w:val="fr-CA"/>
        </w:rPr>
        <w:t>, 116 O.R. (3d) 80</w:t>
      </w:r>
      <w:r w:rsidR="005D66B5" w:rsidRPr="00EB7620">
        <w:rPr>
          <w:lang w:val="fr-CA"/>
        </w:rPr>
        <w:t xml:space="preserve">; </w:t>
      </w:r>
      <w:r w:rsidR="00A857D0" w:rsidRPr="00EB7620">
        <w:rPr>
          <w:i/>
          <w:iCs/>
          <w:lang w:val="fr-CA"/>
        </w:rPr>
        <w:t>Ruel v</w:t>
      </w:r>
      <w:r w:rsidR="005D66B5" w:rsidRPr="00EB7620">
        <w:rPr>
          <w:i/>
          <w:iCs/>
          <w:lang w:val="fr-CA"/>
        </w:rPr>
        <w:t xml:space="preserve">. </w:t>
      </w:r>
      <w:r w:rsidR="00853954" w:rsidRPr="00EB7620">
        <w:rPr>
          <w:i/>
          <w:iCs/>
          <w:lang w:val="fr-CA"/>
        </w:rPr>
        <w:t>Marois</w:t>
      </w:r>
      <w:r w:rsidR="005D66B5" w:rsidRPr="00EB7620">
        <w:rPr>
          <w:lang w:val="fr-CA"/>
        </w:rPr>
        <w:t xml:space="preserve">, </w:t>
      </w:r>
      <w:r w:rsidR="00A857D0" w:rsidRPr="00EB7620">
        <w:rPr>
          <w:lang w:val="fr-CA"/>
        </w:rPr>
        <w:t>[2001] R.J.Q. 2590</w:t>
      </w:r>
      <w:r w:rsidR="005D66B5" w:rsidRPr="00EB7620">
        <w:rPr>
          <w:lang w:val="fr-CA"/>
        </w:rPr>
        <w:t xml:space="preserve">; </w:t>
      </w:r>
      <w:proofErr w:type="spellStart"/>
      <w:r w:rsidR="00056C76" w:rsidRPr="00EB7620">
        <w:rPr>
          <w:i/>
          <w:iCs/>
          <w:lang w:val="fr-CA"/>
        </w:rPr>
        <w:t>Velk</w:t>
      </w:r>
      <w:proofErr w:type="spellEnd"/>
      <w:r w:rsidR="00056C76" w:rsidRPr="00EB7620">
        <w:rPr>
          <w:i/>
          <w:iCs/>
          <w:lang w:val="fr-CA"/>
        </w:rPr>
        <w:t xml:space="preserve"> v. </w:t>
      </w:r>
      <w:r w:rsidR="005D66B5" w:rsidRPr="00EB7620">
        <w:rPr>
          <w:i/>
          <w:iCs/>
          <w:lang w:val="fr-CA"/>
        </w:rPr>
        <w:t xml:space="preserve">McGill </w:t>
      </w:r>
      <w:proofErr w:type="spellStart"/>
      <w:r w:rsidR="005D66B5" w:rsidRPr="00EB7620">
        <w:rPr>
          <w:i/>
          <w:iCs/>
          <w:lang w:val="fr-CA"/>
        </w:rPr>
        <w:t>University</w:t>
      </w:r>
      <w:proofErr w:type="spellEnd"/>
      <w:r w:rsidR="005D66B5" w:rsidRPr="00EB7620">
        <w:rPr>
          <w:lang w:val="fr-CA"/>
        </w:rPr>
        <w:t xml:space="preserve">, 2011 QCCA 578; </w:t>
      </w:r>
      <w:r w:rsidR="005D66B5" w:rsidRPr="00EB7620">
        <w:rPr>
          <w:i/>
          <w:iCs/>
          <w:lang w:val="fr-CA"/>
        </w:rPr>
        <w:t xml:space="preserve">Banque </w:t>
      </w:r>
      <w:r w:rsidR="007C0CEE" w:rsidRPr="00EB7620">
        <w:rPr>
          <w:i/>
          <w:iCs/>
          <w:lang w:val="fr-CA"/>
        </w:rPr>
        <w:t>Canadienne Nationale v</w:t>
      </w:r>
      <w:r w:rsidR="005D66B5" w:rsidRPr="00EB7620">
        <w:rPr>
          <w:i/>
          <w:iCs/>
          <w:lang w:val="fr-CA"/>
        </w:rPr>
        <w:t xml:space="preserve">. </w:t>
      </w:r>
      <w:proofErr w:type="spellStart"/>
      <w:r w:rsidR="005D66B5" w:rsidRPr="00EB7620">
        <w:rPr>
          <w:i/>
          <w:iCs/>
          <w:lang w:val="fr-CA"/>
        </w:rPr>
        <w:t>Mastracchio</w:t>
      </w:r>
      <w:proofErr w:type="spellEnd"/>
      <w:r w:rsidR="005D66B5" w:rsidRPr="00EB7620">
        <w:rPr>
          <w:lang w:val="fr-CA"/>
        </w:rPr>
        <w:t xml:space="preserve">, [1962] </w:t>
      </w:r>
      <w:r w:rsidR="00B15075" w:rsidRPr="00EB7620">
        <w:rPr>
          <w:lang w:val="fr-CA"/>
        </w:rPr>
        <w:t>S.C.R. 53</w:t>
      </w:r>
      <w:r w:rsidR="005D66B5" w:rsidRPr="00EB7620">
        <w:rPr>
          <w:lang w:val="fr-CA"/>
        </w:rPr>
        <w:t xml:space="preserve">; </w:t>
      </w:r>
      <w:r w:rsidR="00D82E80" w:rsidRPr="00EB7620">
        <w:rPr>
          <w:i/>
          <w:iCs/>
          <w:lang w:val="fr-CA"/>
        </w:rPr>
        <w:t>Rousseau v</w:t>
      </w:r>
      <w:r w:rsidR="005D66B5" w:rsidRPr="00EB7620">
        <w:rPr>
          <w:i/>
          <w:iCs/>
          <w:lang w:val="fr-CA"/>
        </w:rPr>
        <w:t>. Benne</w:t>
      </w:r>
      <w:r w:rsidR="00D82E80" w:rsidRPr="00EB7620">
        <w:rPr>
          <w:i/>
          <w:iCs/>
          <w:lang w:val="fr-CA"/>
        </w:rPr>
        <w:t>t</w:t>
      </w:r>
      <w:r w:rsidR="005D66B5" w:rsidRPr="00EB7620">
        <w:rPr>
          <w:i/>
          <w:iCs/>
          <w:lang w:val="fr-CA"/>
        </w:rPr>
        <w:t>t</w:t>
      </w:r>
      <w:r w:rsidR="005D66B5" w:rsidRPr="00EB7620">
        <w:rPr>
          <w:lang w:val="fr-CA"/>
        </w:rPr>
        <w:t xml:space="preserve">, [1956] </w:t>
      </w:r>
      <w:r w:rsidR="00D82E80" w:rsidRPr="00EB7620">
        <w:rPr>
          <w:lang w:val="fr-CA"/>
        </w:rPr>
        <w:t>S.C.R</w:t>
      </w:r>
      <w:r w:rsidR="005D66B5" w:rsidRPr="00EB7620">
        <w:rPr>
          <w:lang w:val="fr-CA"/>
        </w:rPr>
        <w:t>. 89;</w:t>
      </w:r>
      <w:r w:rsidR="005D66B5" w:rsidRPr="00EB7620">
        <w:rPr>
          <w:b/>
          <w:bCs/>
          <w:lang w:val="fr-CA"/>
        </w:rPr>
        <w:t xml:space="preserve"> </w:t>
      </w:r>
      <w:r w:rsidR="00E7250D" w:rsidRPr="00EB7620">
        <w:rPr>
          <w:i/>
          <w:iCs/>
          <w:lang w:val="fr-CA"/>
        </w:rPr>
        <w:t>Parent v</w:t>
      </w:r>
      <w:r w:rsidR="005D66B5" w:rsidRPr="00EB7620">
        <w:rPr>
          <w:i/>
          <w:iCs/>
          <w:lang w:val="fr-CA"/>
        </w:rPr>
        <w:t>. Lapointe</w:t>
      </w:r>
      <w:r w:rsidR="005D66B5" w:rsidRPr="00EB7620">
        <w:rPr>
          <w:lang w:val="fr-CA"/>
        </w:rPr>
        <w:t xml:space="preserve">, [1952] 1 </w:t>
      </w:r>
      <w:r w:rsidR="00E7250D" w:rsidRPr="00EB7620">
        <w:rPr>
          <w:lang w:val="fr-CA"/>
        </w:rPr>
        <w:t>S.C.R</w:t>
      </w:r>
      <w:r w:rsidR="005D66B5" w:rsidRPr="00EB7620">
        <w:rPr>
          <w:lang w:val="fr-CA"/>
        </w:rPr>
        <w:t xml:space="preserve">. 376; </w:t>
      </w:r>
      <w:r w:rsidR="005D66B5" w:rsidRPr="00EB7620">
        <w:rPr>
          <w:i/>
          <w:iCs/>
          <w:lang w:val="fr-CA"/>
        </w:rPr>
        <w:t>Univers</w:t>
      </w:r>
      <w:r w:rsidR="00884060" w:rsidRPr="00EB7620">
        <w:rPr>
          <w:i/>
          <w:iCs/>
          <w:lang w:val="fr-CA"/>
        </w:rPr>
        <w:t>ité du Québec à Trois</w:t>
      </w:r>
      <w:r w:rsidR="00570231" w:rsidRPr="00EB7620">
        <w:rPr>
          <w:i/>
          <w:iCs/>
          <w:lang w:val="fr-CA"/>
        </w:rPr>
        <w:noBreakHyphen/>
      </w:r>
      <w:r w:rsidR="00884060" w:rsidRPr="00EB7620">
        <w:rPr>
          <w:i/>
          <w:iCs/>
          <w:lang w:val="fr-CA"/>
        </w:rPr>
        <w:t>Rivières v</w:t>
      </w:r>
      <w:r w:rsidR="005D66B5" w:rsidRPr="00EB7620">
        <w:rPr>
          <w:i/>
          <w:iCs/>
          <w:lang w:val="fr-CA"/>
        </w:rPr>
        <w:t>. Larocque</w:t>
      </w:r>
      <w:r w:rsidR="005D66B5" w:rsidRPr="00EB7620">
        <w:rPr>
          <w:lang w:val="fr-CA"/>
        </w:rPr>
        <w:t xml:space="preserve">, [1993] 1 </w:t>
      </w:r>
      <w:r w:rsidR="00884060" w:rsidRPr="00EB7620">
        <w:rPr>
          <w:lang w:val="fr-CA"/>
        </w:rPr>
        <w:t>S.C.R</w:t>
      </w:r>
      <w:r w:rsidR="005D66B5" w:rsidRPr="00EB7620">
        <w:rPr>
          <w:lang w:val="fr-CA"/>
        </w:rPr>
        <w:t xml:space="preserve">. 471; </w:t>
      </w:r>
      <w:r w:rsidR="00D737DA" w:rsidRPr="00EB7620">
        <w:rPr>
          <w:i/>
          <w:iCs/>
          <w:lang w:val="fr-CA"/>
        </w:rPr>
        <w:t xml:space="preserve">Mouvement laïque </w:t>
      </w:r>
      <w:r w:rsidR="00D737DA" w:rsidRPr="00EB7620">
        <w:rPr>
          <w:i/>
          <w:iCs/>
          <w:lang w:val="fr-CA"/>
        </w:rPr>
        <w:lastRenderedPageBreak/>
        <w:t>québécois v</w:t>
      </w:r>
      <w:r w:rsidR="005D66B5" w:rsidRPr="00EB7620">
        <w:rPr>
          <w:i/>
          <w:iCs/>
          <w:lang w:val="fr-CA"/>
        </w:rPr>
        <w:t>. Saguenay (</w:t>
      </w:r>
      <w:r w:rsidR="00D737DA" w:rsidRPr="00EB7620">
        <w:rPr>
          <w:i/>
          <w:iCs/>
          <w:lang w:val="fr-CA"/>
        </w:rPr>
        <w:t>City</w:t>
      </w:r>
      <w:r w:rsidR="005D66B5" w:rsidRPr="00EB7620">
        <w:rPr>
          <w:i/>
          <w:iCs/>
          <w:lang w:val="fr-CA"/>
        </w:rPr>
        <w:t>)</w:t>
      </w:r>
      <w:r w:rsidR="005D66B5" w:rsidRPr="00EB7620">
        <w:rPr>
          <w:lang w:val="fr-CA"/>
        </w:rPr>
        <w:t>, 2015 SC</w:t>
      </w:r>
      <w:r w:rsidR="00D737DA" w:rsidRPr="00EB7620">
        <w:rPr>
          <w:lang w:val="fr-CA"/>
        </w:rPr>
        <w:t>C</w:t>
      </w:r>
      <w:r w:rsidR="00F84505" w:rsidRPr="00EB7620">
        <w:rPr>
          <w:lang w:val="fr-CA"/>
        </w:rPr>
        <w:t xml:space="preserve"> 16</w:t>
      </w:r>
      <w:r w:rsidR="00EB7620" w:rsidRPr="00EB7620">
        <w:rPr>
          <w:lang w:val="fr-CA"/>
        </w:rPr>
        <w:t>,</w:t>
      </w:r>
      <w:r w:rsidR="00EB7620">
        <w:rPr>
          <w:lang w:val="fr-CA"/>
        </w:rPr>
        <w:t xml:space="preserve"> [2015] 2 S.C.R. 3</w:t>
      </w:r>
      <w:r w:rsidR="005D66B5" w:rsidRPr="00EB7620">
        <w:rPr>
          <w:lang w:val="fr-CA"/>
        </w:rPr>
        <w:t>;</w:t>
      </w:r>
      <w:r w:rsidR="00526F71" w:rsidRPr="00EB7620">
        <w:rPr>
          <w:i/>
          <w:iCs/>
          <w:lang w:val="fr-CA"/>
        </w:rPr>
        <w:t xml:space="preserve"> </w:t>
      </w:r>
      <w:proofErr w:type="spellStart"/>
      <w:r w:rsidR="00526F71" w:rsidRPr="00EB7620">
        <w:rPr>
          <w:i/>
          <w:iCs/>
          <w:lang w:val="fr-CA"/>
        </w:rPr>
        <w:t>Quebec</w:t>
      </w:r>
      <w:proofErr w:type="spellEnd"/>
      <w:r w:rsidR="00526F71" w:rsidRPr="00EB7620">
        <w:rPr>
          <w:i/>
          <w:iCs/>
          <w:lang w:val="fr-CA"/>
        </w:rPr>
        <w:t xml:space="preserve"> (Commission des droits de la personne et des droits de la jeunesse) v. Communauté urbaine de Montréal</w:t>
      </w:r>
      <w:r w:rsidR="00526F71" w:rsidRPr="00EB7620">
        <w:rPr>
          <w:lang w:val="fr-CA"/>
        </w:rPr>
        <w:t>, 2004 SCC 30, [2004] 1 S.C.R. 789;</w:t>
      </w:r>
      <w:r w:rsidR="005D66B5" w:rsidRPr="00EB7620">
        <w:rPr>
          <w:lang w:val="fr-CA"/>
        </w:rPr>
        <w:t xml:space="preserve"> </w:t>
      </w:r>
      <w:r w:rsidR="004A715E" w:rsidRPr="00EB7620">
        <w:rPr>
          <w:i/>
          <w:iCs/>
          <w:lang w:val="fr-CA"/>
        </w:rPr>
        <w:t>Doucet</w:t>
      </w:r>
      <w:r w:rsidR="00570231" w:rsidRPr="00EB7620">
        <w:rPr>
          <w:i/>
          <w:iCs/>
          <w:lang w:val="fr-CA"/>
        </w:rPr>
        <w:noBreakHyphen/>
      </w:r>
      <w:r w:rsidR="004A715E" w:rsidRPr="00EB7620">
        <w:rPr>
          <w:i/>
          <w:iCs/>
          <w:lang w:val="fr-CA"/>
        </w:rPr>
        <w:t>Boudreau v</w:t>
      </w:r>
      <w:r w:rsidR="005D66B5" w:rsidRPr="00EB7620">
        <w:rPr>
          <w:i/>
          <w:iCs/>
          <w:lang w:val="fr-CA"/>
        </w:rPr>
        <w:t>. N</w:t>
      </w:r>
      <w:r w:rsidR="004A715E" w:rsidRPr="00EB7620">
        <w:rPr>
          <w:i/>
          <w:iCs/>
          <w:lang w:val="fr-CA"/>
        </w:rPr>
        <w:t xml:space="preserve">ova </w:t>
      </w:r>
      <w:proofErr w:type="spellStart"/>
      <w:r w:rsidR="004A715E" w:rsidRPr="00EB7620">
        <w:rPr>
          <w:i/>
          <w:iCs/>
          <w:lang w:val="fr-CA"/>
        </w:rPr>
        <w:t>Scotia</w:t>
      </w:r>
      <w:proofErr w:type="spellEnd"/>
      <w:r w:rsidR="005D66B5" w:rsidRPr="00EB7620">
        <w:rPr>
          <w:i/>
          <w:iCs/>
          <w:lang w:val="fr-CA"/>
        </w:rPr>
        <w:t xml:space="preserve"> (</w:t>
      </w:r>
      <w:proofErr w:type="spellStart"/>
      <w:r w:rsidR="004A715E" w:rsidRPr="00EB7620">
        <w:rPr>
          <w:i/>
          <w:iCs/>
          <w:lang w:val="fr-CA"/>
        </w:rPr>
        <w:t>Minister</w:t>
      </w:r>
      <w:proofErr w:type="spellEnd"/>
      <w:r w:rsidR="004A715E" w:rsidRPr="00EB7620">
        <w:rPr>
          <w:i/>
          <w:iCs/>
          <w:lang w:val="fr-CA"/>
        </w:rPr>
        <w:t xml:space="preserve"> of </w:t>
      </w:r>
      <w:proofErr w:type="spellStart"/>
      <w:r w:rsidR="004A715E" w:rsidRPr="00EB7620">
        <w:rPr>
          <w:i/>
          <w:iCs/>
          <w:lang w:val="fr-CA"/>
        </w:rPr>
        <w:t>Education</w:t>
      </w:r>
      <w:proofErr w:type="spellEnd"/>
      <w:r w:rsidR="005D66B5" w:rsidRPr="00EB7620">
        <w:rPr>
          <w:i/>
          <w:iCs/>
          <w:lang w:val="fr-CA"/>
        </w:rPr>
        <w:t>)</w:t>
      </w:r>
      <w:r w:rsidR="005D66B5" w:rsidRPr="00EB7620">
        <w:rPr>
          <w:lang w:val="fr-CA"/>
        </w:rPr>
        <w:t>, 2003</w:t>
      </w:r>
      <w:r w:rsidR="005D66B5" w:rsidRPr="00EB7620">
        <w:rPr>
          <w:i/>
          <w:iCs/>
          <w:lang w:val="fr-CA"/>
        </w:rPr>
        <w:t xml:space="preserve"> </w:t>
      </w:r>
      <w:r w:rsidR="005D66B5" w:rsidRPr="00EB7620">
        <w:rPr>
          <w:lang w:val="fr-CA"/>
        </w:rPr>
        <w:t>SC</w:t>
      </w:r>
      <w:r w:rsidR="004A715E" w:rsidRPr="00EB7620">
        <w:rPr>
          <w:lang w:val="fr-CA"/>
        </w:rPr>
        <w:t>C</w:t>
      </w:r>
      <w:r w:rsidR="005D66B5" w:rsidRPr="00EB7620">
        <w:rPr>
          <w:lang w:val="fr-CA"/>
        </w:rPr>
        <w:t xml:space="preserve"> 62, [2003] 3 </w:t>
      </w:r>
      <w:r w:rsidR="004A715E" w:rsidRPr="00EB7620">
        <w:rPr>
          <w:lang w:val="fr-CA"/>
        </w:rPr>
        <w:t>S.C.R</w:t>
      </w:r>
      <w:r w:rsidR="00526F71" w:rsidRPr="00EB7620">
        <w:rPr>
          <w:lang w:val="fr-CA"/>
        </w:rPr>
        <w:t>. 3</w:t>
      </w:r>
      <w:r w:rsidR="005D66B5" w:rsidRPr="00EB7620">
        <w:rPr>
          <w:lang w:val="fr-CA"/>
        </w:rPr>
        <w:t>.</w:t>
      </w:r>
    </w:p>
    <w:p w:rsidR="003B215F" w:rsidRPr="00275838" w:rsidRDefault="002E6705" w:rsidP="00E810E1">
      <w:pPr>
        <w:pStyle w:val="SCCNormalDoubleSpacing"/>
        <w:widowControl w:val="0"/>
        <w:spacing w:after="720" w:line="240" w:lineRule="auto"/>
        <w:rPr>
          <w:lang w:val="en-US"/>
        </w:rPr>
      </w:pPr>
      <w:r w:rsidRPr="00275838">
        <w:rPr>
          <w:b/>
          <w:lang w:val="en-US"/>
        </w:rPr>
        <w:t>Statutes and Regulations Cite</w:t>
      </w:r>
      <w:r w:rsidR="00A41805" w:rsidRPr="00275838">
        <w:rPr>
          <w:b/>
          <w:lang w:val="en-US"/>
        </w:rPr>
        <w:t>d</w:t>
      </w:r>
    </w:p>
    <w:p w:rsidR="004B25AB" w:rsidRPr="00275838" w:rsidRDefault="004B25AB" w:rsidP="00E810E1">
      <w:pPr>
        <w:pStyle w:val="SCCNormalDoubleSpacing"/>
        <w:widowControl w:val="0"/>
        <w:spacing w:after="240" w:line="240" w:lineRule="auto"/>
        <w:ind w:left="547" w:hanging="547"/>
        <w:rPr>
          <w:lang w:val="en-US"/>
        </w:rPr>
      </w:pPr>
      <w:r w:rsidRPr="00275838">
        <w:rPr>
          <w:i/>
          <w:iCs/>
          <w:lang w:val="en-US"/>
        </w:rPr>
        <w:t>Act respecting administrative justice</w:t>
      </w:r>
      <w:r w:rsidRPr="00275838">
        <w:rPr>
          <w:lang w:val="en-US"/>
        </w:rPr>
        <w:t>, CQLR, c.</w:t>
      </w:r>
      <w:r w:rsidR="00570231" w:rsidRPr="00275838">
        <w:rPr>
          <w:lang w:val="en-US"/>
        </w:rPr>
        <w:t> </w:t>
      </w:r>
      <w:r w:rsidRPr="00275838">
        <w:rPr>
          <w:lang w:val="en-US"/>
        </w:rPr>
        <w:t>J</w:t>
      </w:r>
      <w:r w:rsidR="00570231" w:rsidRPr="00275838">
        <w:rPr>
          <w:lang w:val="en-US"/>
        </w:rPr>
        <w:noBreakHyphen/>
      </w:r>
      <w:r w:rsidRPr="00275838">
        <w:rPr>
          <w:lang w:val="en-US"/>
        </w:rPr>
        <w:t xml:space="preserve">3, </w:t>
      </w:r>
      <w:r w:rsidR="00570231" w:rsidRPr="00275838">
        <w:rPr>
          <w:lang w:val="en-US"/>
        </w:rPr>
        <w:t>ss. </w:t>
      </w:r>
      <w:r w:rsidRPr="00275838">
        <w:rPr>
          <w:lang w:val="en-US"/>
        </w:rPr>
        <w:t>9 to 12.</w:t>
      </w:r>
    </w:p>
    <w:p w:rsidR="004B25AB" w:rsidRPr="00BA4482" w:rsidRDefault="004B25AB" w:rsidP="00E810E1">
      <w:pPr>
        <w:pStyle w:val="SCCNormalDoubleSpacing"/>
        <w:widowControl w:val="0"/>
        <w:spacing w:after="240" w:line="240" w:lineRule="auto"/>
        <w:ind w:left="547" w:hanging="547"/>
      </w:pPr>
      <w:r w:rsidRPr="00275838">
        <w:rPr>
          <w:i/>
          <w:iCs/>
          <w:lang w:val="en-US"/>
        </w:rPr>
        <w:t xml:space="preserve">Aviation and </w:t>
      </w:r>
      <w:proofErr w:type="spellStart"/>
      <w:r w:rsidRPr="00275838">
        <w:rPr>
          <w:i/>
          <w:iCs/>
          <w:lang w:val="en-US"/>
        </w:rPr>
        <w:t>Transportat</w:t>
      </w:r>
      <w:proofErr w:type="spellEnd"/>
      <w:r w:rsidRPr="00BA4482">
        <w:rPr>
          <w:i/>
          <w:iCs/>
        </w:rPr>
        <w:t>ion Security Act</w:t>
      </w:r>
      <w:r w:rsidRPr="00BA4482">
        <w:rPr>
          <w:iCs/>
        </w:rPr>
        <w:t>, Pub. L. 107</w:t>
      </w:r>
      <w:r w:rsidR="00570231" w:rsidRPr="00BA4482">
        <w:rPr>
          <w:iCs/>
        </w:rPr>
        <w:noBreakHyphen/>
      </w:r>
      <w:r w:rsidRPr="00BA4482">
        <w:rPr>
          <w:iCs/>
        </w:rPr>
        <w:t>71</w:t>
      </w:r>
      <w:r w:rsidR="00275838" w:rsidRPr="00BA4482">
        <w:rPr>
          <w:iCs/>
        </w:rPr>
        <w:t>, § 113</w:t>
      </w:r>
      <w:r w:rsidRPr="00BA4482">
        <w:rPr>
          <w:iCs/>
        </w:rPr>
        <w:t>, 115 Stat. 597 (2001</w:t>
      </w:r>
      <w:r w:rsidR="00275838">
        <w:rPr>
          <w:iCs/>
        </w:rPr>
        <w:t>)</w:t>
      </w:r>
      <w:r w:rsidRPr="00BA4482">
        <w:t>.</w:t>
      </w:r>
    </w:p>
    <w:p w:rsidR="004B25AB" w:rsidRPr="00BA4482" w:rsidRDefault="004B25AB" w:rsidP="00E810E1">
      <w:pPr>
        <w:pStyle w:val="SCCNormalDoubleSpacing"/>
        <w:widowControl w:val="0"/>
        <w:spacing w:after="240" w:line="240" w:lineRule="auto"/>
        <w:ind w:left="547" w:hanging="547"/>
      </w:pPr>
      <w:r w:rsidRPr="00BA4482">
        <w:rPr>
          <w:i/>
        </w:rPr>
        <w:t>Canadian Charter of Rights and Freedoms</w:t>
      </w:r>
      <w:r w:rsidRPr="00BA4482">
        <w:t xml:space="preserve">. </w:t>
      </w:r>
    </w:p>
    <w:p w:rsidR="004B25AB" w:rsidRPr="00BA4482" w:rsidRDefault="004B25AB" w:rsidP="00E810E1">
      <w:pPr>
        <w:pStyle w:val="SCCNormalDoubleSpacing"/>
        <w:widowControl w:val="0"/>
        <w:spacing w:after="240" w:line="240" w:lineRule="auto"/>
        <w:ind w:left="547" w:hanging="547"/>
      </w:pPr>
      <w:r w:rsidRPr="00BA4482">
        <w:rPr>
          <w:i/>
          <w:iCs/>
        </w:rPr>
        <w:t>Charter of human rights and freedoms</w:t>
      </w:r>
      <w:r w:rsidRPr="00BA4482">
        <w:rPr>
          <w:iCs/>
        </w:rPr>
        <w:t>,</w:t>
      </w:r>
      <w:r w:rsidRPr="00BA4482">
        <w:t xml:space="preserve"> CQLR, c.</w:t>
      </w:r>
      <w:r w:rsidR="00570231" w:rsidRPr="00BA4482">
        <w:t> </w:t>
      </w:r>
      <w:r w:rsidRPr="00BA4482">
        <w:t>C</w:t>
      </w:r>
      <w:r w:rsidR="00570231" w:rsidRPr="00BA4482">
        <w:noBreakHyphen/>
      </w:r>
      <w:r w:rsidRPr="00BA4482">
        <w:t xml:space="preserve">12, </w:t>
      </w:r>
      <w:r w:rsidR="00570231" w:rsidRPr="00BA4482">
        <w:t>ss. </w:t>
      </w:r>
      <w:r w:rsidRPr="00BA4482">
        <w:t xml:space="preserve">4, 10, 12, 20, 52, 53, 71, 80, 123. </w:t>
      </w:r>
    </w:p>
    <w:p w:rsidR="004B25AB" w:rsidRPr="00BA4482" w:rsidRDefault="004B25AB" w:rsidP="00E810E1">
      <w:pPr>
        <w:pStyle w:val="SCCNormalDoubleSpacing"/>
        <w:widowControl w:val="0"/>
        <w:spacing w:after="240" w:line="240" w:lineRule="auto"/>
        <w:ind w:left="547" w:hanging="547"/>
      </w:pPr>
      <w:r w:rsidRPr="00BA4482">
        <w:rPr>
          <w:i/>
        </w:rPr>
        <w:t>Civil Code of Québec</w:t>
      </w:r>
      <w:r w:rsidRPr="00BA4482">
        <w:t xml:space="preserve">, </w:t>
      </w:r>
      <w:r w:rsidR="00570231" w:rsidRPr="00BA4482">
        <w:t>art. </w:t>
      </w:r>
      <w:r w:rsidRPr="00BA4482">
        <w:t>2804.</w:t>
      </w:r>
    </w:p>
    <w:p w:rsidR="004B25AB" w:rsidRPr="00BA4482" w:rsidRDefault="004B25AB" w:rsidP="00E810E1">
      <w:pPr>
        <w:pStyle w:val="SCCNormalDoubleSpacing"/>
        <w:widowControl w:val="0"/>
        <w:spacing w:after="240" w:line="240" w:lineRule="auto"/>
        <w:ind w:left="547" w:hanging="547"/>
      </w:pPr>
      <w:r w:rsidRPr="00BA4482">
        <w:rPr>
          <w:i/>
        </w:rPr>
        <w:t>Flight Training for Aliens and Other Designated Individuals; Security Awareness Training for Flight School Employees</w:t>
      </w:r>
      <w:r w:rsidRPr="00BA4482">
        <w:rPr>
          <w:iCs/>
        </w:rPr>
        <w:t>, 69 Fed. Reg. 56324 (</w:t>
      </w:r>
      <w:r w:rsidRPr="00BA4482">
        <w:t>2004).</w:t>
      </w:r>
    </w:p>
    <w:p w:rsidR="004B25AB" w:rsidRPr="00BA4482" w:rsidRDefault="004B25AB" w:rsidP="00E810E1">
      <w:pPr>
        <w:pStyle w:val="SCCNormalDoubleSpacing"/>
        <w:widowControl w:val="0"/>
        <w:spacing w:after="240" w:line="240" w:lineRule="auto"/>
        <w:ind w:left="547" w:hanging="547"/>
      </w:pPr>
      <w:r w:rsidRPr="00BA4482">
        <w:rPr>
          <w:i/>
          <w:iCs/>
        </w:rPr>
        <w:t>Screening of Aliens and Other Designated Individuals Seeking Flight Training</w:t>
      </w:r>
      <w:r w:rsidRPr="00BA4482">
        <w:t>, 68 Fed. Reg. 7313 (2003).</w:t>
      </w:r>
    </w:p>
    <w:p w:rsidR="004B25AB" w:rsidRPr="00BA4482" w:rsidRDefault="004B25AB" w:rsidP="00E810E1">
      <w:pPr>
        <w:pStyle w:val="SCCNormalDoubleSpacing"/>
        <w:widowControl w:val="0"/>
        <w:spacing w:after="720" w:line="240" w:lineRule="auto"/>
        <w:ind w:left="547" w:hanging="547"/>
        <w:rPr>
          <w:i/>
          <w:iCs/>
        </w:rPr>
      </w:pPr>
      <w:r w:rsidRPr="00BA4482">
        <w:rPr>
          <w:i/>
          <w:iCs/>
        </w:rPr>
        <w:t xml:space="preserve">Vision 100 </w:t>
      </w:r>
      <w:r w:rsidR="00755FA9" w:rsidRPr="00BA4482">
        <w:rPr>
          <w:i/>
          <w:iCs/>
        </w:rPr>
        <w:t>—</w:t>
      </w:r>
      <w:r w:rsidRPr="00BA4482">
        <w:rPr>
          <w:i/>
          <w:iCs/>
        </w:rPr>
        <w:t xml:space="preserve"> Century of Aviation Reauthorization Act</w:t>
      </w:r>
      <w:r w:rsidRPr="00BA4482">
        <w:rPr>
          <w:iCs/>
        </w:rPr>
        <w:t xml:space="preserve">, </w:t>
      </w:r>
      <w:r w:rsidRPr="00BA4482">
        <w:t>Pub. L. 108</w:t>
      </w:r>
      <w:r w:rsidR="00570231" w:rsidRPr="00BA4482">
        <w:noBreakHyphen/>
      </w:r>
      <w:r w:rsidRPr="00BA4482">
        <w:t>176</w:t>
      </w:r>
      <w:r w:rsidR="00275838" w:rsidRPr="00BA4482">
        <w:t>, § 612(a), (c)</w:t>
      </w:r>
      <w:r w:rsidRPr="00BA4482">
        <w:t>, 117 Stat. 2490 (2003)</w:t>
      </w:r>
      <w:r w:rsidRPr="00BA4482">
        <w:rPr>
          <w:iCs/>
        </w:rPr>
        <w:t>.</w:t>
      </w:r>
    </w:p>
    <w:p w:rsidR="002E6705" w:rsidRPr="00EB7620" w:rsidRDefault="002E6705" w:rsidP="00E810E1">
      <w:pPr>
        <w:pStyle w:val="SCCNormalDoubleSpacing"/>
        <w:widowControl w:val="0"/>
        <w:spacing w:after="720" w:line="240" w:lineRule="auto"/>
        <w:rPr>
          <w:b/>
          <w:lang w:val="fr-CA"/>
        </w:rPr>
      </w:pPr>
      <w:proofErr w:type="spellStart"/>
      <w:r w:rsidRPr="00EB7620">
        <w:rPr>
          <w:b/>
          <w:lang w:val="fr-CA"/>
        </w:rPr>
        <w:t>Authors</w:t>
      </w:r>
      <w:proofErr w:type="spellEnd"/>
      <w:r w:rsidRPr="00EB7620">
        <w:rPr>
          <w:b/>
          <w:lang w:val="fr-CA"/>
        </w:rPr>
        <w:t xml:space="preserve"> </w:t>
      </w:r>
      <w:proofErr w:type="spellStart"/>
      <w:r w:rsidRPr="00EB7620">
        <w:rPr>
          <w:b/>
          <w:lang w:val="fr-CA"/>
        </w:rPr>
        <w:t>Cited</w:t>
      </w:r>
      <w:proofErr w:type="spellEnd"/>
    </w:p>
    <w:p w:rsidR="00944130" w:rsidRPr="00EB7620" w:rsidRDefault="00944130" w:rsidP="00E810E1">
      <w:pPr>
        <w:pStyle w:val="SCCNormalDoubleSpacing"/>
        <w:widowControl w:val="0"/>
        <w:spacing w:after="240" w:line="240" w:lineRule="auto"/>
        <w:ind w:left="547" w:hanging="547"/>
        <w:rPr>
          <w:lang w:val="fr-CA"/>
        </w:rPr>
      </w:pPr>
      <w:r w:rsidRPr="00EB7620">
        <w:rPr>
          <w:lang w:val="fr-CA"/>
        </w:rPr>
        <w:t>Baudouin, Jean</w:t>
      </w:r>
      <w:r w:rsidR="00570231" w:rsidRPr="00EB7620">
        <w:rPr>
          <w:lang w:val="fr-CA"/>
        </w:rPr>
        <w:noBreakHyphen/>
      </w:r>
      <w:r w:rsidRPr="00EB7620">
        <w:rPr>
          <w:lang w:val="fr-CA"/>
        </w:rPr>
        <w:t xml:space="preserve">Louis, Patrice </w:t>
      </w:r>
      <w:proofErr w:type="spellStart"/>
      <w:r w:rsidRPr="00EB7620">
        <w:rPr>
          <w:lang w:val="fr-CA"/>
        </w:rPr>
        <w:t>Deslauriers</w:t>
      </w:r>
      <w:proofErr w:type="spellEnd"/>
      <w:r w:rsidRPr="00EB7620">
        <w:rPr>
          <w:lang w:val="fr-CA"/>
        </w:rPr>
        <w:t xml:space="preserve"> et Benoît Moore. </w:t>
      </w:r>
      <w:r w:rsidRPr="00EB7620">
        <w:rPr>
          <w:i/>
          <w:iCs/>
          <w:lang w:val="fr-CA"/>
        </w:rPr>
        <w:t>La responsabilité civile</w:t>
      </w:r>
      <w:r w:rsidRPr="00EB7620">
        <w:rPr>
          <w:lang w:val="fr-CA"/>
        </w:rPr>
        <w:t>, 8</w:t>
      </w:r>
      <w:r w:rsidRPr="00EB7620">
        <w:rPr>
          <w:vertAlign w:val="superscript"/>
          <w:lang w:val="fr-CA"/>
        </w:rPr>
        <w:t>e</w:t>
      </w:r>
      <w:r w:rsidR="00570231" w:rsidRPr="00EB7620">
        <w:rPr>
          <w:lang w:val="fr-CA"/>
        </w:rPr>
        <w:t> </w:t>
      </w:r>
      <w:r w:rsidRPr="00EB7620">
        <w:rPr>
          <w:lang w:val="fr-CA"/>
        </w:rPr>
        <w:t xml:space="preserve">éd. </w:t>
      </w:r>
      <w:proofErr w:type="spellStart"/>
      <w:r w:rsidRPr="00EB7620">
        <w:rPr>
          <w:lang w:val="fr-CA"/>
        </w:rPr>
        <w:t>Cowansville</w:t>
      </w:r>
      <w:proofErr w:type="spellEnd"/>
      <w:r w:rsidRPr="00EB7620">
        <w:rPr>
          <w:lang w:val="fr-CA"/>
        </w:rPr>
        <w:t>, Que.: Yvon Blais, 2014.</w:t>
      </w:r>
    </w:p>
    <w:p w:rsidR="00944130" w:rsidRPr="00BA4482" w:rsidRDefault="00944130" w:rsidP="00E810E1">
      <w:pPr>
        <w:pStyle w:val="SCCNormalDoubleSpacing"/>
        <w:widowControl w:val="0"/>
        <w:spacing w:after="240" w:line="240" w:lineRule="auto"/>
        <w:ind w:left="547" w:hanging="547"/>
      </w:pPr>
      <w:r w:rsidRPr="00EB7620">
        <w:rPr>
          <w:lang w:val="fr-CA"/>
        </w:rPr>
        <w:t xml:space="preserve">Garant, Patrice, </w:t>
      </w:r>
      <w:r w:rsidR="00E23D10" w:rsidRPr="00EB7620">
        <w:rPr>
          <w:lang w:val="fr-CA"/>
        </w:rPr>
        <w:t xml:space="preserve">avec la </w:t>
      </w:r>
      <w:r w:rsidRPr="00EB7620">
        <w:rPr>
          <w:lang w:val="fr-CA"/>
        </w:rPr>
        <w:t xml:space="preserve">collaboration </w:t>
      </w:r>
      <w:r w:rsidR="00E23D10" w:rsidRPr="00EB7620">
        <w:rPr>
          <w:lang w:val="fr-CA"/>
        </w:rPr>
        <w:t xml:space="preserve">de </w:t>
      </w:r>
      <w:r w:rsidRPr="00EB7620">
        <w:rPr>
          <w:lang w:val="fr-CA"/>
        </w:rPr>
        <w:t xml:space="preserve">Philippe Garant et Jérôme Garant. </w:t>
      </w:r>
      <w:r w:rsidRPr="00BA4482">
        <w:rPr>
          <w:i/>
          <w:iCs/>
        </w:rPr>
        <w:t xml:space="preserve">Droit </w:t>
      </w:r>
      <w:proofErr w:type="spellStart"/>
      <w:r w:rsidRPr="00BA4482">
        <w:rPr>
          <w:i/>
          <w:iCs/>
        </w:rPr>
        <w:t>administratif</w:t>
      </w:r>
      <w:proofErr w:type="spellEnd"/>
      <w:r w:rsidRPr="00BA4482">
        <w:t>, 6</w:t>
      </w:r>
      <w:r w:rsidRPr="00BA4482">
        <w:rPr>
          <w:vertAlign w:val="superscript"/>
        </w:rPr>
        <w:t>e</w:t>
      </w:r>
      <w:r w:rsidRPr="00BA4482">
        <w:t xml:space="preserve"> </w:t>
      </w:r>
      <w:proofErr w:type="spellStart"/>
      <w:r w:rsidRPr="00BA4482">
        <w:t>éd</w:t>
      </w:r>
      <w:proofErr w:type="spellEnd"/>
      <w:r w:rsidRPr="00BA4482">
        <w:t>. Cowansville, Que.: Yvon Blais, 2010.</w:t>
      </w:r>
    </w:p>
    <w:p w:rsidR="00944130" w:rsidRPr="00BA4482" w:rsidRDefault="00944130" w:rsidP="00E810E1">
      <w:pPr>
        <w:pStyle w:val="SCCNormalDoubleSpacing"/>
        <w:widowControl w:val="0"/>
        <w:spacing w:after="240" w:line="240" w:lineRule="auto"/>
        <w:ind w:left="547" w:hanging="547"/>
        <w:jc w:val="left"/>
      </w:pPr>
      <w:r w:rsidRPr="00BA4482">
        <w:t xml:space="preserve">Ontario. Ontario Human Rights Commission. </w:t>
      </w:r>
      <w:r w:rsidRPr="00BA4482">
        <w:rPr>
          <w:i/>
          <w:iCs/>
        </w:rPr>
        <w:t>Policy and guidelines on racism and racial discrimination</w:t>
      </w:r>
      <w:r w:rsidRPr="00BA4482">
        <w:t xml:space="preserve">, 2005 (online: </w:t>
      </w:r>
      <w:r w:rsidRPr="00BA4482">
        <w:lastRenderedPageBreak/>
        <w:t xml:space="preserve">www.ohrc.on.ca/sites/default/files/attachments/Policy_and_guidelines_on_racism_and_racial_discrimination.pdf). </w:t>
      </w:r>
    </w:p>
    <w:p w:rsidR="00944130" w:rsidRPr="00EB7620" w:rsidRDefault="00944130" w:rsidP="00E810E1">
      <w:pPr>
        <w:pStyle w:val="SCCNormalDoubleSpacing"/>
        <w:widowControl w:val="0"/>
        <w:spacing w:after="240" w:line="240" w:lineRule="auto"/>
        <w:ind w:left="547" w:hanging="547"/>
        <w:rPr>
          <w:lang w:val="fr-CA"/>
        </w:rPr>
      </w:pPr>
      <w:r w:rsidRPr="00EB7620">
        <w:rPr>
          <w:lang w:val="fr-CA"/>
        </w:rPr>
        <w:t xml:space="preserve">Proulx, Daniel. </w:t>
      </w:r>
      <w:r w:rsidR="00925C03" w:rsidRPr="00EB7620">
        <w:rPr>
          <w:iCs/>
          <w:lang w:val="fr-CA"/>
        </w:rPr>
        <w:t>“</w:t>
      </w:r>
      <w:r w:rsidRPr="00EB7620">
        <w:rPr>
          <w:lang w:val="fr-CA"/>
        </w:rPr>
        <w:t>La discrimination fondée sur le handicap</w:t>
      </w:r>
      <w:r w:rsidR="00570231" w:rsidRPr="00EB7620">
        <w:rPr>
          <w:lang w:val="fr-CA"/>
        </w:rPr>
        <w:t>:</w:t>
      </w:r>
      <w:r w:rsidRPr="00EB7620">
        <w:rPr>
          <w:lang w:val="fr-CA"/>
        </w:rPr>
        <w:t xml:space="preserve"> étude comparée de la Charte québécoise</w:t>
      </w:r>
      <w:r w:rsidR="000A7029" w:rsidRPr="00EB7620">
        <w:rPr>
          <w:iCs/>
          <w:lang w:val="fr-CA"/>
        </w:rPr>
        <w:t>”</w:t>
      </w:r>
      <w:r w:rsidR="000A7029" w:rsidRPr="00EB7620">
        <w:rPr>
          <w:lang w:val="fr-CA"/>
        </w:rPr>
        <w:t xml:space="preserve"> </w:t>
      </w:r>
      <w:r w:rsidRPr="00EB7620">
        <w:rPr>
          <w:lang w:val="fr-CA"/>
        </w:rPr>
        <w:t>(1996), 56</w:t>
      </w:r>
      <w:r w:rsidRPr="00EB7620">
        <w:rPr>
          <w:i/>
          <w:iCs/>
          <w:lang w:val="fr-CA"/>
        </w:rPr>
        <w:t xml:space="preserve"> </w:t>
      </w:r>
      <w:r w:rsidR="00E0055A" w:rsidRPr="00EB7620">
        <w:rPr>
          <w:i/>
          <w:iCs/>
          <w:lang w:val="fr-CA"/>
        </w:rPr>
        <w:t>R</w:t>
      </w:r>
      <w:r w:rsidRPr="00EB7620">
        <w:rPr>
          <w:i/>
          <w:lang w:val="fr-CA"/>
        </w:rPr>
        <w:t>.</w:t>
      </w:r>
      <w:r w:rsidR="00E0055A" w:rsidRPr="00EB7620">
        <w:rPr>
          <w:i/>
          <w:lang w:val="fr-CA"/>
        </w:rPr>
        <w:t xml:space="preserve"> du B.</w:t>
      </w:r>
      <w:r w:rsidRPr="00EB7620">
        <w:rPr>
          <w:lang w:val="fr-CA"/>
        </w:rPr>
        <w:t xml:space="preserve"> 317.</w:t>
      </w:r>
    </w:p>
    <w:p w:rsidR="00944130" w:rsidRPr="00BA4482" w:rsidRDefault="00944130" w:rsidP="00E810E1">
      <w:pPr>
        <w:pStyle w:val="SCCNormalDoubleSpacing"/>
        <w:widowControl w:val="0"/>
        <w:spacing w:after="240" w:line="240" w:lineRule="auto"/>
        <w:ind w:left="547" w:hanging="547"/>
      </w:pPr>
      <w:proofErr w:type="spellStart"/>
      <w:r w:rsidRPr="00EB7620">
        <w:rPr>
          <w:lang w:val="fr-CA"/>
        </w:rPr>
        <w:t>Quebec</w:t>
      </w:r>
      <w:proofErr w:type="spellEnd"/>
      <w:r w:rsidRPr="00EB7620">
        <w:rPr>
          <w:lang w:val="fr-CA"/>
        </w:rPr>
        <w:t xml:space="preserve">. Commission des droits de la personne et des droits de la jeunesse. </w:t>
      </w:r>
      <w:r w:rsidRPr="00BA4482">
        <w:rPr>
          <w:i/>
          <w:iCs/>
        </w:rPr>
        <w:t>Racial Profiling: Context and Definition</w:t>
      </w:r>
      <w:r w:rsidRPr="00BA4482">
        <w:t>, by Michèle Turenne. Cat. 2.120</w:t>
      </w:r>
      <w:r w:rsidR="00570231" w:rsidRPr="00BA4482">
        <w:noBreakHyphen/>
      </w:r>
      <w:r w:rsidRPr="00BA4482">
        <w:t xml:space="preserve">1.25.1, 2005 (online: www.cdpdj.qc.ca/Publications/racial_profiling_definition.pdf). </w:t>
      </w:r>
    </w:p>
    <w:p w:rsidR="00944130" w:rsidRPr="00EB7620" w:rsidRDefault="00944130" w:rsidP="00E810E1">
      <w:pPr>
        <w:pStyle w:val="SCCNormalDoubleSpacing"/>
        <w:widowControl w:val="0"/>
        <w:spacing w:after="240" w:line="240" w:lineRule="auto"/>
        <w:ind w:left="547" w:hanging="547"/>
        <w:rPr>
          <w:lang w:val="fr-CA"/>
        </w:rPr>
      </w:pPr>
      <w:r w:rsidRPr="00EB7620">
        <w:rPr>
          <w:lang w:val="fr-CA"/>
        </w:rPr>
        <w:t xml:space="preserve">Robitaille, David. </w:t>
      </w:r>
      <w:r w:rsidR="001A0D82" w:rsidRPr="00EB7620">
        <w:rPr>
          <w:iCs/>
          <w:lang w:val="fr-CA"/>
        </w:rPr>
        <w:t>“</w:t>
      </w:r>
      <w:r w:rsidRPr="00EB7620">
        <w:rPr>
          <w:iCs/>
          <w:lang w:val="fr-CA"/>
        </w:rPr>
        <w:t>Non</w:t>
      </w:r>
      <w:r w:rsidR="00570231" w:rsidRPr="00EB7620">
        <w:rPr>
          <w:iCs/>
          <w:lang w:val="fr-CA"/>
        </w:rPr>
        <w:noBreakHyphen/>
      </w:r>
      <w:r w:rsidRPr="00EB7620">
        <w:rPr>
          <w:iCs/>
          <w:lang w:val="fr-CA"/>
        </w:rPr>
        <w:t>indépendance et autonomie de la norme d</w:t>
      </w:r>
      <w:r w:rsidR="00D60164" w:rsidRPr="00EB7620">
        <w:rPr>
          <w:iCs/>
          <w:lang w:val="fr-CA"/>
        </w:rPr>
        <w:t>’</w:t>
      </w:r>
      <w:r w:rsidRPr="00EB7620">
        <w:rPr>
          <w:iCs/>
          <w:lang w:val="fr-CA"/>
        </w:rPr>
        <w:t>ég</w:t>
      </w:r>
      <w:r w:rsidR="001A0D82" w:rsidRPr="00EB7620">
        <w:rPr>
          <w:iCs/>
          <w:lang w:val="fr-CA"/>
        </w:rPr>
        <w:t xml:space="preserve">alité québécoise: des concepts </w:t>
      </w:r>
      <w:r w:rsidR="00D60164" w:rsidRPr="00EB7620">
        <w:rPr>
          <w:iCs/>
          <w:lang w:val="fr-CA"/>
        </w:rPr>
        <w:t>‘</w:t>
      </w:r>
      <w:r w:rsidR="001A0D82" w:rsidRPr="00EB7620">
        <w:rPr>
          <w:iCs/>
          <w:lang w:val="fr-CA"/>
        </w:rPr>
        <w:t>fondateurs</w:t>
      </w:r>
      <w:r w:rsidR="00D60164" w:rsidRPr="00EB7620">
        <w:rPr>
          <w:iCs/>
          <w:lang w:val="fr-CA"/>
        </w:rPr>
        <w:t>’</w:t>
      </w:r>
      <w:r w:rsidRPr="00EB7620">
        <w:rPr>
          <w:iCs/>
          <w:lang w:val="fr-CA"/>
        </w:rPr>
        <w:t xml:space="preserve"> qui méritent d</w:t>
      </w:r>
      <w:r w:rsidR="00D60164" w:rsidRPr="00EB7620">
        <w:rPr>
          <w:iCs/>
          <w:lang w:val="fr-CA"/>
        </w:rPr>
        <w:t>’</w:t>
      </w:r>
      <w:r w:rsidRPr="00EB7620">
        <w:rPr>
          <w:iCs/>
          <w:lang w:val="fr-CA"/>
        </w:rPr>
        <w:t>être mieux connus</w:t>
      </w:r>
      <w:r w:rsidR="001A0D82" w:rsidRPr="00EB7620">
        <w:rPr>
          <w:iCs/>
          <w:lang w:val="fr-CA"/>
        </w:rPr>
        <w:t>”</w:t>
      </w:r>
      <w:r w:rsidRPr="00EB7620">
        <w:rPr>
          <w:iCs/>
          <w:lang w:val="fr-CA"/>
        </w:rPr>
        <w:t xml:space="preserve"> (2004)</w:t>
      </w:r>
      <w:r w:rsidRPr="00EB7620">
        <w:rPr>
          <w:lang w:val="fr-CA"/>
        </w:rPr>
        <w:t xml:space="preserve">, 35 </w:t>
      </w:r>
      <w:r w:rsidRPr="00EB7620">
        <w:rPr>
          <w:i/>
          <w:lang w:val="fr-CA"/>
        </w:rPr>
        <w:t>R.D.U.S.</w:t>
      </w:r>
      <w:r w:rsidRPr="00EB7620">
        <w:rPr>
          <w:lang w:val="fr-CA"/>
        </w:rPr>
        <w:t xml:space="preserve"> 103.</w:t>
      </w:r>
    </w:p>
    <w:p w:rsidR="00944130" w:rsidRPr="00BA4482" w:rsidRDefault="00944130" w:rsidP="00E810E1">
      <w:pPr>
        <w:pStyle w:val="SCCNormalDoubleSpacing"/>
        <w:widowControl w:val="0"/>
        <w:spacing w:after="720" w:line="240" w:lineRule="auto"/>
        <w:ind w:left="547" w:hanging="547"/>
      </w:pPr>
      <w:r w:rsidRPr="00EB7620">
        <w:rPr>
          <w:lang w:val="fr-CA"/>
        </w:rPr>
        <w:t>Royer, Jean</w:t>
      </w:r>
      <w:r w:rsidR="00570231" w:rsidRPr="00EB7620">
        <w:rPr>
          <w:lang w:val="fr-CA"/>
        </w:rPr>
        <w:noBreakHyphen/>
      </w:r>
      <w:r w:rsidRPr="00EB7620">
        <w:rPr>
          <w:lang w:val="fr-CA"/>
        </w:rPr>
        <w:t xml:space="preserve">Claude, et Sophie </w:t>
      </w:r>
      <w:proofErr w:type="spellStart"/>
      <w:r w:rsidRPr="00EB7620">
        <w:rPr>
          <w:lang w:val="fr-CA"/>
        </w:rPr>
        <w:t>Lavallée</w:t>
      </w:r>
      <w:proofErr w:type="spellEnd"/>
      <w:r w:rsidRPr="00EB7620">
        <w:rPr>
          <w:lang w:val="fr-CA"/>
        </w:rPr>
        <w:t xml:space="preserve">. </w:t>
      </w:r>
      <w:r w:rsidRPr="00EB7620">
        <w:rPr>
          <w:i/>
          <w:iCs/>
          <w:lang w:val="fr-CA"/>
        </w:rPr>
        <w:t>La preuve civile</w:t>
      </w:r>
      <w:r w:rsidRPr="00EB7620">
        <w:rPr>
          <w:lang w:val="fr-CA"/>
        </w:rPr>
        <w:t>, 4</w:t>
      </w:r>
      <w:r w:rsidRPr="00EB7620">
        <w:rPr>
          <w:vertAlign w:val="superscript"/>
          <w:lang w:val="fr-CA"/>
        </w:rPr>
        <w:t>e</w:t>
      </w:r>
      <w:r w:rsidR="00407AB6" w:rsidRPr="00EB7620">
        <w:rPr>
          <w:vertAlign w:val="superscript"/>
          <w:lang w:val="fr-CA"/>
        </w:rPr>
        <w:t> </w:t>
      </w:r>
      <w:r w:rsidRPr="00EB7620">
        <w:rPr>
          <w:lang w:val="fr-CA"/>
        </w:rPr>
        <w:t xml:space="preserve">éd. </w:t>
      </w:r>
      <w:proofErr w:type="spellStart"/>
      <w:r w:rsidRPr="00BA4482">
        <w:t>Cowansville</w:t>
      </w:r>
      <w:proofErr w:type="spellEnd"/>
      <w:r w:rsidRPr="00BA4482">
        <w:t>, Que.: Yvon Blais, 2008.</w:t>
      </w:r>
    </w:p>
    <w:p w:rsidR="00656313" w:rsidRPr="00EB7620" w:rsidRDefault="009B57B3" w:rsidP="00E810E1">
      <w:pPr>
        <w:pStyle w:val="SCCNormalDoubleSpacing"/>
        <w:widowControl w:val="0"/>
        <w:spacing w:before="480" w:after="480"/>
        <w:rPr>
          <w:lang w:val="fr-CA"/>
        </w:rPr>
      </w:pPr>
      <w:r w:rsidRPr="00BA4482">
        <w:tab/>
        <w:t>APPEAL</w:t>
      </w:r>
      <w:r w:rsidR="00EF5CB0" w:rsidRPr="00BA4482">
        <w:t>S</w:t>
      </w:r>
      <w:r w:rsidRPr="00BA4482">
        <w:t xml:space="preserve"> from a judgment of the </w:t>
      </w:r>
      <w:r w:rsidR="00EF5CB0" w:rsidRPr="00BA4482">
        <w:t xml:space="preserve">Quebec </w:t>
      </w:r>
      <w:r w:rsidRPr="00BA4482">
        <w:t>Court of Appeal</w:t>
      </w:r>
      <w:r w:rsidR="00A87192" w:rsidRPr="00BA4482">
        <w:t xml:space="preserve"> (Fournier and St</w:t>
      </w:r>
      <w:r w:rsidR="00570231" w:rsidRPr="00BA4482">
        <w:noBreakHyphen/>
        <w:t>Pierre </w:t>
      </w:r>
      <w:r w:rsidR="00A87192" w:rsidRPr="00BA4482">
        <w:t>JJ.A. and Viens</w:t>
      </w:r>
      <w:r w:rsidR="00570231" w:rsidRPr="00BA4482">
        <w:t> </w:t>
      </w:r>
      <w:r w:rsidR="00A87192" w:rsidRPr="00BA4482">
        <w:t>J. (</w:t>
      </w:r>
      <w:r w:rsidR="00A87192" w:rsidRPr="00BA4482">
        <w:rPr>
          <w:i/>
        </w:rPr>
        <w:t>ad hoc</w:t>
      </w:r>
      <w:r w:rsidR="00A87192" w:rsidRPr="00BA4482">
        <w:t>)), 2013 QCCA 1650</w:t>
      </w:r>
      <w:r w:rsidR="00901B27" w:rsidRPr="00BA4482">
        <w:t xml:space="preserve">, [2013] R.J.Q. 1541, </w:t>
      </w:r>
      <w:r w:rsidR="00BE770B" w:rsidRPr="00BA4482">
        <w:t>[2013] AZ</w:t>
      </w:r>
      <w:r w:rsidR="00570231" w:rsidRPr="00BA4482">
        <w:noBreakHyphen/>
      </w:r>
      <w:r w:rsidR="00C6418B" w:rsidRPr="00BA4482">
        <w:t>51004481</w:t>
      </w:r>
      <w:r w:rsidR="00BE770B" w:rsidRPr="00BA4482">
        <w:t xml:space="preserve">, </w:t>
      </w:r>
      <w:r w:rsidR="00901B27" w:rsidRPr="00BA4482">
        <w:t>[2013] J.Q. n</w:t>
      </w:r>
      <w:r w:rsidR="00901B27" w:rsidRPr="00BA4482">
        <w:rPr>
          <w:vertAlign w:val="superscript"/>
        </w:rPr>
        <w:t>o</w:t>
      </w:r>
      <w:r w:rsidR="00570231" w:rsidRPr="00BA4482">
        <w:t> </w:t>
      </w:r>
      <w:r w:rsidR="00901B27" w:rsidRPr="00BA4482">
        <w:t xml:space="preserve">12486 (QL), 2013 CarswellQue 9362 (WL Can.), setting aside a decision of the Quebec Human Rights Tribunal, 2010 QCTDP 16, </w:t>
      </w:r>
      <w:r w:rsidR="007A0820" w:rsidRPr="00BA4482">
        <w:t xml:space="preserve">[2011] R.J.Q. 225, </w:t>
      </w:r>
      <w:r w:rsidR="00BE770B" w:rsidRPr="00BA4482">
        <w:t>[2010] AZ</w:t>
      </w:r>
      <w:r w:rsidR="00570231" w:rsidRPr="00BA4482">
        <w:noBreakHyphen/>
      </w:r>
      <w:r w:rsidR="00E77E4E" w:rsidRPr="00BA4482">
        <w:t>50698315</w:t>
      </w:r>
      <w:r w:rsidR="00BE770B" w:rsidRPr="00BA4482">
        <w:t xml:space="preserve">, </w:t>
      </w:r>
      <w:r w:rsidR="00901B27" w:rsidRPr="00BA4482">
        <w:t xml:space="preserve">[2010] Q.H.R.T.J. </w:t>
      </w:r>
      <w:r w:rsidR="00570231" w:rsidRPr="00BA4482">
        <w:t>No. </w:t>
      </w:r>
      <w:r w:rsidR="00901B27" w:rsidRPr="00BA4482">
        <w:t>16 (QL), 2010 CarswellQue 15544 (WL Can.)</w:t>
      </w:r>
      <w:r w:rsidR="00EF5CB0" w:rsidRPr="00BA4482">
        <w:t xml:space="preserve">. </w:t>
      </w:r>
      <w:proofErr w:type="spellStart"/>
      <w:r w:rsidR="00EF5CB0" w:rsidRPr="00EB7620">
        <w:rPr>
          <w:lang w:val="fr-CA"/>
        </w:rPr>
        <w:t>Appeals</w:t>
      </w:r>
      <w:proofErr w:type="spellEnd"/>
      <w:r w:rsidR="00EF5CB0" w:rsidRPr="00EB7620">
        <w:rPr>
          <w:lang w:val="fr-CA"/>
        </w:rPr>
        <w:t xml:space="preserve"> </w:t>
      </w:r>
      <w:proofErr w:type="spellStart"/>
      <w:r w:rsidR="007804C6" w:rsidRPr="00EB7620">
        <w:rPr>
          <w:lang w:val="fr-CA"/>
        </w:rPr>
        <w:t>dismissed</w:t>
      </w:r>
      <w:proofErr w:type="spellEnd"/>
      <w:r w:rsidR="00EF5CB0" w:rsidRPr="00EB7620">
        <w:rPr>
          <w:lang w:val="fr-CA"/>
        </w:rPr>
        <w:t>.</w:t>
      </w:r>
    </w:p>
    <w:p w:rsidR="00AC5392" w:rsidRPr="00EB7620" w:rsidRDefault="006550E1" w:rsidP="00E810E1">
      <w:pPr>
        <w:pStyle w:val="SCCNormalDoubleSpacing"/>
        <w:widowControl w:val="0"/>
        <w:spacing w:before="480" w:after="480"/>
        <w:rPr>
          <w:lang w:val="fr-CA"/>
        </w:rPr>
      </w:pPr>
      <w:r w:rsidRPr="00EB7620">
        <w:rPr>
          <w:rStyle w:val="SCCCounselNameChar"/>
          <w:i w:val="0"/>
          <w:lang w:val="fr-CA"/>
        </w:rPr>
        <w:tab/>
      </w:r>
      <w:proofErr w:type="spellStart"/>
      <w:r w:rsidRPr="00EB7620">
        <w:rPr>
          <w:rStyle w:val="SCCCounselNameChar"/>
          <w:lang w:val="fr-CA"/>
        </w:rPr>
        <w:t>Athanassia</w:t>
      </w:r>
      <w:proofErr w:type="spellEnd"/>
      <w:r w:rsidRPr="00EB7620">
        <w:rPr>
          <w:rStyle w:val="SCCCounselNameChar"/>
          <w:lang w:val="fr-CA"/>
        </w:rPr>
        <w:t xml:space="preserve"> </w:t>
      </w:r>
      <w:proofErr w:type="spellStart"/>
      <w:r w:rsidRPr="00EB7620">
        <w:rPr>
          <w:rStyle w:val="SCCCounselNameChar"/>
          <w:lang w:val="fr-CA"/>
        </w:rPr>
        <w:t>Bitzakidis</w:t>
      </w:r>
      <w:proofErr w:type="spellEnd"/>
      <w:r w:rsidRPr="00EB7620">
        <w:rPr>
          <w:rStyle w:val="SCCCounselSeparatorChar"/>
          <w:lang w:val="fr-CA"/>
        </w:rPr>
        <w:t xml:space="preserve"> and </w:t>
      </w:r>
      <w:r w:rsidRPr="00EB7620">
        <w:rPr>
          <w:rStyle w:val="SCCCounselNameChar"/>
          <w:lang w:val="fr-CA"/>
        </w:rPr>
        <w:t xml:space="preserve">Christian </w:t>
      </w:r>
      <w:proofErr w:type="spellStart"/>
      <w:r w:rsidRPr="00EB7620">
        <w:rPr>
          <w:rStyle w:val="SCCCounselNameChar"/>
          <w:lang w:val="fr-CA"/>
        </w:rPr>
        <w:t>Baillargeon</w:t>
      </w:r>
      <w:proofErr w:type="spellEnd"/>
      <w:r w:rsidRPr="00EB7620">
        <w:rPr>
          <w:rStyle w:val="SCCCounselPartyRoleChar"/>
          <w:lang w:val="fr-CA"/>
        </w:rPr>
        <w:t xml:space="preserve">, for the </w:t>
      </w:r>
      <w:proofErr w:type="spellStart"/>
      <w:r w:rsidRPr="00EB7620">
        <w:rPr>
          <w:rStyle w:val="SCCCounselPartyRoleChar"/>
          <w:lang w:val="fr-CA"/>
        </w:rPr>
        <w:t>appellant</w:t>
      </w:r>
      <w:proofErr w:type="spellEnd"/>
      <w:r w:rsidR="003E4678" w:rsidRPr="00EB7620">
        <w:rPr>
          <w:rStyle w:val="SCCCounselPartyRoleChar"/>
          <w:lang w:val="fr-CA"/>
        </w:rPr>
        <w:t>/</w:t>
      </w:r>
      <w:proofErr w:type="spellStart"/>
      <w:r w:rsidR="003E4678" w:rsidRPr="00EB7620">
        <w:rPr>
          <w:rStyle w:val="SCCCounselPartyRoleChar"/>
          <w:lang w:val="fr-CA"/>
        </w:rPr>
        <w:t>respondent</w:t>
      </w:r>
      <w:proofErr w:type="spellEnd"/>
      <w:r w:rsidR="003E4678" w:rsidRPr="00EB7620">
        <w:rPr>
          <w:rStyle w:val="SCCCounselPartyRoleChar"/>
          <w:lang w:val="fr-CA"/>
        </w:rPr>
        <w:t xml:space="preserve"> Commission des droits de la personne et des droits de la jeunesse</w:t>
      </w:r>
      <w:r w:rsidRPr="00EB7620">
        <w:rPr>
          <w:rStyle w:val="SCCCounselPartyRoleChar"/>
          <w:lang w:val="fr-CA"/>
        </w:rPr>
        <w:t>.</w:t>
      </w:r>
    </w:p>
    <w:p w:rsidR="006E026F" w:rsidRPr="00BA4482" w:rsidRDefault="006E026F" w:rsidP="00E810E1">
      <w:pPr>
        <w:pStyle w:val="SCCNormalDoubleSpacing"/>
        <w:widowControl w:val="0"/>
        <w:spacing w:before="480" w:after="480"/>
      </w:pPr>
      <w:r w:rsidRPr="00EB7620">
        <w:rPr>
          <w:rStyle w:val="SCCCounselNameChar"/>
          <w:i w:val="0"/>
          <w:lang w:val="fr-CA"/>
        </w:rPr>
        <w:tab/>
      </w:r>
      <w:r w:rsidRPr="00BA4482">
        <w:rPr>
          <w:rStyle w:val="SCCCounselNameChar"/>
        </w:rPr>
        <w:t>Mathieu Bouchard</w:t>
      </w:r>
      <w:r w:rsidRPr="00BA4482">
        <w:rPr>
          <w:rStyle w:val="SCCCounselNameChar"/>
          <w:i w:val="0"/>
        </w:rPr>
        <w:t xml:space="preserve"> and </w:t>
      </w:r>
      <w:r w:rsidRPr="00BA4482">
        <w:rPr>
          <w:rStyle w:val="SCCCounselNameChar"/>
        </w:rPr>
        <w:t>Catherine Elizabeth McKenzie</w:t>
      </w:r>
      <w:r w:rsidRPr="00BA4482">
        <w:rPr>
          <w:rStyle w:val="SCCCounselPartyRoleChar"/>
        </w:rPr>
        <w:t>, for the respondent/appellant Javed Latif.</w:t>
      </w:r>
    </w:p>
    <w:p w:rsidR="003E4678" w:rsidRPr="00BA4482" w:rsidRDefault="003E4678" w:rsidP="00E810E1">
      <w:pPr>
        <w:pStyle w:val="SCCNormalDoubleSpacing"/>
        <w:widowControl w:val="0"/>
        <w:spacing w:before="480" w:after="480"/>
      </w:pPr>
      <w:r w:rsidRPr="00BA4482">
        <w:rPr>
          <w:rStyle w:val="SCCCounselNameChar"/>
          <w:i w:val="0"/>
        </w:rPr>
        <w:tab/>
      </w:r>
      <w:r w:rsidRPr="00BA4482">
        <w:rPr>
          <w:rStyle w:val="SCCCounselNameChar"/>
        </w:rPr>
        <w:t>Michel Sylvestre</w:t>
      </w:r>
      <w:r w:rsidRPr="00BA4482">
        <w:rPr>
          <w:rStyle w:val="SCCCounselSeparatorChar"/>
        </w:rPr>
        <w:t xml:space="preserve">, </w:t>
      </w:r>
      <w:r w:rsidRPr="00BA4482">
        <w:rPr>
          <w:rStyle w:val="SCCCounselNameChar"/>
        </w:rPr>
        <w:t>Andres Garin</w:t>
      </w:r>
      <w:r w:rsidRPr="00BA4482">
        <w:rPr>
          <w:rStyle w:val="SCCCounselSeparatorChar"/>
        </w:rPr>
        <w:t xml:space="preserve"> and </w:t>
      </w:r>
      <w:r w:rsidRPr="00BA4482">
        <w:rPr>
          <w:rStyle w:val="SCCCounselNameChar"/>
        </w:rPr>
        <w:t>Sébastien Beauregard</w:t>
      </w:r>
      <w:r w:rsidRPr="00BA4482">
        <w:rPr>
          <w:rStyle w:val="SCCCounselPartyRoleChar"/>
        </w:rPr>
        <w:t xml:space="preserve">, for the </w:t>
      </w:r>
      <w:r w:rsidRPr="00BA4482">
        <w:rPr>
          <w:rStyle w:val="SCCCounselPartyRoleChar"/>
        </w:rPr>
        <w:lastRenderedPageBreak/>
        <w:t>respondent Bombardier Inc. (Bombardier Aerospace Training Center).</w:t>
      </w:r>
    </w:p>
    <w:p w:rsidR="00AC5392" w:rsidRPr="00BA4482" w:rsidRDefault="003E4678" w:rsidP="00E810E1">
      <w:pPr>
        <w:pStyle w:val="SCCNormalDoubleSpacing"/>
        <w:widowControl w:val="0"/>
        <w:spacing w:before="480" w:after="480"/>
      </w:pPr>
      <w:r w:rsidRPr="00BA4482">
        <w:rPr>
          <w:rStyle w:val="SCCCounselNameChar"/>
          <w:i w:val="0"/>
        </w:rPr>
        <w:tab/>
      </w:r>
      <w:r w:rsidRPr="00BA4482">
        <w:rPr>
          <w:rStyle w:val="SCCCounselNameChar"/>
        </w:rPr>
        <w:t>Andrew </w:t>
      </w:r>
      <w:r w:rsidR="006550E1" w:rsidRPr="00BA4482">
        <w:rPr>
          <w:rStyle w:val="SCCCounselNameChar"/>
        </w:rPr>
        <w:t>K. Lokan</w:t>
      </w:r>
      <w:r w:rsidR="006550E1" w:rsidRPr="00BA4482">
        <w:rPr>
          <w:rStyle w:val="SCCCounselSeparatorChar"/>
        </w:rPr>
        <w:t xml:space="preserve"> and </w:t>
      </w:r>
      <w:r w:rsidR="006550E1" w:rsidRPr="00BA4482">
        <w:rPr>
          <w:rStyle w:val="SCCCounselNameChar"/>
        </w:rPr>
        <w:t>Jean</w:t>
      </w:r>
      <w:r w:rsidR="00570231" w:rsidRPr="00BA4482">
        <w:rPr>
          <w:rStyle w:val="SCCCounselNameChar"/>
        </w:rPr>
        <w:noBreakHyphen/>
      </w:r>
      <w:r w:rsidR="006550E1" w:rsidRPr="00BA4482">
        <w:rPr>
          <w:rStyle w:val="SCCCounselNameChar"/>
        </w:rPr>
        <w:t>Claude Killey</w:t>
      </w:r>
      <w:r w:rsidR="006550E1" w:rsidRPr="00BA4482">
        <w:rPr>
          <w:rStyle w:val="SCCCounselPartyRoleChar"/>
        </w:rPr>
        <w:t xml:space="preserve">, for the intervener </w:t>
      </w:r>
      <w:r w:rsidRPr="00BA4482">
        <w:rPr>
          <w:rStyle w:val="SCCCounselPartyRoleChar"/>
        </w:rPr>
        <w:t xml:space="preserve">the </w:t>
      </w:r>
      <w:r w:rsidR="006550E1" w:rsidRPr="00BA4482">
        <w:rPr>
          <w:rStyle w:val="SCCCounselPartyRoleChar"/>
        </w:rPr>
        <w:t>Canadian Civil Liberties Association.</w:t>
      </w:r>
    </w:p>
    <w:p w:rsidR="00AC5392" w:rsidRPr="00BA4482" w:rsidRDefault="006550E1" w:rsidP="00E810E1">
      <w:pPr>
        <w:pStyle w:val="SCCNormalDoubleSpacing"/>
        <w:widowControl w:val="0"/>
        <w:spacing w:before="480" w:after="480"/>
      </w:pPr>
      <w:r w:rsidRPr="00BA4482">
        <w:rPr>
          <w:rStyle w:val="SCCCounselNameChar"/>
          <w:i w:val="0"/>
        </w:rPr>
        <w:tab/>
      </w:r>
      <w:r w:rsidRPr="00BA4482">
        <w:rPr>
          <w:rStyle w:val="SCCCounselNameChar"/>
        </w:rPr>
        <w:t>Philippe Dufresne</w:t>
      </w:r>
      <w:r w:rsidRPr="00BA4482">
        <w:rPr>
          <w:rStyle w:val="SCCCounselSeparatorChar"/>
        </w:rPr>
        <w:t xml:space="preserve"> and </w:t>
      </w:r>
      <w:r w:rsidRPr="00BA4482">
        <w:rPr>
          <w:rStyle w:val="SCCCounselNameChar"/>
        </w:rPr>
        <w:t>Sheila Osborne</w:t>
      </w:r>
      <w:r w:rsidR="00570231" w:rsidRPr="00BA4482">
        <w:rPr>
          <w:rStyle w:val="SCCCounselNameChar"/>
        </w:rPr>
        <w:noBreakHyphen/>
      </w:r>
      <w:r w:rsidRPr="00BA4482">
        <w:rPr>
          <w:rStyle w:val="SCCCounselNameChar"/>
        </w:rPr>
        <w:t>Brown</w:t>
      </w:r>
      <w:r w:rsidRPr="00BA4482">
        <w:rPr>
          <w:rStyle w:val="SCCCounselPartyRoleChar"/>
        </w:rPr>
        <w:t xml:space="preserve">, for the intervener </w:t>
      </w:r>
      <w:r w:rsidR="003E4678" w:rsidRPr="00BA4482">
        <w:rPr>
          <w:rStyle w:val="SCCCounselPartyRoleChar"/>
        </w:rPr>
        <w:t xml:space="preserve">the </w:t>
      </w:r>
      <w:r w:rsidRPr="00BA4482">
        <w:rPr>
          <w:rStyle w:val="SCCCounselPartyRoleChar"/>
        </w:rPr>
        <w:t>Canadian Human Rights Commission.</w:t>
      </w:r>
    </w:p>
    <w:p w:rsidR="00AC5392" w:rsidRPr="00BA4482" w:rsidRDefault="006550E1" w:rsidP="00E810E1">
      <w:pPr>
        <w:pStyle w:val="SCCNormalDoubleSpacing"/>
        <w:widowControl w:val="0"/>
        <w:spacing w:before="480" w:after="480"/>
      </w:pPr>
      <w:r w:rsidRPr="00BA4482">
        <w:rPr>
          <w:rStyle w:val="SCCCounselNameChar"/>
          <w:i w:val="0"/>
        </w:rPr>
        <w:tab/>
      </w:r>
      <w:r w:rsidR="003E4678" w:rsidRPr="00BA4482">
        <w:rPr>
          <w:rStyle w:val="SCCCounselNameChar"/>
        </w:rPr>
        <w:t>Selwyn Pieters</w:t>
      </w:r>
      <w:r w:rsidR="003E4678" w:rsidRPr="00BA4482">
        <w:rPr>
          <w:rStyle w:val="SCCCounselNameChar"/>
          <w:i w:val="0"/>
        </w:rPr>
        <w:t xml:space="preserve"> </w:t>
      </w:r>
      <w:r w:rsidR="003E4678" w:rsidRPr="00BA4482">
        <w:rPr>
          <w:rStyle w:val="SCCCounselSeparatorChar"/>
        </w:rPr>
        <w:t>and</w:t>
      </w:r>
      <w:r w:rsidR="003E4678" w:rsidRPr="00BA4482">
        <w:rPr>
          <w:rStyle w:val="SCCCounselNameChar"/>
          <w:i w:val="0"/>
        </w:rPr>
        <w:t xml:space="preserve"> </w:t>
      </w:r>
      <w:r w:rsidRPr="00BA4482">
        <w:rPr>
          <w:rStyle w:val="SCCCounselNameChar"/>
        </w:rPr>
        <w:t>Aymar Missakila</w:t>
      </w:r>
      <w:r w:rsidRPr="00BA4482">
        <w:rPr>
          <w:rStyle w:val="SCCCounselPartyRoleChar"/>
        </w:rPr>
        <w:t xml:space="preserve">, for the intervener </w:t>
      </w:r>
      <w:r w:rsidR="003E4678" w:rsidRPr="00BA4482">
        <w:rPr>
          <w:rStyle w:val="SCCCounselPartyRoleChar"/>
        </w:rPr>
        <w:t xml:space="preserve">the </w:t>
      </w:r>
      <w:r w:rsidRPr="00BA4482">
        <w:rPr>
          <w:rStyle w:val="SCCCounselPartyRoleChar"/>
        </w:rPr>
        <w:t>Center for Research</w:t>
      </w:r>
      <w:r w:rsidR="00570231" w:rsidRPr="00BA4482">
        <w:rPr>
          <w:rStyle w:val="SCCCounselPartyRoleChar"/>
        </w:rPr>
        <w:noBreakHyphen/>
      </w:r>
      <w:r w:rsidRPr="00BA4482">
        <w:rPr>
          <w:rStyle w:val="SCCCounselPartyRoleChar"/>
        </w:rPr>
        <w:t>Action on Race Relations.</w:t>
      </w:r>
    </w:p>
    <w:p w:rsidR="00AC5392" w:rsidRPr="00BA4482" w:rsidRDefault="006550E1" w:rsidP="00E810E1">
      <w:pPr>
        <w:pStyle w:val="SCCNormalDoubleSpacing"/>
        <w:widowControl w:val="0"/>
        <w:spacing w:before="480" w:after="480"/>
      </w:pPr>
      <w:r w:rsidRPr="00BA4482">
        <w:rPr>
          <w:rStyle w:val="SCCCounselNameChar"/>
          <w:i w:val="0"/>
        </w:rPr>
        <w:tab/>
      </w:r>
      <w:r w:rsidRPr="00BA4482">
        <w:rPr>
          <w:rStyle w:val="SCCCounselNameChar"/>
        </w:rPr>
        <w:t>Faisal Bhabha</w:t>
      </w:r>
      <w:r w:rsidRPr="00BA4482">
        <w:rPr>
          <w:rStyle w:val="SCCCounselSeparatorChar"/>
        </w:rPr>
        <w:t xml:space="preserve">, </w:t>
      </w:r>
      <w:r w:rsidR="003E4678" w:rsidRPr="00BA4482">
        <w:rPr>
          <w:rStyle w:val="SCCCounselNameChar"/>
        </w:rPr>
        <w:t>Khalid </w:t>
      </w:r>
      <w:r w:rsidRPr="00BA4482">
        <w:rPr>
          <w:rStyle w:val="SCCCounselNameChar"/>
        </w:rPr>
        <w:t>M. Elgazzar</w:t>
      </w:r>
      <w:r w:rsidRPr="00BA4482">
        <w:rPr>
          <w:rStyle w:val="SCCCounselSeparatorChar"/>
        </w:rPr>
        <w:t xml:space="preserve"> and </w:t>
      </w:r>
      <w:r w:rsidRPr="00BA4482">
        <w:rPr>
          <w:rStyle w:val="SCCCounselNameChar"/>
        </w:rPr>
        <w:t>Faisal Mirza</w:t>
      </w:r>
      <w:r w:rsidRPr="00BA4482">
        <w:rPr>
          <w:rStyle w:val="SCCCounselPartyRoleChar"/>
        </w:rPr>
        <w:t>, for the intervener</w:t>
      </w:r>
      <w:r w:rsidR="00141E4A" w:rsidRPr="00BA4482">
        <w:rPr>
          <w:rStyle w:val="SCCCounselPartyRoleChar"/>
        </w:rPr>
        <w:t>s</w:t>
      </w:r>
      <w:r w:rsidRPr="00BA4482">
        <w:rPr>
          <w:rStyle w:val="SCCCounselPartyRoleChar"/>
        </w:rPr>
        <w:t xml:space="preserve"> </w:t>
      </w:r>
      <w:r w:rsidR="003E4678" w:rsidRPr="00BA4482">
        <w:rPr>
          <w:rStyle w:val="SCCCounselPartyRoleChar"/>
        </w:rPr>
        <w:t xml:space="preserve">the </w:t>
      </w:r>
      <w:r w:rsidRPr="00BA4482">
        <w:rPr>
          <w:rStyle w:val="SCCCounselPartyRoleChar"/>
        </w:rPr>
        <w:t>National Council of Canadian Muslims</w:t>
      </w:r>
      <w:r w:rsidR="00141E4A" w:rsidRPr="00BA4482">
        <w:rPr>
          <w:rStyle w:val="SCCCounselPartyRoleChar"/>
        </w:rPr>
        <w:t xml:space="preserve"> and the Canadian Muslim Lawyers Association</w:t>
      </w:r>
      <w:r w:rsidRPr="00BA4482">
        <w:rPr>
          <w:rStyle w:val="SCCCounselPartyRoleChar"/>
        </w:rPr>
        <w:t>.</w:t>
      </w:r>
    </w:p>
    <w:p w:rsidR="00AC5392" w:rsidRPr="00BA4482" w:rsidRDefault="006550E1" w:rsidP="00E810E1">
      <w:pPr>
        <w:pStyle w:val="SCCNormalDoubleSpacing"/>
        <w:widowControl w:val="0"/>
        <w:spacing w:before="480" w:after="480"/>
      </w:pPr>
      <w:r w:rsidRPr="00BA4482">
        <w:rPr>
          <w:rStyle w:val="SCCCounselNameChar"/>
          <w:i w:val="0"/>
        </w:rPr>
        <w:tab/>
      </w:r>
      <w:r w:rsidR="00141E4A" w:rsidRPr="00BA4482">
        <w:rPr>
          <w:rStyle w:val="SCCCounselNameChar"/>
        </w:rPr>
        <w:t>Ranjan </w:t>
      </w:r>
      <w:r w:rsidRPr="00BA4482">
        <w:rPr>
          <w:rStyle w:val="SCCCounselNameChar"/>
        </w:rPr>
        <w:t>K. Agarwal</w:t>
      </w:r>
      <w:r w:rsidRPr="00BA4482">
        <w:rPr>
          <w:rStyle w:val="SCCCounselSeparatorChar"/>
        </w:rPr>
        <w:t xml:space="preserve"> and </w:t>
      </w:r>
      <w:r w:rsidR="00141E4A" w:rsidRPr="00BA4482">
        <w:rPr>
          <w:rStyle w:val="SCCCounselNameChar"/>
        </w:rPr>
        <w:t>Preet </w:t>
      </w:r>
      <w:r w:rsidRPr="00BA4482">
        <w:rPr>
          <w:rStyle w:val="SCCCounselNameChar"/>
        </w:rPr>
        <w:t>K. Bell</w:t>
      </w:r>
      <w:r w:rsidRPr="00BA4482">
        <w:rPr>
          <w:rStyle w:val="SCCCounselPartyRoleChar"/>
        </w:rPr>
        <w:t xml:space="preserve">, for the intervener </w:t>
      </w:r>
      <w:r w:rsidR="003E4678" w:rsidRPr="00BA4482">
        <w:rPr>
          <w:rStyle w:val="SCCCounselPartyRoleChar"/>
        </w:rPr>
        <w:t xml:space="preserve">the </w:t>
      </w:r>
      <w:r w:rsidRPr="00BA4482">
        <w:rPr>
          <w:rStyle w:val="SCCCounselPartyRoleChar"/>
        </w:rPr>
        <w:t>South Asian Legal Clinic of Ontario.</w:t>
      </w:r>
    </w:p>
    <w:p w:rsidR="00FC1A95" w:rsidRPr="00BA4482" w:rsidRDefault="00AD7364" w:rsidP="00E810E1">
      <w:pPr>
        <w:pStyle w:val="JudgeJuge"/>
        <w:widowControl w:val="0"/>
        <w:spacing w:before="480"/>
        <w:rPr>
          <w:smallCaps w:val="0"/>
          <w:lang w:val="en-CA"/>
        </w:rPr>
      </w:pPr>
      <w:r w:rsidRPr="00BA4482">
        <w:rPr>
          <w:smallCaps w:val="0"/>
          <w:lang w:val="en-CA"/>
        </w:rPr>
        <w:tab/>
        <w:t>English version of the judgment of the Court delivered by</w:t>
      </w:r>
    </w:p>
    <w:p w:rsidR="00FC1A95" w:rsidRPr="00BA4482" w:rsidRDefault="00FC1A95" w:rsidP="00E810E1">
      <w:pPr>
        <w:pStyle w:val="JudgeJuge"/>
        <w:widowControl w:val="0"/>
        <w:spacing w:before="480"/>
        <w:rPr>
          <w:lang w:val="en-CA"/>
        </w:rPr>
      </w:pPr>
      <w:r w:rsidRPr="00BA4482">
        <w:rPr>
          <w:lang w:val="en-CA"/>
        </w:rPr>
        <w:tab/>
        <w:t xml:space="preserve">Wagner and Côté JJ. — </w:t>
      </w:r>
    </w:p>
    <w:p w:rsidR="00FC1A95" w:rsidRPr="00BA4482" w:rsidRDefault="00FC1A95" w:rsidP="00E810E1">
      <w:pPr>
        <w:pStyle w:val="Title1LevelTitre1Niveau-AltL"/>
        <w:widowControl w:val="0"/>
        <w:tabs>
          <w:tab w:val="clear" w:pos="576"/>
          <w:tab w:val="left" w:pos="432"/>
        </w:tabs>
        <w:ind w:left="431" w:hanging="431"/>
        <w:outlineLvl w:val="0"/>
        <w:rPr>
          <w:rFonts w:cs="Times New Roman"/>
        </w:rPr>
      </w:pPr>
      <w:bookmarkStart w:id="1" w:name="_Toc416791101"/>
      <w:bookmarkStart w:id="2" w:name="_Toc417482728"/>
      <w:r w:rsidRPr="00BA4482">
        <w:rPr>
          <w:rFonts w:cs="Times New Roman"/>
        </w:rPr>
        <w:t>Introduction</w:t>
      </w:r>
      <w:bookmarkEnd w:id="1"/>
      <w:bookmarkEnd w:id="2"/>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Discrimination can take a variety of forms. Although some of them are </w:t>
      </w:r>
      <w:r w:rsidRPr="00BA4482">
        <w:rPr>
          <w:rFonts w:cs="Times New Roman"/>
          <w:lang w:val="en-CA"/>
        </w:rPr>
        <w:lastRenderedPageBreak/>
        <w:t xml:space="preserve">easy to identify, others are less obvious, such as those that result from unconscious prejudices and stereotypes or from standards that are neutral on their face but have adverse effects on certain persons. The </w:t>
      </w:r>
      <w:r w:rsidRPr="00BA4482">
        <w:rPr>
          <w:rFonts w:cs="Times New Roman"/>
          <w:i/>
          <w:lang w:val="en-CA"/>
        </w:rPr>
        <w:t>Charter of human rights and freedoms</w:t>
      </w:r>
      <w:r w:rsidRPr="00BA4482">
        <w:rPr>
          <w:rFonts w:cs="Times New Roman"/>
          <w:lang w:val="en-CA"/>
        </w:rPr>
        <w:t>, CQLR, c. C</w:t>
      </w:r>
      <w:r w:rsidRPr="00BA4482">
        <w:rPr>
          <w:rFonts w:cs="Times New Roman"/>
          <w:lang w:val="en-CA"/>
        </w:rPr>
        <w:noBreakHyphen/>
        <w:t>12 (“</w:t>
      </w:r>
      <w:r w:rsidRPr="00BA4482">
        <w:rPr>
          <w:rFonts w:cs="Times New Roman"/>
          <w:i/>
          <w:iCs/>
          <w:lang w:val="en-CA"/>
        </w:rPr>
        <w:t>Charter</w:t>
      </w:r>
      <w:r w:rsidRPr="00BA4482">
        <w:rPr>
          <w:rFonts w:cs="Times New Roman"/>
          <w:iCs/>
          <w:lang w:val="en-CA"/>
        </w:rPr>
        <w:t>”</w:t>
      </w:r>
      <w:r w:rsidRPr="00BA4482">
        <w:rPr>
          <w:rFonts w:cs="Times New Roman"/>
          <w:lang w:val="en-CA"/>
        </w:rPr>
        <w:t>), prohibits the various forms of discrimination and creates a remedy for victims of discrimination.</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The case at bar gives the Court its first opportunity to consider a form of discrimination allegedly arising out of a decision of a foreign authority. In this case, a Canadian company refused to provide pilot training to an individual on the basis of a decision by U.S. authorities. It is argued that the U.S. authorities’ decision was the result of racial profiling and that the company discriminated against the individual in question by relying on that decision.</w:t>
      </w:r>
    </w:p>
    <w:p w:rsidR="00FC1A95" w:rsidRPr="00BA4482" w:rsidRDefault="00FC1A95" w:rsidP="00E810E1">
      <w:pPr>
        <w:pStyle w:val="ParaNoNdepar-AltN"/>
        <w:widowControl w:val="0"/>
        <w:tabs>
          <w:tab w:val="clear" w:pos="1166"/>
          <w:tab w:val="num" w:pos="1152"/>
        </w:tabs>
        <w:rPr>
          <w:rFonts w:cs="Times New Roman"/>
          <w:i/>
          <w:lang w:val="en-CA"/>
        </w:rPr>
      </w:pPr>
      <w:r w:rsidRPr="00BA4482">
        <w:rPr>
          <w:rFonts w:cs="Times New Roman"/>
          <w:lang w:val="en-CA"/>
        </w:rPr>
        <w:t>In our opinion, the context of this case and the fact that racial profiling is recognized as a prohibited form of discrimination do not change the two</w:t>
      </w:r>
      <w:r w:rsidRPr="00BA4482">
        <w:rPr>
          <w:rFonts w:cs="Times New Roman"/>
          <w:lang w:val="en-CA"/>
        </w:rPr>
        <w:noBreakHyphen/>
        <w:t xml:space="preserve">step process that applies in the context of a complaint under the </w:t>
      </w:r>
      <w:r w:rsidRPr="00BA4482">
        <w:rPr>
          <w:rFonts w:cs="Times New Roman"/>
          <w:i/>
          <w:iCs/>
          <w:lang w:val="en-CA"/>
        </w:rPr>
        <w:t>Charter</w:t>
      </w:r>
      <w:r w:rsidRPr="00BA4482">
        <w:rPr>
          <w:rFonts w:cs="Times New Roman"/>
          <w:lang w:val="en-CA"/>
        </w:rPr>
        <w:t xml:space="preserve">. Under s. 10 of the </w:t>
      </w:r>
      <w:r w:rsidRPr="00BA4482">
        <w:rPr>
          <w:rFonts w:cs="Times New Roman"/>
          <w:i/>
          <w:lang w:val="en-CA"/>
        </w:rPr>
        <w:t>Charter</w:t>
      </w:r>
      <w:r w:rsidRPr="00BA4482">
        <w:rPr>
          <w:rFonts w:cs="Times New Roman"/>
          <w:lang w:val="en-CA"/>
        </w:rPr>
        <w:t xml:space="preserve">, a plaintiff must establish three elements, including a connection between a prohibited ground of discrimination and the distinction, exclusion or preference of which he or she complains. A plaintiff who successfully establishes these elements will be said to have proven a </w:t>
      </w:r>
      <w:r w:rsidRPr="00BA4482">
        <w:rPr>
          <w:rFonts w:cs="Times New Roman"/>
          <w:i/>
          <w:lang w:val="en-CA"/>
        </w:rPr>
        <w:t>prima facie</w:t>
      </w:r>
      <w:r w:rsidRPr="00BA4482">
        <w:rPr>
          <w:rFonts w:cs="Times New Roman"/>
          <w:lang w:val="en-CA"/>
        </w:rPr>
        <w:t xml:space="preserve"> case of discrimination or to have made </w:t>
      </w:r>
      <w:r w:rsidRPr="00BA4482">
        <w:rPr>
          <w:rFonts w:cs="Times New Roman"/>
          <w:i/>
          <w:lang w:val="en-CA"/>
        </w:rPr>
        <w:t>prima facie</w:t>
      </w:r>
      <w:r w:rsidRPr="00BA4482">
        <w:rPr>
          <w:rFonts w:cs="Times New Roman"/>
          <w:lang w:val="en-CA"/>
        </w:rPr>
        <w:t xml:space="preserve"> proof of discrimination. In such a case, it will then be open to the defendant to try to justify a seemingly discriminatory measure, and if the defendant succeeds in doing so, the tribunal will find no violation under s. 10. Although this process successively imposes separate burdens of proof on the plaintiff and the </w:t>
      </w:r>
      <w:r w:rsidRPr="00BA4482">
        <w:rPr>
          <w:rFonts w:cs="Times New Roman"/>
          <w:lang w:val="en-CA"/>
        </w:rPr>
        <w:lastRenderedPageBreak/>
        <w:t xml:space="preserve">defendant, and the onus on the plaintiff is simply to prove a “connection” between a prohibited ground of discrimination and the differential treatment he or she receives, it does not create an exception to the standard of proof </w:t>
      </w:r>
      <w:r w:rsidRPr="00BA4482">
        <w:rPr>
          <w:rFonts w:cs="Times New Roman"/>
          <w:i/>
          <w:iCs/>
          <w:spacing w:val="-2"/>
          <w:lang w:val="en-CA" w:eastAsia="fr-CA"/>
        </w:rPr>
        <w:t xml:space="preserve">— </w:t>
      </w:r>
      <w:r w:rsidRPr="00BA4482">
        <w:rPr>
          <w:rFonts w:cs="Times New Roman"/>
          <w:iCs/>
          <w:spacing w:val="-2"/>
          <w:lang w:val="en-CA" w:eastAsia="fr-CA"/>
        </w:rPr>
        <w:t xml:space="preserve">proof on a balance of probabilities </w:t>
      </w:r>
      <w:r w:rsidRPr="00BA4482">
        <w:rPr>
          <w:rFonts w:cs="Times New Roman"/>
          <w:i/>
          <w:iCs/>
          <w:spacing w:val="-2"/>
          <w:lang w:val="en-CA" w:eastAsia="fr-CA"/>
        </w:rPr>
        <w:t xml:space="preserve">— </w:t>
      </w:r>
      <w:r w:rsidRPr="00BA4482">
        <w:rPr>
          <w:rFonts w:cs="Times New Roman"/>
          <w:lang w:val="en-CA"/>
        </w:rPr>
        <w:t xml:space="preserve">that normally applies in the civil law. The plaintiff must therefore establish </w:t>
      </w:r>
      <w:r w:rsidRPr="00BA4482">
        <w:rPr>
          <w:rFonts w:cs="Times New Roman"/>
          <w:i/>
          <w:lang w:val="en-CA"/>
        </w:rPr>
        <w:t>prima fac</w:t>
      </w:r>
      <w:r w:rsidRPr="00BA4482">
        <w:rPr>
          <w:rFonts w:cs="Times New Roman"/>
          <w:i/>
          <w:iCs/>
          <w:lang w:val="en-CA"/>
        </w:rPr>
        <w:t xml:space="preserve">ie </w:t>
      </w:r>
      <w:r w:rsidRPr="00BA4482">
        <w:rPr>
          <w:rFonts w:cs="Times New Roman"/>
          <w:iCs/>
          <w:lang w:val="en-CA"/>
        </w:rPr>
        <w:t>discrimination on the basis of that standard</w:t>
      </w:r>
      <w:r w:rsidRPr="00BA4482">
        <w:rPr>
          <w:rFonts w:cs="Times New Roman"/>
          <w:lang w:val="en-CA"/>
        </w:rPr>
        <w:t>.</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In this case, it has not been shown on a balance of probabilities that there is a connection between a prohibited ground of discrimination and the company’s decision to deny the individual’s training request. The company’s liability has therefore not been proven under s. 10 of the </w:t>
      </w:r>
      <w:r w:rsidRPr="00BA4482">
        <w:rPr>
          <w:rFonts w:cs="Times New Roman"/>
          <w:i/>
          <w:iCs/>
          <w:lang w:val="en-CA"/>
        </w:rPr>
        <w:t>Charter</w:t>
      </w:r>
      <w:r w:rsidRPr="00BA4482">
        <w:rPr>
          <w:rFonts w:cs="Times New Roman"/>
          <w:lang w:val="en-CA"/>
        </w:rPr>
        <w:t>. We would accordingly dismiss the appeals. </w:t>
      </w:r>
    </w:p>
    <w:p w:rsidR="00FC1A95" w:rsidRPr="00BA4482" w:rsidRDefault="00FC1A95" w:rsidP="00E810E1">
      <w:pPr>
        <w:pStyle w:val="Title1LevelTitre1Niveau-AltL"/>
        <w:widowControl w:val="0"/>
        <w:tabs>
          <w:tab w:val="clear" w:pos="576"/>
          <w:tab w:val="left" w:pos="432"/>
        </w:tabs>
        <w:ind w:left="431" w:hanging="431"/>
        <w:outlineLvl w:val="0"/>
        <w:rPr>
          <w:rFonts w:cs="Times New Roman"/>
        </w:rPr>
      </w:pPr>
      <w:bookmarkStart w:id="3" w:name="_Toc416791102"/>
      <w:bookmarkStart w:id="4" w:name="_Toc417482729"/>
      <w:r w:rsidRPr="00BA4482">
        <w:rPr>
          <w:rFonts w:cs="Times New Roman"/>
        </w:rPr>
        <w:t>Facts</w:t>
      </w:r>
      <w:bookmarkEnd w:id="3"/>
      <w:bookmarkEnd w:id="4"/>
      <w:r w:rsidRPr="00BA4482">
        <w:rPr>
          <w:rFonts w:cs="Times New Roman"/>
        </w:rPr>
        <w:t xml:space="preserve">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The aerospace division of Bombardier Inc. (“Bombardier”), through the </w:t>
      </w:r>
      <w:r w:rsidRPr="00BA4482">
        <w:rPr>
          <w:rFonts w:cs="Times New Roman"/>
          <w:iCs/>
          <w:lang w:val="en-CA"/>
        </w:rPr>
        <w:t>Bombardier Aerospace Training Center, operates two centres, in Montréal and Dallas, at which pilots are trained on the types of aircraft produced by Bombardier. This training is offered to pilots holding</w:t>
      </w:r>
      <w:r w:rsidRPr="00BA4482">
        <w:rPr>
          <w:rFonts w:cs="Times New Roman"/>
          <w:lang w:val="en-CA"/>
        </w:rPr>
        <w:t xml:space="preserve"> licences issued by various </w:t>
      </w:r>
      <w:r w:rsidRPr="00BA4482">
        <w:rPr>
          <w:rFonts w:cs="Times New Roman"/>
          <w:i/>
          <w:iCs/>
          <w:spacing w:val="-2"/>
          <w:lang w:val="en-CA" w:eastAsia="fr-CA"/>
        </w:rPr>
        <w:t xml:space="preserve">— </w:t>
      </w:r>
      <w:r w:rsidRPr="00BA4482">
        <w:rPr>
          <w:rFonts w:cs="Times New Roman"/>
          <w:iCs/>
          <w:spacing w:val="-2"/>
          <w:lang w:val="en-CA" w:eastAsia="fr-CA"/>
        </w:rPr>
        <w:t xml:space="preserve">national or </w:t>
      </w:r>
      <w:r w:rsidRPr="00BA4482">
        <w:rPr>
          <w:rFonts w:cs="Times New Roman"/>
          <w:lang w:val="en-CA"/>
        </w:rPr>
        <w:t xml:space="preserve">international </w:t>
      </w:r>
      <w:r w:rsidRPr="00BA4482">
        <w:rPr>
          <w:rFonts w:cs="Times New Roman"/>
          <w:i/>
          <w:iCs/>
          <w:spacing w:val="-2"/>
          <w:lang w:val="en-CA" w:eastAsia="fr-CA"/>
        </w:rPr>
        <w:t>—</w:t>
      </w:r>
      <w:r w:rsidRPr="00BA4482">
        <w:rPr>
          <w:rFonts w:cs="Times New Roman"/>
          <w:lang w:val="en-CA"/>
        </w:rPr>
        <w:t xml:space="preserve"> authorities, including Canada and the United States. Bombardier holds a training certificate from the U.S. </w:t>
      </w:r>
      <w:r w:rsidRPr="00BA4482">
        <w:rPr>
          <w:rFonts w:eastAsia="Calibri" w:cs="Times New Roman"/>
          <w:spacing w:val="-4"/>
          <w:lang w:val="en-CA"/>
        </w:rPr>
        <w:t>Federal Aviation Administration (</w:t>
      </w:r>
      <w:r w:rsidR="001F0C80">
        <w:rPr>
          <w:rFonts w:eastAsia="Calibri" w:cs="Times New Roman"/>
          <w:spacing w:val="-4"/>
          <w:lang w:val="en-CA"/>
        </w:rPr>
        <w:t>“</w:t>
      </w:r>
      <w:r w:rsidRPr="00BA4482">
        <w:rPr>
          <w:rFonts w:eastAsia="Calibri" w:cs="Times New Roman"/>
          <w:iCs/>
          <w:spacing w:val="-4"/>
          <w:lang w:val="en-CA"/>
        </w:rPr>
        <w:t>FAA</w:t>
      </w:r>
      <w:r w:rsidR="001F0C80">
        <w:rPr>
          <w:rFonts w:eastAsia="Calibri" w:cs="Times New Roman"/>
          <w:iCs/>
          <w:spacing w:val="-4"/>
          <w:lang w:val="en-CA"/>
        </w:rPr>
        <w:t>”</w:t>
      </w:r>
      <w:r w:rsidRPr="00BA4482">
        <w:rPr>
          <w:rFonts w:eastAsia="Calibri" w:cs="Times New Roman"/>
          <w:spacing w:val="-4"/>
          <w:lang w:val="en-CA"/>
        </w:rPr>
        <w:t>) under which it is authorized to provide the necessary training to pilots holding U.S. licences.</w:t>
      </w:r>
      <w:r w:rsidRPr="00BA4482">
        <w:rPr>
          <w:rFonts w:cs="Times New Roman"/>
          <w:spacing w:val="-4"/>
          <w:lang w:val="en-CA"/>
        </w:rPr>
        <w:t xml:space="preserve">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In the wake of the terrorist attacks of September 11, 2001, the United </w:t>
      </w:r>
      <w:r w:rsidRPr="00BA4482">
        <w:rPr>
          <w:rFonts w:cs="Times New Roman"/>
          <w:lang w:val="en-CA"/>
        </w:rPr>
        <w:lastRenderedPageBreak/>
        <w:t xml:space="preserve">States implemented enhanced security measures, including in the aviation field. In November 2001, the U.S. Congress passed the </w:t>
      </w:r>
      <w:r w:rsidRPr="00BA4482">
        <w:rPr>
          <w:rFonts w:cs="Times New Roman"/>
          <w:i/>
          <w:iCs/>
          <w:lang w:val="en-CA"/>
        </w:rPr>
        <w:t>Aviation and Transportation Security Act</w:t>
      </w:r>
      <w:r w:rsidRPr="00BA4482">
        <w:rPr>
          <w:rFonts w:cs="Times New Roman"/>
          <w:iCs/>
          <w:lang w:val="en-CA"/>
        </w:rPr>
        <w:t>,</w:t>
      </w:r>
      <w:r w:rsidRPr="00BA4482">
        <w:rPr>
          <w:rFonts w:cs="Times New Roman"/>
          <w:iCs/>
          <w:szCs w:val="24"/>
          <w:lang w:val="en-CA"/>
        </w:rPr>
        <w:t xml:space="preserve"> Pub. L. 107</w:t>
      </w:r>
      <w:r w:rsidRPr="00BA4482">
        <w:rPr>
          <w:rFonts w:cs="Times New Roman"/>
          <w:iCs/>
          <w:szCs w:val="24"/>
          <w:lang w:val="en-CA"/>
        </w:rPr>
        <w:noBreakHyphen/>
        <w:t xml:space="preserve">71, 115 Stat. 597 (2001), s. 113 of which (adding 49 U.S.C. </w:t>
      </w:r>
      <w:r w:rsidRPr="00BA4482">
        <w:rPr>
          <w:rFonts w:cs="Times New Roman"/>
          <w:lang w:val="en-CA"/>
        </w:rPr>
        <w:t xml:space="preserve">§ 44939), required that any organization wishing to provide pilot training to an individual who was not a U.S. citizen </w:t>
      </w:r>
      <w:r w:rsidRPr="00BA4482">
        <w:rPr>
          <w:rFonts w:eastAsia="Times New Roman" w:cs="Times New Roman"/>
          <w:szCs w:val="24"/>
          <w:lang w:val="en-CA" w:eastAsia="en-CA"/>
        </w:rPr>
        <w:t>submit the individual’s name to the responsible authorities for security screening</w:t>
      </w:r>
      <w:r w:rsidRPr="00BA4482">
        <w:rPr>
          <w:rFonts w:cs="Times New Roman"/>
          <w:lang w:val="en-CA"/>
        </w:rPr>
        <w:t xml:space="preserve">: </w:t>
      </w:r>
      <w:r w:rsidRPr="00BA4482">
        <w:rPr>
          <w:rFonts w:eastAsia="Times New Roman" w:cs="Times New Roman"/>
          <w:i/>
          <w:iCs/>
          <w:szCs w:val="24"/>
          <w:lang w:val="en-CA" w:eastAsia="en-CA"/>
        </w:rPr>
        <w:t>Screening of Aliens and Other Designated Individuals Seeking Flight Training</w:t>
      </w:r>
      <w:r w:rsidRPr="00BA4482">
        <w:rPr>
          <w:rFonts w:eastAsia="Times New Roman" w:cs="Times New Roman"/>
          <w:szCs w:val="24"/>
          <w:lang w:val="en-CA" w:eastAsia="en-CA"/>
        </w:rPr>
        <w:t>, 68 Fed. Reg. 7313 (2003); U.S. Department of Transportation, FAA Notice N 8700.21,</w:t>
      </w:r>
      <w:r w:rsidRPr="00BA4482">
        <w:rPr>
          <w:rFonts w:eastAsia="Times New Roman" w:cs="Times New Roman"/>
          <w:i/>
          <w:iCs/>
          <w:szCs w:val="24"/>
          <w:lang w:val="en-CA" w:eastAsia="en-CA"/>
        </w:rPr>
        <w:t xml:space="preserve"> Screening of Aliens and Other Designated Individuals Seeking Flight Training</w:t>
      </w:r>
      <w:r w:rsidRPr="00BA4482">
        <w:rPr>
          <w:rFonts w:eastAsia="Times New Roman" w:cs="Times New Roman"/>
          <w:szCs w:val="24"/>
          <w:lang w:val="en-CA" w:eastAsia="en-CA"/>
        </w:rPr>
        <w:t>, Exhibit P</w:t>
      </w:r>
      <w:r w:rsidRPr="00BA4482">
        <w:rPr>
          <w:rFonts w:eastAsia="Times New Roman" w:cs="Times New Roman"/>
          <w:szCs w:val="24"/>
          <w:lang w:val="en-CA" w:eastAsia="en-CA"/>
        </w:rPr>
        <w:noBreakHyphen/>
        <w:t xml:space="preserve">29, </w:t>
      </w:r>
      <w:r w:rsidRPr="00BA4482">
        <w:rPr>
          <w:rFonts w:cs="Times New Roman"/>
          <w:lang w:val="en-CA"/>
        </w:rPr>
        <w:t>A.R. (Commission), vol. XII, at pp. 107</w:t>
      </w:r>
      <w:r w:rsidRPr="00BA4482">
        <w:rPr>
          <w:rFonts w:cs="Times New Roman"/>
          <w:lang w:val="en-CA"/>
        </w:rPr>
        <w:noBreakHyphen/>
        <w:t xml:space="preserve">9. That security screening was carried out by the </w:t>
      </w:r>
      <w:r w:rsidRPr="00BA4482">
        <w:rPr>
          <w:rFonts w:cs="Times New Roman"/>
          <w:iCs/>
          <w:lang w:val="en-CA"/>
        </w:rPr>
        <w:t>U.S. Department of Justice</w:t>
      </w:r>
      <w:r w:rsidRPr="00BA4482">
        <w:rPr>
          <w:rFonts w:cs="Times New Roman"/>
          <w:lang w:val="en-CA"/>
        </w:rPr>
        <w:t xml:space="preserve"> (</w:t>
      </w:r>
      <w:r w:rsidR="001F0C80">
        <w:rPr>
          <w:rFonts w:cs="Times New Roman"/>
          <w:lang w:val="en-CA"/>
        </w:rPr>
        <w:t>“</w:t>
      </w:r>
      <w:r w:rsidRPr="00BA4482">
        <w:rPr>
          <w:rFonts w:cs="Times New Roman"/>
          <w:lang w:val="en-CA"/>
        </w:rPr>
        <w:t>DOJ</w:t>
      </w:r>
      <w:r w:rsidR="001F0C80">
        <w:rPr>
          <w:rFonts w:cs="Times New Roman"/>
          <w:lang w:val="en-CA"/>
        </w:rPr>
        <w:t>”</w:t>
      </w:r>
      <w:r w:rsidRPr="00BA4482">
        <w:rPr>
          <w:rFonts w:cs="Times New Roman"/>
          <w:lang w:val="en-CA"/>
        </w:rPr>
        <w:t xml:space="preserve">) until the end of September 2004.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An American statute passed in December 2003, the </w:t>
      </w:r>
      <w:r w:rsidRPr="00BA4482">
        <w:rPr>
          <w:rFonts w:cs="Times New Roman"/>
          <w:i/>
          <w:iCs/>
          <w:spacing w:val="-2"/>
          <w:lang w:val="en-CA" w:eastAsia="fr-CA"/>
        </w:rPr>
        <w:t>Vision 100 — Century of Aviation Reauthorization Act</w:t>
      </w:r>
      <w:r w:rsidRPr="00BA4482">
        <w:rPr>
          <w:rFonts w:cs="Times New Roman"/>
          <w:iCs/>
          <w:spacing w:val="-2"/>
          <w:lang w:val="en-CA" w:eastAsia="fr-CA"/>
        </w:rPr>
        <w:t>,</w:t>
      </w:r>
      <w:r w:rsidRPr="00BA4482">
        <w:rPr>
          <w:rFonts w:cs="Times New Roman"/>
          <w:lang w:val="en-CA"/>
        </w:rPr>
        <w:t xml:space="preserve"> Pub. L. 108</w:t>
      </w:r>
      <w:r w:rsidRPr="00BA4482">
        <w:rPr>
          <w:rFonts w:cs="Times New Roman"/>
          <w:lang w:val="en-CA"/>
        </w:rPr>
        <w:noBreakHyphen/>
        <w:t>176, 117 Stat. 2490 (2003) (“</w:t>
      </w:r>
      <w:r w:rsidRPr="00BA4482">
        <w:rPr>
          <w:rFonts w:cs="Times New Roman"/>
          <w:i/>
          <w:lang w:val="en-CA"/>
        </w:rPr>
        <w:t>Vision 100 Act</w:t>
      </w:r>
      <w:r w:rsidRPr="00BA4482">
        <w:rPr>
          <w:rFonts w:cs="Times New Roman"/>
          <w:lang w:val="en-CA"/>
        </w:rPr>
        <w:t xml:space="preserve">”), established stricter security screening requirements and transferred control over security screening to the </w:t>
      </w:r>
      <w:r w:rsidRPr="00BA4482">
        <w:rPr>
          <w:rFonts w:cs="Times New Roman"/>
          <w:iCs/>
          <w:lang w:val="en-CA"/>
        </w:rPr>
        <w:t>Department of Homeland Security</w:t>
      </w:r>
      <w:r w:rsidRPr="00BA4482">
        <w:rPr>
          <w:rFonts w:cs="Times New Roman"/>
          <w:lang w:val="en-CA"/>
        </w:rPr>
        <w:t xml:space="preserve"> (</w:t>
      </w:r>
      <w:r w:rsidR="001F0C80">
        <w:rPr>
          <w:rFonts w:cs="Times New Roman"/>
          <w:lang w:val="en-CA"/>
        </w:rPr>
        <w:t>“</w:t>
      </w:r>
      <w:r w:rsidRPr="00BA4482">
        <w:rPr>
          <w:rFonts w:cs="Times New Roman"/>
          <w:lang w:val="en-CA"/>
        </w:rPr>
        <w:t>DHS</w:t>
      </w:r>
      <w:r w:rsidR="001F0C80">
        <w:rPr>
          <w:rFonts w:cs="Times New Roman"/>
          <w:lang w:val="en-CA"/>
        </w:rPr>
        <w:t>”</w:t>
      </w:r>
      <w:r w:rsidRPr="00BA4482">
        <w:rPr>
          <w:rFonts w:cs="Times New Roman"/>
          <w:lang w:val="en-CA"/>
        </w:rPr>
        <w:t>), or more specifically to the Transportation Security Administration (</w:t>
      </w:r>
      <w:r w:rsidR="001F0C80">
        <w:rPr>
          <w:rFonts w:cs="Times New Roman"/>
          <w:lang w:val="en-CA"/>
        </w:rPr>
        <w:t>“</w:t>
      </w:r>
      <w:r w:rsidRPr="00BA4482">
        <w:rPr>
          <w:rFonts w:cs="Times New Roman"/>
          <w:lang w:val="en-CA"/>
        </w:rPr>
        <w:t>TSA</w:t>
      </w:r>
      <w:r w:rsidR="001F0C80">
        <w:rPr>
          <w:rFonts w:cs="Times New Roman"/>
          <w:lang w:val="en-CA"/>
        </w:rPr>
        <w:t>”</w:t>
      </w:r>
      <w:r w:rsidRPr="00BA4482">
        <w:rPr>
          <w:rFonts w:cs="Times New Roman"/>
          <w:lang w:val="en-CA"/>
        </w:rPr>
        <w:t xml:space="preserve">). DHS promulgated a rule to implement these stricter requirements in September 2004: </w:t>
      </w:r>
      <w:r w:rsidRPr="00BA4482">
        <w:rPr>
          <w:rFonts w:cs="Times New Roman"/>
          <w:i/>
          <w:lang w:val="en-CA"/>
        </w:rPr>
        <w:t>Flight Training for Aliens and Other Designated Individuals; Security Awareness Training for Flight School Employees</w:t>
      </w:r>
      <w:r w:rsidRPr="00BA4482">
        <w:rPr>
          <w:rFonts w:cs="Times New Roman"/>
          <w:lang w:val="en-CA"/>
        </w:rPr>
        <w:t>,</w:t>
      </w:r>
      <w:r w:rsidRPr="00BA4482">
        <w:rPr>
          <w:rFonts w:cs="Times New Roman"/>
          <w:i/>
          <w:lang w:val="en-CA"/>
        </w:rPr>
        <w:t xml:space="preserve"> </w:t>
      </w:r>
      <w:r w:rsidRPr="00BA4482">
        <w:rPr>
          <w:rFonts w:cs="Times New Roman"/>
          <w:lang w:val="en-CA"/>
        </w:rPr>
        <w:t>69 Fed. Reg. 56324 (2004). This rule also established TSA’s security screening program, known as the Alien Flight Student Program (</w:t>
      </w:r>
      <w:r w:rsidR="001F0C80">
        <w:rPr>
          <w:rFonts w:cs="Times New Roman"/>
          <w:lang w:val="en-CA"/>
        </w:rPr>
        <w:t>“</w:t>
      </w:r>
      <w:r w:rsidRPr="00BA4482">
        <w:rPr>
          <w:rFonts w:cs="Times New Roman"/>
          <w:lang w:val="en-CA"/>
        </w:rPr>
        <w:t>AFSP</w:t>
      </w:r>
      <w:r w:rsidR="001F0C80">
        <w:rPr>
          <w:rFonts w:cs="Times New Roman"/>
          <w:lang w:val="en-CA"/>
        </w:rPr>
        <w:t>”</w:t>
      </w:r>
      <w:r w:rsidRPr="00BA4482">
        <w:rPr>
          <w:rFonts w:cs="Times New Roman"/>
          <w:lang w:val="en-CA"/>
        </w:rPr>
        <w:t>).</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No similar measure was adopted by Canada with respect to the training of </w:t>
      </w:r>
      <w:r w:rsidRPr="00BA4482">
        <w:rPr>
          <w:rFonts w:cs="Times New Roman"/>
          <w:lang w:val="en-CA"/>
        </w:rPr>
        <w:lastRenderedPageBreak/>
        <w:t xml:space="preserve">pilots holding Canadian licences.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Javed Latif, a Canadian citizen born in Pakistan, has been flying planes since 1964. He has held a U.S. pilot’s licence since 1991. Under that licence, he has taken many initial and recurrent training courses from Bombardier among others. He obtained his Canadian pilot’s licence in 2004. His unblemished career record is described in greater detail in the decision at first instance.</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In 2003, Mid East Jet offered Mr. Latif work flying a Boeing 737 under his U.S. licence. To obtain that contract, Mr. Latif registered for initial training on that aircraft. In October 2003, DOJ issued him a security clearance. He then took his training in the United States with a company called Alteon and obtained his certification in December 2003. Unfortunately, the job</w:t>
      </w:r>
      <w:r w:rsidRPr="00BA4482">
        <w:rPr>
          <w:rFonts w:eastAsia="Calibri" w:cs="Times New Roman"/>
          <w:lang w:val="en-CA"/>
        </w:rPr>
        <w:t xml:space="preserve"> opportunity with Mid East Jet fell through.</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eastAsia="Calibri" w:cs="Times New Roman"/>
          <w:lang w:val="en-CA"/>
        </w:rPr>
        <w:t xml:space="preserve">In January 2004, Mr. Latif, who was unemployed at the time, accepted a friend’s offer to go to Pakistan to participate in a real estate project. In March 2004, while he was still in Pakistan, he received an offer from </w:t>
      </w:r>
      <w:r w:rsidRPr="00BA4482">
        <w:rPr>
          <w:rFonts w:cs="Times New Roman"/>
          <w:spacing w:val="-2"/>
          <w:lang w:val="en-CA"/>
        </w:rPr>
        <w:t>ACASS Canada Ltd. (</w:t>
      </w:r>
      <w:r w:rsidR="001F0C80">
        <w:rPr>
          <w:rFonts w:cs="Times New Roman"/>
          <w:spacing w:val="-2"/>
          <w:lang w:val="en-CA"/>
        </w:rPr>
        <w:t>“</w:t>
      </w:r>
      <w:r w:rsidRPr="00BA4482">
        <w:rPr>
          <w:rFonts w:cs="Times New Roman"/>
          <w:spacing w:val="-2"/>
          <w:lang w:val="en-CA"/>
        </w:rPr>
        <w:t>ACASS</w:t>
      </w:r>
      <w:r w:rsidR="001F0C80">
        <w:rPr>
          <w:rFonts w:cs="Times New Roman"/>
          <w:spacing w:val="-2"/>
          <w:lang w:val="en-CA"/>
        </w:rPr>
        <w:t>”</w:t>
      </w:r>
      <w:r w:rsidRPr="00BA4482">
        <w:rPr>
          <w:rFonts w:cs="Times New Roman"/>
          <w:spacing w:val="-2"/>
          <w:lang w:val="en-CA"/>
        </w:rPr>
        <w:t xml:space="preserve">) to pilot a Bombardier </w:t>
      </w:r>
      <w:r w:rsidRPr="00BA4482">
        <w:rPr>
          <w:rFonts w:cs="Times New Roman"/>
          <w:iCs/>
          <w:spacing w:val="-2"/>
          <w:lang w:val="en-CA"/>
        </w:rPr>
        <w:t>Challenger 604 (</w:t>
      </w:r>
      <w:r w:rsidR="001F0C80">
        <w:rPr>
          <w:rFonts w:cs="Times New Roman"/>
          <w:iCs/>
          <w:spacing w:val="-2"/>
          <w:lang w:val="en-CA"/>
        </w:rPr>
        <w:t>“</w:t>
      </w:r>
      <w:r w:rsidRPr="00BA4482">
        <w:rPr>
          <w:rFonts w:cs="Times New Roman"/>
          <w:iCs/>
          <w:spacing w:val="-2"/>
          <w:lang w:val="en-CA"/>
        </w:rPr>
        <w:t>CL604</w:t>
      </w:r>
      <w:r w:rsidR="001F0C80">
        <w:rPr>
          <w:rFonts w:cs="Times New Roman"/>
          <w:iCs/>
          <w:spacing w:val="-2"/>
          <w:lang w:val="en-CA"/>
        </w:rPr>
        <w:t>”</w:t>
      </w:r>
      <w:r w:rsidRPr="00BA4482">
        <w:rPr>
          <w:rFonts w:cs="Times New Roman"/>
          <w:iCs/>
          <w:spacing w:val="-2"/>
          <w:lang w:val="en-CA"/>
        </w:rPr>
        <w:t>) aircraft.</w:t>
      </w:r>
    </w:p>
    <w:p w:rsidR="00FC1A95" w:rsidRPr="00BA4482" w:rsidRDefault="00FC1A95" w:rsidP="00E810E1">
      <w:pPr>
        <w:pStyle w:val="ParaNoNdepar-AltN"/>
        <w:widowControl w:val="0"/>
        <w:rPr>
          <w:rFonts w:cs="Times New Roman"/>
          <w:lang w:val="en-CA"/>
        </w:rPr>
      </w:pPr>
      <w:r w:rsidRPr="00BA4482">
        <w:rPr>
          <w:rFonts w:eastAsia="Calibri" w:cs="Times New Roman"/>
          <w:lang w:val="en-CA"/>
        </w:rPr>
        <w:t xml:space="preserve">Mr. Latif initially registered for recurrent training on the CL604 under his U.S. licence at Bombardier’s Dallas training centre. A request for the required security clearance was submitted to DOJ while he was in Pakistan in early March 2004. Because of a delay in receiving that clearance and because he did not want to </w:t>
      </w:r>
      <w:r w:rsidRPr="00BA4482">
        <w:rPr>
          <w:rFonts w:eastAsia="Calibri" w:cs="Times New Roman"/>
          <w:lang w:val="en-CA"/>
        </w:rPr>
        <w:lastRenderedPageBreak/>
        <w:t xml:space="preserve">lose the job opportunity, Mr. Latif asked </w:t>
      </w:r>
      <w:r w:rsidRPr="00BA4482">
        <w:rPr>
          <w:rFonts w:cs="Times New Roman"/>
          <w:spacing w:val="-2"/>
          <w:lang w:val="en-CA"/>
        </w:rPr>
        <w:t xml:space="preserve">ACASS to register him for recurrent training on the </w:t>
      </w:r>
      <w:r w:rsidRPr="00BA4482">
        <w:rPr>
          <w:rFonts w:cs="Times New Roman"/>
          <w:lang w:val="en-CA"/>
        </w:rPr>
        <w:t>CL604 under his Canadian licence, given that it would also be possible for him to obtain the contract as a pilot under that licence.</w:t>
      </w:r>
    </w:p>
    <w:p w:rsidR="00FC1A95" w:rsidRPr="00BA4482" w:rsidRDefault="00FC1A95" w:rsidP="00E810E1">
      <w:pPr>
        <w:pStyle w:val="ParaNoNdepar-AltN"/>
        <w:widowControl w:val="0"/>
        <w:rPr>
          <w:rFonts w:cs="Times New Roman"/>
          <w:lang w:val="en-CA"/>
        </w:rPr>
      </w:pPr>
      <w:r w:rsidRPr="00BA4482">
        <w:rPr>
          <w:rFonts w:eastAsia="Calibri" w:cs="Times New Roman"/>
          <w:lang w:val="en-CA"/>
        </w:rPr>
        <w:t xml:space="preserve">In April 2004, ACASS informed Mr. Latif that Bombardier had received an unfavourable reply to his security screening request from the U.S. authorities, which meant that he could not receive the training from Bombardier under his U.S. licence. No explanation for the U.S. authorities’ refusal was provided at that time. Mr. Latif was surprised and thought that the refusal was due to an identification error. </w:t>
      </w:r>
    </w:p>
    <w:p w:rsidR="00FC1A95" w:rsidRPr="00BA4482" w:rsidRDefault="00FC1A95" w:rsidP="00E810E1">
      <w:pPr>
        <w:pStyle w:val="ParaNoNdepar-AltN"/>
        <w:widowControl w:val="0"/>
        <w:tabs>
          <w:tab w:val="clear" w:pos="1166"/>
          <w:tab w:val="num" w:pos="1152"/>
        </w:tabs>
        <w:autoSpaceDE w:val="0"/>
        <w:autoSpaceDN w:val="0"/>
        <w:adjustRightInd w:val="0"/>
        <w:rPr>
          <w:rFonts w:cs="Times New Roman"/>
          <w:lang w:val="en-CA"/>
        </w:rPr>
      </w:pPr>
      <w:r w:rsidRPr="00BA4482">
        <w:rPr>
          <w:rFonts w:eastAsia="Calibri" w:cs="Times New Roman"/>
          <w:lang w:val="en-CA"/>
        </w:rPr>
        <w:t xml:space="preserve">He contacted Steven Gignac, the manager responsible for quality standards at Bombardier, to follow up on his request for training under his Canadian licence, which he believed was not subject to security screening by the U.S. authorities. After first telling Mr. Latif that he had to check with Transport Canada, Mr. Gignac eventually informed him that </w:t>
      </w:r>
      <w:r w:rsidRPr="00BA4482">
        <w:rPr>
          <w:rFonts w:cs="Times New Roman"/>
          <w:lang w:val="en-CA"/>
        </w:rPr>
        <w:t xml:space="preserve">Bombardier could not train him under his Canadian licence. Mr. Gignac also informed ACASS in a letter dated May 12, 2004 that the reasons for the U.S. authorities’ refusal to authorize the training had not been disclosed to Bombardier but that, because of the training certificate issued by the FAA, Bombardier had to comply with DOJ’s denial for all types of pilot training. </w:t>
      </w:r>
    </w:p>
    <w:p w:rsidR="00FC1A95" w:rsidRPr="00BA4482" w:rsidRDefault="00FC1A95" w:rsidP="00E810E1">
      <w:pPr>
        <w:pStyle w:val="ParaNoNdepar-AltN"/>
        <w:widowControl w:val="0"/>
        <w:tabs>
          <w:tab w:val="clear" w:pos="1166"/>
          <w:tab w:val="num" w:pos="1152"/>
        </w:tabs>
        <w:autoSpaceDE w:val="0"/>
        <w:autoSpaceDN w:val="0"/>
        <w:adjustRightInd w:val="0"/>
        <w:rPr>
          <w:rFonts w:cs="Times New Roman"/>
          <w:lang w:val="en-CA"/>
        </w:rPr>
      </w:pPr>
      <w:r w:rsidRPr="00BA4482">
        <w:rPr>
          <w:rFonts w:cs="Times New Roman"/>
          <w:lang w:val="en-CA"/>
        </w:rPr>
        <w:t>The parties agreed that Bombardier’s refusal to provide training to Mr. Latif under his Canadian licence was based solely on the fact that DOJ had not issued him a security clearance. This case arises out of that refusal by Bombardier to train Mr. Latif under his Canadian licence.</w:t>
      </w:r>
      <w:r w:rsidRPr="00BA4482">
        <w:rPr>
          <w:rFonts w:cs="Times New Roman"/>
          <w:spacing w:val="-2"/>
          <w:szCs w:val="24"/>
          <w:lang w:val="en-CA"/>
        </w:rPr>
        <w:t xml:space="preserve"> </w:t>
      </w:r>
    </w:p>
    <w:p w:rsidR="00FC1A95" w:rsidRPr="00BA4482" w:rsidRDefault="00FC1A95" w:rsidP="00E810E1">
      <w:pPr>
        <w:pStyle w:val="ParaNoNdepar-AltN"/>
        <w:widowControl w:val="0"/>
        <w:rPr>
          <w:rFonts w:cs="Times New Roman"/>
          <w:lang w:val="en-CA"/>
        </w:rPr>
      </w:pPr>
      <w:r w:rsidRPr="00BA4482">
        <w:rPr>
          <w:rFonts w:eastAsia="Calibri" w:cs="Times New Roman"/>
          <w:lang w:val="en-CA"/>
        </w:rPr>
        <w:lastRenderedPageBreak/>
        <w:t>As a result of Bombardier’s refusal to give him the training he wished to receive, Mr. Latif asked the U.S. authorities to review his file. He received the following reply:</w:t>
      </w:r>
    </w:p>
    <w:p w:rsidR="00FC1A95" w:rsidRPr="00BA4482" w:rsidRDefault="00FC1A95" w:rsidP="00E810E1">
      <w:pPr>
        <w:pStyle w:val="Citation-AltC"/>
        <w:widowControl w:val="0"/>
        <w:spacing w:after="240"/>
        <w:ind w:hanging="1166"/>
        <w:contextualSpacing w:val="0"/>
        <w:rPr>
          <w:lang w:val="en-CA"/>
        </w:rPr>
      </w:pPr>
      <w:r w:rsidRPr="00BA4482">
        <w:rPr>
          <w:lang w:val="en-CA"/>
        </w:rPr>
        <w:tab/>
        <w:t xml:space="preserve">In October 2003, we based our decision to allow you to train based on the information we had at that time. In March 2004, we again based our decision on all the data we collected, which included new information. In your opinion the circumstances had not changed in six months; we disagree. The denial decision was made after extensive analysis of the data received. </w:t>
      </w:r>
      <w:r w:rsidRPr="00BA4482">
        <w:rPr>
          <w:u w:val="single"/>
          <w:lang w:val="en-CA"/>
        </w:rPr>
        <w:t>This</w:t>
      </w:r>
      <w:r w:rsidRPr="00BA4482">
        <w:rPr>
          <w:sz w:val="16"/>
          <w:szCs w:val="16"/>
          <w:u w:val="single"/>
          <w:lang w:val="en-CA"/>
        </w:rPr>
        <w:t xml:space="preserve"> </w:t>
      </w:r>
      <w:r w:rsidRPr="00BA4482">
        <w:rPr>
          <w:u w:val="single"/>
          <w:lang w:val="en-CA"/>
        </w:rPr>
        <w:t>process is in place to protect the national security of the U.S.</w:t>
      </w:r>
      <w:r w:rsidRPr="00BA4482">
        <w:rPr>
          <w:lang w:val="en-CA"/>
        </w:rPr>
        <w:t xml:space="preserve"> There is no appeals process for non</w:t>
      </w:r>
      <w:r w:rsidRPr="00BA4482">
        <w:rPr>
          <w:lang w:val="en-CA"/>
        </w:rPr>
        <w:noBreakHyphen/>
        <w:t>U.S. citizens. [Emphasis added.]</w:t>
      </w:r>
    </w:p>
    <w:p w:rsidR="00FC1A95" w:rsidRPr="00BA4482" w:rsidRDefault="00FC1A95" w:rsidP="00E810E1">
      <w:pPr>
        <w:pStyle w:val="ContinueParaSuitedupar-AltP"/>
        <w:widowControl w:val="0"/>
        <w:spacing w:before="0"/>
        <w:rPr>
          <w:rFonts w:eastAsiaTheme="minorEastAsia" w:cs="Times New Roman"/>
          <w:lang w:val="en-CA"/>
        </w:rPr>
      </w:pPr>
      <w:r w:rsidRPr="00BA4482">
        <w:rPr>
          <w:rFonts w:eastAsia="Calibri" w:cs="Times New Roman"/>
          <w:lang w:val="en-CA"/>
        </w:rPr>
        <w:t>(</w:t>
      </w:r>
      <w:r w:rsidRPr="00BA4482">
        <w:rPr>
          <w:rFonts w:cs="Times New Roman"/>
          <w:lang w:val="en-CA"/>
        </w:rPr>
        <w:t>Correspondence</w:t>
      </w:r>
      <w:r w:rsidRPr="00BA4482">
        <w:rPr>
          <w:rFonts w:eastAsia="Calibri" w:cs="Times New Roman"/>
          <w:lang w:val="en-CA"/>
        </w:rPr>
        <w:t xml:space="preserve"> with U.S. authorities,</w:t>
      </w:r>
      <w:r w:rsidRPr="00BA4482">
        <w:rPr>
          <w:rFonts w:cs="Times New Roman"/>
          <w:lang w:val="en-CA"/>
        </w:rPr>
        <w:t xml:space="preserve"> Exhibit JL</w:t>
      </w:r>
      <w:r w:rsidRPr="00BA4482">
        <w:rPr>
          <w:rFonts w:cs="Times New Roman"/>
          <w:lang w:val="en-CA"/>
        </w:rPr>
        <w:noBreakHyphen/>
        <w:t>14, A.R. (Commission), vol. XVI, at p. 72)</w:t>
      </w:r>
    </w:p>
    <w:p w:rsidR="00FC1A95" w:rsidRPr="00BA4482" w:rsidRDefault="00FC1A95" w:rsidP="00E810E1">
      <w:pPr>
        <w:pStyle w:val="ParaNoNdepar-AltN"/>
        <w:widowControl w:val="0"/>
        <w:rPr>
          <w:rFonts w:cs="Times New Roman"/>
          <w:lang w:val="en-CA"/>
        </w:rPr>
      </w:pPr>
      <w:r w:rsidRPr="00BA4482">
        <w:rPr>
          <w:rFonts w:eastAsia="Calibri" w:cs="Times New Roman"/>
          <w:lang w:val="en-CA"/>
        </w:rPr>
        <w:t xml:space="preserve">In spite of that reply, Mr. Latif made other requests to the U.S. authorities to have his file reviewed, but he was unsuccessful each time. He also made other requests under his U.S. licence for training on various types of aircraft, but they were all denied on the ground that he posed a threat to aviation or national security in the United States, except his last request in 2008, which was finally accepted. </w:t>
      </w:r>
    </w:p>
    <w:p w:rsidR="00FC1A95" w:rsidRPr="00BA4482" w:rsidRDefault="00FC1A95" w:rsidP="00E810E1">
      <w:pPr>
        <w:pStyle w:val="ParaNoNdepar-AltN"/>
        <w:widowControl w:val="0"/>
        <w:tabs>
          <w:tab w:val="clear" w:pos="1166"/>
          <w:tab w:val="num" w:pos="1152"/>
        </w:tabs>
        <w:rPr>
          <w:rFonts w:eastAsia="Calibri" w:cs="Times New Roman"/>
          <w:lang w:val="en-CA"/>
        </w:rPr>
      </w:pPr>
      <w:r w:rsidRPr="00BA4482">
        <w:rPr>
          <w:rFonts w:eastAsia="Calibri" w:cs="Times New Roman"/>
          <w:lang w:val="en-CA"/>
        </w:rPr>
        <w:t>Being of the view that Bombardier had discriminated against him, Mr. Latif filed a complaint with the Commission des droits de la personne et des droits de la jeunesse (“Commission”). After investigating, the Commission initiated proceedings in the Human Rights Tribunal (“Tribunal”) in which it alleged that Bombardier [</w:t>
      </w:r>
      <w:r w:rsidRPr="00BA4482">
        <w:rPr>
          <w:rFonts w:eastAsia="Calibri" w:cs="Times New Roman"/>
          <w:smallCaps/>
          <w:lang w:val="en-CA"/>
        </w:rPr>
        <w:t>translation</w:t>
      </w:r>
      <w:r w:rsidRPr="00BA4482">
        <w:rPr>
          <w:rFonts w:eastAsia="Calibri" w:cs="Times New Roman"/>
          <w:lang w:val="en-CA"/>
        </w:rPr>
        <w:t xml:space="preserve">] “[had] impair[ed] the right of the complainant, Javed Latif, to avail himself of services ordinarily offered to the public without discrimination based on ethnic or national origin by denying him pilot training for a </w:t>
      </w:r>
      <w:r w:rsidRPr="00BA4482">
        <w:rPr>
          <w:rFonts w:eastAsia="Calibri" w:cs="Times New Roman"/>
          <w:lang w:val="en-CA"/>
        </w:rPr>
        <w:lastRenderedPageBreak/>
        <w:t xml:space="preserve">Canadian licence, contrary to sections 10 and 12 of the </w:t>
      </w:r>
      <w:r w:rsidRPr="00BA4482">
        <w:rPr>
          <w:rFonts w:eastAsia="Calibri" w:cs="Times New Roman"/>
          <w:i/>
          <w:iCs/>
          <w:lang w:val="en-CA"/>
        </w:rPr>
        <w:t>Charter</w:t>
      </w:r>
      <w:r w:rsidR="005D052F" w:rsidRPr="00BA4482">
        <w:rPr>
          <w:rFonts w:eastAsia="Calibri" w:cs="Times New Roman"/>
          <w:iCs/>
          <w:lang w:val="en-CA"/>
        </w:rPr>
        <w:t>”</w:t>
      </w:r>
      <w:r w:rsidRPr="00BA4482">
        <w:rPr>
          <w:rFonts w:eastAsia="Calibri" w:cs="Times New Roman"/>
          <w:iCs/>
          <w:lang w:val="en-CA"/>
        </w:rPr>
        <w:t>: A.R. (Commission), vol. I, at p. 155</w:t>
      </w:r>
      <w:r w:rsidRPr="00BA4482">
        <w:rPr>
          <w:rFonts w:eastAsia="Calibri" w:cs="Times New Roman"/>
          <w:lang w:val="en-CA"/>
        </w:rPr>
        <w:t xml:space="preserve">. The Commission further alleged that, in so doing, Bombardier had “impair[ed] the complainant’s right to the safeguard of his dignity and reputation without distinction or exclusion based on ethnic or national origin, contrary to sections 4 and 10 of the </w:t>
      </w:r>
      <w:r w:rsidRPr="00BA4482">
        <w:rPr>
          <w:rFonts w:eastAsia="Calibri" w:cs="Times New Roman"/>
          <w:i/>
          <w:iCs/>
          <w:lang w:val="en-CA"/>
        </w:rPr>
        <w:t>Charter</w:t>
      </w:r>
      <w:r w:rsidRPr="00BA4482">
        <w:rPr>
          <w:rFonts w:eastAsia="Calibri" w:cs="Times New Roman"/>
          <w:iCs/>
          <w:lang w:val="en-CA"/>
        </w:rPr>
        <w:t xml:space="preserve">”: </w:t>
      </w:r>
      <w:r w:rsidRPr="00BA4482">
        <w:rPr>
          <w:rFonts w:eastAsia="Calibri" w:cs="Times New Roman"/>
          <w:i/>
          <w:iCs/>
          <w:lang w:val="en-CA"/>
        </w:rPr>
        <w:t>ibid</w:t>
      </w:r>
      <w:r w:rsidRPr="00BA4482">
        <w:rPr>
          <w:rFonts w:eastAsia="Calibri" w:cs="Times New Roman"/>
          <w:i/>
          <w:lang w:val="en-CA"/>
        </w:rPr>
        <w:t>.</w:t>
      </w:r>
      <w:r w:rsidRPr="00BA4482">
        <w:rPr>
          <w:rFonts w:eastAsia="Calibri" w:cs="Times New Roman"/>
          <w:lang w:val="en-CA"/>
        </w:rPr>
        <w:t xml:space="preserve"> </w:t>
      </w:r>
    </w:p>
    <w:p w:rsidR="00FC1A95" w:rsidRPr="00BA4482" w:rsidRDefault="00FC1A95" w:rsidP="00E810E1">
      <w:pPr>
        <w:pStyle w:val="ParaNoNdepar-AltN"/>
        <w:widowControl w:val="0"/>
        <w:tabs>
          <w:tab w:val="clear" w:pos="1166"/>
          <w:tab w:val="num" w:pos="1152"/>
        </w:tabs>
        <w:rPr>
          <w:rFonts w:eastAsia="Calibri" w:cs="Times New Roman"/>
          <w:lang w:val="en-CA"/>
        </w:rPr>
      </w:pPr>
      <w:r w:rsidRPr="00BA4482">
        <w:rPr>
          <w:rFonts w:eastAsia="Calibri" w:cs="Times New Roman"/>
          <w:lang w:val="en-CA"/>
        </w:rPr>
        <w:t>In July 2008, while the application to the Tribunal was pending, the U.S. authorities finally lifted the prohibition on Mr. Latif’s training without providing any details or explanation.</w:t>
      </w:r>
    </w:p>
    <w:p w:rsidR="00FC1A95" w:rsidRPr="00BA4482" w:rsidRDefault="00FC1A95" w:rsidP="00E810E1">
      <w:pPr>
        <w:pStyle w:val="Title1LevelTitre1Niveau-AltL"/>
        <w:widowControl w:val="0"/>
        <w:tabs>
          <w:tab w:val="clear" w:pos="576"/>
          <w:tab w:val="left" w:pos="432"/>
        </w:tabs>
        <w:ind w:left="431" w:hanging="431"/>
        <w:outlineLvl w:val="0"/>
        <w:rPr>
          <w:rFonts w:eastAsia="Calibri" w:cs="Times New Roman"/>
        </w:rPr>
      </w:pPr>
      <w:bookmarkStart w:id="5" w:name="_Toc416791103"/>
      <w:bookmarkStart w:id="6" w:name="_Toc417482730"/>
      <w:r w:rsidRPr="00BA4482">
        <w:rPr>
          <w:rFonts w:eastAsia="Calibri" w:cs="Times New Roman"/>
        </w:rPr>
        <w:t>Judicial History</w:t>
      </w:r>
      <w:bookmarkEnd w:id="5"/>
      <w:bookmarkEnd w:id="6"/>
    </w:p>
    <w:p w:rsidR="00FC1A95" w:rsidRPr="00BA4482" w:rsidRDefault="00FC1A95" w:rsidP="00E810E1">
      <w:pPr>
        <w:pStyle w:val="Title2LevelTitre2Niveau"/>
        <w:widowControl w:val="0"/>
        <w:tabs>
          <w:tab w:val="clear" w:pos="576"/>
          <w:tab w:val="num" w:pos="432"/>
        </w:tabs>
        <w:ind w:left="431" w:hanging="431"/>
        <w:outlineLvl w:val="0"/>
        <w:rPr>
          <w:rFonts w:eastAsia="Calibri" w:cs="Times New Roman"/>
        </w:rPr>
      </w:pPr>
      <w:bookmarkStart w:id="7" w:name="_Toc413923551"/>
      <w:bookmarkStart w:id="8" w:name="_Toc416791104"/>
      <w:bookmarkStart w:id="9" w:name="_Toc417482731"/>
      <w:r w:rsidRPr="00BA4482">
        <w:rPr>
          <w:rFonts w:eastAsia="Calibri" w:cs="Times New Roman"/>
        </w:rPr>
        <w:t>Human Rights Tribunal, 2010 QCTDP 16</w:t>
      </w:r>
      <w:bookmarkEnd w:id="7"/>
      <w:bookmarkEnd w:id="8"/>
      <w:bookmarkEnd w:id="9"/>
    </w:p>
    <w:p w:rsidR="00FC1A95" w:rsidRPr="00BA4482" w:rsidRDefault="00FC1A95" w:rsidP="00E810E1">
      <w:pPr>
        <w:pStyle w:val="ParaNoNdepar-AltN"/>
        <w:widowControl w:val="0"/>
        <w:rPr>
          <w:rFonts w:eastAsia="Calibri" w:cs="Times New Roman"/>
          <w:lang w:val="en-CA"/>
        </w:rPr>
      </w:pPr>
      <w:r w:rsidRPr="00BA4482">
        <w:rPr>
          <w:rFonts w:eastAsia="Calibri" w:cs="Times New Roman"/>
          <w:lang w:val="en-CA"/>
        </w:rPr>
        <w:t xml:space="preserve">The Tribunal noted that the burden was on the Commission to establish discrimination under s. 10 of the </w:t>
      </w:r>
      <w:r w:rsidRPr="00BA4482">
        <w:rPr>
          <w:rFonts w:eastAsia="Calibri" w:cs="Times New Roman"/>
          <w:i/>
          <w:lang w:val="en-CA"/>
        </w:rPr>
        <w:t>Charter</w:t>
      </w:r>
      <w:r w:rsidRPr="00BA4482">
        <w:rPr>
          <w:rFonts w:eastAsia="Calibri" w:cs="Times New Roman"/>
          <w:lang w:val="en-CA"/>
        </w:rPr>
        <w:t xml:space="preserve"> on a balance of probabilities, and that to do so, it had to prove three elements: [</w:t>
      </w:r>
      <w:r w:rsidRPr="00BA4482">
        <w:rPr>
          <w:rFonts w:eastAsia="Calibri" w:cs="Times New Roman"/>
          <w:smallCaps/>
          <w:lang w:val="en-CA"/>
        </w:rPr>
        <w:t>translation</w:t>
      </w:r>
      <w:r w:rsidRPr="00BA4482">
        <w:rPr>
          <w:rFonts w:eastAsia="Calibri" w:cs="Times New Roman"/>
          <w:lang w:val="en-CA"/>
        </w:rPr>
        <w:t xml:space="preserve">] “(1) a ‘distinction, exclusion or preference’, (2) based on one of the grounds listed in the first paragraph, (3) which ‘has the effect of nullifying or impairing’ the right to full and equal recognition and exercise of a human right or freedom” </w:t>
      </w:r>
      <w:r w:rsidR="001F0C80">
        <w:rPr>
          <w:rFonts w:eastAsia="Calibri" w:cs="Times New Roman"/>
          <w:lang w:val="en-CA"/>
        </w:rPr>
        <w:t>(</w:t>
      </w:r>
      <w:r w:rsidRPr="00BA4482">
        <w:rPr>
          <w:rFonts w:eastAsia="Calibri" w:cs="Times New Roman"/>
          <w:lang w:val="en-CA"/>
        </w:rPr>
        <w:t>paras. 231-32</w:t>
      </w:r>
      <w:r w:rsidR="00BD1187">
        <w:rPr>
          <w:rFonts w:eastAsia="Calibri" w:cs="Times New Roman"/>
          <w:lang w:val="en-CA"/>
        </w:rPr>
        <w:t xml:space="preserve"> (</w:t>
      </w:r>
      <w:proofErr w:type="spellStart"/>
      <w:r w:rsidR="00BD1187">
        <w:rPr>
          <w:rFonts w:eastAsia="Calibri" w:cs="Times New Roman"/>
          <w:lang w:val="en-CA"/>
        </w:rPr>
        <w:t>CanLII</w:t>
      </w:r>
      <w:proofErr w:type="spellEnd"/>
      <w:r w:rsidR="00BD1187">
        <w:rPr>
          <w:rFonts w:eastAsia="Calibri" w:cs="Times New Roman"/>
          <w:lang w:val="en-CA"/>
        </w:rPr>
        <w:t>)</w:t>
      </w:r>
      <w:r w:rsidR="001F0C80">
        <w:rPr>
          <w:rFonts w:eastAsia="Calibri" w:cs="Times New Roman"/>
          <w:lang w:val="en-CA"/>
        </w:rPr>
        <w:t>)</w:t>
      </w:r>
      <w:r w:rsidRPr="00BA4482">
        <w:rPr>
          <w:rFonts w:eastAsia="Calibri" w:cs="Times New Roman"/>
          <w:lang w:val="en-CA"/>
        </w:rPr>
        <w:t xml:space="preserve">. </w:t>
      </w:r>
    </w:p>
    <w:p w:rsidR="00FC1A95" w:rsidRPr="00BA4482" w:rsidRDefault="00FC1A95" w:rsidP="00E810E1">
      <w:pPr>
        <w:pStyle w:val="ParaNoNdepar-AltN"/>
        <w:widowControl w:val="0"/>
        <w:rPr>
          <w:rFonts w:eastAsia="Calibri" w:cs="Times New Roman"/>
          <w:lang w:val="en-CA"/>
        </w:rPr>
      </w:pPr>
      <w:r w:rsidRPr="00BA4482">
        <w:rPr>
          <w:rFonts w:eastAsia="Calibri" w:cs="Times New Roman"/>
          <w:lang w:val="en-CA"/>
        </w:rPr>
        <w:t>The Tribunal found first that in this case, [</w:t>
      </w:r>
      <w:r w:rsidRPr="00BA4482">
        <w:rPr>
          <w:rFonts w:eastAsia="Calibri" w:cs="Times New Roman"/>
          <w:smallCaps/>
          <w:lang w:val="en-CA"/>
        </w:rPr>
        <w:t>translation</w:t>
      </w:r>
      <w:r w:rsidRPr="00BA4482">
        <w:rPr>
          <w:rFonts w:eastAsia="Calibri" w:cs="Times New Roman"/>
          <w:lang w:val="en-CA"/>
        </w:rPr>
        <w:t xml:space="preserve">] “the refusal to train Mr. Latif under his Canadian licence did not depend directly on his Pakistani origin, but on the refusal of the US authorities to give him security clearance”: </w:t>
      </w:r>
      <w:r w:rsidRPr="00BA4482">
        <w:rPr>
          <w:rFonts w:eastAsia="Calibri" w:cs="Times New Roman"/>
          <w:lang w:val="en-CA"/>
        </w:rPr>
        <w:lastRenderedPageBreak/>
        <w:t xml:space="preserve">para. 284. </w:t>
      </w:r>
    </w:p>
    <w:p w:rsidR="00FC1A95" w:rsidRPr="00BA4482" w:rsidRDefault="00FC1A95" w:rsidP="00E810E1">
      <w:pPr>
        <w:pStyle w:val="ParaNoNdepar-AltN"/>
        <w:widowControl w:val="0"/>
        <w:rPr>
          <w:rFonts w:cs="Times New Roman"/>
          <w:lang w:val="en-CA"/>
        </w:rPr>
      </w:pPr>
      <w:r w:rsidRPr="00BA4482">
        <w:rPr>
          <w:rFonts w:eastAsia="Calibri" w:cs="Times New Roman"/>
          <w:lang w:val="en-CA"/>
        </w:rPr>
        <w:t xml:space="preserve">To determine whether, as the Commission maintained, the measures put in place by the United States had directly targeted or mainly affected Arabs and Muslims, the Tribunal continued its analysis by referring to an expert report that had been filed by the </w:t>
      </w:r>
      <w:r w:rsidRPr="00BA4482">
        <w:rPr>
          <w:rFonts w:cs="Times New Roman"/>
          <w:lang w:val="en-CA"/>
        </w:rPr>
        <w:t xml:space="preserve">Commission. The report had been prepared by Professor </w:t>
      </w:r>
      <w:bookmarkStart w:id="10" w:name="_Toc278708330"/>
      <w:r w:rsidRPr="00BA4482">
        <w:rPr>
          <w:rFonts w:cs="Times New Roman"/>
          <w:lang w:val="en-CA"/>
        </w:rPr>
        <w:t>Reem Anne</w:t>
      </w:r>
      <w:bookmarkEnd w:id="10"/>
      <w:r w:rsidRPr="00BA4482">
        <w:rPr>
          <w:rFonts w:cs="Times New Roman"/>
          <w:lang w:val="en-CA"/>
        </w:rPr>
        <w:t xml:space="preserve"> Bahdi, whom the Tribunal had qualified as an expert in racial profiling for the purposes of the case. According to the Tribunal, Ms. Bahdi’s report and testimony showed that, since September 11, 2001, several U.S. administrative agencies had engaged in racial profiling against people of Arab origin, Muslims or people from Muslim countries. The Tribunal held that the U.S. authorities’ decision with respect to Mr. Latif’s request had been made in that context.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The Tribunal found that Bombardier’s denial of Mr. Latif’s request had thus had the effect of creating, in his regard, a distinction based on one of the prohibited grounds of discrimination, namely ethnic or national origin, which had in turn had the effect of impairing his right to full and equal recognition and exercise of his rights guaranteed by the </w:t>
      </w:r>
      <w:r w:rsidRPr="00BA4482">
        <w:rPr>
          <w:rFonts w:cs="Times New Roman"/>
          <w:i/>
          <w:lang w:val="en-CA"/>
        </w:rPr>
        <w:t>Charter</w:t>
      </w:r>
      <w:r w:rsidRPr="00BA4482">
        <w:rPr>
          <w:rFonts w:cs="Times New Roman"/>
          <w:lang w:val="en-CA"/>
        </w:rPr>
        <w:t>. It concluded on this basis that the Commission had [</w:t>
      </w:r>
      <w:r w:rsidRPr="00BA4482">
        <w:rPr>
          <w:rFonts w:cs="Times New Roman"/>
          <w:smallCaps/>
          <w:lang w:val="en-CA"/>
        </w:rPr>
        <w:t>translation</w:t>
      </w:r>
      <w:r w:rsidRPr="00BA4482">
        <w:rPr>
          <w:rFonts w:cs="Times New Roman"/>
          <w:lang w:val="en-CA"/>
        </w:rPr>
        <w:t xml:space="preserve">] “discharged its burden of adducing </w:t>
      </w:r>
      <w:r w:rsidRPr="00BA4482">
        <w:rPr>
          <w:rFonts w:cs="Times New Roman"/>
          <w:i/>
          <w:lang w:val="en-CA"/>
        </w:rPr>
        <w:t xml:space="preserve">prima facie </w:t>
      </w:r>
      <w:r w:rsidRPr="00BA4482">
        <w:rPr>
          <w:rFonts w:cs="Times New Roman"/>
          <w:lang w:val="en-CA"/>
        </w:rPr>
        <w:t xml:space="preserve">proof of discrimination”: para. 315.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The Tribunal then rejected the two justifications advanced by Bombardier, the first being that it had refused to train Mr. Latif for security reasons, while the second was based on the financial consequences that could result from </w:t>
      </w:r>
      <w:r w:rsidRPr="00BA4482">
        <w:rPr>
          <w:rFonts w:cs="Times New Roman"/>
          <w:lang w:val="en-CA"/>
        </w:rPr>
        <w:lastRenderedPageBreak/>
        <w:t>revocation of the training certificate issued to Bombardier by the FAA.</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As a result, the Tribunal ordered Bombardier to pay Mr. Latif $25,000 in moral damages and $309,798.72 in U.S. currency in damages for material prejudice, from which $66,639 in Canadian currency was to be subtracted. It also ordered Bombardier to pay Mr. Latif $50,000 in punitive damages on the ground that Mr. Gignac had acted intentionally and unlawfully and had had Bombardier’s full consent in acting as he did. Finally, the Tribunal ordered Bombardier to [</w:t>
      </w:r>
      <w:r w:rsidRPr="00BA4482">
        <w:rPr>
          <w:rFonts w:cs="Times New Roman"/>
          <w:smallCaps/>
          <w:lang w:val="en-CA"/>
        </w:rPr>
        <w:t>translation</w:t>
      </w:r>
      <w:r w:rsidRPr="00BA4482">
        <w:rPr>
          <w:rFonts w:cs="Times New Roman"/>
          <w:lang w:val="en-CA"/>
        </w:rPr>
        <w:t>] “cease applying or considering the standards and decisions of the US authorities in ‘national security’ matters when dealing with applications for the training of pilots under Canadian pilot’s licences”: p. 81 (CanLII).</w:t>
      </w:r>
    </w:p>
    <w:p w:rsidR="00FC1A95" w:rsidRPr="00BA4482" w:rsidRDefault="00FC1A95" w:rsidP="00E810E1">
      <w:pPr>
        <w:pStyle w:val="Title2LevelTitre2Niveau"/>
        <w:widowControl w:val="0"/>
        <w:tabs>
          <w:tab w:val="clear" w:pos="576"/>
          <w:tab w:val="num" w:pos="432"/>
        </w:tabs>
        <w:ind w:left="431" w:hanging="431"/>
        <w:outlineLvl w:val="0"/>
        <w:rPr>
          <w:rFonts w:cs="Times New Roman"/>
        </w:rPr>
      </w:pPr>
      <w:bookmarkStart w:id="11" w:name="_Toc416791105"/>
      <w:bookmarkStart w:id="12" w:name="_Toc417482732"/>
      <w:r w:rsidRPr="00BA4482">
        <w:rPr>
          <w:rFonts w:cs="Times New Roman"/>
        </w:rPr>
        <w:t>Quebec Court of Appeal, 2013 QCCA 1650</w:t>
      </w:r>
      <w:bookmarkEnd w:id="11"/>
      <w:bookmarkEnd w:id="12"/>
      <w:r w:rsidRPr="00BA4482">
        <w:rPr>
          <w:rFonts w:cs="Times New Roman"/>
        </w:rPr>
        <w:t>, [2013] R.J.Q. 1541</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The Court of Appeal proceeded on the assumption that the exclusion of Mr. Latif had in fact occurred, but it held that the Commission had not shown a causal connection between the exclusion and a prohibited ground. The Court of Appeal acknowledged that such a connection can be proven by way of circumstantial evidence or of presumptions, but it found that there was no such proof in this case.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In the Court of Appeal’s opinion, because Bombardier’s decision had been based solely on the decision of the U.S. authorities, the Tribunal could not find that Bombardier had discriminated against Mr. Latif without proof that the decision in question was itself based on a ground that is prohibited under the </w:t>
      </w:r>
      <w:r w:rsidRPr="00BA4482">
        <w:rPr>
          <w:rFonts w:cs="Times New Roman"/>
          <w:i/>
          <w:lang w:val="en-CA"/>
        </w:rPr>
        <w:t>Charter</w:t>
      </w:r>
      <w:r w:rsidRPr="00BA4482">
        <w:rPr>
          <w:rFonts w:cs="Times New Roman"/>
          <w:lang w:val="en-CA"/>
        </w:rPr>
        <w:t xml:space="preserve">. Finding </w:t>
      </w:r>
      <w:r w:rsidRPr="00BA4482">
        <w:rPr>
          <w:rFonts w:cs="Times New Roman"/>
          <w:lang w:val="en-CA"/>
        </w:rPr>
        <w:lastRenderedPageBreak/>
        <w:t>that there was no such proof, the Court of Appeal set aside the Tribunal’s decision.</w:t>
      </w:r>
    </w:p>
    <w:p w:rsidR="00FC1A95" w:rsidRPr="00BA4482" w:rsidRDefault="00FC1A95" w:rsidP="00E810E1">
      <w:pPr>
        <w:pStyle w:val="Title1LevelTitre1Niveau-AltL"/>
        <w:widowControl w:val="0"/>
        <w:tabs>
          <w:tab w:val="clear" w:pos="576"/>
          <w:tab w:val="left" w:pos="432"/>
        </w:tabs>
        <w:ind w:left="431" w:hanging="431"/>
        <w:outlineLvl w:val="0"/>
        <w:rPr>
          <w:rFonts w:cs="Times New Roman"/>
        </w:rPr>
      </w:pPr>
      <w:bookmarkStart w:id="13" w:name="_Toc416791106"/>
      <w:bookmarkStart w:id="14" w:name="_Toc417482733"/>
      <w:r w:rsidRPr="00BA4482">
        <w:rPr>
          <w:rFonts w:cs="Times New Roman"/>
        </w:rPr>
        <w:t>Issues</w:t>
      </w:r>
      <w:bookmarkEnd w:id="13"/>
      <w:bookmarkEnd w:id="14"/>
    </w:p>
    <w:p w:rsidR="00FC1A95" w:rsidRPr="00BA4482" w:rsidRDefault="00FC1A95" w:rsidP="00E810E1">
      <w:pPr>
        <w:pStyle w:val="ParaNoNdepar-AltN"/>
        <w:widowControl w:val="0"/>
        <w:rPr>
          <w:rFonts w:cs="Times New Roman"/>
          <w:lang w:val="en-CA"/>
        </w:rPr>
      </w:pPr>
      <w:r w:rsidRPr="00BA4482">
        <w:rPr>
          <w:rFonts w:cs="Times New Roman"/>
          <w:lang w:val="en-CA"/>
        </w:rPr>
        <w:t xml:space="preserve">This case raises the following questions: </w:t>
      </w:r>
    </w:p>
    <w:p w:rsidR="00FC1A95" w:rsidRPr="00BA4482" w:rsidRDefault="00FC1A95" w:rsidP="00E810E1">
      <w:pPr>
        <w:pStyle w:val="Citation-AltC"/>
        <w:widowControl w:val="0"/>
        <w:numPr>
          <w:ilvl w:val="0"/>
          <w:numId w:val="8"/>
        </w:numPr>
        <w:spacing w:after="480" w:line="480" w:lineRule="auto"/>
        <w:ind w:left="720" w:hanging="720"/>
        <w:contextualSpacing w:val="0"/>
        <w:rPr>
          <w:lang w:val="en-CA"/>
        </w:rPr>
      </w:pPr>
      <w:r w:rsidRPr="00BA4482">
        <w:rPr>
          <w:lang w:val="en-CA"/>
        </w:rPr>
        <w:t>What is “</w:t>
      </w:r>
      <w:r w:rsidRPr="00BA4482">
        <w:rPr>
          <w:i/>
          <w:lang w:val="en-CA"/>
        </w:rPr>
        <w:t>prima facie</w:t>
      </w:r>
      <w:r w:rsidRPr="00BA4482">
        <w:rPr>
          <w:lang w:val="en-CA"/>
        </w:rPr>
        <w:t>” discrimination, and what degree of proof is required in order to establish it?</w:t>
      </w:r>
    </w:p>
    <w:p w:rsidR="00FC1A95" w:rsidRPr="00BA4482" w:rsidRDefault="00FC1A95" w:rsidP="00E810E1">
      <w:pPr>
        <w:pStyle w:val="Citation-AltC"/>
        <w:widowControl w:val="0"/>
        <w:numPr>
          <w:ilvl w:val="0"/>
          <w:numId w:val="8"/>
        </w:numPr>
        <w:spacing w:after="480" w:line="480" w:lineRule="auto"/>
        <w:ind w:left="720" w:hanging="720"/>
        <w:contextualSpacing w:val="0"/>
        <w:rPr>
          <w:lang w:val="en-CA"/>
        </w:rPr>
      </w:pPr>
      <w:r w:rsidRPr="00BA4482">
        <w:rPr>
          <w:lang w:val="en-CA"/>
        </w:rPr>
        <w:t xml:space="preserve">Has </w:t>
      </w:r>
      <w:r w:rsidRPr="00BA4482">
        <w:rPr>
          <w:i/>
          <w:iCs/>
          <w:lang w:val="en-CA"/>
        </w:rPr>
        <w:t>prima facie</w:t>
      </w:r>
      <w:r w:rsidRPr="00BA4482">
        <w:rPr>
          <w:lang w:val="en-CA"/>
        </w:rPr>
        <w:t xml:space="preserve"> discrimination on Bombardier’s part been proven?</w:t>
      </w:r>
    </w:p>
    <w:p w:rsidR="00FC1A95" w:rsidRPr="00BA4482" w:rsidRDefault="00FC1A95" w:rsidP="00E810E1">
      <w:pPr>
        <w:pStyle w:val="Citation-AltC"/>
        <w:widowControl w:val="0"/>
        <w:numPr>
          <w:ilvl w:val="0"/>
          <w:numId w:val="8"/>
        </w:numPr>
        <w:spacing w:line="480" w:lineRule="auto"/>
        <w:ind w:left="720" w:hanging="720"/>
        <w:rPr>
          <w:rFonts w:eastAsiaTheme="minorHAnsi"/>
          <w:szCs w:val="22"/>
          <w:lang w:val="en-CA" w:eastAsia="en-US" w:bidi="en-US"/>
        </w:rPr>
      </w:pPr>
      <w:r w:rsidRPr="00BA4482">
        <w:rPr>
          <w:lang w:val="en-CA"/>
        </w:rPr>
        <w:t>Was the mandatory order against Bombardier justified?</w:t>
      </w:r>
    </w:p>
    <w:p w:rsidR="00FC1A95" w:rsidRPr="00BA4482" w:rsidRDefault="00FC1A95" w:rsidP="00E810E1">
      <w:pPr>
        <w:pStyle w:val="Title1LevelTitre1Niveau-AltL"/>
        <w:widowControl w:val="0"/>
        <w:tabs>
          <w:tab w:val="clear" w:pos="576"/>
          <w:tab w:val="left" w:pos="432"/>
        </w:tabs>
        <w:ind w:left="431" w:hanging="431"/>
        <w:outlineLvl w:val="0"/>
        <w:rPr>
          <w:rFonts w:cs="Times New Roman"/>
        </w:rPr>
      </w:pPr>
      <w:bookmarkStart w:id="15" w:name="_Toc416791107"/>
      <w:bookmarkStart w:id="16" w:name="_Toc417482734"/>
      <w:r w:rsidRPr="00BA4482">
        <w:rPr>
          <w:rFonts w:cs="Times New Roman"/>
        </w:rPr>
        <w:t>Analys</w:t>
      </w:r>
      <w:bookmarkEnd w:id="15"/>
      <w:bookmarkEnd w:id="16"/>
      <w:r w:rsidRPr="00BA4482">
        <w:rPr>
          <w:rFonts w:cs="Times New Roman"/>
        </w:rPr>
        <w:t>is</w:t>
      </w:r>
    </w:p>
    <w:p w:rsidR="00FC1A95" w:rsidRPr="00BA4482" w:rsidRDefault="00FC1A95" w:rsidP="00E810E1">
      <w:pPr>
        <w:pStyle w:val="Title2LevelTitre2Niveau"/>
        <w:widowControl w:val="0"/>
        <w:tabs>
          <w:tab w:val="clear" w:pos="576"/>
          <w:tab w:val="num" w:pos="432"/>
        </w:tabs>
        <w:ind w:left="431" w:hanging="431"/>
        <w:outlineLvl w:val="0"/>
        <w:rPr>
          <w:rFonts w:cs="Times New Roman"/>
        </w:rPr>
      </w:pPr>
      <w:bookmarkStart w:id="17" w:name="_Toc416791108"/>
      <w:bookmarkStart w:id="18" w:name="_Toc417482735"/>
      <w:r w:rsidRPr="00BA4482">
        <w:rPr>
          <w:rFonts w:cs="Times New Roman"/>
        </w:rPr>
        <w:t>What Is “Prima Facie” Discrimination, and What Degree of Proof Is Required in Order to Establish It?</w:t>
      </w:r>
      <w:bookmarkEnd w:id="17"/>
      <w:bookmarkEnd w:id="18"/>
    </w:p>
    <w:p w:rsidR="00FC1A95" w:rsidRPr="00BA4482" w:rsidRDefault="00FC1A95" w:rsidP="00E810E1">
      <w:pPr>
        <w:pStyle w:val="ParaNoNdepar-AltN"/>
        <w:widowControl w:val="0"/>
        <w:rPr>
          <w:rFonts w:eastAsia="Times New Roman" w:cs="Times New Roman"/>
          <w:lang w:val="en-CA"/>
        </w:rPr>
      </w:pPr>
      <w:r w:rsidRPr="00BA4482">
        <w:rPr>
          <w:rFonts w:eastAsia="Times New Roman" w:cs="Times New Roman"/>
          <w:lang w:val="en-CA"/>
        </w:rPr>
        <w:t xml:space="preserve">It will be helpful to begin by recalling the </w:t>
      </w:r>
      <w:r w:rsidRPr="00BA4482">
        <w:rPr>
          <w:rFonts w:eastAsia="Times New Roman" w:cs="Times New Roman"/>
          <w:i/>
          <w:iCs/>
          <w:lang w:val="en-CA"/>
        </w:rPr>
        <w:t>Charter</w:t>
      </w:r>
      <w:r w:rsidRPr="00BA4482">
        <w:rPr>
          <w:rFonts w:eastAsia="Times New Roman" w:cs="Times New Roman"/>
          <w:iCs/>
          <w:lang w:val="en-CA"/>
        </w:rPr>
        <w:t>’s place in Quebec’s legislative hierarchy and the principles of interpretation that flow from it</w:t>
      </w:r>
      <w:r w:rsidRPr="00BA4482">
        <w:rPr>
          <w:rFonts w:eastAsia="Times New Roman" w:cs="Times New Roman"/>
          <w:lang w:val="en-CA"/>
        </w:rPr>
        <w:t xml:space="preserve">. </w:t>
      </w:r>
    </w:p>
    <w:p w:rsidR="00FC1A95" w:rsidRPr="00BA4482" w:rsidRDefault="00FC1A95" w:rsidP="00E810E1">
      <w:pPr>
        <w:pStyle w:val="ParaNoNdepar-AltN"/>
        <w:widowControl w:val="0"/>
        <w:rPr>
          <w:rFonts w:eastAsia="Times New Roman" w:cs="Times New Roman"/>
          <w:lang w:val="en-CA"/>
        </w:rPr>
      </w:pPr>
      <w:r w:rsidRPr="00BA4482">
        <w:rPr>
          <w:rFonts w:eastAsia="Times New Roman" w:cs="Times New Roman"/>
          <w:lang w:val="en-CA"/>
        </w:rPr>
        <w:t xml:space="preserve">This Court has confirmed that the </w:t>
      </w:r>
      <w:r w:rsidRPr="00BA4482">
        <w:rPr>
          <w:rFonts w:eastAsia="Times New Roman" w:cs="Times New Roman"/>
          <w:i/>
          <w:lang w:val="en-CA"/>
        </w:rPr>
        <w:t>Charter</w:t>
      </w:r>
      <w:r w:rsidRPr="00BA4482">
        <w:rPr>
          <w:rFonts w:eastAsia="Times New Roman" w:cs="Times New Roman"/>
          <w:lang w:val="en-CA"/>
        </w:rPr>
        <w:t>, like the human rights legislation of the other provinces, has a special quasi</w:t>
      </w:r>
      <w:r w:rsidRPr="00BA4482">
        <w:rPr>
          <w:rFonts w:eastAsia="Times New Roman" w:cs="Times New Roman"/>
          <w:lang w:val="en-CA"/>
        </w:rPr>
        <w:noBreakHyphen/>
        <w:t xml:space="preserve">constitutional status: </w:t>
      </w:r>
      <w:r w:rsidRPr="00BA4482">
        <w:rPr>
          <w:rFonts w:cs="Times New Roman"/>
          <w:i/>
          <w:iCs/>
          <w:lang w:val="en-CA"/>
        </w:rPr>
        <w:t>Béliveau St</w:t>
      </w:r>
      <w:r w:rsidRPr="00BA4482">
        <w:rPr>
          <w:rFonts w:cs="Times New Roman"/>
          <w:i/>
          <w:iCs/>
          <w:lang w:val="en-CA"/>
        </w:rPr>
        <w:noBreakHyphen/>
        <w:t>Jacques v. Fédération des employées et employés de services publics inc.</w:t>
      </w:r>
      <w:r w:rsidRPr="00BA4482">
        <w:rPr>
          <w:rFonts w:cs="Times New Roman"/>
          <w:lang w:val="en-CA"/>
        </w:rPr>
        <w:t xml:space="preserve">, [1996] 2 S.C.R. 345, at p. 402, reproduced in </w:t>
      </w:r>
      <w:r w:rsidRPr="00BA4482">
        <w:rPr>
          <w:rFonts w:cs="Times New Roman"/>
          <w:i/>
          <w:iCs/>
          <w:lang w:val="en-CA"/>
        </w:rPr>
        <w:t xml:space="preserve">Quebec (Commission des droits de la personne et </w:t>
      </w:r>
      <w:r w:rsidRPr="00BA4482">
        <w:rPr>
          <w:rFonts w:cs="Times New Roman"/>
          <w:i/>
          <w:iCs/>
          <w:lang w:val="en-CA"/>
        </w:rPr>
        <w:lastRenderedPageBreak/>
        <w:t>des droits de la jeunesse) v. Montréal (City)</w:t>
      </w:r>
      <w:r w:rsidRPr="00BA4482">
        <w:rPr>
          <w:rFonts w:cs="Times New Roman"/>
          <w:lang w:val="en-CA"/>
        </w:rPr>
        <w:t>, 2000 SCC 27, [2000] 1 S.C.R. 665 (“</w:t>
      </w:r>
      <w:r w:rsidRPr="00BA4482">
        <w:rPr>
          <w:rFonts w:cs="Times New Roman"/>
          <w:i/>
          <w:lang w:val="en-CA"/>
        </w:rPr>
        <w:t xml:space="preserve">City of </w:t>
      </w:r>
      <w:r w:rsidRPr="00BA4482">
        <w:rPr>
          <w:rFonts w:cs="Times New Roman"/>
          <w:i/>
          <w:iCs/>
          <w:lang w:val="en-CA"/>
        </w:rPr>
        <w:t>Montréal</w:t>
      </w:r>
      <w:r w:rsidRPr="00BA4482">
        <w:rPr>
          <w:rFonts w:cs="Times New Roman"/>
          <w:iCs/>
          <w:lang w:val="en-CA"/>
        </w:rPr>
        <w:t>”</w:t>
      </w:r>
      <w:r w:rsidRPr="00BA4482">
        <w:rPr>
          <w:rFonts w:cs="Times New Roman"/>
          <w:lang w:val="en-CA"/>
        </w:rPr>
        <w:t xml:space="preserve">), at para. 28; see also </w:t>
      </w:r>
      <w:r w:rsidRPr="00BA4482">
        <w:rPr>
          <w:rFonts w:cs="Times New Roman"/>
          <w:i/>
          <w:iCs/>
          <w:lang w:val="en-CA"/>
        </w:rPr>
        <w:t>de Montigny v. Brossard (Succession)</w:t>
      </w:r>
      <w:r w:rsidRPr="00BA4482">
        <w:rPr>
          <w:rFonts w:cs="Times New Roman"/>
          <w:lang w:val="en-CA"/>
        </w:rPr>
        <w:t xml:space="preserve">, 2010 SCC 51, [2010] 3 S.C.R. 64, at para. 45. Indeed, unless otherwise provided, ss. 1 to 38 of the </w:t>
      </w:r>
      <w:r w:rsidRPr="00BA4482">
        <w:rPr>
          <w:rFonts w:cs="Times New Roman"/>
          <w:i/>
          <w:lang w:val="en-CA"/>
        </w:rPr>
        <w:t>Charter</w:t>
      </w:r>
      <w:r w:rsidRPr="00BA4482">
        <w:rPr>
          <w:rFonts w:cs="Times New Roman"/>
          <w:lang w:val="en-CA"/>
        </w:rPr>
        <w:t xml:space="preserve"> prevail over other Quebec statutes: s. 52 of the </w:t>
      </w:r>
      <w:r w:rsidRPr="00BA4482">
        <w:rPr>
          <w:rFonts w:cs="Times New Roman"/>
          <w:i/>
          <w:lang w:val="en-CA"/>
        </w:rPr>
        <w:t>Charter</w:t>
      </w:r>
      <w:r w:rsidRPr="00BA4482">
        <w:rPr>
          <w:rFonts w:cs="Times New Roman"/>
          <w:lang w:val="en-CA"/>
        </w:rPr>
        <w:t>. Furthermore, s</w:t>
      </w:r>
      <w:r w:rsidR="001F0C80">
        <w:rPr>
          <w:rFonts w:cs="Times New Roman"/>
          <w:lang w:val="en-CA"/>
        </w:rPr>
        <w:t>.</w:t>
      </w:r>
      <w:r w:rsidRPr="00BA4482">
        <w:rPr>
          <w:rFonts w:cs="Times New Roman"/>
          <w:lang w:val="en-CA"/>
        </w:rPr>
        <w:t xml:space="preserve"> 53 of the </w:t>
      </w:r>
      <w:r w:rsidRPr="00BA4482">
        <w:rPr>
          <w:rFonts w:cs="Times New Roman"/>
          <w:i/>
          <w:lang w:val="en-CA"/>
        </w:rPr>
        <w:t>Charter</w:t>
      </w:r>
      <w:r w:rsidRPr="00BA4482">
        <w:rPr>
          <w:rFonts w:cs="Times New Roman"/>
          <w:lang w:val="en-CA"/>
        </w:rPr>
        <w:t xml:space="preserve"> provides that, “</w:t>
      </w:r>
      <w:r w:rsidRPr="00BA4482">
        <w:rPr>
          <w:rFonts w:eastAsia="Times New Roman" w:cs="Times New Roman"/>
          <w:lang w:val="en-CA"/>
        </w:rPr>
        <w:t>[i]f any doubt arises in the interpretation of a provision of the Act, it shall be resolved in keeping with the intent of the Charter.”</w:t>
      </w:r>
    </w:p>
    <w:p w:rsidR="00FC1A95" w:rsidRPr="00BA4482" w:rsidRDefault="00FC1A95" w:rsidP="00E810E1">
      <w:pPr>
        <w:pStyle w:val="ParaNoNdepar-AltN"/>
        <w:widowControl w:val="0"/>
        <w:rPr>
          <w:rFonts w:eastAsia="Times New Roman" w:cs="Times New Roman"/>
          <w:lang w:val="en-CA"/>
        </w:rPr>
      </w:pPr>
      <w:r w:rsidRPr="00BA4482">
        <w:rPr>
          <w:rFonts w:cs="Times New Roman"/>
          <w:lang w:val="en-CA"/>
        </w:rPr>
        <w:t xml:space="preserve">The </w:t>
      </w:r>
      <w:r w:rsidRPr="00BA4482">
        <w:rPr>
          <w:rFonts w:cs="Times New Roman"/>
          <w:i/>
          <w:iCs/>
          <w:lang w:val="en-CA"/>
        </w:rPr>
        <w:t>Charter</w:t>
      </w:r>
      <w:r w:rsidRPr="00BA4482">
        <w:rPr>
          <w:rFonts w:cs="Times New Roman"/>
          <w:lang w:val="en-CA"/>
        </w:rPr>
        <w:t xml:space="preserve"> must therefore be given a liberal, contextual and purposive interpretation: see, </w:t>
      </w:r>
      <w:r w:rsidRPr="00BA4482">
        <w:rPr>
          <w:rFonts w:cs="Times New Roman"/>
          <w:i/>
          <w:lang w:val="en-CA"/>
        </w:rPr>
        <w:t>inter alia</w:t>
      </w:r>
      <w:r w:rsidRPr="00BA4482">
        <w:rPr>
          <w:rFonts w:cs="Times New Roman"/>
          <w:lang w:val="en-CA"/>
        </w:rPr>
        <w:t xml:space="preserve">, </w:t>
      </w:r>
      <w:r w:rsidRPr="00BA4482">
        <w:rPr>
          <w:rFonts w:cs="Times New Roman"/>
          <w:i/>
          <w:iCs/>
          <w:lang w:val="en-CA"/>
        </w:rPr>
        <w:t>Béliveau St</w:t>
      </w:r>
      <w:r w:rsidRPr="00BA4482">
        <w:rPr>
          <w:rFonts w:cs="Times New Roman"/>
          <w:i/>
          <w:iCs/>
          <w:lang w:val="en-CA"/>
        </w:rPr>
        <w:noBreakHyphen/>
        <w:t>Jacques</w:t>
      </w:r>
      <w:r w:rsidRPr="00BA4482">
        <w:rPr>
          <w:rFonts w:cs="Times New Roman"/>
          <w:lang w:val="en-CA"/>
        </w:rPr>
        <w:t>, at p. 402.</w:t>
      </w:r>
      <w:r w:rsidRPr="00BA4482">
        <w:rPr>
          <w:rFonts w:eastAsia="Times New Roman" w:cs="Times New Roman"/>
          <w:lang w:val="en-CA"/>
        </w:rPr>
        <w:t xml:space="preserve"> The Court also favours a consistent interpretation of the various provincial human rights statutes unless a legislature intends otherwise: </w:t>
      </w:r>
      <w:r w:rsidRPr="00BA4482">
        <w:rPr>
          <w:rFonts w:eastAsia="Times New Roman" w:cs="Times New Roman"/>
          <w:i/>
          <w:lang w:val="en-CA"/>
        </w:rPr>
        <w:t>New Brunswick (Human Rights Commission) v. Potash Corporation of Saskatchewan Inc.</w:t>
      </w:r>
      <w:r w:rsidRPr="00BA4482">
        <w:rPr>
          <w:rFonts w:cs="Times New Roman"/>
          <w:lang w:val="en-CA"/>
        </w:rPr>
        <w:t xml:space="preserve">, 2008 SCC 45, [2008] 2 S.C.R. 604, at para. 68; </w:t>
      </w:r>
      <w:r w:rsidRPr="00BA4482">
        <w:rPr>
          <w:rFonts w:cs="Times New Roman"/>
          <w:i/>
          <w:iCs/>
          <w:lang w:val="en-CA"/>
        </w:rPr>
        <w:t>City of Montréal</w:t>
      </w:r>
      <w:r w:rsidRPr="00BA4482">
        <w:rPr>
          <w:rFonts w:cs="Times New Roman"/>
          <w:lang w:val="en-CA"/>
        </w:rPr>
        <w:t>, at para. 45</w:t>
      </w:r>
      <w:r w:rsidRPr="00BA4482">
        <w:rPr>
          <w:rFonts w:eastAsia="Times New Roman" w:cs="Times New Roman"/>
          <w:lang w:val="en-CA"/>
        </w:rPr>
        <w:t xml:space="preserve">. Finally, although the </w:t>
      </w:r>
      <w:r w:rsidRPr="00BA4482">
        <w:rPr>
          <w:rFonts w:eastAsia="Times New Roman" w:cs="Times New Roman"/>
          <w:i/>
          <w:lang w:val="en-CA"/>
        </w:rPr>
        <w:t>Charter</w:t>
      </w:r>
      <w:r w:rsidRPr="00BA4482">
        <w:rPr>
          <w:rFonts w:eastAsia="Times New Roman" w:cs="Times New Roman"/>
          <w:lang w:val="en-CA"/>
        </w:rPr>
        <w:t xml:space="preserve">’s provisions need not necessarily mirror those of the </w:t>
      </w:r>
      <w:r w:rsidRPr="00BA4482">
        <w:rPr>
          <w:rFonts w:eastAsia="Times New Roman" w:cs="Times New Roman"/>
          <w:i/>
          <w:lang w:val="en-CA"/>
        </w:rPr>
        <w:t>Canadian Charter of Rights and Freedoms</w:t>
      </w:r>
      <w:r w:rsidRPr="00BA4482">
        <w:rPr>
          <w:rFonts w:eastAsia="Times New Roman" w:cs="Times New Roman"/>
          <w:i/>
          <w:iCs/>
          <w:lang w:val="en-CA"/>
        </w:rPr>
        <w:t xml:space="preserve"> </w:t>
      </w:r>
      <w:r w:rsidRPr="00BA4482">
        <w:rPr>
          <w:rFonts w:eastAsia="Times New Roman" w:cs="Times New Roman"/>
          <w:lang w:val="en-CA"/>
        </w:rPr>
        <w:t>(“</w:t>
      </w:r>
      <w:r w:rsidRPr="00BA4482">
        <w:rPr>
          <w:rFonts w:eastAsia="Times New Roman" w:cs="Times New Roman"/>
          <w:i/>
          <w:iCs/>
          <w:lang w:val="en-CA"/>
        </w:rPr>
        <w:t>Canadian Charter</w:t>
      </w:r>
      <w:r w:rsidRPr="00BA4482">
        <w:rPr>
          <w:rFonts w:eastAsia="Times New Roman" w:cs="Times New Roman"/>
          <w:iCs/>
          <w:lang w:val="en-CA"/>
        </w:rPr>
        <w:t>”</w:t>
      </w:r>
      <w:r w:rsidRPr="00BA4482">
        <w:rPr>
          <w:rFonts w:eastAsia="Times New Roman" w:cs="Times New Roman"/>
          <w:lang w:val="en-CA"/>
        </w:rPr>
        <w:t xml:space="preserve">), they must be interpreted in light of the latter: </w:t>
      </w:r>
      <w:r w:rsidRPr="00BA4482">
        <w:rPr>
          <w:rFonts w:eastAsia="Times New Roman" w:cs="Times New Roman"/>
          <w:i/>
          <w:iCs/>
          <w:lang w:val="en-CA"/>
        </w:rPr>
        <w:t>City of Montréal</w:t>
      </w:r>
      <w:r w:rsidRPr="00BA4482">
        <w:rPr>
          <w:rFonts w:eastAsia="Times New Roman" w:cs="Times New Roman"/>
          <w:lang w:val="en-CA"/>
        </w:rPr>
        <w:t xml:space="preserve">, at para. 42.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For more than 30 years, the Court has recognized that discrimination can take various forms, including “adverse effect” or “indirect” discrimination: </w:t>
      </w:r>
      <w:r w:rsidRPr="00BA4482">
        <w:rPr>
          <w:rFonts w:cs="Times New Roman"/>
          <w:i/>
          <w:iCs/>
          <w:spacing w:val="-3"/>
          <w:lang w:val="en-CA"/>
        </w:rPr>
        <w:t>Ontario Human Rights Commission v. Simpsons</w:t>
      </w:r>
      <w:r w:rsidRPr="00BA4482">
        <w:rPr>
          <w:rFonts w:cs="Times New Roman"/>
          <w:i/>
          <w:iCs/>
          <w:spacing w:val="-3"/>
          <w:lang w:val="en-CA"/>
        </w:rPr>
        <w:noBreakHyphen/>
        <w:t>Sears Ltd.</w:t>
      </w:r>
      <w:r w:rsidRPr="00BA4482">
        <w:rPr>
          <w:rFonts w:cs="Times New Roman"/>
          <w:spacing w:val="-3"/>
          <w:lang w:val="en-CA"/>
        </w:rPr>
        <w:t xml:space="preserve">, [1985] 2 S.C.R. 536 </w:t>
      </w:r>
      <w:r w:rsidRPr="00BA4482">
        <w:rPr>
          <w:rFonts w:cs="Times New Roman"/>
          <w:lang w:val="en-CA"/>
        </w:rPr>
        <w:t>(“</w:t>
      </w:r>
      <w:r w:rsidRPr="00BA4482">
        <w:rPr>
          <w:rFonts w:cs="Times New Roman"/>
          <w:i/>
          <w:iCs/>
          <w:lang w:val="en-CA"/>
        </w:rPr>
        <w:t>O’Malley</w:t>
      </w:r>
      <w:r w:rsidRPr="00BA4482">
        <w:rPr>
          <w:rFonts w:cs="Times New Roman"/>
          <w:iCs/>
          <w:lang w:val="en-CA"/>
        </w:rPr>
        <w:t>”</w:t>
      </w:r>
      <w:r w:rsidRPr="00BA4482">
        <w:rPr>
          <w:rFonts w:cs="Times New Roman"/>
          <w:lang w:val="en-CA"/>
        </w:rPr>
        <w:t xml:space="preserve">), at p. 551. It has found that adverse effect discrimination comes within the purview of the </w:t>
      </w:r>
      <w:r w:rsidRPr="00BA4482">
        <w:rPr>
          <w:rFonts w:cs="Times New Roman"/>
          <w:i/>
          <w:lang w:val="en-CA"/>
        </w:rPr>
        <w:t>Charter</w:t>
      </w:r>
      <w:r w:rsidRPr="00BA4482">
        <w:rPr>
          <w:rFonts w:cs="Times New Roman"/>
          <w:lang w:val="en-CA"/>
        </w:rPr>
        <w:t xml:space="preserve"> on the basis of the language of s. 10, which provides, </w:t>
      </w:r>
      <w:r w:rsidRPr="00BA4482">
        <w:rPr>
          <w:rFonts w:cs="Times New Roman"/>
          <w:i/>
          <w:lang w:val="en-CA"/>
        </w:rPr>
        <w:t>inter alia</w:t>
      </w:r>
      <w:r w:rsidRPr="00BA4482">
        <w:rPr>
          <w:rFonts w:cs="Times New Roman"/>
          <w:lang w:val="en-CA"/>
        </w:rPr>
        <w:t xml:space="preserve">: “Discrimination exists where such a distinction, exclusion or preference </w:t>
      </w:r>
      <w:r w:rsidRPr="00BA4482">
        <w:rPr>
          <w:rFonts w:cs="Times New Roman"/>
          <w:u w:val="single"/>
          <w:lang w:val="en-CA"/>
        </w:rPr>
        <w:t>has the effect</w:t>
      </w:r>
      <w:r w:rsidRPr="00BA4482">
        <w:rPr>
          <w:rFonts w:cs="Times New Roman"/>
          <w:lang w:val="en-CA"/>
        </w:rPr>
        <w:t xml:space="preserve"> </w:t>
      </w:r>
      <w:r w:rsidRPr="00BA4482">
        <w:rPr>
          <w:rFonts w:cs="Times New Roman"/>
          <w:lang w:val="en-CA"/>
        </w:rPr>
        <w:lastRenderedPageBreak/>
        <w:t>of nullifying or impairing [the right to equality]</w:t>
      </w:r>
      <w:bookmarkStart w:id="19" w:name="_Ref409371491"/>
      <w:r w:rsidRPr="00BA4482">
        <w:rPr>
          <w:rFonts w:cs="Times New Roman"/>
          <w:lang w:val="en-CA"/>
        </w:rPr>
        <w:t xml:space="preserve">” </w:t>
      </w:r>
      <w:r w:rsidR="001F0C80">
        <w:rPr>
          <w:rFonts w:cs="Times New Roman"/>
          <w:lang w:val="en-CA"/>
        </w:rPr>
        <w:t>(</w:t>
      </w:r>
      <w:r w:rsidRPr="00BA4482">
        <w:rPr>
          <w:rFonts w:cs="Times New Roman"/>
          <w:i/>
          <w:iCs/>
          <w:spacing w:val="-3"/>
          <w:lang w:val="en-CA"/>
        </w:rPr>
        <w:t xml:space="preserve">Commission </w:t>
      </w:r>
      <w:proofErr w:type="spellStart"/>
      <w:r w:rsidRPr="00BA4482">
        <w:rPr>
          <w:rFonts w:cs="Times New Roman"/>
          <w:i/>
          <w:iCs/>
          <w:spacing w:val="-3"/>
          <w:lang w:val="en-CA"/>
        </w:rPr>
        <w:t>scolaire</w:t>
      </w:r>
      <w:proofErr w:type="spellEnd"/>
      <w:r w:rsidRPr="00BA4482">
        <w:rPr>
          <w:rFonts w:cs="Times New Roman"/>
          <w:i/>
          <w:iCs/>
          <w:spacing w:val="-3"/>
          <w:lang w:val="en-CA"/>
        </w:rPr>
        <w:t xml:space="preserve"> </w:t>
      </w:r>
      <w:proofErr w:type="spellStart"/>
      <w:r w:rsidRPr="00BA4482">
        <w:rPr>
          <w:rFonts w:cs="Times New Roman"/>
          <w:i/>
          <w:iCs/>
          <w:spacing w:val="-3"/>
          <w:lang w:val="en-CA"/>
        </w:rPr>
        <w:t>régionale</w:t>
      </w:r>
      <w:proofErr w:type="spellEnd"/>
      <w:r w:rsidRPr="00BA4482">
        <w:rPr>
          <w:rFonts w:cs="Times New Roman"/>
          <w:i/>
          <w:iCs/>
          <w:spacing w:val="-3"/>
          <w:lang w:val="en-CA"/>
        </w:rPr>
        <w:t xml:space="preserve"> de Chambly v. Bergevin</w:t>
      </w:r>
      <w:r w:rsidRPr="00BA4482">
        <w:rPr>
          <w:rFonts w:cs="Times New Roman"/>
          <w:spacing w:val="-3"/>
          <w:lang w:val="en-CA"/>
        </w:rPr>
        <w:t>, [1994] 2 S.C.R. 525, at p. </w:t>
      </w:r>
      <w:r w:rsidRPr="00BA4482">
        <w:rPr>
          <w:rFonts w:cs="Times New Roman"/>
          <w:lang w:val="en-CA"/>
        </w:rPr>
        <w:t xml:space="preserve">540; see also </w:t>
      </w:r>
      <w:r w:rsidRPr="00BA4482">
        <w:rPr>
          <w:rFonts w:cs="Times New Roman"/>
          <w:i/>
          <w:iCs/>
          <w:spacing w:val="-3"/>
          <w:lang w:val="en-CA"/>
        </w:rPr>
        <w:t>Forget v. Quebec (Attorney General)</w:t>
      </w:r>
      <w:r w:rsidRPr="00BA4482">
        <w:rPr>
          <w:rFonts w:cs="Times New Roman"/>
          <w:spacing w:val="-3"/>
          <w:lang w:val="en-CA"/>
        </w:rPr>
        <w:t xml:space="preserve">, [1988] 2 S.C.R. 90; </w:t>
      </w:r>
      <w:r w:rsidRPr="00BA4482">
        <w:rPr>
          <w:rFonts w:cs="Times New Roman"/>
          <w:i/>
          <w:iCs/>
          <w:spacing w:val="-3"/>
          <w:lang w:val="en-CA"/>
        </w:rPr>
        <w:t>Ford v. Quebec (Attorney General)</w:t>
      </w:r>
      <w:r w:rsidRPr="00BA4482">
        <w:rPr>
          <w:rFonts w:cs="Times New Roman"/>
          <w:spacing w:val="-3"/>
          <w:lang w:val="en-CA"/>
        </w:rPr>
        <w:t>, [1988] 2 S.C.R. 712</w:t>
      </w:r>
      <w:r w:rsidR="001F0C80">
        <w:rPr>
          <w:rFonts w:cs="Times New Roman"/>
          <w:spacing w:val="-3"/>
          <w:lang w:val="en-CA"/>
        </w:rPr>
        <w:t>)</w:t>
      </w:r>
      <w:r w:rsidRPr="00BA4482">
        <w:rPr>
          <w:rFonts w:cs="Times New Roman"/>
          <w:spacing w:val="-3"/>
          <w:lang w:val="en-CA"/>
        </w:rPr>
        <w:t>.</w:t>
      </w:r>
      <w:bookmarkEnd w:id="19"/>
      <w:r w:rsidRPr="00BA4482">
        <w:rPr>
          <w:rFonts w:cs="Times New Roman"/>
          <w:spacing w:val="-3"/>
          <w:lang w:val="en-CA"/>
        </w:rPr>
        <w:t xml:space="preserve"> The Court has also held that discrimination can be systemic</w:t>
      </w:r>
      <w:r w:rsidRPr="00BA4482">
        <w:rPr>
          <w:rFonts w:cs="Times New Roman"/>
          <w:lang w:val="en-CA"/>
        </w:rPr>
        <w:t xml:space="preserve">: </w:t>
      </w:r>
      <w:r w:rsidRPr="00BA4482">
        <w:rPr>
          <w:rFonts w:cs="Times New Roman"/>
          <w:i/>
          <w:lang w:val="en-CA"/>
        </w:rPr>
        <w:t>Canadian National Railway Co</w:t>
      </w:r>
      <w:r w:rsidR="005D052F" w:rsidRPr="00BA4482">
        <w:rPr>
          <w:rFonts w:cs="Times New Roman"/>
          <w:i/>
          <w:lang w:val="en-CA"/>
        </w:rPr>
        <w:t>.</w:t>
      </w:r>
      <w:r w:rsidRPr="00BA4482">
        <w:rPr>
          <w:rFonts w:cs="Times New Roman"/>
          <w:i/>
          <w:lang w:val="en-CA"/>
        </w:rPr>
        <w:t xml:space="preserve"> v. Canada (Canadian Human Rights Commission)</w:t>
      </w:r>
      <w:r w:rsidRPr="00BA4482">
        <w:rPr>
          <w:rFonts w:cs="Times New Roman"/>
          <w:lang w:val="en-CA"/>
        </w:rPr>
        <w:t>, [1987] 1 S.C.R. 1114.</w:t>
      </w:r>
    </w:p>
    <w:p w:rsidR="00FC1A95" w:rsidRPr="00BA4482" w:rsidRDefault="00FC1A95" w:rsidP="00E810E1">
      <w:pPr>
        <w:pStyle w:val="ParaNoNdepar-AltN"/>
        <w:widowControl w:val="0"/>
        <w:rPr>
          <w:rFonts w:cs="Times New Roman"/>
          <w:lang w:val="en-CA"/>
        </w:rPr>
      </w:pPr>
      <w:r w:rsidRPr="00BA4482">
        <w:rPr>
          <w:rFonts w:cs="Times New Roman"/>
          <w:lang w:val="en-CA"/>
        </w:rPr>
        <w:t>The Commission submits that in the case at bar, Mr. Latif was a victim of racial profiling. The concept of racial profiling was originally developed in the context of proceedings brought against the police for abuse of power, but it has since been extended to other situations:</w:t>
      </w:r>
    </w:p>
    <w:p w:rsidR="00FC1A95" w:rsidRPr="00BA4482" w:rsidRDefault="00FC1A95" w:rsidP="00E810E1">
      <w:pPr>
        <w:pStyle w:val="Citation-AltC"/>
        <w:widowControl w:val="0"/>
        <w:spacing w:after="240"/>
        <w:ind w:hanging="1166"/>
        <w:contextualSpacing w:val="0"/>
        <w:rPr>
          <w:lang w:val="en-CA"/>
        </w:rPr>
      </w:pPr>
      <w:r w:rsidRPr="00BA4482">
        <w:rPr>
          <w:lang w:val="en-CA"/>
        </w:rPr>
        <w:tab/>
        <w:t xml:space="preserve">Racial profiling is </w:t>
      </w:r>
      <w:r w:rsidRPr="00BA4482">
        <w:rPr>
          <w:u w:val="single"/>
          <w:lang w:val="en-CA"/>
        </w:rPr>
        <w:t>any action taken by one or more people in authority</w:t>
      </w:r>
      <w:r w:rsidRPr="00BA4482">
        <w:rPr>
          <w:lang w:val="en-CA"/>
        </w:rPr>
        <w:t xml:space="preserve"> with respect to a person or group of persons, </w:t>
      </w:r>
      <w:r w:rsidRPr="00BA4482">
        <w:rPr>
          <w:u w:val="single"/>
          <w:lang w:val="en-CA"/>
        </w:rPr>
        <w:t>for reasons of safety, security or public order</w:t>
      </w:r>
      <w:r w:rsidRPr="00BA4482">
        <w:rPr>
          <w:lang w:val="en-CA"/>
        </w:rPr>
        <w:t xml:space="preserve">, that is based on actual or presumed membership in a group defined by race, colour, ethnic or national origin or religion, without factual grounds or reasonable suspicion, that results in the person or group being exposed to differential treatment or scrutiny. </w:t>
      </w:r>
    </w:p>
    <w:p w:rsidR="00FC1A95" w:rsidRPr="00BA4482" w:rsidRDefault="00FC1A95" w:rsidP="00E810E1">
      <w:pPr>
        <w:pStyle w:val="Citation-AltC"/>
        <w:widowControl w:val="0"/>
        <w:ind w:hanging="1166"/>
        <w:contextualSpacing w:val="0"/>
        <w:rPr>
          <w:lang w:val="en-CA"/>
        </w:rPr>
      </w:pPr>
      <w:bookmarkStart w:id="20" w:name="8r10jppx2vr1"/>
      <w:bookmarkEnd w:id="20"/>
      <w:r w:rsidRPr="00BA4482">
        <w:rPr>
          <w:lang w:val="en-CA"/>
        </w:rPr>
        <w:tab/>
        <w:t>Racial profiling includes any action by a person in a situation of authority who applies a measure in a disproportionate way to certain segments of the population on the basis, in particular, of their racial, ethnic, national or religious background, whether actual or presumed. [Emphasis added.]</w:t>
      </w:r>
    </w:p>
    <w:p w:rsidR="00FC1A95" w:rsidRPr="00BA4482" w:rsidRDefault="00FC1A95" w:rsidP="00E810E1">
      <w:pPr>
        <w:pStyle w:val="ContinueParaSuitedupar-AltP"/>
        <w:widowControl w:val="0"/>
        <w:rPr>
          <w:rFonts w:cs="Times New Roman"/>
          <w:lang w:val="en-CA"/>
        </w:rPr>
      </w:pPr>
      <w:r w:rsidRPr="00BA4482">
        <w:rPr>
          <w:rFonts w:cs="Times New Roman"/>
          <w:lang w:val="en-CA"/>
        </w:rPr>
        <w:t xml:space="preserve">(Commission des droits de la personne et des droits de la jeunesse, </w:t>
      </w:r>
      <w:r w:rsidRPr="00BA4482">
        <w:rPr>
          <w:rFonts w:cs="Times New Roman"/>
          <w:i/>
          <w:iCs/>
          <w:lang w:val="en-CA"/>
        </w:rPr>
        <w:t>Racial Profiling: Context and Definition</w:t>
      </w:r>
      <w:r w:rsidRPr="00BA4482">
        <w:rPr>
          <w:rFonts w:cs="Times New Roman"/>
          <w:lang w:val="en-CA"/>
        </w:rPr>
        <w:t xml:space="preserve"> (2005</w:t>
      </w:r>
      <w:r w:rsidR="001F0C80">
        <w:rPr>
          <w:rFonts w:cs="Times New Roman"/>
          <w:lang w:val="en-CA"/>
        </w:rPr>
        <w:t>)</w:t>
      </w:r>
      <w:r w:rsidRPr="00BA4482">
        <w:rPr>
          <w:rFonts w:cs="Times New Roman"/>
          <w:lang w:val="en-CA"/>
        </w:rPr>
        <w:t xml:space="preserve"> (online), at p. 13; see also Ontario Human Rights Commission, </w:t>
      </w:r>
      <w:r w:rsidRPr="00BA4482">
        <w:rPr>
          <w:rFonts w:cs="Times New Roman"/>
          <w:i/>
          <w:iCs/>
          <w:lang w:val="en-CA"/>
        </w:rPr>
        <w:t>Policy and guidelines on racism and racial discrimination</w:t>
      </w:r>
      <w:r w:rsidRPr="00BA4482">
        <w:rPr>
          <w:rFonts w:cs="Times New Roman"/>
          <w:lang w:val="en-CA"/>
        </w:rPr>
        <w:t xml:space="preserve"> (2005</w:t>
      </w:r>
      <w:r w:rsidR="001F0C80">
        <w:rPr>
          <w:rFonts w:cs="Times New Roman"/>
          <w:lang w:val="en-CA"/>
        </w:rPr>
        <w:t>) (online)</w:t>
      </w:r>
      <w:r w:rsidRPr="00BA4482">
        <w:rPr>
          <w:rFonts w:cs="Times New Roman"/>
          <w:lang w:val="en-CA"/>
        </w:rPr>
        <w:t>, at p. 19.)</w:t>
      </w:r>
    </w:p>
    <w:p w:rsidR="00FC1A95" w:rsidRPr="00BA4482" w:rsidRDefault="00FC1A95" w:rsidP="00E810E1">
      <w:pPr>
        <w:pStyle w:val="ParaNoNdepar-AltN"/>
        <w:widowControl w:val="0"/>
        <w:rPr>
          <w:rFonts w:cs="Times New Roman"/>
          <w:lang w:val="en-CA"/>
        </w:rPr>
      </w:pPr>
      <w:r w:rsidRPr="00BA4482">
        <w:rPr>
          <w:rFonts w:cs="Times New Roman"/>
          <w:lang w:val="en-CA"/>
        </w:rPr>
        <w:lastRenderedPageBreak/>
        <w:t xml:space="preserve">The language of the </w:t>
      </w:r>
      <w:r w:rsidRPr="00BA4482">
        <w:rPr>
          <w:rFonts w:cs="Times New Roman"/>
          <w:i/>
          <w:lang w:val="en-CA"/>
        </w:rPr>
        <w:t>Charter</w:t>
      </w:r>
      <w:r w:rsidRPr="00BA4482">
        <w:rPr>
          <w:rFonts w:cs="Times New Roman"/>
          <w:lang w:val="en-CA"/>
        </w:rPr>
        <w:t xml:space="preserve"> permits the courts to take note of new forms of discrimination as they emerge in our society. This being said, whatever form discrimination takes, the two</w:t>
      </w:r>
      <w:r w:rsidRPr="00BA4482">
        <w:rPr>
          <w:rFonts w:cs="Times New Roman"/>
          <w:lang w:val="en-CA"/>
        </w:rPr>
        <w:noBreakHyphen/>
        <w:t xml:space="preserve">step analysis applicable to a complaint under the </w:t>
      </w:r>
      <w:r w:rsidRPr="00BA4482">
        <w:rPr>
          <w:rFonts w:cs="Times New Roman"/>
          <w:i/>
          <w:lang w:val="en-CA"/>
        </w:rPr>
        <w:t>Charter</w:t>
      </w:r>
      <w:r w:rsidRPr="00BA4482">
        <w:rPr>
          <w:rFonts w:cs="Times New Roman"/>
          <w:lang w:val="en-CA"/>
        </w:rPr>
        <w:t xml:space="preserve"> does not change.</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First, s. 10 requires that the plaintiff prove three elements: “(1) a ‘distinction, exclusion or preference’, (2) based on one of the grounds listed in the first paragraph, and (3) which ‘has the effect of nullifying or impairing’ the right to full and equal recognition and exercise of a human right or freedom” </w:t>
      </w:r>
      <w:r w:rsidR="001F0C80">
        <w:rPr>
          <w:rFonts w:cs="Times New Roman"/>
          <w:lang w:val="en-CA"/>
        </w:rPr>
        <w:t>(</w:t>
      </w:r>
      <w:r w:rsidRPr="00BA4482">
        <w:rPr>
          <w:rFonts w:cs="Times New Roman"/>
          <w:i/>
          <w:lang w:val="en-CA"/>
        </w:rPr>
        <w:t>Forget</w:t>
      </w:r>
      <w:r w:rsidRPr="00BA4482">
        <w:rPr>
          <w:rFonts w:cs="Times New Roman"/>
          <w:lang w:val="en-CA"/>
        </w:rPr>
        <w:t xml:space="preserve">, at p. 98; </w:t>
      </w:r>
      <w:r w:rsidRPr="00BA4482">
        <w:rPr>
          <w:rFonts w:cs="Times New Roman"/>
          <w:i/>
          <w:iCs/>
          <w:lang w:val="en-CA"/>
        </w:rPr>
        <w:t>Ford</w:t>
      </w:r>
      <w:r w:rsidRPr="00BA4482">
        <w:rPr>
          <w:rFonts w:cs="Times New Roman"/>
          <w:lang w:val="en-CA"/>
        </w:rPr>
        <w:t>, at pp. 783</w:t>
      </w:r>
      <w:r w:rsidRPr="00BA4482">
        <w:rPr>
          <w:rFonts w:cs="Times New Roman"/>
          <w:lang w:val="en-CA"/>
        </w:rPr>
        <w:noBreakHyphen/>
        <w:t xml:space="preserve">84; </w:t>
      </w:r>
      <w:r w:rsidRPr="00BA4482">
        <w:rPr>
          <w:rFonts w:cs="Times New Roman"/>
          <w:i/>
          <w:iCs/>
          <w:lang w:val="en-CA"/>
        </w:rPr>
        <w:t>Devine v. Quebec (Attorney General)</w:t>
      </w:r>
      <w:r w:rsidRPr="00BA4482">
        <w:rPr>
          <w:rFonts w:cs="Times New Roman"/>
          <w:lang w:val="en-CA"/>
        </w:rPr>
        <w:t xml:space="preserve">, [1988] 2 S.C.R. 790, at p. 817; </w:t>
      </w:r>
      <w:r w:rsidRPr="00BA4482">
        <w:rPr>
          <w:rFonts w:cs="Times New Roman"/>
          <w:i/>
          <w:iCs/>
          <w:lang w:val="en-CA"/>
        </w:rPr>
        <w:t>Bergevin</w:t>
      </w:r>
      <w:r w:rsidRPr="00BA4482">
        <w:rPr>
          <w:rFonts w:cs="Times New Roman"/>
          <w:lang w:val="en-CA"/>
        </w:rPr>
        <w:t>, at p. 538</w:t>
      </w:r>
      <w:r w:rsidR="001F0C80">
        <w:rPr>
          <w:rFonts w:cs="Times New Roman"/>
          <w:lang w:val="en-CA"/>
        </w:rPr>
        <w:t>)</w:t>
      </w:r>
      <w:r w:rsidRPr="00BA4482">
        <w:rPr>
          <w:rFonts w:cs="Times New Roman"/>
          <w:lang w:val="en-CA"/>
        </w:rPr>
        <w:t>.</w:t>
      </w:r>
    </w:p>
    <w:p w:rsidR="00FC1A95" w:rsidRPr="00BA4482" w:rsidRDefault="00FC1A95" w:rsidP="00E810E1">
      <w:pPr>
        <w:pStyle w:val="ParaNoNdepar-AltN"/>
        <w:widowControl w:val="0"/>
        <w:rPr>
          <w:rFonts w:cs="Times New Roman"/>
          <w:i/>
          <w:iCs/>
          <w:lang w:val="en-CA"/>
        </w:rPr>
      </w:pPr>
      <w:r w:rsidRPr="00BA4482">
        <w:rPr>
          <w:rFonts w:cs="Times New Roman"/>
          <w:lang w:val="en-CA"/>
        </w:rPr>
        <w:t>If these three elements are established in accordance with the degree of proof we will specify below, there is “</w:t>
      </w:r>
      <w:r w:rsidRPr="00BA4482">
        <w:rPr>
          <w:rFonts w:cs="Times New Roman"/>
          <w:i/>
          <w:iCs/>
          <w:lang w:val="en-CA"/>
        </w:rPr>
        <w:t>prima facie</w:t>
      </w:r>
      <w:r w:rsidRPr="00BA4482">
        <w:rPr>
          <w:rFonts w:cs="Times New Roman"/>
          <w:lang w:val="en-CA"/>
        </w:rPr>
        <w:t xml:space="preserve"> discrimination”. This is the first step of the analysis.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Second, the defendant can then, also in accordance with the degree of proof we will indicate below, justify his or her decision or conduct on the basis of the exemptions provided for in the applicable human rights legislation or those developed by the courts. If the defendant fails to do so, discrimination will then be found to have occurred: </w:t>
      </w:r>
      <w:r w:rsidRPr="00BA4482">
        <w:rPr>
          <w:rFonts w:cs="Times New Roman"/>
          <w:i/>
          <w:iCs/>
          <w:lang w:val="en-CA"/>
        </w:rPr>
        <w:t>McGill University Health Centre (Montreal General Hospital) v. Syndicat des employés de l’Hôpital général de Montréal</w:t>
      </w:r>
      <w:r w:rsidRPr="00BA4482">
        <w:rPr>
          <w:rFonts w:cs="Times New Roman"/>
          <w:lang w:val="en-CA"/>
        </w:rPr>
        <w:t>, 2007 SCC 4, [2007] 1 S.C.R. 161 (“</w:t>
      </w:r>
      <w:r w:rsidRPr="00BA4482">
        <w:rPr>
          <w:rFonts w:cs="Times New Roman"/>
          <w:i/>
          <w:iCs/>
          <w:lang w:val="en-CA"/>
        </w:rPr>
        <w:t>McGill</w:t>
      </w:r>
      <w:r w:rsidRPr="00BA4482">
        <w:rPr>
          <w:rFonts w:cs="Times New Roman"/>
          <w:iCs/>
          <w:lang w:val="en-CA"/>
        </w:rPr>
        <w:t>”</w:t>
      </w:r>
      <w:r w:rsidRPr="00BA4482">
        <w:rPr>
          <w:rFonts w:cs="Times New Roman"/>
          <w:lang w:val="en-CA"/>
        </w:rPr>
        <w:t xml:space="preserve">), at para. 50; see also </w:t>
      </w:r>
      <w:r w:rsidRPr="00BA4482">
        <w:rPr>
          <w:rFonts w:cs="Times New Roman"/>
          <w:i/>
          <w:iCs/>
          <w:lang w:val="en-CA"/>
        </w:rPr>
        <w:t>Moore v. British Columbia (Education)</w:t>
      </w:r>
      <w:r w:rsidRPr="00BA4482">
        <w:rPr>
          <w:rFonts w:cs="Times New Roman"/>
          <w:lang w:val="en-CA"/>
        </w:rPr>
        <w:t>, 2012 SCC 61, [2012] 3 S.C.R. 360 (decided under British Columbia’s h</w:t>
      </w:r>
      <w:r w:rsidRPr="00BA4482">
        <w:rPr>
          <w:rFonts w:cs="Times New Roman"/>
          <w:iCs/>
          <w:lang w:val="en-CA"/>
        </w:rPr>
        <w:t xml:space="preserve">uman rights code), </w:t>
      </w:r>
      <w:r w:rsidRPr="00BA4482">
        <w:rPr>
          <w:rFonts w:cs="Times New Roman"/>
          <w:lang w:val="en-CA"/>
        </w:rPr>
        <w:t xml:space="preserve">at </w:t>
      </w:r>
      <w:r w:rsidRPr="00BA4482">
        <w:rPr>
          <w:rFonts w:cs="Times New Roman"/>
          <w:lang w:val="en-CA"/>
        </w:rPr>
        <w:lastRenderedPageBreak/>
        <w:t xml:space="preserve">para. 33. This is the second step of the analysis.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For example, s. 20 of the </w:t>
      </w:r>
      <w:r w:rsidRPr="00BA4482">
        <w:rPr>
          <w:rFonts w:cs="Times New Roman"/>
          <w:i/>
          <w:lang w:val="en-CA"/>
        </w:rPr>
        <w:t>Charter</w:t>
      </w:r>
      <w:r w:rsidRPr="00BA4482">
        <w:rPr>
          <w:rFonts w:cs="Times New Roman"/>
          <w:lang w:val="en-CA"/>
        </w:rPr>
        <w:t xml:space="preserve"> provides that a distinction, exclusion or preference based on the aptitudes required for an employment is deemed to be non</w:t>
      </w:r>
      <w:r w:rsidRPr="00BA4482">
        <w:rPr>
          <w:rFonts w:cs="Times New Roman"/>
          <w:lang w:val="en-CA"/>
        </w:rPr>
        <w:noBreakHyphen/>
        <w:t>discriminatory. This is referred to as the “</w:t>
      </w:r>
      <w:r w:rsidRPr="00BA4482">
        <w:rPr>
          <w:rFonts w:cs="Times New Roman"/>
          <w:i/>
          <w:lang w:val="en-CA"/>
        </w:rPr>
        <w:t>bona fide</w:t>
      </w:r>
      <w:r w:rsidRPr="00BA4482">
        <w:rPr>
          <w:rFonts w:cs="Times New Roman"/>
          <w:lang w:val="en-CA"/>
        </w:rPr>
        <w:t xml:space="preserve"> occupational requirement” (</w:t>
      </w:r>
      <w:r w:rsidR="001F0C80">
        <w:rPr>
          <w:rFonts w:cs="Times New Roman"/>
          <w:lang w:val="en-CA"/>
        </w:rPr>
        <w:t>“</w:t>
      </w:r>
      <w:r w:rsidRPr="00BA4482">
        <w:rPr>
          <w:rFonts w:cs="Times New Roman"/>
          <w:lang w:val="en-CA"/>
        </w:rPr>
        <w:t>BFOR</w:t>
      </w:r>
      <w:r w:rsidR="001F0C80">
        <w:rPr>
          <w:rFonts w:cs="Times New Roman"/>
          <w:lang w:val="en-CA"/>
        </w:rPr>
        <w:t>”</w:t>
      </w:r>
      <w:r w:rsidRPr="00BA4482">
        <w:rPr>
          <w:rFonts w:cs="Times New Roman"/>
          <w:lang w:val="en-CA"/>
        </w:rPr>
        <w:t xml:space="preserve">) defence, which can be found in one form or another in all human rights legislation in Canada. In </w:t>
      </w:r>
      <w:r w:rsidRPr="00BA4482">
        <w:rPr>
          <w:rFonts w:cs="Times New Roman"/>
          <w:i/>
          <w:iCs/>
          <w:lang w:val="en-CA"/>
        </w:rPr>
        <w:t>British Columbia (Public Service Employee Relations Commission) v. BCGSEU</w:t>
      </w:r>
      <w:r w:rsidRPr="00BA4482">
        <w:rPr>
          <w:rFonts w:cs="Times New Roman"/>
          <w:lang w:val="en-CA"/>
        </w:rPr>
        <w:t>, [1999] 3 S.C.R. 3 (“</w:t>
      </w:r>
      <w:r w:rsidRPr="00BA4482">
        <w:rPr>
          <w:rFonts w:cs="Times New Roman"/>
          <w:i/>
          <w:iCs/>
          <w:lang w:val="en-CA"/>
        </w:rPr>
        <w:t>Meiorin</w:t>
      </w:r>
      <w:r w:rsidRPr="00BA4482">
        <w:rPr>
          <w:rFonts w:cs="Times New Roman"/>
          <w:iCs/>
          <w:lang w:val="en-CA"/>
        </w:rPr>
        <w:t>”</w:t>
      </w:r>
      <w:r w:rsidRPr="00BA4482">
        <w:rPr>
          <w:rFonts w:cs="Times New Roman"/>
          <w:lang w:val="en-CA"/>
        </w:rPr>
        <w:t xml:space="preserve">), at para. 54, this Court developed an approach for determining whether a </w:t>
      </w:r>
      <w:r w:rsidRPr="00BA4482">
        <w:rPr>
          <w:rFonts w:cs="Times New Roman"/>
          <w:i/>
          <w:iCs/>
          <w:lang w:val="en-CA"/>
        </w:rPr>
        <w:t>prima facie</w:t>
      </w:r>
      <w:r w:rsidRPr="00BA4482">
        <w:rPr>
          <w:rFonts w:cs="Times New Roman"/>
          <w:lang w:val="en-CA"/>
        </w:rPr>
        <w:t xml:space="preserve"> discriminatory standard or practice is a BFOR in the context of British Columbia’s h</w:t>
      </w:r>
      <w:r w:rsidRPr="00BA4482">
        <w:rPr>
          <w:rFonts w:cs="Times New Roman"/>
          <w:iCs/>
          <w:lang w:val="en-CA"/>
        </w:rPr>
        <w:t>uman rights code</w:t>
      </w:r>
      <w:r w:rsidRPr="00BA4482">
        <w:rPr>
          <w:rFonts w:cs="Times New Roman"/>
          <w:lang w:val="en-CA"/>
        </w:rPr>
        <w:t xml:space="preserve">. </w:t>
      </w:r>
      <w:r w:rsidRPr="00BD1187">
        <w:rPr>
          <w:rFonts w:cs="Times New Roman"/>
        </w:rPr>
        <w:t xml:space="preserve">The </w:t>
      </w:r>
      <w:proofErr w:type="spellStart"/>
      <w:r w:rsidRPr="00BD1187">
        <w:rPr>
          <w:rFonts w:cs="Times New Roman"/>
        </w:rPr>
        <w:t>principles</w:t>
      </w:r>
      <w:proofErr w:type="spellEnd"/>
      <w:r w:rsidRPr="00BD1187">
        <w:rPr>
          <w:rFonts w:cs="Times New Roman"/>
        </w:rPr>
        <w:t xml:space="preserve"> </w:t>
      </w:r>
      <w:proofErr w:type="spellStart"/>
      <w:r w:rsidRPr="00BD1187">
        <w:rPr>
          <w:rFonts w:cs="Times New Roman"/>
        </w:rPr>
        <w:t>from</w:t>
      </w:r>
      <w:proofErr w:type="spellEnd"/>
      <w:r w:rsidRPr="00BD1187">
        <w:rPr>
          <w:rFonts w:cs="Times New Roman"/>
        </w:rPr>
        <w:t xml:space="preserve"> </w:t>
      </w:r>
      <w:proofErr w:type="spellStart"/>
      <w:r w:rsidRPr="00BD1187">
        <w:rPr>
          <w:rFonts w:cs="Times New Roman"/>
        </w:rPr>
        <w:t>that</w:t>
      </w:r>
      <w:proofErr w:type="spellEnd"/>
      <w:r w:rsidRPr="00BD1187">
        <w:rPr>
          <w:rFonts w:cs="Times New Roman"/>
        </w:rPr>
        <w:t xml:space="preserve"> case </w:t>
      </w:r>
      <w:proofErr w:type="spellStart"/>
      <w:r w:rsidRPr="00BD1187">
        <w:rPr>
          <w:rFonts w:cs="Times New Roman"/>
        </w:rPr>
        <w:t>were</w:t>
      </w:r>
      <w:proofErr w:type="spellEnd"/>
      <w:r w:rsidRPr="00BD1187">
        <w:rPr>
          <w:rFonts w:cs="Times New Roman"/>
        </w:rPr>
        <w:t xml:space="preserve"> </w:t>
      </w:r>
      <w:proofErr w:type="spellStart"/>
      <w:r w:rsidRPr="00BD1187">
        <w:rPr>
          <w:rFonts w:cs="Times New Roman"/>
        </w:rPr>
        <w:t>subsequently</w:t>
      </w:r>
      <w:proofErr w:type="spellEnd"/>
      <w:r w:rsidRPr="00BD1187">
        <w:rPr>
          <w:rFonts w:cs="Times New Roman"/>
        </w:rPr>
        <w:t xml:space="preserve"> </w:t>
      </w:r>
      <w:proofErr w:type="spellStart"/>
      <w:r w:rsidRPr="00BD1187">
        <w:rPr>
          <w:rFonts w:cs="Times New Roman"/>
        </w:rPr>
        <w:t>applied</w:t>
      </w:r>
      <w:proofErr w:type="spellEnd"/>
      <w:r w:rsidRPr="00BD1187">
        <w:rPr>
          <w:rFonts w:cs="Times New Roman"/>
        </w:rPr>
        <w:t xml:space="preserve"> to s. 20 of the</w:t>
      </w:r>
      <w:r w:rsidRPr="00BD1187">
        <w:rPr>
          <w:rFonts w:cs="Times New Roman"/>
          <w:i/>
          <w:iCs/>
        </w:rPr>
        <w:t xml:space="preserve"> Charter</w:t>
      </w:r>
      <w:r w:rsidRPr="00BD1187">
        <w:rPr>
          <w:rFonts w:cs="Times New Roman"/>
          <w:iCs/>
        </w:rPr>
        <w:t>:</w:t>
      </w:r>
      <w:r w:rsidRPr="00BD1187">
        <w:rPr>
          <w:rFonts w:cs="Times New Roman"/>
          <w:i/>
          <w:iCs/>
        </w:rPr>
        <w:t xml:space="preserve"> Gaz métropolitain </w:t>
      </w:r>
      <w:proofErr w:type="spellStart"/>
      <w:r w:rsidRPr="00BD1187">
        <w:rPr>
          <w:rFonts w:cs="Times New Roman"/>
          <w:i/>
          <w:iCs/>
        </w:rPr>
        <w:t>inc.</w:t>
      </w:r>
      <w:proofErr w:type="spellEnd"/>
      <w:r w:rsidRPr="00BD1187">
        <w:rPr>
          <w:rFonts w:cs="Times New Roman"/>
          <w:i/>
          <w:iCs/>
        </w:rPr>
        <w:t xml:space="preserve"> v. Commission des droits de la personne et des droits de la jeunesse</w:t>
      </w:r>
      <w:r w:rsidRPr="00BD1187">
        <w:rPr>
          <w:rFonts w:cs="Times New Roman"/>
        </w:rPr>
        <w:t>, 2011 QCCA 1201, at paras. </w:t>
      </w:r>
      <w:r w:rsidRPr="00BA4482">
        <w:rPr>
          <w:rFonts w:cs="Times New Roman"/>
          <w:lang w:val="en-CA"/>
        </w:rPr>
        <w:t>39</w:t>
      </w:r>
      <w:r w:rsidRPr="00BA4482">
        <w:rPr>
          <w:rFonts w:cs="Times New Roman"/>
          <w:lang w:val="en-CA"/>
        </w:rPr>
        <w:noBreakHyphen/>
        <w:t>4</w:t>
      </w:r>
      <w:r w:rsidR="001F0C80">
        <w:rPr>
          <w:rFonts w:cs="Times New Roman"/>
          <w:lang w:val="en-CA"/>
        </w:rPr>
        <w:t>2 (</w:t>
      </w:r>
      <w:proofErr w:type="spellStart"/>
      <w:r w:rsidR="001F0C80">
        <w:rPr>
          <w:rFonts w:cs="Times New Roman"/>
          <w:lang w:val="en-CA"/>
        </w:rPr>
        <w:t>CanLII</w:t>
      </w:r>
      <w:proofErr w:type="spellEnd"/>
      <w:r w:rsidR="001F0C80">
        <w:rPr>
          <w:rFonts w:cs="Times New Roman"/>
          <w:lang w:val="en-CA"/>
        </w:rPr>
        <w:t>)</w:t>
      </w:r>
      <w:r w:rsidRPr="00BA4482">
        <w:rPr>
          <w:rFonts w:cs="Times New Roman"/>
          <w:lang w:val="en-CA"/>
        </w:rPr>
        <w:t xml:space="preserve">; see also </w:t>
      </w:r>
      <w:r w:rsidRPr="00BA4482">
        <w:rPr>
          <w:rFonts w:cs="Times New Roman"/>
          <w:i/>
          <w:lang w:val="en-CA"/>
        </w:rPr>
        <w:t>McGill</w:t>
      </w:r>
      <w:r w:rsidRPr="00BA4482">
        <w:rPr>
          <w:rFonts w:cs="Times New Roman"/>
          <w:lang w:val="en-CA"/>
        </w:rPr>
        <w:t xml:space="preserve">. </w:t>
      </w:r>
    </w:p>
    <w:p w:rsidR="00FC1A95" w:rsidRPr="00BA4482" w:rsidRDefault="00FC1A95" w:rsidP="00E810E1">
      <w:pPr>
        <w:pStyle w:val="ParaNoNdepar-AltN"/>
        <w:widowControl w:val="0"/>
        <w:rPr>
          <w:rFonts w:cs="Times New Roman"/>
          <w:i/>
          <w:iCs/>
          <w:lang w:val="en-CA"/>
        </w:rPr>
      </w:pPr>
      <w:r w:rsidRPr="00BA4482">
        <w:rPr>
          <w:rFonts w:cs="Times New Roman"/>
          <w:lang w:val="en-CA"/>
        </w:rPr>
        <w:t xml:space="preserve">In light of our conclusion on the issue of </w:t>
      </w:r>
      <w:r w:rsidRPr="00BA4482">
        <w:rPr>
          <w:rFonts w:cs="Times New Roman"/>
          <w:i/>
          <w:iCs/>
          <w:lang w:val="en-CA"/>
        </w:rPr>
        <w:t xml:space="preserve">prima facie </w:t>
      </w:r>
      <w:r w:rsidRPr="00BA4482">
        <w:rPr>
          <w:rFonts w:cs="Times New Roman"/>
          <w:iCs/>
          <w:lang w:val="en-CA"/>
        </w:rPr>
        <w:t>discrimination in the instant case, we need not dwell any further on the second step of the analysis. However, we will now discuss the first step.</w:t>
      </w:r>
    </w:p>
    <w:p w:rsidR="00FC1A95" w:rsidRPr="00BA4482" w:rsidRDefault="00FC1A95" w:rsidP="00E810E1">
      <w:pPr>
        <w:pStyle w:val="Title3LevelTitre3Niveau"/>
        <w:widowControl w:val="0"/>
        <w:tabs>
          <w:tab w:val="clear" w:pos="1152"/>
          <w:tab w:val="num" w:pos="864"/>
        </w:tabs>
        <w:ind w:left="864" w:hanging="432"/>
        <w:outlineLvl w:val="0"/>
        <w:rPr>
          <w:rFonts w:cs="Times New Roman"/>
        </w:rPr>
      </w:pPr>
      <w:bookmarkStart w:id="21" w:name="_Toc411931202"/>
      <w:bookmarkStart w:id="22" w:name="_Toc413923560"/>
      <w:bookmarkStart w:id="23" w:name="_Toc416791113"/>
      <w:bookmarkStart w:id="24" w:name="_Toc417482736"/>
      <w:r w:rsidRPr="00BA4482">
        <w:rPr>
          <w:rFonts w:cs="Times New Roman"/>
        </w:rPr>
        <w:t xml:space="preserve">Elements of </w:t>
      </w:r>
      <w:r w:rsidRPr="00BA4482">
        <w:rPr>
          <w:rFonts w:cs="Times New Roman"/>
          <w:i/>
          <w:iCs/>
        </w:rPr>
        <w:t>Prima Facie</w:t>
      </w:r>
      <w:bookmarkEnd w:id="21"/>
      <w:bookmarkEnd w:id="22"/>
      <w:bookmarkEnd w:id="23"/>
      <w:bookmarkEnd w:id="24"/>
      <w:r w:rsidRPr="00BA4482">
        <w:rPr>
          <w:rFonts w:cs="Times New Roman"/>
          <w:iCs/>
        </w:rPr>
        <w:t xml:space="preserve"> Discrimination</w:t>
      </w:r>
      <w:r w:rsidRPr="00BA4482">
        <w:rPr>
          <w:rFonts w:cs="Times New Roman"/>
        </w:rPr>
        <w:t xml:space="preserve"> </w:t>
      </w:r>
    </w:p>
    <w:p w:rsidR="00FC1A95" w:rsidRPr="00BA4482" w:rsidRDefault="00FC1A95" w:rsidP="00E810E1">
      <w:pPr>
        <w:pStyle w:val="ParaNoNdepar-AltN"/>
        <w:widowControl w:val="0"/>
        <w:rPr>
          <w:rFonts w:cs="Times New Roman"/>
          <w:lang w:val="en-CA"/>
        </w:rPr>
      </w:pPr>
      <w:r w:rsidRPr="00BA4482">
        <w:rPr>
          <w:rFonts w:cs="Times New Roman"/>
          <w:lang w:val="en-CA"/>
        </w:rPr>
        <w:t>Before we consider the three elements of discrimination, we believe it will be helpful to point out that under both Canadian law and Quebec law, the plaintiff is not required to prove that the defendant intended to discriminate against him or her:</w:t>
      </w:r>
    </w:p>
    <w:p w:rsidR="00FC1A95" w:rsidRPr="00BA4482" w:rsidRDefault="00FC1A95" w:rsidP="00E810E1">
      <w:pPr>
        <w:pStyle w:val="Citation-AltC"/>
        <w:widowControl w:val="0"/>
        <w:spacing w:after="240"/>
        <w:ind w:left="1195" w:hanging="1195"/>
        <w:contextualSpacing w:val="0"/>
        <w:rPr>
          <w:lang w:val="en-CA"/>
        </w:rPr>
      </w:pPr>
      <w:r w:rsidRPr="00BA4482">
        <w:rPr>
          <w:lang w:val="en-CA"/>
        </w:rPr>
        <w:lastRenderedPageBreak/>
        <w:tab/>
        <w:t xml:space="preserve">To . . . hold that intent is a required element of discrimination under the Code would seem to me to place a virtually insuperable barrier in the way of a complainant seeking a remedy. It would be extremely difficult in most circumstances to prove motive, and motive would be easy to cloak in the formation of rules which, though imposing equal standards, could create . . . injustice and discrimination by the equal treatment of those who are unequal . . . . [Citations omitted; </w:t>
      </w:r>
      <w:r w:rsidRPr="00BA4482">
        <w:rPr>
          <w:i/>
          <w:iCs/>
          <w:lang w:val="en-CA"/>
        </w:rPr>
        <w:t>O’Malley</w:t>
      </w:r>
      <w:r w:rsidRPr="00BA4482">
        <w:rPr>
          <w:lang w:val="en-CA"/>
        </w:rPr>
        <w:t>, at p. 549.]</w:t>
      </w:r>
    </w:p>
    <w:p w:rsidR="00FC1A95" w:rsidRPr="00EB7620" w:rsidRDefault="003A4C6E" w:rsidP="00E810E1">
      <w:pPr>
        <w:pStyle w:val="ContinueParaSuitedupar-AltP"/>
        <w:widowControl w:val="0"/>
        <w:rPr>
          <w:rFonts w:cs="Times New Roman"/>
        </w:rPr>
      </w:pPr>
      <w:r w:rsidRPr="00BA4482">
        <w:rPr>
          <w:rFonts w:cs="Times New Roman"/>
          <w:lang w:val="en-CA"/>
        </w:rPr>
        <w:t>(</w:t>
      </w:r>
      <w:r w:rsidR="00FC1A95" w:rsidRPr="00BA4482">
        <w:rPr>
          <w:rFonts w:cs="Times New Roman"/>
          <w:lang w:val="en-CA"/>
        </w:rPr>
        <w:t xml:space="preserve">See also </w:t>
      </w:r>
      <w:r w:rsidR="00FC1A95" w:rsidRPr="00BA4482">
        <w:rPr>
          <w:rFonts w:cs="Times New Roman"/>
          <w:i/>
          <w:lang w:val="en-CA"/>
        </w:rPr>
        <w:t>A</w:t>
      </w:r>
      <w:r w:rsidR="00FC1A95" w:rsidRPr="00BA4482">
        <w:rPr>
          <w:rFonts w:cs="Times New Roman"/>
          <w:i/>
          <w:iCs/>
          <w:lang w:val="en-CA"/>
        </w:rPr>
        <w:t>ndrews v. Law Society of British Columbia</w:t>
      </w:r>
      <w:r w:rsidR="00FC1A95" w:rsidRPr="00BA4482">
        <w:rPr>
          <w:rFonts w:cs="Times New Roman"/>
          <w:lang w:val="en-CA"/>
        </w:rPr>
        <w:t>, [1989] 1 S.C.R. 143, at p. 173;</w:t>
      </w:r>
      <w:r w:rsidR="00FC1A95" w:rsidRPr="00BA4482">
        <w:rPr>
          <w:rFonts w:cs="Times New Roman"/>
          <w:i/>
          <w:iCs/>
          <w:lang w:val="en-CA"/>
        </w:rPr>
        <w:t xml:space="preserve"> City of Montréal</w:t>
      </w:r>
      <w:r w:rsidR="00FC1A95" w:rsidRPr="00BA4482">
        <w:rPr>
          <w:rFonts w:cs="Times New Roman"/>
          <w:lang w:val="en-CA"/>
        </w:rPr>
        <w:t>, at para. </w:t>
      </w:r>
      <w:r w:rsidR="00FC1A95" w:rsidRPr="00EB7620">
        <w:rPr>
          <w:rFonts w:cs="Times New Roman"/>
        </w:rPr>
        <w:t xml:space="preserve">35; </w:t>
      </w:r>
      <w:r w:rsidR="00FC1A95" w:rsidRPr="00EB7620">
        <w:rPr>
          <w:rFonts w:cs="Times New Roman"/>
          <w:i/>
        </w:rPr>
        <w:t>Commission des droits de la personne</w:t>
      </w:r>
      <w:r w:rsidR="00BD1187">
        <w:rPr>
          <w:rFonts w:cs="Times New Roman"/>
          <w:i/>
        </w:rPr>
        <w:t xml:space="preserve"> du Québec</w:t>
      </w:r>
      <w:r w:rsidR="00FC1A95" w:rsidRPr="00EB7620">
        <w:rPr>
          <w:rFonts w:cs="Times New Roman"/>
          <w:i/>
        </w:rPr>
        <w:t xml:space="preserve"> v. Ville de </w:t>
      </w:r>
      <w:r w:rsidR="00FC1A95" w:rsidRPr="00EB7620">
        <w:rPr>
          <w:rFonts w:cs="Times New Roman"/>
          <w:i/>
          <w:iCs/>
        </w:rPr>
        <w:t>Québec</w:t>
      </w:r>
      <w:r w:rsidR="00FC1A95" w:rsidRPr="00EB7620">
        <w:rPr>
          <w:rFonts w:cs="Times New Roman"/>
        </w:rPr>
        <w:t>, [1989] R.J.Q. 831 (C.A.), at pp. 840</w:t>
      </w:r>
      <w:r w:rsidR="00FC1A95" w:rsidRPr="00EB7620">
        <w:rPr>
          <w:rFonts w:cs="Times New Roman"/>
        </w:rPr>
        <w:noBreakHyphen/>
        <w:t xml:space="preserve">41, </w:t>
      </w:r>
      <w:proofErr w:type="spellStart"/>
      <w:r w:rsidR="00FC1A95" w:rsidRPr="00EB7620">
        <w:rPr>
          <w:rFonts w:cs="Times New Roman"/>
        </w:rPr>
        <w:t>leave</w:t>
      </w:r>
      <w:proofErr w:type="spellEnd"/>
      <w:r w:rsidR="00FC1A95" w:rsidRPr="00EB7620">
        <w:rPr>
          <w:rFonts w:cs="Times New Roman"/>
        </w:rPr>
        <w:t xml:space="preserve"> to </w:t>
      </w:r>
      <w:proofErr w:type="spellStart"/>
      <w:r w:rsidR="00FC1A95" w:rsidRPr="00EB7620">
        <w:rPr>
          <w:rFonts w:cs="Times New Roman"/>
        </w:rPr>
        <w:t>appeal</w:t>
      </w:r>
      <w:proofErr w:type="spellEnd"/>
      <w:r w:rsidR="00FC1A95" w:rsidRPr="00EB7620">
        <w:rPr>
          <w:rFonts w:cs="Times New Roman"/>
        </w:rPr>
        <w:t xml:space="preserve"> </w:t>
      </w:r>
      <w:proofErr w:type="spellStart"/>
      <w:r w:rsidR="00FC1A95" w:rsidRPr="00EB7620">
        <w:rPr>
          <w:rFonts w:cs="Times New Roman"/>
        </w:rPr>
        <w:t>refused</w:t>
      </w:r>
      <w:proofErr w:type="spellEnd"/>
      <w:r w:rsidR="00FC1A95" w:rsidRPr="00EB7620">
        <w:rPr>
          <w:rFonts w:cs="Times New Roman"/>
        </w:rPr>
        <w:t>, [1989] 2 S.C.R. vi.</w:t>
      </w:r>
      <w:r w:rsidRPr="00EB7620">
        <w:rPr>
          <w:rFonts w:cs="Times New Roman"/>
        </w:rPr>
        <w:t>)</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Not requiring proof of intention applies logically to the recognition of various forms of discrimination, since some discriminatory conduct involves multiple factors or is unconscious.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The first element of discrimination is not problematic. The plaintiff must prove the existence of differential treatment, that is, that a decision, a measure or conduct “affects [him or her] differently from others to whom it may apply”: </w:t>
      </w:r>
      <w:r w:rsidRPr="00BA4482">
        <w:rPr>
          <w:rFonts w:cs="Times New Roman"/>
          <w:i/>
          <w:iCs/>
          <w:spacing w:val="-3"/>
          <w:lang w:val="en-CA"/>
        </w:rPr>
        <w:t>O’Malley</w:t>
      </w:r>
      <w:r w:rsidRPr="00BA4482">
        <w:rPr>
          <w:rFonts w:cs="Times New Roman"/>
          <w:iCs/>
          <w:spacing w:val="-3"/>
          <w:lang w:val="en-CA"/>
        </w:rPr>
        <w:t>, at p. </w:t>
      </w:r>
      <w:r w:rsidRPr="00BA4482">
        <w:rPr>
          <w:rFonts w:cs="Times New Roman"/>
          <w:lang w:val="en-CA"/>
        </w:rPr>
        <w:t xml:space="preserve">551. This might be the case, for example, of obligations, penalties or restrictive conditions that are not imposed on others: </w:t>
      </w:r>
      <w:r w:rsidRPr="00BA4482">
        <w:rPr>
          <w:rFonts w:cs="Times New Roman"/>
          <w:i/>
          <w:iCs/>
          <w:lang w:val="en-CA"/>
        </w:rPr>
        <w:t>ibid.</w:t>
      </w:r>
      <w:r w:rsidRPr="00BA4482">
        <w:rPr>
          <w:rFonts w:cs="Times New Roman"/>
          <w:lang w:val="en-CA"/>
        </w:rPr>
        <w:t xml:space="preserve">; see also </w:t>
      </w:r>
      <w:r w:rsidRPr="00BA4482">
        <w:rPr>
          <w:rFonts w:cs="Times New Roman"/>
          <w:i/>
          <w:iCs/>
          <w:spacing w:val="-3"/>
          <w:lang w:val="en-CA"/>
        </w:rPr>
        <w:t>Andrews</w:t>
      </w:r>
      <w:r w:rsidRPr="00BA4482">
        <w:rPr>
          <w:rFonts w:cs="Times New Roman"/>
          <w:iCs/>
          <w:spacing w:val="-3"/>
          <w:lang w:val="en-CA"/>
        </w:rPr>
        <w:t>,</w:t>
      </w:r>
      <w:r w:rsidRPr="00BA4482">
        <w:rPr>
          <w:rFonts w:cs="Times New Roman"/>
          <w:spacing w:val="-3"/>
          <w:lang w:val="en-CA"/>
        </w:rPr>
        <w:t xml:space="preserve"> at pp. 173</w:t>
      </w:r>
      <w:r w:rsidRPr="00BA4482">
        <w:rPr>
          <w:rFonts w:cs="Times New Roman"/>
          <w:spacing w:val="-3"/>
          <w:lang w:val="en-CA"/>
        </w:rPr>
        <w:noBreakHyphen/>
        <w:t>74</w:t>
      </w:r>
      <w:r w:rsidRPr="00BA4482">
        <w:rPr>
          <w:rFonts w:cs="Times New Roman"/>
          <w:lang w:val="en-CA"/>
        </w:rPr>
        <w:t xml:space="preserve">.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As we will see below, the second element is central to the dispute in the instant case. The plaintiff must establish that the distinction, exclusion or preference in question is “based” on one of the grounds listed in s. 10 of the </w:t>
      </w:r>
      <w:r w:rsidRPr="00BA4482">
        <w:rPr>
          <w:rFonts w:cs="Times New Roman"/>
          <w:i/>
          <w:iCs/>
          <w:lang w:val="en-CA"/>
        </w:rPr>
        <w:t>Charter</w:t>
      </w:r>
      <w:r w:rsidRPr="00BA4482">
        <w:rPr>
          <w:rFonts w:cs="Times New Roman"/>
          <w:lang w:val="en-CA"/>
        </w:rPr>
        <w:t xml:space="preserve">: </w:t>
      </w:r>
      <w:r w:rsidRPr="00BA4482">
        <w:rPr>
          <w:rFonts w:cs="Times New Roman"/>
          <w:i/>
          <w:iCs/>
          <w:lang w:val="en-CA"/>
        </w:rPr>
        <w:t>City of Montréal</w:t>
      </w:r>
      <w:r w:rsidRPr="00BA4482">
        <w:rPr>
          <w:rFonts w:cs="Times New Roman"/>
          <w:lang w:val="en-CA"/>
        </w:rPr>
        <w:t xml:space="preserve">, at para. 84; </w:t>
      </w:r>
      <w:r w:rsidRPr="00BA4482">
        <w:rPr>
          <w:rFonts w:cs="Times New Roman"/>
          <w:i/>
          <w:iCs/>
          <w:lang w:val="en-CA"/>
        </w:rPr>
        <w:t>McGill</w:t>
      </w:r>
      <w:r w:rsidRPr="00BA4482">
        <w:rPr>
          <w:rFonts w:cs="Times New Roman"/>
          <w:lang w:val="en-CA"/>
        </w:rPr>
        <w:t>, at paras. 45 and 49</w:t>
      </w:r>
      <w:r w:rsidRPr="00BA4482">
        <w:rPr>
          <w:rFonts w:cs="Times New Roman"/>
          <w:lang w:val="en-CA"/>
        </w:rPr>
        <w:noBreakHyphen/>
        <w:t xml:space="preserve">50. This element presupposes a </w:t>
      </w:r>
      <w:r w:rsidRPr="00BA4482">
        <w:rPr>
          <w:rFonts w:cs="Times New Roman"/>
          <w:lang w:val="en-CA"/>
        </w:rPr>
        <w:lastRenderedPageBreak/>
        <w:t xml:space="preserve">connection between the differential treatment and a prohibited ground. Given that there is no consensus regarding the nature of this connection, it needs to be clarified. </w:t>
      </w:r>
    </w:p>
    <w:p w:rsidR="00FC1A95" w:rsidRPr="00BA4482" w:rsidRDefault="00FC1A95" w:rsidP="00E810E1">
      <w:pPr>
        <w:pStyle w:val="ParaNoNdepar-AltN"/>
        <w:widowControl w:val="0"/>
        <w:rPr>
          <w:rFonts w:cs="Times New Roman"/>
          <w:lang w:val="en-CA"/>
        </w:rPr>
      </w:pPr>
      <w:r w:rsidRPr="00BA4482">
        <w:rPr>
          <w:rFonts w:cs="Times New Roman"/>
          <w:lang w:val="en-CA"/>
        </w:rPr>
        <w:t>In the case at bar, the Tribunal held that it is not necessary for the prohibited ground being relied on by a plaintiff to be the sole cause of the impugned act, as that act may be explained by a variety of reasons. The Tribunal found that as long as any one of those reasons is connected with a prohibited ground, it can be concluded that discrimination within the meaning of s. 10 has occurred. As for the Court of Appeal, it required a [</w:t>
      </w:r>
      <w:r w:rsidRPr="00BA4482">
        <w:rPr>
          <w:rFonts w:cs="Times New Roman"/>
          <w:smallCaps/>
          <w:lang w:val="en-CA"/>
        </w:rPr>
        <w:t>translation</w:t>
      </w:r>
      <w:r w:rsidRPr="00BA4482">
        <w:rPr>
          <w:rFonts w:cs="Times New Roman"/>
          <w:lang w:val="en-CA"/>
        </w:rPr>
        <w:t>] “causal connection” between a prohibited ground and the distinction, exclusion or preference at issue: para. 100.</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The Commission argues that it will suffice, in determining whether a person is liable for his or her decision or conduct, if the prohibited ground played a role in that decision or conduct. As for Bombardier, it maintains in its factum that a “causal connection” is essential to a finding of discrimination, although it acknowledges that </w:t>
      </w:r>
      <w:r w:rsidR="00DD1B8B" w:rsidRPr="00BA4482">
        <w:rPr>
          <w:rFonts w:cs="Times New Roman"/>
          <w:lang w:val="en-CA"/>
        </w:rPr>
        <w:t>[</w:t>
      </w:r>
      <w:r w:rsidR="00DD1B8B" w:rsidRPr="00BA4482">
        <w:rPr>
          <w:rFonts w:cs="Times New Roman"/>
          <w:smallCaps/>
          <w:lang w:val="en-CA"/>
        </w:rPr>
        <w:t>translation</w:t>
      </w:r>
      <w:r w:rsidR="00DD1B8B" w:rsidRPr="00BA4482">
        <w:rPr>
          <w:rFonts w:cs="Times New Roman"/>
          <w:lang w:val="en-CA"/>
        </w:rPr>
        <w:t xml:space="preserve">] </w:t>
      </w:r>
      <w:r w:rsidRPr="00BA4482">
        <w:rPr>
          <w:rFonts w:cs="Times New Roman"/>
          <w:lang w:val="en-CA"/>
        </w:rPr>
        <w:t>“[t]he courts use various expressions to refer to this indispensable requirement”: R.F., at para. 31. At the hearing, however, it agreed that “connection” is the appropriate term and that it is not essential that the connection between the prohibited ground of discrimination and the impugned decision be an exclusive one.</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In our opinion, the latter position must prevail.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This Court has used the expression “causal connection” at least once, in </w:t>
      </w:r>
      <w:r w:rsidRPr="00BA4482">
        <w:rPr>
          <w:rFonts w:cs="Times New Roman"/>
          <w:i/>
          <w:iCs/>
          <w:lang w:val="en-CA"/>
        </w:rPr>
        <w:lastRenderedPageBreak/>
        <w:t>City of Montréal</w:t>
      </w:r>
      <w:r w:rsidR="00074EA7" w:rsidRPr="00BA4482">
        <w:rPr>
          <w:rFonts w:cs="Times New Roman"/>
          <w:iCs/>
          <w:lang w:val="en-CA"/>
        </w:rPr>
        <w:t xml:space="preserve">: </w:t>
      </w:r>
      <w:r w:rsidRPr="00BA4482">
        <w:rPr>
          <w:rFonts w:cs="Times New Roman"/>
          <w:iCs/>
          <w:lang w:val="en-CA"/>
        </w:rPr>
        <w:t>para. 84.</w:t>
      </w:r>
      <w:r w:rsidRPr="00BA4482">
        <w:rPr>
          <w:rFonts w:cs="Times New Roman"/>
          <w:i/>
          <w:iCs/>
          <w:lang w:val="en-CA"/>
        </w:rPr>
        <w:t xml:space="preserve"> </w:t>
      </w:r>
      <w:r w:rsidRPr="00BA4482">
        <w:rPr>
          <w:rFonts w:cs="Times New Roman"/>
          <w:lang w:val="en-CA"/>
        </w:rPr>
        <w:t xml:space="preserve">However, it is important to consider the context in which the expression was used. In that case, the Court noted that the employer had acknowledged the existence of a “causal connection”. But in setting out the elements of </w:t>
      </w:r>
      <w:r w:rsidRPr="00BA4482">
        <w:rPr>
          <w:rFonts w:cs="Times New Roman"/>
          <w:i/>
          <w:iCs/>
          <w:lang w:val="en-CA"/>
        </w:rPr>
        <w:t>prima facie</w:t>
      </w:r>
      <w:r w:rsidRPr="00BA4482">
        <w:rPr>
          <w:rFonts w:cs="Times New Roman"/>
          <w:iCs/>
          <w:lang w:val="en-CA"/>
        </w:rPr>
        <w:t xml:space="preserve"> discrimination, the Court had required proof of only a “connection” between the prohibited ground of discrimination and the impugned decision or conduct</w:t>
      </w:r>
      <w:r w:rsidRPr="00BA4482">
        <w:rPr>
          <w:rFonts w:cs="Times New Roman"/>
          <w:lang w:val="en-CA"/>
        </w:rPr>
        <w:t>: para. 65.</w:t>
      </w:r>
    </w:p>
    <w:p w:rsidR="00FC1A95" w:rsidRPr="00BA4482" w:rsidRDefault="00FC1A95" w:rsidP="00E810E1">
      <w:pPr>
        <w:pStyle w:val="ParaNoNdepar-AltN"/>
        <w:widowControl w:val="0"/>
        <w:rPr>
          <w:rFonts w:cs="Times New Roman"/>
          <w:lang w:val="en-CA"/>
        </w:rPr>
      </w:pPr>
      <w:r w:rsidRPr="00BA4482">
        <w:rPr>
          <w:rFonts w:cs="Times New Roman"/>
          <w:lang w:val="en-CA"/>
        </w:rPr>
        <w:t>In that case, this Court found, as did the Tribunal in the case at bar, that the decision or action of the person responsible for the distinction, exclusion or preference need not be based solely on the prohibited ground; it is enough if that decision or action is based in part on such a ground:</w:t>
      </w:r>
      <w:r w:rsidRPr="00BA4482">
        <w:rPr>
          <w:rFonts w:cs="Times New Roman"/>
          <w:i/>
          <w:iCs/>
          <w:lang w:val="en-CA"/>
        </w:rPr>
        <w:t xml:space="preserve"> City of Montréal</w:t>
      </w:r>
      <w:r w:rsidRPr="00BA4482">
        <w:rPr>
          <w:rFonts w:cs="Times New Roman"/>
          <w:lang w:val="en-CA"/>
        </w:rPr>
        <w:t>, at para. </w:t>
      </w:r>
      <w:r w:rsidRPr="00EB7620">
        <w:rPr>
          <w:rFonts w:cs="Times New Roman"/>
        </w:rPr>
        <w:t>67, per L’Heureux</w:t>
      </w:r>
      <w:r w:rsidRPr="00EB7620">
        <w:rPr>
          <w:rFonts w:cs="Times New Roman"/>
        </w:rPr>
        <w:noBreakHyphen/>
        <w:t xml:space="preserve">Dubé J., </w:t>
      </w:r>
      <w:proofErr w:type="spellStart"/>
      <w:r w:rsidRPr="00EB7620">
        <w:rPr>
          <w:rFonts w:cs="Times New Roman"/>
        </w:rPr>
        <w:t>quoting</w:t>
      </w:r>
      <w:proofErr w:type="spellEnd"/>
      <w:r w:rsidRPr="00EB7620">
        <w:rPr>
          <w:rFonts w:cs="Times New Roman"/>
        </w:rPr>
        <w:t xml:space="preserve"> </w:t>
      </w:r>
      <w:proofErr w:type="spellStart"/>
      <w:r w:rsidRPr="00EB7620">
        <w:rPr>
          <w:rFonts w:cs="Times New Roman"/>
        </w:rPr>
        <w:t>with</w:t>
      </w:r>
      <w:proofErr w:type="spellEnd"/>
      <w:r w:rsidRPr="00EB7620">
        <w:rPr>
          <w:rFonts w:cs="Times New Roman"/>
        </w:rPr>
        <w:t xml:space="preserve"> </w:t>
      </w:r>
      <w:proofErr w:type="spellStart"/>
      <w:r w:rsidRPr="00EB7620">
        <w:rPr>
          <w:rFonts w:cs="Times New Roman"/>
        </w:rPr>
        <w:t>approval</w:t>
      </w:r>
      <w:proofErr w:type="spellEnd"/>
      <w:r w:rsidRPr="00EB7620">
        <w:rPr>
          <w:rFonts w:cs="Times New Roman"/>
        </w:rPr>
        <w:t xml:space="preserve"> D. Proulx, “La discrimination fondée sur le handicap: étude comparée de la Charte québécoise” (1996), 56 </w:t>
      </w:r>
      <w:r w:rsidRPr="00EB7620">
        <w:rPr>
          <w:rFonts w:cs="Times New Roman"/>
          <w:i/>
          <w:iCs/>
        </w:rPr>
        <w:t>R. du B.</w:t>
      </w:r>
      <w:r w:rsidRPr="00EB7620">
        <w:rPr>
          <w:rFonts w:cs="Times New Roman"/>
        </w:rPr>
        <w:t xml:space="preserve"> 317, at p. 420. </w:t>
      </w:r>
      <w:r w:rsidRPr="00BA4482">
        <w:rPr>
          <w:rFonts w:cs="Times New Roman"/>
          <w:lang w:val="en-CA"/>
        </w:rPr>
        <w:t xml:space="preserve">In other words, for a particular decision or action to be considered discriminatory, the prohibited ground need only have contributed to it: see, </w:t>
      </w:r>
      <w:r w:rsidRPr="00BA4482">
        <w:rPr>
          <w:rFonts w:cs="Times New Roman"/>
          <w:i/>
          <w:lang w:val="en-CA"/>
        </w:rPr>
        <w:t>inter alia</w:t>
      </w:r>
      <w:r w:rsidRPr="00BA4482">
        <w:rPr>
          <w:rFonts w:cs="Times New Roman"/>
          <w:lang w:val="en-CA"/>
        </w:rPr>
        <w:t>,</w:t>
      </w:r>
      <w:r w:rsidRPr="00BA4482">
        <w:rPr>
          <w:rFonts w:cs="Times New Roman"/>
          <w:i/>
          <w:lang w:val="en-CA"/>
        </w:rPr>
        <w:t xml:space="preserve"> </w:t>
      </w:r>
      <w:r w:rsidRPr="00BA4482">
        <w:rPr>
          <w:rFonts w:cs="Times New Roman"/>
          <w:i/>
          <w:iCs/>
          <w:lang w:val="en-CA"/>
        </w:rPr>
        <w:t>Commission des droits de la personne et des droits de la jeunesse v. Gaz métropolitain</w:t>
      </w:r>
      <w:r w:rsidR="004D13CB" w:rsidRPr="00BA4482">
        <w:rPr>
          <w:rFonts w:cs="Times New Roman"/>
          <w:i/>
          <w:iCs/>
          <w:lang w:val="en-CA"/>
        </w:rPr>
        <w:t xml:space="preserve"> inc.</w:t>
      </w:r>
      <w:r w:rsidRPr="00BA4482">
        <w:rPr>
          <w:rFonts w:cs="Times New Roman"/>
          <w:lang w:val="en-CA"/>
        </w:rPr>
        <w:t>, 2008 QCTDP 24 (decision reversed by the Court of Appeal, but only as regards the award of punitive damages), at para. 415</w:t>
      </w:r>
      <w:r w:rsidR="001F0C80">
        <w:rPr>
          <w:rFonts w:cs="Times New Roman"/>
          <w:lang w:val="en-CA"/>
        </w:rPr>
        <w:t xml:space="preserve"> (</w:t>
      </w:r>
      <w:proofErr w:type="spellStart"/>
      <w:r w:rsidR="001F0C80">
        <w:rPr>
          <w:rFonts w:cs="Times New Roman"/>
          <w:lang w:val="en-CA"/>
        </w:rPr>
        <w:t>CanLII</w:t>
      </w:r>
      <w:proofErr w:type="spellEnd"/>
      <w:r w:rsidR="001F0C80">
        <w:rPr>
          <w:rFonts w:cs="Times New Roman"/>
          <w:lang w:val="en-CA"/>
        </w:rPr>
        <w:t>)</w:t>
      </w:r>
      <w:r w:rsidRPr="00BA4482">
        <w:rPr>
          <w:rFonts w:cs="Times New Roman"/>
          <w:lang w:val="en-CA"/>
        </w:rPr>
        <w:t xml:space="preserve">.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In a recent decision concerning the </w:t>
      </w:r>
      <w:r w:rsidRPr="00BA4482">
        <w:rPr>
          <w:rFonts w:cs="Times New Roman"/>
          <w:i/>
          <w:lang w:val="en-CA"/>
        </w:rPr>
        <w:t>Human Rights Code</w:t>
      </w:r>
      <w:r w:rsidRPr="00BA4482">
        <w:rPr>
          <w:rFonts w:cs="Times New Roman"/>
          <w:lang w:val="en-CA"/>
        </w:rPr>
        <w:t xml:space="preserve">, R.S.O. 1990, c. H.19, the Ontario Court of Appeal found that it is preferable to use the terms commonly used by the courts in dealing with discrimination, such as “connection” and “factor”: </w:t>
      </w:r>
      <w:r w:rsidRPr="00BA4482">
        <w:rPr>
          <w:rFonts w:cs="Times New Roman"/>
          <w:i/>
          <w:lang w:val="en-CA"/>
        </w:rPr>
        <w:t>Peel Law Assn. v. Pieters</w:t>
      </w:r>
      <w:r w:rsidRPr="00BA4482">
        <w:rPr>
          <w:rFonts w:cs="Times New Roman"/>
          <w:lang w:val="en-CA"/>
        </w:rPr>
        <w:t xml:space="preserve">, 2013 ONCA 396, 116 O.R. (3d) 80, at para. 59. In that court’s opinion, the use of the modifier “causal” elevates the test </w:t>
      </w:r>
      <w:r w:rsidRPr="00BA4482">
        <w:rPr>
          <w:rFonts w:cs="Times New Roman"/>
          <w:lang w:val="en-CA"/>
        </w:rPr>
        <w:lastRenderedPageBreak/>
        <w:t xml:space="preserve">beyond what is required, since human rights jurisprudence focuses on the discriminatory effects of conduct rather than on the existence of an intention to discriminate or of direct causes: para. 60. We agree with the Ontario Court of Appeal’s reasoning on this point. Moreover, this Court used the term “factor” in a recent decision concerning </w:t>
      </w:r>
      <w:r w:rsidRPr="00BA4482">
        <w:rPr>
          <w:rFonts w:eastAsia="Times New Roman" w:cs="Times New Roman"/>
          <w:lang w:val="en-CA"/>
        </w:rPr>
        <w:t>British Columbia’s h</w:t>
      </w:r>
      <w:r w:rsidRPr="00BA4482">
        <w:rPr>
          <w:rFonts w:eastAsia="Times New Roman" w:cs="Times New Roman"/>
          <w:iCs/>
          <w:lang w:val="en-CA"/>
        </w:rPr>
        <w:t>uman rights code</w:t>
      </w:r>
      <w:r w:rsidRPr="00BA4482">
        <w:rPr>
          <w:rFonts w:eastAsia="Times New Roman" w:cs="Times New Roman"/>
          <w:lang w:val="en-CA"/>
        </w:rPr>
        <w:t xml:space="preserve">: </w:t>
      </w:r>
      <w:r w:rsidRPr="00BA4482">
        <w:rPr>
          <w:rFonts w:eastAsia="Times New Roman" w:cs="Times New Roman"/>
          <w:i/>
          <w:iCs/>
          <w:lang w:val="en-CA"/>
        </w:rPr>
        <w:t>Moore</w:t>
      </w:r>
      <w:r w:rsidRPr="00BA4482">
        <w:rPr>
          <w:rFonts w:eastAsia="Times New Roman" w:cs="Times New Roman"/>
          <w:lang w:val="en-CA"/>
        </w:rPr>
        <w:t>, at para. 33.</w:t>
      </w:r>
    </w:p>
    <w:p w:rsidR="00FC1A95" w:rsidRPr="00BA4482" w:rsidRDefault="00FC1A95" w:rsidP="00E810E1">
      <w:pPr>
        <w:pStyle w:val="ParaNoNdepar-AltN"/>
        <w:widowControl w:val="0"/>
        <w:rPr>
          <w:rFonts w:cs="Times New Roman"/>
          <w:lang w:val="en-CA"/>
        </w:rPr>
      </w:pPr>
      <w:r w:rsidRPr="00BA4482">
        <w:rPr>
          <w:rFonts w:cs="Times New Roman"/>
          <w:lang w:val="en-CA"/>
        </w:rPr>
        <w:t>It is more appropriate to use the terms “connection” and “factor” in relation to discrimination, especially since the expression “</w:t>
      </w:r>
      <w:r w:rsidRPr="00BA4482">
        <w:rPr>
          <w:rFonts w:cs="Times New Roman"/>
          <w:i/>
          <w:lang w:val="en-CA"/>
        </w:rPr>
        <w:t>lien causal</w:t>
      </w:r>
      <w:r w:rsidRPr="00BA4482">
        <w:rPr>
          <w:rFonts w:cs="Times New Roman"/>
          <w:lang w:val="en-CA"/>
        </w:rPr>
        <w:t>” has a specific meaning in the civil law of Quebec. In civil liability matters, the plaintiff must establish on a balance of probabilities that there is a causal relationship between the defendant’s fault and the injury suffered by the plaintiff: J.</w:t>
      </w:r>
      <w:r w:rsidRPr="00BA4482">
        <w:rPr>
          <w:rFonts w:cs="Times New Roman"/>
          <w:lang w:val="en-CA"/>
        </w:rPr>
        <w:noBreakHyphen/>
        <w:t xml:space="preserve">C. Royer and S. Lavallée, </w:t>
      </w:r>
      <w:r w:rsidRPr="00BA4482">
        <w:rPr>
          <w:rFonts w:cs="Times New Roman"/>
          <w:i/>
          <w:iCs/>
          <w:lang w:val="en-CA"/>
        </w:rPr>
        <w:t>La preuve civile</w:t>
      </w:r>
      <w:r w:rsidRPr="00BA4482">
        <w:rPr>
          <w:rFonts w:cs="Times New Roman"/>
          <w:lang w:val="en-CA"/>
        </w:rPr>
        <w:t xml:space="preserve"> (4th ed. 2008), at para. 158. The Quebec courts have defined this causal relationship as requiring that the damage be a logical, direct and immediate consequence of the fault. This rule therefore means that the cause must have a [</w:t>
      </w:r>
      <w:r w:rsidRPr="00BA4482">
        <w:rPr>
          <w:rFonts w:cs="Times New Roman"/>
          <w:smallCaps/>
          <w:lang w:val="en-CA"/>
        </w:rPr>
        <w:t>translation</w:t>
      </w:r>
      <w:r w:rsidRPr="00BA4482">
        <w:rPr>
          <w:rFonts w:cs="Times New Roman"/>
          <w:lang w:val="en-CA"/>
        </w:rPr>
        <w:t>] “close” relationship with the injury suffered by the victim: J.</w:t>
      </w:r>
      <w:r w:rsidRPr="00BA4482">
        <w:rPr>
          <w:rFonts w:cs="Times New Roman"/>
          <w:lang w:val="en-CA"/>
        </w:rPr>
        <w:noBreakHyphen/>
        <w:t xml:space="preserve">L. Baudouin, P. Deslauriers and B. Moore, </w:t>
      </w:r>
      <w:r w:rsidRPr="00BA4482">
        <w:rPr>
          <w:rFonts w:cs="Times New Roman"/>
          <w:i/>
          <w:iCs/>
          <w:lang w:val="en-CA"/>
        </w:rPr>
        <w:t>La responsabilité civile</w:t>
      </w:r>
      <w:r w:rsidRPr="00BA4482">
        <w:rPr>
          <w:rFonts w:cs="Times New Roman"/>
          <w:lang w:val="en-CA"/>
        </w:rPr>
        <w:t xml:space="preserve"> (8th ed. 2014), at para. 1</w:t>
      </w:r>
      <w:r w:rsidRPr="00BA4482">
        <w:rPr>
          <w:rFonts w:cs="Times New Roman"/>
          <w:lang w:val="en-CA"/>
        </w:rPr>
        <w:noBreakHyphen/>
        <w:t xml:space="preserve">683.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A close relationship is not required in a discrimination case under the </w:t>
      </w:r>
      <w:r w:rsidRPr="00BA4482">
        <w:rPr>
          <w:rFonts w:cs="Times New Roman"/>
          <w:i/>
          <w:lang w:val="en-CA"/>
        </w:rPr>
        <w:t>Charter</w:t>
      </w:r>
      <w:r w:rsidRPr="00BA4482">
        <w:rPr>
          <w:rFonts w:cs="Times New Roman"/>
          <w:lang w:val="en-CA"/>
        </w:rPr>
        <w:t>,</w:t>
      </w:r>
      <w:r w:rsidRPr="00BA4482">
        <w:rPr>
          <w:rFonts w:cs="Times New Roman"/>
          <w:i/>
          <w:lang w:val="en-CA"/>
        </w:rPr>
        <w:t xml:space="preserve"> </w:t>
      </w:r>
      <w:r w:rsidRPr="00BA4482">
        <w:rPr>
          <w:rFonts w:cs="Times New Roman"/>
          <w:lang w:val="en-CA"/>
        </w:rPr>
        <w:t xml:space="preserve">however. To hold otherwise would be to disregard the fact that, since there may be many different reasons for a defendant’s acts, proof of such a relationship could impose too heavy a burden on the plaintiff. Some of those reasons may, of course, provide a justification for the defendant’s acts, but the burden is on the defendant to prove this. It is therefore neither appropriate nor accurate to use the </w:t>
      </w:r>
      <w:r w:rsidRPr="00BA4482">
        <w:rPr>
          <w:rFonts w:cs="Times New Roman"/>
          <w:lang w:val="en-CA"/>
        </w:rPr>
        <w:lastRenderedPageBreak/>
        <w:t xml:space="preserve">expression “causal connection” in the discrimination context.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In short, as regards the second element of </w:t>
      </w:r>
      <w:r w:rsidRPr="00BA4482">
        <w:rPr>
          <w:rFonts w:cs="Times New Roman"/>
          <w:i/>
          <w:iCs/>
          <w:lang w:val="en-CA"/>
        </w:rPr>
        <w:t>prima facie</w:t>
      </w:r>
      <w:r w:rsidRPr="00BA4482">
        <w:rPr>
          <w:rFonts w:cs="Times New Roman"/>
          <w:lang w:val="en-CA"/>
        </w:rPr>
        <w:t xml:space="preserve"> discrimination, the plaintiff has the burden of showing that there is a </w:t>
      </w:r>
      <w:r w:rsidRPr="00BA4482">
        <w:rPr>
          <w:rFonts w:cs="Times New Roman"/>
          <w:i/>
          <w:lang w:val="en-CA"/>
        </w:rPr>
        <w:t>connection</w:t>
      </w:r>
      <w:r w:rsidRPr="00BA4482">
        <w:rPr>
          <w:rFonts w:cs="Times New Roman"/>
          <w:lang w:val="en-CA"/>
        </w:rPr>
        <w:t xml:space="preserve"> between a prohibited ground of discrimination and the distinction, exclusion or preference of which he or she complains or, in other words, that the ground in question was a </w:t>
      </w:r>
      <w:r w:rsidRPr="00BA4482">
        <w:rPr>
          <w:rFonts w:cs="Times New Roman"/>
          <w:i/>
          <w:lang w:val="en-CA"/>
        </w:rPr>
        <w:t>factor</w:t>
      </w:r>
      <w:r w:rsidRPr="00BA4482">
        <w:rPr>
          <w:rFonts w:cs="Times New Roman"/>
          <w:lang w:val="en-CA"/>
        </w:rPr>
        <w:t xml:space="preserve"> in the distinction, exclusion or preference. Finally, it should be noted that the list of prohibited grounds in s. 10 of the </w:t>
      </w:r>
      <w:r w:rsidRPr="00BA4482">
        <w:rPr>
          <w:rFonts w:cs="Times New Roman"/>
          <w:i/>
          <w:lang w:val="en-CA"/>
        </w:rPr>
        <w:t>Charter</w:t>
      </w:r>
      <w:r w:rsidRPr="00BA4482">
        <w:rPr>
          <w:rFonts w:cs="Times New Roman"/>
          <w:lang w:val="en-CA"/>
        </w:rPr>
        <w:t xml:space="preserve"> is exhaustive, unlike the one in the </w:t>
      </w:r>
      <w:r w:rsidRPr="00BA4482">
        <w:rPr>
          <w:rFonts w:cs="Times New Roman"/>
          <w:i/>
          <w:lang w:val="en-CA"/>
        </w:rPr>
        <w:t>Canadian Charter</w:t>
      </w:r>
      <w:r w:rsidRPr="00BA4482">
        <w:rPr>
          <w:rFonts w:cs="Times New Roman"/>
          <w:lang w:val="en-CA"/>
        </w:rPr>
        <w:t xml:space="preserve">: </w:t>
      </w:r>
      <w:r w:rsidRPr="00BA4482">
        <w:rPr>
          <w:rFonts w:cs="Times New Roman"/>
          <w:i/>
          <w:lang w:val="en-CA"/>
        </w:rPr>
        <w:t>C</w:t>
      </w:r>
      <w:r w:rsidRPr="00BA4482">
        <w:rPr>
          <w:rFonts w:cs="Times New Roman"/>
          <w:i/>
          <w:iCs/>
          <w:lang w:val="en-CA"/>
        </w:rPr>
        <w:t>ity of Montréal</w:t>
      </w:r>
      <w:r w:rsidRPr="00BA4482">
        <w:rPr>
          <w:rFonts w:cs="Times New Roman"/>
          <w:iCs/>
          <w:lang w:val="en-CA"/>
        </w:rPr>
        <w:t>, at para. </w:t>
      </w:r>
      <w:r w:rsidRPr="00BA4482">
        <w:rPr>
          <w:rFonts w:cs="Times New Roman"/>
          <w:lang w:val="en-CA"/>
        </w:rPr>
        <w:t>69.</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Lastly, the plaintiff must show that the distinction, exclusion or preference affects the full and equal exercise of a right or freedom guaranteed to him or her by the </w:t>
      </w:r>
      <w:r w:rsidRPr="00BA4482">
        <w:rPr>
          <w:rFonts w:cs="Times New Roman"/>
          <w:i/>
          <w:iCs/>
          <w:lang w:val="en-CA"/>
        </w:rPr>
        <w:t>Charter</w:t>
      </w:r>
      <w:r w:rsidRPr="00BA4482">
        <w:rPr>
          <w:rFonts w:cs="Times New Roman"/>
          <w:lang w:val="en-CA"/>
        </w:rPr>
        <w:t xml:space="preserve">. The </w:t>
      </w:r>
      <w:r w:rsidRPr="00BA4482">
        <w:rPr>
          <w:rFonts w:cs="Times New Roman"/>
          <w:i/>
          <w:lang w:val="en-CA"/>
        </w:rPr>
        <w:t>Charter</w:t>
      </w:r>
      <w:r w:rsidRPr="00BA4482">
        <w:rPr>
          <w:rFonts w:cs="Times New Roman"/>
          <w:lang w:val="en-CA"/>
        </w:rPr>
        <w:t xml:space="preserve">, unlike the </w:t>
      </w:r>
      <w:r w:rsidRPr="00BA4482">
        <w:rPr>
          <w:rFonts w:cs="Times New Roman"/>
          <w:i/>
          <w:iCs/>
          <w:lang w:val="en-CA"/>
        </w:rPr>
        <w:t>Canadian Charter</w:t>
      </w:r>
      <w:r w:rsidRPr="00BA4482">
        <w:rPr>
          <w:rFonts w:cs="Times New Roman"/>
          <w:lang w:val="en-CA"/>
        </w:rPr>
        <w:t xml:space="preserve">, does not protect the right to equality </w:t>
      </w:r>
      <w:r w:rsidRPr="00BA4482">
        <w:rPr>
          <w:rFonts w:cs="Times New Roman"/>
          <w:i/>
          <w:lang w:val="en-CA"/>
        </w:rPr>
        <w:t>per se</w:t>
      </w:r>
      <w:r w:rsidRPr="00BA4482">
        <w:rPr>
          <w:rFonts w:cs="Times New Roman"/>
          <w:lang w:val="en-CA"/>
        </w:rPr>
        <w:t xml:space="preserve">; this right is protected only in the exercise of the other rights and freedoms guaranteed by the </w:t>
      </w:r>
      <w:r w:rsidRPr="00BA4482">
        <w:rPr>
          <w:rFonts w:cs="Times New Roman"/>
          <w:i/>
          <w:lang w:val="en-CA"/>
        </w:rPr>
        <w:t>Charter</w:t>
      </w:r>
      <w:r w:rsidRPr="00BA4482">
        <w:rPr>
          <w:rFonts w:cs="Times New Roman"/>
          <w:lang w:val="en-CA"/>
        </w:rPr>
        <w:t xml:space="preserve">: see, </w:t>
      </w:r>
      <w:r w:rsidRPr="00BA4482">
        <w:rPr>
          <w:rFonts w:cs="Times New Roman"/>
          <w:i/>
          <w:lang w:val="en-CA"/>
        </w:rPr>
        <w:t>inter alia</w:t>
      </w:r>
      <w:r w:rsidRPr="00BA4482">
        <w:rPr>
          <w:rFonts w:cs="Times New Roman"/>
          <w:lang w:val="en-CA"/>
        </w:rPr>
        <w:t xml:space="preserve">, </w:t>
      </w:r>
      <w:r w:rsidRPr="00BA4482">
        <w:rPr>
          <w:rFonts w:cs="Times New Roman"/>
          <w:i/>
          <w:iCs/>
          <w:lang w:val="en-CA"/>
        </w:rPr>
        <w:t>Ruel v. Marois</w:t>
      </w:r>
      <w:r w:rsidRPr="00BA4482">
        <w:rPr>
          <w:rFonts w:cs="Times New Roman"/>
          <w:lang w:val="en-CA"/>
        </w:rPr>
        <w:t xml:space="preserve">, [2001] R.J.Q. 2590 (C.A.), at para. 129; </w:t>
      </w:r>
      <w:r w:rsidRPr="00BA4482">
        <w:rPr>
          <w:rFonts w:cs="Times New Roman"/>
          <w:i/>
          <w:iCs/>
          <w:lang w:val="en-CA"/>
        </w:rPr>
        <w:t>Velk v. McGill University</w:t>
      </w:r>
      <w:r w:rsidRPr="00BA4482">
        <w:rPr>
          <w:rFonts w:cs="Times New Roman"/>
          <w:lang w:val="en-CA"/>
        </w:rPr>
        <w:t>, 2011 QCCA 578, at para. 42</w:t>
      </w:r>
      <w:r w:rsidR="001F0C80">
        <w:rPr>
          <w:rFonts w:cs="Times New Roman"/>
          <w:lang w:val="en-CA"/>
        </w:rPr>
        <w:t xml:space="preserve"> (</w:t>
      </w:r>
      <w:proofErr w:type="spellStart"/>
      <w:r w:rsidR="001F0C80">
        <w:rPr>
          <w:rFonts w:cs="Times New Roman"/>
          <w:lang w:val="en-CA"/>
        </w:rPr>
        <w:t>CanLII</w:t>
      </w:r>
      <w:proofErr w:type="spellEnd"/>
      <w:r w:rsidR="001F0C80">
        <w:rPr>
          <w:rFonts w:cs="Times New Roman"/>
          <w:lang w:val="en-CA"/>
        </w:rPr>
        <w:t>)</w:t>
      </w:r>
      <w:r w:rsidRPr="00BA4482">
        <w:rPr>
          <w:rFonts w:cs="Times New Roman"/>
          <w:lang w:val="en-CA"/>
        </w:rPr>
        <w:t xml:space="preserve">; see also </w:t>
      </w:r>
      <w:r w:rsidRPr="00BA4482">
        <w:rPr>
          <w:rFonts w:cs="Times New Roman"/>
          <w:i/>
          <w:iCs/>
          <w:spacing w:val="-3"/>
          <w:lang w:val="en-CA"/>
        </w:rPr>
        <w:t>Ford</w:t>
      </w:r>
      <w:r w:rsidRPr="00BA4482">
        <w:rPr>
          <w:rFonts w:cs="Times New Roman"/>
          <w:spacing w:val="-3"/>
          <w:lang w:val="en-CA"/>
        </w:rPr>
        <w:t>, at pp. 786</w:t>
      </w:r>
      <w:r w:rsidRPr="00BA4482">
        <w:rPr>
          <w:rFonts w:cs="Times New Roman"/>
          <w:spacing w:val="-3"/>
          <w:lang w:val="en-CA"/>
        </w:rPr>
        <w:noBreakHyphen/>
        <w:t>87.</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spacing w:val="-3"/>
          <w:lang w:val="en-CA"/>
        </w:rPr>
        <w:t>This means that the right to non</w:t>
      </w:r>
      <w:r w:rsidRPr="00BA4482">
        <w:rPr>
          <w:rFonts w:cs="Times New Roman"/>
          <w:spacing w:val="-3"/>
          <w:lang w:val="en-CA"/>
        </w:rPr>
        <w:noBreakHyphen/>
        <w:t xml:space="preserve">discrimination cannot serve as a basis for an application on its own and that it must necessarily be attached to another human right or freedom recognized by law. However, this requirement should not be confused with the independent scope of the right to equality; the </w:t>
      </w:r>
      <w:r w:rsidRPr="00BA4482">
        <w:rPr>
          <w:rFonts w:cs="Times New Roman"/>
          <w:i/>
          <w:iCs/>
          <w:spacing w:val="-3"/>
          <w:lang w:val="en-CA"/>
        </w:rPr>
        <w:t>Charter</w:t>
      </w:r>
      <w:r w:rsidRPr="00BA4482">
        <w:rPr>
          <w:rFonts w:cs="Times New Roman"/>
          <w:spacing w:val="-3"/>
          <w:lang w:val="en-CA"/>
        </w:rPr>
        <w:t xml:space="preserve"> does not require a “double vi</w:t>
      </w:r>
      <w:r w:rsidR="001F0C80">
        <w:rPr>
          <w:rFonts w:cs="Times New Roman"/>
          <w:spacing w:val="-3"/>
          <w:lang w:val="en-CA"/>
        </w:rPr>
        <w:t>olation” (right to equality and</w:t>
      </w:r>
      <w:r w:rsidR="001F0C80" w:rsidRPr="00BA4482">
        <w:rPr>
          <w:rFonts w:cs="Times New Roman"/>
          <w:spacing w:val="-3"/>
          <w:lang w:val="en-CA"/>
        </w:rPr>
        <w:t>, for example</w:t>
      </w:r>
      <w:r w:rsidR="001F0C80">
        <w:rPr>
          <w:rFonts w:cs="Times New Roman"/>
          <w:spacing w:val="-3"/>
          <w:lang w:val="en-CA"/>
        </w:rPr>
        <w:t>,</w:t>
      </w:r>
      <w:r w:rsidR="001F0C80" w:rsidRPr="00BA4482">
        <w:rPr>
          <w:rFonts w:cs="Times New Roman"/>
          <w:spacing w:val="-3"/>
          <w:lang w:val="en-CA"/>
        </w:rPr>
        <w:t xml:space="preserve"> </w:t>
      </w:r>
      <w:r w:rsidRPr="00BA4482">
        <w:rPr>
          <w:rFonts w:cs="Times New Roman"/>
          <w:spacing w:val="-3"/>
          <w:lang w:val="en-CA"/>
        </w:rPr>
        <w:t xml:space="preserve">freedom of religion), which would make s. 10 redundant: see, </w:t>
      </w:r>
      <w:r w:rsidRPr="00BA4482">
        <w:rPr>
          <w:rFonts w:cs="Times New Roman"/>
          <w:i/>
          <w:spacing w:val="-3"/>
          <w:lang w:val="en-CA"/>
        </w:rPr>
        <w:t>inter alia</w:t>
      </w:r>
      <w:r w:rsidRPr="00BA4482">
        <w:rPr>
          <w:rFonts w:cs="Times New Roman"/>
          <w:spacing w:val="-3"/>
          <w:lang w:val="en-CA"/>
        </w:rPr>
        <w:t xml:space="preserve">, </w:t>
      </w:r>
      <w:r w:rsidRPr="00BA4482">
        <w:rPr>
          <w:rFonts w:cs="Times New Roman"/>
          <w:lang w:val="en-CA"/>
        </w:rPr>
        <w:t>D. Robitaille, “</w:t>
      </w:r>
      <w:r w:rsidRPr="00BA4482">
        <w:rPr>
          <w:rFonts w:cs="Times New Roman"/>
          <w:iCs/>
          <w:lang w:val="en-CA"/>
        </w:rPr>
        <w:t>Non</w:t>
      </w:r>
      <w:r w:rsidRPr="00BA4482">
        <w:rPr>
          <w:rFonts w:cs="Times New Roman"/>
          <w:iCs/>
          <w:lang w:val="en-CA"/>
        </w:rPr>
        <w:noBreakHyphen/>
        <w:t xml:space="preserve">indépendance et autonomie de la </w:t>
      </w:r>
      <w:r w:rsidRPr="00BA4482">
        <w:rPr>
          <w:rFonts w:cs="Times New Roman"/>
          <w:iCs/>
          <w:lang w:val="en-CA"/>
        </w:rPr>
        <w:lastRenderedPageBreak/>
        <w:t>norme d’égalité québécoise: des concepts ‘fondateurs’ qui méritent d’être mieux connus</w:t>
      </w:r>
      <w:r w:rsidRPr="00BA4482">
        <w:rPr>
          <w:rFonts w:cs="Times New Roman"/>
          <w:lang w:val="en-CA"/>
        </w:rPr>
        <w:t>” (2004), 35 </w:t>
      </w:r>
      <w:r w:rsidRPr="00BA4482">
        <w:rPr>
          <w:rFonts w:cs="Times New Roman"/>
          <w:i/>
          <w:lang w:val="en-CA"/>
        </w:rPr>
        <w:t>R.D.U.S.</w:t>
      </w:r>
      <w:r w:rsidRPr="00BA4482">
        <w:rPr>
          <w:rFonts w:cs="Times New Roman"/>
          <w:lang w:val="en-CA"/>
        </w:rPr>
        <w:t xml:space="preserve"> 103.</w:t>
      </w:r>
    </w:p>
    <w:p w:rsidR="00FC1A95" w:rsidRPr="00BA4482" w:rsidRDefault="00FC1A95" w:rsidP="00E810E1">
      <w:pPr>
        <w:pStyle w:val="Title3LevelTitre3Niveau"/>
        <w:widowControl w:val="0"/>
        <w:numPr>
          <w:ilvl w:val="2"/>
          <w:numId w:val="3"/>
        </w:numPr>
        <w:rPr>
          <w:rFonts w:cs="Times New Roman"/>
        </w:rPr>
      </w:pPr>
      <w:r w:rsidRPr="00BA4482">
        <w:rPr>
          <w:rFonts w:cs="Times New Roman"/>
        </w:rPr>
        <w:t>Applicable Degree of Proof</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As we mentioned above, an application under the </w:t>
      </w:r>
      <w:r w:rsidRPr="00BA4482">
        <w:rPr>
          <w:rFonts w:cs="Times New Roman"/>
          <w:i/>
          <w:iCs/>
          <w:lang w:val="en-CA"/>
        </w:rPr>
        <w:t>Charter</w:t>
      </w:r>
      <w:r w:rsidRPr="00BA4482">
        <w:rPr>
          <w:rFonts w:cs="Times New Roman"/>
          <w:lang w:val="en-CA"/>
        </w:rPr>
        <w:t xml:space="preserve"> involves a two</w:t>
      </w:r>
      <w:r w:rsidRPr="00BA4482">
        <w:rPr>
          <w:rFonts w:cs="Times New Roman"/>
          <w:lang w:val="en-CA"/>
        </w:rPr>
        <w:noBreakHyphen/>
        <w:t>step process that successively imposes separate burdens of proof on the plaintiff and the defendant. However, this Court has never clearly enunciated the degree of proof associated with the plaintiff’s burden. It must also be acknowledged that the use of the expressions “</w:t>
      </w:r>
      <w:r w:rsidRPr="00BA4482">
        <w:rPr>
          <w:rFonts w:cs="Times New Roman"/>
          <w:i/>
          <w:iCs/>
          <w:lang w:val="en-CA"/>
        </w:rPr>
        <w:t>prima facie</w:t>
      </w:r>
      <w:r w:rsidRPr="00BA4482">
        <w:rPr>
          <w:rFonts w:cs="Times New Roman"/>
          <w:iCs/>
          <w:lang w:val="en-CA"/>
        </w:rPr>
        <w:t xml:space="preserve"> discrimination” and “</w:t>
      </w:r>
      <w:r w:rsidRPr="00BA4482">
        <w:rPr>
          <w:rFonts w:cs="Times New Roman"/>
          <w:i/>
          <w:iCs/>
          <w:lang w:val="en-CA"/>
        </w:rPr>
        <w:t>prima facie</w:t>
      </w:r>
      <w:r w:rsidRPr="00BA4482">
        <w:rPr>
          <w:rFonts w:cs="Times New Roman"/>
          <w:iCs/>
          <w:lang w:val="en-CA"/>
        </w:rPr>
        <w:t xml:space="preserve"> case of discrimination” may have caused some confusion about the scope of </w:t>
      </w:r>
      <w:r w:rsidRPr="00BA4482">
        <w:rPr>
          <w:rFonts w:cs="Times New Roman"/>
          <w:lang w:val="en-CA"/>
        </w:rPr>
        <w:t>the degree of proof.</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In our opinion, even though the plaintiff and the defendant have separate burdens of proof in an application under the </w:t>
      </w:r>
      <w:r w:rsidRPr="00BA4482">
        <w:rPr>
          <w:rFonts w:cs="Times New Roman"/>
          <w:i/>
          <w:lang w:val="en-CA"/>
        </w:rPr>
        <w:t>Charter</w:t>
      </w:r>
      <w:r w:rsidRPr="00BA4482">
        <w:rPr>
          <w:rFonts w:cs="Times New Roman"/>
          <w:lang w:val="en-CA"/>
        </w:rPr>
        <w:t>, and even though the proof required of the plaintiff is of a simple “connection” or “factor” rather than of a “causal connection”, he or she must nonetheless prove the three elements of discrimination on a balance of probabilities. This means that the “connection” or “factor” must be proven on a balance of probabilities.</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In its factum, the Commission supports its arguments on this point by citing to passages from </w:t>
      </w:r>
      <w:r w:rsidRPr="00BA4482">
        <w:rPr>
          <w:rFonts w:cs="Times New Roman"/>
          <w:i/>
          <w:iCs/>
          <w:lang w:val="en-CA"/>
        </w:rPr>
        <w:t xml:space="preserve">O’Malley </w:t>
      </w:r>
      <w:r w:rsidRPr="00BA4482">
        <w:rPr>
          <w:rFonts w:cs="Times New Roman"/>
          <w:iCs/>
          <w:lang w:val="en-CA"/>
        </w:rPr>
        <w:t>and</w:t>
      </w:r>
      <w:r w:rsidRPr="00BA4482">
        <w:rPr>
          <w:rFonts w:cs="Times New Roman"/>
          <w:lang w:val="en-CA"/>
        </w:rPr>
        <w:t xml:space="preserve"> </w:t>
      </w:r>
      <w:r w:rsidRPr="00BA4482">
        <w:rPr>
          <w:rFonts w:cs="Times New Roman"/>
          <w:i/>
          <w:iCs/>
          <w:lang w:val="en-CA"/>
        </w:rPr>
        <w:t>Moore</w:t>
      </w:r>
      <w:r w:rsidRPr="00BA4482">
        <w:rPr>
          <w:rFonts w:cs="Times New Roman"/>
          <w:lang w:val="en-CA"/>
        </w:rPr>
        <w:t xml:space="preserve"> that deal with </w:t>
      </w:r>
      <w:r w:rsidRPr="00BA4482">
        <w:rPr>
          <w:rFonts w:cs="Times New Roman"/>
          <w:i/>
          <w:iCs/>
          <w:lang w:val="en-CA"/>
        </w:rPr>
        <w:t>prima facie</w:t>
      </w:r>
      <w:r w:rsidRPr="00BA4482">
        <w:rPr>
          <w:rFonts w:cs="Times New Roman"/>
          <w:iCs/>
          <w:lang w:val="en-CA"/>
        </w:rPr>
        <w:t xml:space="preserve"> discrimination, but the conclusions it draws from those passages about the degree of proof required of the plaintiff are ambiguous. At the hearing, the Commission defined </w:t>
      </w:r>
      <w:r w:rsidRPr="00BA4482">
        <w:rPr>
          <w:rFonts w:cs="Times New Roman"/>
          <w:iCs/>
          <w:lang w:val="en-CA"/>
        </w:rPr>
        <w:lastRenderedPageBreak/>
        <w:t xml:space="preserve">a </w:t>
      </w:r>
      <w:r w:rsidRPr="00BA4482">
        <w:rPr>
          <w:rFonts w:cs="Times New Roman"/>
          <w:i/>
          <w:iCs/>
          <w:lang w:val="en-CA"/>
        </w:rPr>
        <w:t>prima facie</w:t>
      </w:r>
      <w:r w:rsidRPr="00BA4482">
        <w:rPr>
          <w:rFonts w:cs="Times New Roman"/>
          <w:iCs/>
          <w:lang w:val="en-CA"/>
        </w:rPr>
        <w:t xml:space="preserve"> case as [</w:t>
      </w:r>
      <w:r w:rsidRPr="00BA4482">
        <w:rPr>
          <w:rFonts w:cs="Times New Roman"/>
          <w:iCs/>
          <w:smallCaps/>
          <w:lang w:val="en-CA"/>
        </w:rPr>
        <w:t>translation</w:t>
      </w:r>
      <w:r w:rsidRPr="00BA4482">
        <w:rPr>
          <w:rFonts w:cs="Times New Roman"/>
          <w:iCs/>
          <w:lang w:val="en-CA"/>
        </w:rPr>
        <w:t>] “sufficient proof absent an answer that a discriminatory ground was a factor in the occurrence of the adverse effect</w:t>
      </w:r>
      <w:r w:rsidR="001F0C80">
        <w:rPr>
          <w:rFonts w:cs="Times New Roman"/>
          <w:szCs w:val="24"/>
          <w:lang w:val="en-CA"/>
        </w:rPr>
        <w:t>”: t</w:t>
      </w:r>
      <w:r w:rsidRPr="00BA4482">
        <w:rPr>
          <w:rFonts w:cs="Times New Roman"/>
          <w:szCs w:val="24"/>
          <w:lang w:val="en-CA"/>
        </w:rPr>
        <w:t>ranscript, at pp. 11</w:t>
      </w:r>
      <w:r w:rsidRPr="00BA4482">
        <w:rPr>
          <w:rFonts w:cs="Times New Roman"/>
          <w:szCs w:val="24"/>
          <w:lang w:val="en-CA"/>
        </w:rPr>
        <w:noBreakHyphen/>
        <w:t>12</w:t>
      </w:r>
      <w:r w:rsidRPr="00BA4482">
        <w:rPr>
          <w:rFonts w:cs="Times New Roman"/>
          <w:lang w:val="en-CA"/>
        </w:rPr>
        <w:t xml:space="preserve">. It submitted that “the </w:t>
      </w:r>
      <w:r w:rsidRPr="00BA4482">
        <w:rPr>
          <w:rFonts w:eastAsia="Times New Roman" w:cs="Times New Roman"/>
          <w:i/>
          <w:iCs/>
          <w:szCs w:val="24"/>
          <w:lang w:val="en-CA" w:eastAsia="en-CA"/>
        </w:rPr>
        <w:t>prima facie</w:t>
      </w:r>
      <w:r w:rsidRPr="00BA4482">
        <w:rPr>
          <w:rFonts w:eastAsia="Times New Roman" w:cs="Times New Roman"/>
          <w:szCs w:val="24"/>
          <w:lang w:val="en-CA" w:eastAsia="en-CA"/>
        </w:rPr>
        <w:t xml:space="preserve"> test must be flexible and must take account of the context” and that “[t]he context therefore influences the articulation of a plaintiff’s burden and the required degree of proof”: </w:t>
      </w:r>
      <w:r w:rsidRPr="00BA4482">
        <w:rPr>
          <w:rFonts w:eastAsia="Times New Roman" w:cs="Times New Roman"/>
          <w:i/>
          <w:szCs w:val="24"/>
          <w:lang w:val="en-CA" w:eastAsia="en-CA"/>
        </w:rPr>
        <w:t>ibid.</w:t>
      </w:r>
      <w:r w:rsidRPr="00BA4482">
        <w:rPr>
          <w:rFonts w:eastAsia="Times New Roman" w:cs="Times New Roman"/>
          <w:szCs w:val="24"/>
          <w:lang w:val="en-CA" w:eastAsia="en-CA"/>
        </w:rPr>
        <w:t xml:space="preserve">, at p. 16. In the Commission’s view, “there will be a low threshold of proof for the circumstantial evidence that must be produced by the plaintiff”: </w:t>
      </w:r>
      <w:r w:rsidRPr="00BA4482">
        <w:rPr>
          <w:rFonts w:eastAsia="Times New Roman" w:cs="Times New Roman"/>
          <w:i/>
          <w:szCs w:val="24"/>
          <w:lang w:val="en-CA" w:eastAsia="en-CA"/>
        </w:rPr>
        <w:t>ibid.</w:t>
      </w:r>
      <w:r w:rsidRPr="00BA4482">
        <w:rPr>
          <w:rFonts w:eastAsia="Times New Roman" w:cs="Times New Roman"/>
          <w:szCs w:val="24"/>
          <w:lang w:val="en-CA" w:eastAsia="en-CA"/>
        </w:rPr>
        <w:t xml:space="preserve">, at p. 18. The Commission added that </w:t>
      </w:r>
      <w:r w:rsidRPr="00BA4482">
        <w:rPr>
          <w:rFonts w:eastAsia="Times New Roman" w:cs="Times New Roman"/>
          <w:i/>
          <w:iCs/>
          <w:szCs w:val="24"/>
          <w:lang w:val="en-CA" w:eastAsia="en-CA"/>
        </w:rPr>
        <w:t>prima facie</w:t>
      </w:r>
      <w:r w:rsidRPr="00BA4482">
        <w:rPr>
          <w:rFonts w:eastAsia="Times New Roman" w:cs="Times New Roman"/>
          <w:szCs w:val="24"/>
          <w:lang w:val="en-CA" w:eastAsia="en-CA"/>
        </w:rPr>
        <w:t xml:space="preserve"> discrimination does not therefore have to be established in accordance with the standard of proof on a balance of probabilities, and that it is only where the defendant adduces evidence to the contrary — thus providing an explanation for his or her decision — that the Tribunal is required to apply that standard. In essence, the Commission’s argument is that the concept of </w:t>
      </w:r>
      <w:r w:rsidRPr="00BA4482">
        <w:rPr>
          <w:rFonts w:eastAsia="Times New Roman" w:cs="Times New Roman"/>
          <w:i/>
          <w:szCs w:val="24"/>
          <w:lang w:val="en-CA" w:eastAsia="en-CA"/>
        </w:rPr>
        <w:t>prima facie</w:t>
      </w:r>
      <w:r w:rsidRPr="00BA4482">
        <w:rPr>
          <w:rFonts w:eastAsia="Times New Roman" w:cs="Times New Roman"/>
          <w:szCs w:val="24"/>
          <w:lang w:val="en-CA" w:eastAsia="en-CA"/>
        </w:rPr>
        <w:t xml:space="preserve"> discrimination lowers the required degree of proof.</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Bombardier counters that the proof required by the concept of a </w:t>
      </w:r>
      <w:r w:rsidRPr="00BA4482">
        <w:rPr>
          <w:rFonts w:cs="Times New Roman"/>
          <w:i/>
          <w:iCs/>
          <w:lang w:val="en-CA"/>
        </w:rPr>
        <w:t>prima facie</w:t>
      </w:r>
      <w:r w:rsidRPr="00BA4482">
        <w:rPr>
          <w:rFonts w:cs="Times New Roman"/>
          <w:lang w:val="en-CA"/>
        </w:rPr>
        <w:t xml:space="preserve"> case of discrimination is not </w:t>
      </w:r>
      <w:r w:rsidRPr="00BA4482">
        <w:rPr>
          <w:rFonts w:cs="Times New Roman"/>
          <w:iCs/>
          <w:lang w:val="en-CA"/>
        </w:rPr>
        <w:t>[</w:t>
      </w:r>
      <w:r w:rsidRPr="00BA4482">
        <w:rPr>
          <w:rFonts w:cs="Times New Roman"/>
          <w:iCs/>
          <w:smallCaps/>
          <w:lang w:val="en-CA"/>
        </w:rPr>
        <w:t>translation</w:t>
      </w:r>
      <w:r w:rsidRPr="00BA4482">
        <w:rPr>
          <w:rFonts w:cs="Times New Roman"/>
          <w:iCs/>
          <w:lang w:val="en-CA"/>
        </w:rPr>
        <w:t>]</w:t>
      </w:r>
      <w:r w:rsidRPr="00BA4482">
        <w:rPr>
          <w:rFonts w:cs="Times New Roman"/>
          <w:lang w:val="en-CA"/>
        </w:rPr>
        <w:t xml:space="preserve"> “approximate” proof of discrimination, but “proof</w:t>
      </w:r>
      <w:r w:rsidRPr="00BA4482">
        <w:rPr>
          <w:rFonts w:eastAsia="Times New Roman" w:cs="Times New Roman"/>
          <w:szCs w:val="24"/>
          <w:lang w:val="en-CA" w:eastAsia="en-CA"/>
        </w:rPr>
        <w:t xml:space="preserve"> [that] in itself, where no contradiction is shown, is complete and </w:t>
      </w:r>
      <w:proofErr w:type="gramStart"/>
      <w:r w:rsidRPr="00BA4482">
        <w:rPr>
          <w:rFonts w:eastAsia="Times New Roman" w:cs="Times New Roman"/>
          <w:szCs w:val="24"/>
          <w:lang w:val="en-CA" w:eastAsia="en-CA"/>
        </w:rPr>
        <w:t>sufficient .</w:t>
      </w:r>
      <w:proofErr w:type="gramEnd"/>
      <w:r w:rsidRPr="00BA4482">
        <w:rPr>
          <w:rFonts w:eastAsia="Times New Roman" w:cs="Times New Roman"/>
          <w:szCs w:val="24"/>
          <w:lang w:val="en-CA" w:eastAsia="en-CA"/>
        </w:rPr>
        <w:t> . . to establish, on a balance of probabilities, a connection between the decision whose basis is challenged and the prohibited . </w:t>
      </w:r>
      <w:r w:rsidR="001F0C80">
        <w:rPr>
          <w:rFonts w:eastAsia="Times New Roman" w:cs="Times New Roman"/>
          <w:szCs w:val="24"/>
          <w:lang w:val="en-CA" w:eastAsia="en-CA"/>
        </w:rPr>
        <w:t>. . ground of discrimination”: t</w:t>
      </w:r>
      <w:r w:rsidRPr="00BA4482">
        <w:rPr>
          <w:rFonts w:eastAsia="Times New Roman" w:cs="Times New Roman"/>
          <w:szCs w:val="24"/>
          <w:lang w:val="en-CA" w:eastAsia="en-CA"/>
        </w:rPr>
        <w:t>ranscript, at p. 89. In Bombardier’s view, the Tribunal must determine whether, having regard to the evidence as a whole, the plaintiff has established discrimination on a balance of probabilities. If the Tribunal finds that the plaintiff has done so, the defendant can still present a defence of justification, which he or she must then establish</w:t>
      </w:r>
      <w:r w:rsidRPr="00BA4482">
        <w:rPr>
          <w:rFonts w:cs="Times New Roman"/>
          <w:lang w:val="en-CA"/>
        </w:rPr>
        <w:t>.</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szCs w:val="24"/>
          <w:lang w:val="en-CA"/>
        </w:rPr>
        <w:lastRenderedPageBreak/>
        <w:t>In our opinion, Bombardier is right that the standard of proof that normally applies in the civil law, namely that of proof on a balance of probabilities, applies in this case. In a discrimination context, the expression “</w:t>
      </w:r>
      <w:r w:rsidRPr="00BA4482">
        <w:rPr>
          <w:rFonts w:cs="Times New Roman"/>
          <w:i/>
          <w:iCs/>
          <w:szCs w:val="24"/>
          <w:lang w:val="en-CA"/>
        </w:rPr>
        <w:t>prima facie</w:t>
      </w:r>
      <w:r w:rsidRPr="00BA4482">
        <w:rPr>
          <w:rFonts w:cs="Times New Roman"/>
          <w:szCs w:val="24"/>
          <w:lang w:val="en-CA"/>
        </w:rPr>
        <w:t xml:space="preserve">” refers only to the first step of the process and does not alter the applicable degree of proof. This conclusion is inescapable in light of this Court’s past decisions.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The Court made the following comment in </w:t>
      </w:r>
      <w:r w:rsidRPr="00BA4482">
        <w:rPr>
          <w:rFonts w:cs="Times New Roman"/>
          <w:i/>
          <w:iCs/>
          <w:lang w:val="en-CA"/>
        </w:rPr>
        <w:t>O’Malley</w:t>
      </w:r>
      <w:r w:rsidRPr="00BA4482">
        <w:rPr>
          <w:rFonts w:cs="Times New Roman"/>
          <w:lang w:val="en-CA"/>
        </w:rPr>
        <w:t>:</w:t>
      </w:r>
    </w:p>
    <w:p w:rsidR="00FC1A95" w:rsidRPr="00BA4482" w:rsidRDefault="00FC1A95" w:rsidP="00E810E1">
      <w:pPr>
        <w:pStyle w:val="Citation-AltC"/>
        <w:widowControl w:val="0"/>
        <w:ind w:hanging="1166"/>
        <w:contextualSpacing w:val="0"/>
        <w:rPr>
          <w:lang w:val="en-CA"/>
        </w:rPr>
      </w:pPr>
      <w:r w:rsidRPr="00BA4482">
        <w:rPr>
          <w:lang w:val="en-CA"/>
        </w:rPr>
        <w:tab/>
        <w:t xml:space="preserve">The complainant in proceedings before human rights tribunals must show a </w:t>
      </w:r>
      <w:r w:rsidRPr="00BA4482">
        <w:rPr>
          <w:i/>
          <w:u w:val="single"/>
          <w:lang w:val="en-CA"/>
        </w:rPr>
        <w:t>prima facie</w:t>
      </w:r>
      <w:r w:rsidRPr="00BA4482">
        <w:rPr>
          <w:u w:val="single"/>
          <w:lang w:val="en-CA"/>
        </w:rPr>
        <w:t xml:space="preserve"> case</w:t>
      </w:r>
      <w:r w:rsidRPr="00BA4482">
        <w:rPr>
          <w:lang w:val="en-CA"/>
        </w:rPr>
        <w:t xml:space="preserve"> of discrimination. A </w:t>
      </w:r>
      <w:r w:rsidRPr="00BA4482">
        <w:rPr>
          <w:i/>
          <w:lang w:val="en-CA"/>
        </w:rPr>
        <w:t>prima facie</w:t>
      </w:r>
      <w:r w:rsidRPr="00BA4482">
        <w:rPr>
          <w:lang w:val="en-CA"/>
        </w:rPr>
        <w:t xml:space="preserve"> case in this context is one which covers the allegations made and which, if they are believed, is complete and sufficient to justify a verdict in the complainant’s favour in the absence of an answer from the respondent</w:t>
      </w:r>
      <w:r w:rsidRPr="00BA4482">
        <w:rPr>
          <w:lang w:val="en-CA"/>
        </w:rPr>
        <w:noBreakHyphen/>
        <w:t>employer</w:t>
      </w:r>
      <w:r w:rsidRPr="00BA4482">
        <w:rPr>
          <w:szCs w:val="24"/>
          <w:lang w:val="en-CA"/>
        </w:rPr>
        <w:t>. [Emphasis added; p. 558</w:t>
      </w:r>
      <w:r w:rsidRPr="00BA4482">
        <w:rPr>
          <w:spacing w:val="-3"/>
          <w:szCs w:val="24"/>
          <w:lang w:val="en-CA"/>
        </w:rPr>
        <w:t>.]</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In </w:t>
      </w:r>
      <w:r w:rsidRPr="00BA4482">
        <w:rPr>
          <w:rFonts w:cs="Times New Roman"/>
          <w:i/>
          <w:iCs/>
          <w:lang w:val="en-CA"/>
        </w:rPr>
        <w:t>Meiorin</w:t>
      </w:r>
      <w:r w:rsidRPr="00BA4482">
        <w:rPr>
          <w:rFonts w:cs="Times New Roman"/>
          <w:lang w:val="en-CA"/>
        </w:rPr>
        <w:t xml:space="preserve">, the Court stated that, “[i]f a </w:t>
      </w:r>
      <w:r w:rsidRPr="00BA4482">
        <w:rPr>
          <w:rFonts w:cs="Times New Roman"/>
          <w:i/>
          <w:lang w:val="en-CA"/>
        </w:rPr>
        <w:t>prima facie</w:t>
      </w:r>
      <w:r w:rsidRPr="00BA4482">
        <w:rPr>
          <w:rFonts w:cs="Times New Roman"/>
          <w:lang w:val="en-CA"/>
        </w:rPr>
        <w:t xml:space="preserve"> case of either form of discrimination is established, the burden shifts to the employer to justify it”: para. 19.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In </w:t>
      </w:r>
      <w:r w:rsidRPr="00BA4482">
        <w:rPr>
          <w:rFonts w:cs="Times New Roman"/>
          <w:i/>
          <w:iCs/>
          <w:lang w:val="en-CA"/>
        </w:rPr>
        <w:t>City of Montréal</w:t>
      </w:r>
      <w:r w:rsidRPr="00BA4482">
        <w:rPr>
          <w:rFonts w:cs="Times New Roman"/>
          <w:lang w:val="en-CA"/>
        </w:rPr>
        <w:t xml:space="preserve">, which dealt with the </w:t>
      </w:r>
      <w:r w:rsidRPr="00BA4482">
        <w:rPr>
          <w:rFonts w:cs="Times New Roman"/>
          <w:i/>
          <w:lang w:val="en-CA"/>
        </w:rPr>
        <w:t>Charter</w:t>
      </w:r>
      <w:r w:rsidRPr="00BA4482">
        <w:rPr>
          <w:rFonts w:cs="Times New Roman"/>
          <w:lang w:val="en-CA"/>
        </w:rPr>
        <w:t xml:space="preserve">, the Court wrote the following, at para. 65: </w:t>
      </w:r>
    </w:p>
    <w:p w:rsidR="00FC1A95" w:rsidRPr="00BA4482" w:rsidRDefault="00FC1A95" w:rsidP="00E810E1">
      <w:pPr>
        <w:pStyle w:val="Citation-AltC"/>
        <w:widowControl w:val="0"/>
        <w:ind w:hanging="1166"/>
        <w:contextualSpacing w:val="0"/>
        <w:rPr>
          <w:lang w:val="en-CA"/>
        </w:rPr>
      </w:pPr>
      <w:r w:rsidRPr="00BA4482">
        <w:rPr>
          <w:lang w:val="en-CA"/>
        </w:rPr>
        <w:tab/>
      </w:r>
      <w:r w:rsidRPr="00BA4482">
        <w:rPr>
          <w:lang w:val="en-CA"/>
        </w:rPr>
        <w:tab/>
        <w:t xml:space="preserve">. . . the </w:t>
      </w:r>
      <w:r w:rsidRPr="00BA4482">
        <w:rPr>
          <w:i/>
          <w:lang w:val="en-CA"/>
        </w:rPr>
        <w:t>Charter</w:t>
      </w:r>
      <w:r w:rsidRPr="00BA4482">
        <w:rPr>
          <w:lang w:val="en-CA"/>
        </w:rPr>
        <w:t xml:space="preserve"> contemplates a two</w:t>
      </w:r>
      <w:r w:rsidRPr="00BA4482">
        <w:rPr>
          <w:lang w:val="en-CA"/>
        </w:rPr>
        <w:noBreakHyphen/>
        <w:t xml:space="preserve">step process . . . . The first step, set out in s. 10, attempts to eliminate discrimination and requires that the applicant produce </w:t>
      </w:r>
      <w:r w:rsidRPr="00BA4482">
        <w:rPr>
          <w:i/>
          <w:lang w:val="en-CA"/>
        </w:rPr>
        <w:t xml:space="preserve">prima facie </w:t>
      </w:r>
      <w:r w:rsidRPr="00BA4482">
        <w:rPr>
          <w:lang w:val="en-CA"/>
        </w:rPr>
        <w:t>evidence of the discrimination. At this stage, the burden on the applicant is limited to showing prejudice and its connection to a prohibited ground of discrimination.</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Finally, in </w:t>
      </w:r>
      <w:r w:rsidRPr="00BA4482">
        <w:rPr>
          <w:rFonts w:cs="Times New Roman"/>
          <w:i/>
          <w:iCs/>
          <w:lang w:val="en-CA"/>
        </w:rPr>
        <w:t>Moore</w:t>
      </w:r>
      <w:r w:rsidRPr="00BA4482">
        <w:rPr>
          <w:rFonts w:cs="Times New Roman"/>
          <w:lang w:val="en-CA"/>
        </w:rPr>
        <w:t xml:space="preserve">, a more recent case, Abella J. wrote the following for the Court: </w:t>
      </w:r>
    </w:p>
    <w:p w:rsidR="0020391C" w:rsidRPr="00BA4482" w:rsidRDefault="00FC1A95" w:rsidP="00E810E1">
      <w:pPr>
        <w:pStyle w:val="Citation-AltC"/>
        <w:widowControl w:val="0"/>
        <w:ind w:hanging="1166"/>
        <w:contextualSpacing w:val="0"/>
        <w:rPr>
          <w:lang w:val="en-CA"/>
        </w:rPr>
      </w:pPr>
      <w:r w:rsidRPr="00BA4482">
        <w:rPr>
          <w:lang w:val="en-CA"/>
        </w:rPr>
        <w:lastRenderedPageBreak/>
        <w:tab/>
      </w:r>
      <w:r w:rsidRPr="00BA4482">
        <w:rPr>
          <w:lang w:val="en-CA"/>
        </w:rPr>
        <w:tab/>
        <w:t xml:space="preserve">. . . to demonstrate </w:t>
      </w:r>
      <w:r w:rsidRPr="00BA4482">
        <w:rPr>
          <w:i/>
          <w:iCs/>
          <w:u w:val="single"/>
          <w:lang w:val="en-CA"/>
        </w:rPr>
        <w:t>prima facie</w:t>
      </w:r>
      <w:r w:rsidRPr="00BA4482">
        <w:rPr>
          <w:lang w:val="en-CA"/>
        </w:rPr>
        <w:t xml:space="preserve"> discrimination, complainants are required to show that they have a characteristic protected from discrimination under the </w:t>
      </w:r>
      <w:r w:rsidRPr="00BA4482">
        <w:rPr>
          <w:i/>
          <w:iCs/>
          <w:lang w:val="en-CA"/>
        </w:rPr>
        <w:t>Code</w:t>
      </w:r>
      <w:r w:rsidRPr="00BA4482">
        <w:rPr>
          <w:lang w:val="en-CA"/>
        </w:rPr>
        <w:t xml:space="preserve">; that they experienced an adverse impact with respect to the service; and that the protected characteristic was a factor in the adverse impact. Once a </w:t>
      </w:r>
      <w:r w:rsidRPr="00BA4482">
        <w:rPr>
          <w:i/>
          <w:iCs/>
          <w:u w:val="single"/>
          <w:lang w:val="en-CA"/>
        </w:rPr>
        <w:t>prima facie</w:t>
      </w:r>
      <w:r w:rsidRPr="00BA4482">
        <w:rPr>
          <w:i/>
          <w:iCs/>
          <w:lang w:val="en-CA"/>
        </w:rPr>
        <w:t xml:space="preserve"> </w:t>
      </w:r>
      <w:r w:rsidRPr="00BA4482">
        <w:rPr>
          <w:lang w:val="en-CA"/>
        </w:rPr>
        <w:t>case has been established, the burden shifts to the respondent to justify the conduct or practice, within the framework of the exemptions available under human rights statutes. If it cannot be justified, discrimination will be found to occur. [Emphasis added; para. 33</w:t>
      </w:r>
      <w:r w:rsidR="00716BF3" w:rsidRPr="00BA4482">
        <w:rPr>
          <w:lang w:val="en-CA"/>
        </w:rPr>
        <w:t>.</w:t>
      </w:r>
      <w:r w:rsidR="0020391C" w:rsidRPr="00BA4482">
        <w:rPr>
          <w:lang w:val="en-CA"/>
        </w:rPr>
        <w:t>]</w:t>
      </w:r>
    </w:p>
    <w:p w:rsidR="00FC1A95" w:rsidRPr="00BA4482" w:rsidRDefault="0020391C" w:rsidP="00E810E1">
      <w:pPr>
        <w:pStyle w:val="Citation-AltC"/>
        <w:widowControl w:val="0"/>
        <w:ind w:hanging="1166"/>
        <w:contextualSpacing w:val="0"/>
        <w:rPr>
          <w:lang w:val="en-CA"/>
        </w:rPr>
      </w:pPr>
      <w:r w:rsidRPr="00BA4482">
        <w:rPr>
          <w:lang w:val="en-CA"/>
        </w:rPr>
        <w:t>(S</w:t>
      </w:r>
      <w:r w:rsidR="00FC1A95" w:rsidRPr="00BA4482">
        <w:rPr>
          <w:lang w:val="en-CA"/>
        </w:rPr>
        <w:t xml:space="preserve">ee also </w:t>
      </w:r>
      <w:r w:rsidR="00FC1A95" w:rsidRPr="00BA4482">
        <w:rPr>
          <w:i/>
          <w:iCs/>
          <w:lang w:val="en-CA"/>
        </w:rPr>
        <w:t>McGill</w:t>
      </w:r>
      <w:r w:rsidRPr="00BA4482">
        <w:rPr>
          <w:lang w:val="en-CA"/>
        </w:rPr>
        <w:t>, at paras. 49-50.)</w:t>
      </w:r>
    </w:p>
    <w:p w:rsidR="00FC1A95" w:rsidRPr="00BA4482" w:rsidRDefault="00FC1A95" w:rsidP="00E810E1">
      <w:pPr>
        <w:pStyle w:val="ParaNoNdepar-AltN"/>
        <w:widowControl w:val="0"/>
        <w:rPr>
          <w:rFonts w:cs="Times New Roman"/>
          <w:lang w:val="en-CA"/>
        </w:rPr>
      </w:pPr>
      <w:r w:rsidRPr="00BA4482">
        <w:rPr>
          <w:rFonts w:cs="Times New Roman"/>
          <w:lang w:val="en-CA"/>
        </w:rPr>
        <w:t>This brief review of the case law shows that the use of the expression “</w:t>
      </w:r>
      <w:r w:rsidRPr="00BA4482">
        <w:rPr>
          <w:rFonts w:cs="Times New Roman"/>
          <w:i/>
          <w:iCs/>
          <w:lang w:val="en-CA"/>
        </w:rPr>
        <w:t>prima facie</w:t>
      </w:r>
      <w:r w:rsidRPr="00BA4482">
        <w:rPr>
          <w:rFonts w:cs="Times New Roman"/>
          <w:iCs/>
          <w:lang w:val="en-CA"/>
        </w:rPr>
        <w:t xml:space="preserve"> discrimination</w:t>
      </w:r>
      <w:r w:rsidRPr="00BA4482">
        <w:rPr>
          <w:rFonts w:cs="Times New Roman"/>
          <w:lang w:val="en-CA"/>
        </w:rPr>
        <w:t>” can be explained quite simply on the basis of the two</w:t>
      </w:r>
      <w:r w:rsidRPr="00BA4482">
        <w:rPr>
          <w:rFonts w:cs="Times New Roman"/>
          <w:lang w:val="en-CA"/>
        </w:rPr>
        <w:noBreakHyphen/>
        <w:t xml:space="preserve">step test for complaints of discrimination under the </w:t>
      </w:r>
      <w:r w:rsidRPr="00BA4482">
        <w:rPr>
          <w:rFonts w:cs="Times New Roman"/>
          <w:i/>
          <w:lang w:val="en-CA"/>
        </w:rPr>
        <w:t>Charter</w:t>
      </w:r>
      <w:r w:rsidRPr="00BA4482">
        <w:rPr>
          <w:rFonts w:cs="Times New Roman"/>
          <w:lang w:val="en-CA"/>
        </w:rPr>
        <w:t xml:space="preserve">. This expression concerns only the three elements that must be proven by the plaintiff at the first step. If no justification is established by the defendant, proof of these three elements on a balance of probabilities will be sufficient for the tribunal to find that s. 10 of the </w:t>
      </w:r>
      <w:r w:rsidRPr="00BA4482">
        <w:rPr>
          <w:rFonts w:cs="Times New Roman"/>
          <w:i/>
          <w:iCs/>
          <w:lang w:val="en-CA"/>
        </w:rPr>
        <w:t xml:space="preserve">Charter </w:t>
      </w:r>
      <w:r w:rsidRPr="00BA4482">
        <w:rPr>
          <w:rFonts w:cs="Times New Roman"/>
          <w:iCs/>
          <w:lang w:val="en-CA"/>
        </w:rPr>
        <w:t>has been violated</w:t>
      </w:r>
      <w:r w:rsidRPr="00BA4482">
        <w:rPr>
          <w:rFonts w:cs="Times New Roman"/>
          <w:lang w:val="en-CA"/>
        </w:rPr>
        <w:t xml:space="preserve">. If, on the other hand, the defendant succeeds in justifying his or her decision or conduct, there will have been no violation, not even if </w:t>
      </w:r>
      <w:r w:rsidRPr="00BA4482">
        <w:rPr>
          <w:rFonts w:cs="Times New Roman"/>
          <w:i/>
          <w:lang w:val="en-CA"/>
        </w:rPr>
        <w:t>prima facie</w:t>
      </w:r>
      <w:r w:rsidRPr="00BA4482">
        <w:rPr>
          <w:rFonts w:cs="Times New Roman"/>
          <w:lang w:val="en-CA"/>
        </w:rPr>
        <w:t xml:space="preserve"> discrimination is found to have occurred. In practical terms, this means that the defendant can either present evidence to refute the allegation of </w:t>
      </w:r>
      <w:r w:rsidRPr="00BA4482">
        <w:rPr>
          <w:rFonts w:cs="Times New Roman"/>
          <w:i/>
          <w:iCs/>
          <w:lang w:val="en-CA"/>
        </w:rPr>
        <w:t>prima facie</w:t>
      </w:r>
      <w:r w:rsidRPr="00BA4482">
        <w:rPr>
          <w:rFonts w:cs="Times New Roman"/>
          <w:iCs/>
          <w:lang w:val="en-CA"/>
        </w:rPr>
        <w:t xml:space="preserve"> discrimination</w:t>
      </w:r>
      <w:r w:rsidRPr="00BA4482">
        <w:rPr>
          <w:rFonts w:cs="Times New Roman"/>
          <w:lang w:val="en-CA"/>
        </w:rPr>
        <w:t xml:space="preserve">, put forward a defence justifying the discrimination, or do both. </w:t>
      </w:r>
    </w:p>
    <w:p w:rsidR="00FC1A95" w:rsidRPr="00BA4482" w:rsidRDefault="00FC1A95" w:rsidP="00E810E1">
      <w:pPr>
        <w:pStyle w:val="ParaNoNdepar-AltN"/>
        <w:widowControl w:val="0"/>
        <w:rPr>
          <w:rFonts w:cs="Times New Roman"/>
          <w:lang w:val="en-CA"/>
        </w:rPr>
      </w:pPr>
      <w:r w:rsidRPr="00BA4482">
        <w:rPr>
          <w:rFonts w:cs="Times New Roman"/>
          <w:lang w:val="en-CA"/>
        </w:rPr>
        <w:t>Thus, the use of the expression “</w:t>
      </w:r>
      <w:r w:rsidRPr="00BA4482">
        <w:rPr>
          <w:rFonts w:cs="Times New Roman"/>
          <w:i/>
          <w:iCs/>
          <w:lang w:val="en-CA"/>
        </w:rPr>
        <w:t>prima facie</w:t>
      </w:r>
      <w:r w:rsidRPr="00BA4482">
        <w:rPr>
          <w:rFonts w:cs="Times New Roman"/>
          <w:iCs/>
          <w:lang w:val="en-CA"/>
        </w:rPr>
        <w:t xml:space="preserve"> discrimination</w:t>
      </w:r>
      <w:r w:rsidRPr="00BA4482">
        <w:rPr>
          <w:rFonts w:cs="Times New Roman"/>
          <w:lang w:val="en-CA"/>
        </w:rPr>
        <w:t xml:space="preserve">” must not be regarded as a relaxation of the plaintiff’s obligation to satisfy the tribunal in accordance with the standard of proof on a balance of probabilities, which he or she must still meet. This conclusion is in fact supported by the passage from </w:t>
      </w:r>
      <w:r w:rsidRPr="00BA4482">
        <w:rPr>
          <w:rFonts w:cs="Times New Roman"/>
          <w:i/>
          <w:iCs/>
          <w:lang w:val="en-CA"/>
        </w:rPr>
        <w:t xml:space="preserve">O’Malley </w:t>
      </w:r>
      <w:r w:rsidRPr="00BA4482">
        <w:rPr>
          <w:rFonts w:cs="Times New Roman"/>
          <w:iCs/>
          <w:lang w:val="en-CA"/>
        </w:rPr>
        <w:lastRenderedPageBreak/>
        <w:t>quoted above, in which the</w:t>
      </w:r>
      <w:r w:rsidRPr="00BA4482">
        <w:rPr>
          <w:rFonts w:cs="Times New Roman"/>
          <w:lang w:val="en-CA"/>
        </w:rPr>
        <w:t xml:space="preserve"> Court stated that the case must be “complete and sufficient”, that is, it must correspond to the degree of proof required in the civil law. Absent an exception provided by law, there is in Quebec law only one degree of proof in civil matters, namely proof on a balance of probabilities: art. 2804 of the </w:t>
      </w:r>
      <w:r w:rsidRPr="00BA4482">
        <w:rPr>
          <w:rFonts w:cs="Times New Roman"/>
          <w:i/>
          <w:lang w:val="en-CA"/>
        </w:rPr>
        <w:t>Civil Code of Québec</w:t>
      </w:r>
      <w:r w:rsidRPr="00BA4482">
        <w:rPr>
          <w:rFonts w:cs="Times New Roman"/>
          <w:lang w:val="en-CA"/>
        </w:rPr>
        <w:t xml:space="preserve">; see also </w:t>
      </w:r>
      <w:r w:rsidRPr="00BA4482">
        <w:rPr>
          <w:rFonts w:cs="Times New Roman"/>
          <w:i/>
          <w:iCs/>
          <w:lang w:val="en-CA"/>
        </w:rPr>
        <w:t>Banque Canadienne Nationale v. Mastracchio</w:t>
      </w:r>
      <w:r w:rsidRPr="00BA4482">
        <w:rPr>
          <w:rFonts w:cs="Times New Roman"/>
          <w:iCs/>
          <w:lang w:val="en-CA"/>
        </w:rPr>
        <w:t>, [1962] S.C.R. 53, at p. 57</w:t>
      </w:r>
      <w:r w:rsidRPr="00BA4482">
        <w:rPr>
          <w:rFonts w:cs="Times New Roman"/>
          <w:lang w:val="en-CA"/>
        </w:rPr>
        <w:t xml:space="preserve">; </w:t>
      </w:r>
      <w:r w:rsidRPr="00BA4482">
        <w:rPr>
          <w:rFonts w:cs="Times New Roman"/>
          <w:i/>
          <w:iCs/>
          <w:lang w:val="en-CA"/>
        </w:rPr>
        <w:t>Rousseau v. Bennett</w:t>
      </w:r>
      <w:r w:rsidRPr="00BA4482">
        <w:rPr>
          <w:rFonts w:cs="Times New Roman"/>
          <w:lang w:val="en-CA"/>
        </w:rPr>
        <w:t>, [1956] S.C.R. 89, at pp. 92</w:t>
      </w:r>
      <w:r w:rsidRPr="00BA4482">
        <w:rPr>
          <w:rFonts w:cs="Times New Roman"/>
          <w:lang w:val="en-CA"/>
        </w:rPr>
        <w:noBreakHyphen/>
        <w:t>93;</w:t>
      </w:r>
      <w:r w:rsidRPr="00BA4482">
        <w:rPr>
          <w:rFonts w:cs="Times New Roman"/>
          <w:b/>
          <w:bCs/>
          <w:lang w:val="en-CA"/>
        </w:rPr>
        <w:t xml:space="preserve"> </w:t>
      </w:r>
      <w:r w:rsidRPr="00BA4482">
        <w:rPr>
          <w:rFonts w:cs="Times New Roman"/>
          <w:i/>
          <w:iCs/>
          <w:lang w:val="en-CA"/>
        </w:rPr>
        <w:t>Parent v. Lapointe</w:t>
      </w:r>
      <w:r w:rsidRPr="00BA4482">
        <w:rPr>
          <w:rFonts w:cs="Times New Roman"/>
          <w:lang w:val="en-CA"/>
        </w:rPr>
        <w:t xml:space="preserve">, [1952] 1 S.C.R. 376, at p. 380. In the instant case, neither s. 10 of the </w:t>
      </w:r>
      <w:r w:rsidRPr="00BA4482">
        <w:rPr>
          <w:rFonts w:cs="Times New Roman"/>
          <w:i/>
          <w:lang w:val="en-CA"/>
        </w:rPr>
        <w:t>Charter</w:t>
      </w:r>
      <w:r w:rsidRPr="00BA4482">
        <w:rPr>
          <w:rFonts w:cs="Times New Roman"/>
          <w:lang w:val="en-CA"/>
        </w:rPr>
        <w:t xml:space="preserve"> nor the </w:t>
      </w:r>
      <w:r w:rsidRPr="00BA4482">
        <w:rPr>
          <w:rFonts w:cs="Times New Roman"/>
          <w:i/>
          <w:lang w:val="en-CA"/>
        </w:rPr>
        <w:t>Charter</w:t>
      </w:r>
      <w:r w:rsidRPr="00BA4482">
        <w:rPr>
          <w:rFonts w:cs="Times New Roman"/>
          <w:lang w:val="en-CA"/>
        </w:rPr>
        <w:t xml:space="preserve">’s other provisions create such an exception.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At the hearing, the Commission cited s. 123 of the </w:t>
      </w:r>
      <w:r w:rsidRPr="00BA4482">
        <w:rPr>
          <w:rFonts w:cs="Times New Roman"/>
          <w:i/>
          <w:iCs/>
          <w:lang w:val="en-CA"/>
        </w:rPr>
        <w:t>Charter</w:t>
      </w:r>
      <w:r w:rsidRPr="00BA4482">
        <w:rPr>
          <w:rFonts w:cs="Times New Roman"/>
          <w:iCs/>
          <w:lang w:val="en-CA"/>
        </w:rPr>
        <w:t xml:space="preserve"> in support of its argument that the degree of proof is different in a discrimination case</w:t>
      </w:r>
      <w:r w:rsidRPr="00BA4482">
        <w:rPr>
          <w:rFonts w:cs="Times New Roman"/>
          <w:lang w:val="en-CA"/>
        </w:rPr>
        <w:t xml:space="preserve">. In our opinion, s. 123 of the </w:t>
      </w:r>
      <w:r w:rsidRPr="00BA4482">
        <w:rPr>
          <w:rFonts w:cs="Times New Roman"/>
          <w:i/>
          <w:iCs/>
          <w:lang w:val="en-CA"/>
        </w:rPr>
        <w:t>Charter</w:t>
      </w:r>
      <w:r w:rsidRPr="00BA4482">
        <w:rPr>
          <w:rFonts w:cs="Times New Roman"/>
          <w:iCs/>
          <w:lang w:val="en-CA"/>
        </w:rPr>
        <w:t xml:space="preserve"> </w:t>
      </w:r>
      <w:r w:rsidRPr="00BA4482">
        <w:rPr>
          <w:rFonts w:cs="Times New Roman"/>
          <w:lang w:val="en-CA"/>
        </w:rPr>
        <w:t>applies to an entirely different situation. It reads as follows:</w:t>
      </w:r>
    </w:p>
    <w:p w:rsidR="00FC1A95" w:rsidRPr="00BA4482" w:rsidRDefault="00FC1A95" w:rsidP="00E810E1">
      <w:pPr>
        <w:pStyle w:val="Citation-AltC"/>
        <w:widowControl w:val="0"/>
        <w:spacing w:after="240"/>
        <w:ind w:hanging="1166"/>
        <w:contextualSpacing w:val="0"/>
        <w:rPr>
          <w:lang w:val="en-CA"/>
        </w:rPr>
      </w:pPr>
      <w:r w:rsidRPr="00BA4482">
        <w:rPr>
          <w:lang w:val="en-CA"/>
        </w:rPr>
        <w:tab/>
        <w:t xml:space="preserve">The Tribunal, </w:t>
      </w:r>
      <w:r w:rsidRPr="00BA4482">
        <w:rPr>
          <w:u w:val="single"/>
          <w:lang w:val="en-CA"/>
        </w:rPr>
        <w:t>though bound by the general principles of justice</w:t>
      </w:r>
      <w:r w:rsidRPr="00BA4482">
        <w:rPr>
          <w:lang w:val="en-CA"/>
        </w:rPr>
        <w:t>, may admit any evidence useful and relevant to the application submitted to it and allow any means of proof.</w:t>
      </w:r>
      <w:bookmarkStart w:id="25" w:name="D%123_Y"/>
      <w:bookmarkEnd w:id="25"/>
    </w:p>
    <w:p w:rsidR="00FC1A95" w:rsidRPr="00BA4482" w:rsidRDefault="00FC1A95" w:rsidP="00E810E1">
      <w:pPr>
        <w:pStyle w:val="Citation-AltC"/>
        <w:widowControl w:val="0"/>
        <w:ind w:hanging="1166"/>
        <w:contextualSpacing w:val="0"/>
        <w:rPr>
          <w:lang w:val="en-CA"/>
        </w:rPr>
      </w:pPr>
      <w:r w:rsidRPr="00BA4482">
        <w:rPr>
          <w:lang w:val="en-CA"/>
        </w:rPr>
        <w:tab/>
        <w:t>The Tribunal is not bound by the special rules of evidence applicable in civil matters, except to the extent determined in this Part.</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In essence, the purpose of this section is to relax the rules governing the admissibility and presentation of evidence, not to lower the usual civil standard of proof. In practice, this means that the Tribunal may accept any means of proof — writings, presumptions, testimony, admissions or the production of real evidence. Since it is not bound by the specific rules of evidence applicable in civil matters, it could, for example, admit hearsay evidence on certain conditions. That being said, the </w:t>
      </w:r>
      <w:r w:rsidRPr="00BA4482">
        <w:rPr>
          <w:rFonts w:cs="Times New Roman"/>
          <w:lang w:val="en-CA"/>
        </w:rPr>
        <w:lastRenderedPageBreak/>
        <w:t xml:space="preserve">Tribunal must nevertheless, after hearing all the evidence, be satisfied on a balance of probabilities that the plaintiff has been discriminated against before it can decide in the plaintiff’s favour. </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This relaxation of the rules of evidence is not unique to the Tribunal or to the application of the </w:t>
      </w:r>
      <w:r w:rsidRPr="00BA4482">
        <w:rPr>
          <w:rFonts w:cs="Times New Roman"/>
          <w:i/>
          <w:lang w:val="en-CA"/>
        </w:rPr>
        <w:t>Charter</w:t>
      </w:r>
      <w:r w:rsidRPr="00BA4482">
        <w:rPr>
          <w:rFonts w:cs="Times New Roman"/>
          <w:lang w:val="en-CA"/>
        </w:rPr>
        <w:t>; it can in fact be found in the enabling legislation of other quasi</w:t>
      </w:r>
      <w:r w:rsidRPr="00BA4482">
        <w:rPr>
          <w:rFonts w:cs="Times New Roman"/>
          <w:lang w:val="en-CA"/>
        </w:rPr>
        <w:noBreakHyphen/>
        <w:t xml:space="preserve">judicial tribunals. This choice can be explained by a legislative intent to favour the resolution of certain types of disputes in a more expeditious and less costly manner, and in more accessible and less formalistic forums in which plaintiffs are often not represented by counsel: see, </w:t>
      </w:r>
      <w:r w:rsidRPr="00BA4482">
        <w:rPr>
          <w:rFonts w:cs="Times New Roman"/>
          <w:i/>
          <w:lang w:val="en-CA"/>
        </w:rPr>
        <w:t>inter alia</w:t>
      </w:r>
      <w:r w:rsidRPr="00BA4482">
        <w:rPr>
          <w:rFonts w:cs="Times New Roman"/>
          <w:lang w:val="en-CA"/>
        </w:rPr>
        <w:t xml:space="preserve">, P. Garant, </w:t>
      </w:r>
      <w:r w:rsidRPr="00BA4482">
        <w:rPr>
          <w:rFonts w:cs="Times New Roman"/>
          <w:i/>
          <w:iCs/>
          <w:lang w:val="en-CA"/>
        </w:rPr>
        <w:t>Droit administratif</w:t>
      </w:r>
      <w:r w:rsidRPr="00BA4482">
        <w:rPr>
          <w:rFonts w:cs="Times New Roman"/>
          <w:lang w:val="en-CA"/>
        </w:rPr>
        <w:t xml:space="preserve"> (6th ed. 2010), at p. 105. Subject to the principles of natural justice and to the specific rules set out in their enabling legislation, administrative tribunals therefore have full authority over their procedure and over the admission of evidence: see, </w:t>
      </w:r>
      <w:r w:rsidRPr="00BA4482">
        <w:rPr>
          <w:rFonts w:cs="Times New Roman"/>
          <w:i/>
          <w:lang w:val="en-CA"/>
        </w:rPr>
        <w:t>inter alia</w:t>
      </w:r>
      <w:r w:rsidRPr="00BA4482">
        <w:rPr>
          <w:rFonts w:cs="Times New Roman"/>
          <w:lang w:val="en-CA"/>
        </w:rPr>
        <w:t xml:space="preserve">, ss. 9 to 12 of the </w:t>
      </w:r>
      <w:r w:rsidRPr="00BA4482">
        <w:rPr>
          <w:rFonts w:cs="Times New Roman"/>
          <w:i/>
          <w:iCs/>
          <w:lang w:val="en-CA"/>
        </w:rPr>
        <w:t>Act respecting administrative justice</w:t>
      </w:r>
      <w:r w:rsidRPr="00BA4482">
        <w:rPr>
          <w:rFonts w:cs="Times New Roman"/>
          <w:lang w:val="en-CA"/>
        </w:rPr>
        <w:t>, CQLR, c. J</w:t>
      </w:r>
      <w:r w:rsidRPr="00BA4482">
        <w:rPr>
          <w:rFonts w:cs="Times New Roman"/>
          <w:lang w:val="en-CA"/>
        </w:rPr>
        <w:noBreakHyphen/>
        <w:t xml:space="preserve">3; </w:t>
      </w:r>
      <w:r w:rsidRPr="00BA4482">
        <w:rPr>
          <w:rFonts w:cs="Times New Roman"/>
          <w:i/>
          <w:iCs/>
          <w:lang w:val="en-CA"/>
        </w:rPr>
        <w:t>Université du Québec à Trois</w:t>
      </w:r>
      <w:r w:rsidRPr="00BA4482">
        <w:rPr>
          <w:rFonts w:cs="Times New Roman"/>
          <w:i/>
          <w:iCs/>
          <w:lang w:val="en-CA"/>
        </w:rPr>
        <w:noBreakHyphen/>
        <w:t>Rivières v. Larocque</w:t>
      </w:r>
      <w:r w:rsidRPr="00BA4482">
        <w:rPr>
          <w:rFonts w:cs="Times New Roman"/>
          <w:lang w:val="en-CA"/>
        </w:rPr>
        <w:t>, [1993] 1 S.C.R. 471, at p. 485.</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We wish to be clear that the application of a given legal test must be based on the same elements and the same degree of proof in every case. This is necessary in order to maintain the uniformity, integrity and predictability of the law. We therefore fail to see how the flexibility that the Commission says must characterize the </w:t>
      </w:r>
      <w:r w:rsidRPr="00BA4482">
        <w:rPr>
          <w:rFonts w:cs="Times New Roman"/>
          <w:i/>
          <w:lang w:val="en-CA"/>
        </w:rPr>
        <w:t xml:space="preserve">prima facie </w:t>
      </w:r>
      <w:r w:rsidRPr="00BA4482">
        <w:rPr>
          <w:rFonts w:cs="Times New Roman"/>
          <w:lang w:val="en-CA"/>
        </w:rPr>
        <w:t xml:space="preserve">discrimination test can affect the process aside from making it possible to take the circumstances of each case, and in particular the ground of discrimination being alleged, into account. Thus, although the nature of the evidence that is presented may vary from case to case, the “legal test” does not </w:t>
      </w:r>
      <w:r w:rsidRPr="00BA4482">
        <w:rPr>
          <w:rFonts w:cs="Times New Roman"/>
          <w:lang w:val="en-CA"/>
        </w:rPr>
        <w:lastRenderedPageBreak/>
        <w:t>change. What can vary are the circumstances that might make it possible to meet the requirements of the various elements of the analysis, and the courts must adopt an approach that takes the context into account.</w:t>
      </w:r>
    </w:p>
    <w:p w:rsidR="00FC1A95" w:rsidRPr="00BA4482" w:rsidRDefault="00FC1A95" w:rsidP="00E810E1">
      <w:pPr>
        <w:pStyle w:val="Title2LevelTitre2Niveau"/>
        <w:widowControl w:val="0"/>
        <w:tabs>
          <w:tab w:val="clear" w:pos="576"/>
          <w:tab w:val="num" w:pos="432"/>
        </w:tabs>
        <w:ind w:left="431" w:hanging="431"/>
        <w:outlineLvl w:val="0"/>
        <w:rPr>
          <w:rFonts w:cs="Times New Roman"/>
        </w:rPr>
      </w:pPr>
      <w:bookmarkStart w:id="26" w:name="_Toc416791119"/>
      <w:bookmarkStart w:id="27" w:name="_Toc417482738"/>
      <w:r w:rsidRPr="00BA4482">
        <w:rPr>
          <w:rFonts w:cs="Times New Roman"/>
        </w:rPr>
        <w:t>Has Prima Facie Discrimination on Bombardier’s Part Been Proven?</w:t>
      </w:r>
      <w:bookmarkEnd w:id="26"/>
      <w:bookmarkEnd w:id="27"/>
    </w:p>
    <w:p w:rsidR="00FC1A95" w:rsidRPr="00BA4482" w:rsidRDefault="00FC1A95" w:rsidP="00E810E1">
      <w:pPr>
        <w:pStyle w:val="ParaNoNdepar-AltN"/>
        <w:widowControl w:val="0"/>
        <w:jc w:val="lowKashida"/>
        <w:rPr>
          <w:rFonts w:cs="Times New Roman"/>
          <w:szCs w:val="24"/>
          <w:lang w:val="en-CA"/>
        </w:rPr>
      </w:pPr>
      <w:r w:rsidRPr="00BA4482">
        <w:rPr>
          <w:rFonts w:cs="Times New Roman"/>
          <w:lang w:val="en-CA"/>
        </w:rPr>
        <w:t xml:space="preserve">In a recent case, </w:t>
      </w:r>
      <w:r w:rsidRPr="00BA4482">
        <w:rPr>
          <w:rFonts w:cs="Times New Roman"/>
          <w:i/>
          <w:iCs/>
          <w:lang w:val="en-CA"/>
        </w:rPr>
        <w:t>Mouvement laïque québécois v. Saguenay (City)</w:t>
      </w:r>
      <w:r w:rsidRPr="00BA4482">
        <w:rPr>
          <w:rFonts w:cs="Times New Roman"/>
          <w:lang w:val="en-CA"/>
        </w:rPr>
        <w:t>, 2015 SCC 16</w:t>
      </w:r>
      <w:r w:rsidR="001F0C80">
        <w:rPr>
          <w:rFonts w:cs="Times New Roman"/>
          <w:lang w:val="en-CA"/>
        </w:rPr>
        <w:t>, [2015] 2 S.C.R. 3</w:t>
      </w:r>
      <w:r w:rsidRPr="00BA4482">
        <w:rPr>
          <w:rFonts w:cs="Times New Roman"/>
          <w:lang w:val="en-CA"/>
        </w:rPr>
        <w:t xml:space="preserve"> (“</w:t>
      </w:r>
      <w:r w:rsidRPr="00BA4482">
        <w:rPr>
          <w:rFonts w:cs="Times New Roman"/>
          <w:i/>
          <w:iCs/>
          <w:lang w:val="en-CA"/>
        </w:rPr>
        <w:t>City of Saguenay</w:t>
      </w:r>
      <w:r w:rsidRPr="00BA4482">
        <w:rPr>
          <w:rFonts w:cs="Times New Roman"/>
          <w:iCs/>
          <w:lang w:val="en-CA"/>
        </w:rPr>
        <w:t>”</w:t>
      </w:r>
      <w:r w:rsidRPr="00BA4482">
        <w:rPr>
          <w:rFonts w:cs="Times New Roman"/>
          <w:lang w:val="en-CA"/>
        </w:rPr>
        <w:t>), this Court confirmed that the Tribunal is an administrative tribunal and that the applicable standard of review is determined on the basis of administrative law principles, regardless of whether the review is conducted in the context of an application for judicial review or of a statutory appeal: paras. 38</w:t>
      </w:r>
      <w:r w:rsidRPr="00BA4482">
        <w:rPr>
          <w:rFonts w:cs="Times New Roman"/>
          <w:lang w:val="en-CA"/>
        </w:rPr>
        <w:noBreakHyphen/>
        <w:t>44. Because the decision in that case was rendered after the hearing in the case at bar, some of the parties’ arguments have already been decided by this Court and do not require further comment here.</w:t>
      </w:r>
    </w:p>
    <w:p w:rsidR="00FC1A95" w:rsidRPr="00BA4482" w:rsidRDefault="00FC1A95" w:rsidP="00E810E1">
      <w:pPr>
        <w:pStyle w:val="ParaNoNdepar-AltN"/>
        <w:widowControl w:val="0"/>
        <w:jc w:val="lowKashida"/>
        <w:rPr>
          <w:rFonts w:cs="Times New Roman"/>
          <w:szCs w:val="24"/>
          <w:lang w:val="en-CA"/>
        </w:rPr>
      </w:pPr>
      <w:r w:rsidRPr="00BA4482">
        <w:rPr>
          <w:rFonts w:cs="Times New Roman"/>
          <w:lang w:val="en-CA"/>
        </w:rPr>
        <w:t xml:space="preserve">Mr. Latif argues that, because the Court of Appeal held that the Tribunal had correctly identified the test for complaints of discrimination under the </w:t>
      </w:r>
      <w:r w:rsidRPr="00BA4482">
        <w:rPr>
          <w:rFonts w:cs="Times New Roman"/>
          <w:i/>
          <w:lang w:val="en-CA"/>
        </w:rPr>
        <w:t>Charter</w:t>
      </w:r>
      <w:r w:rsidRPr="00BA4482">
        <w:rPr>
          <w:rFonts w:cs="Times New Roman"/>
          <w:lang w:val="en-CA"/>
        </w:rPr>
        <w:t>, his appeal concerns only the application of that test to the facts of this case. In his view, the Court of Appeal erred in applying the palpable and overriding error standard to this question of mixed fact and law and in substituting its own assessment of the facts for that of the Tribunal. He submits that the standard applicable to such a question, namely reasonableness, requires greater deference to the Tribunal’s decision.</w:t>
      </w:r>
    </w:p>
    <w:p w:rsidR="00FC1A95" w:rsidRPr="00BA4482" w:rsidRDefault="00FC1A95" w:rsidP="00E810E1">
      <w:pPr>
        <w:pStyle w:val="ParaNoNdepar-AltN"/>
        <w:widowControl w:val="0"/>
        <w:jc w:val="lowKashida"/>
        <w:rPr>
          <w:rFonts w:cs="Times New Roman"/>
          <w:szCs w:val="24"/>
          <w:lang w:val="en-CA"/>
        </w:rPr>
      </w:pPr>
      <w:r w:rsidRPr="00BA4482">
        <w:rPr>
          <w:rFonts w:cs="Times New Roman"/>
          <w:lang w:val="en-CA"/>
        </w:rPr>
        <w:lastRenderedPageBreak/>
        <w:t>Bombardier contends that, where questions of fact and questions of mixed fact and law are concerned, the tests for intervention by an appellate court or a reviewing court are the same. It adds, however, that the Tribunal’s decision must be set aside even if the applicable standard is reasonableness. Bombardier maintains that a decision is unreasonable if support for its conclusions cannot be found in the evidence, arguing that the decision in this case was in fact unreasonable because there was no evidence to support the Tribunal’s conclusion that there was a connection between Mr. Latif’s ethnic or national origin and the U.S. authorities’ refusal. Bombardier also argues that the Court of Appeal did not reassess the expert evidence submitted to the Tribunal but found, rather, that there was no evidence of a causal connection.</w:t>
      </w:r>
      <w:r w:rsidRPr="00BA4482">
        <w:rPr>
          <w:rFonts w:cs="Times New Roman"/>
          <w:szCs w:val="24"/>
          <w:lang w:val="en-CA"/>
        </w:rPr>
        <w:t xml:space="preserve"> </w:t>
      </w:r>
    </w:p>
    <w:p w:rsidR="00FC1A95" w:rsidRPr="00BA4482" w:rsidRDefault="00FC1A95" w:rsidP="00E810E1">
      <w:pPr>
        <w:pStyle w:val="ParaNoNdepar-AltN"/>
        <w:widowControl w:val="0"/>
        <w:rPr>
          <w:rFonts w:cs="Times New Roman"/>
          <w:szCs w:val="24"/>
          <w:lang w:val="en-CA"/>
        </w:rPr>
      </w:pPr>
      <w:r w:rsidRPr="00BA4482">
        <w:rPr>
          <w:rFonts w:cs="Times New Roman"/>
          <w:lang w:val="en-CA"/>
        </w:rPr>
        <w:t>For the reasons that follow, we are of the opinion that because the Tribunal’s decision was not supported by the evidence in the record, it was unreasonable and must therefore be set aside.</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The parties agreed that Bombardier’s decision to deny Mr. Latif’s request for training under his Canadian licence was based </w:t>
      </w:r>
      <w:r w:rsidRPr="00BA4482">
        <w:rPr>
          <w:rFonts w:cs="Times New Roman"/>
          <w:i/>
          <w:lang w:val="en-CA"/>
        </w:rPr>
        <w:t>solely</w:t>
      </w:r>
      <w:r w:rsidRPr="00BA4482">
        <w:rPr>
          <w:rFonts w:cs="Times New Roman"/>
          <w:lang w:val="en-CA"/>
        </w:rPr>
        <w:t xml:space="preserve"> on the fact that Mr. Latif had not received a security clearance from DOJ to receive training under his U.S. licence. But the Commission had to show that Bombardier’s decision was discriminatory by establishing on a balance of probabilities that there was a connection between the decision and Mr. Latif’s ethnic or national origin. The Commission argues that Mr. Latif was a victim of racial profiling on the part of the U.S. authorities and that Bombardier acted as a conduit for their decision. More specifically, the Commission </w:t>
      </w:r>
      <w:r w:rsidRPr="00BA4482">
        <w:rPr>
          <w:rFonts w:cs="Times New Roman"/>
          <w:lang w:val="en-CA"/>
        </w:rPr>
        <w:lastRenderedPageBreak/>
        <w:t xml:space="preserve">submits that the measures implemented by the U.S. authorities at the relevant time in order to counter and prevent terrorism directly targeted Arab or Muslim people or, more broadly, people from Muslim countries, including Pakistan. Because Mr. Latif was born in the latter country, the U.S. authorities’ decision concerning him stemmed from those measures.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The Tribunal accepted that syllogism and concluded that Bombardier’s decision was based on Mr. Latif’s ethnic or national origin.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Although the Court of Appeal found that the Tribunal had correctly identified the elements of discrimination, it held that the evidence in the record did not support a conclusion that the U.S. authorities’ decision was based on Mr. Latif’s ethnic or national origin and that Bombardier’s decision was therefore discriminatory.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Bombardier agrees with the Court of Appeal that the inference drawn by the Tribunal was based solely on the expert report of Ms. Bahdi that had been filed by the Commission. In Bombardier’s view, because that report dealt only with the Islamophobic social context in the United States and with government programs other than the AFSP, it could not support the Tribunal’s inference. In fact, according to Bombardier, the Court of Appeal set aside the Tribunal’s decision for that reason alone.</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The Commission and Mr. Latif argue that the Tribunal’s conclusion was reasonable and that it was supported by several pieces of circumstantial evidence, and </w:t>
      </w:r>
      <w:r w:rsidRPr="00BA4482">
        <w:rPr>
          <w:rFonts w:cs="Times New Roman"/>
          <w:lang w:val="en-CA"/>
        </w:rPr>
        <w:lastRenderedPageBreak/>
        <w:t xml:space="preserve">not only by Ms. Bahdi’s expert report.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In our opinion, the Commission and Mr. Latif are wrong.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Because Bombardier’s decision to deny Mr. Latif’s request for training was based </w:t>
      </w:r>
      <w:r w:rsidRPr="00BA4482">
        <w:rPr>
          <w:rFonts w:cs="Times New Roman"/>
          <w:i/>
          <w:lang w:val="en-CA"/>
        </w:rPr>
        <w:t>solely</w:t>
      </w:r>
      <w:r w:rsidRPr="00BA4482">
        <w:rPr>
          <w:rFonts w:cs="Times New Roman"/>
          <w:lang w:val="en-CA"/>
        </w:rPr>
        <w:t xml:space="preserve"> on DOJ’s refusal to issue him a security clearance, it is common ground that proof of a connection between the U.S. authorities’ decision and a prohibited ground of discrimination would have satisfied the requirements of the second element of the test for </w:t>
      </w:r>
      <w:r w:rsidRPr="00BA4482">
        <w:rPr>
          <w:rFonts w:cs="Times New Roman"/>
          <w:i/>
          <w:lang w:val="en-CA"/>
        </w:rPr>
        <w:t>prima facie</w:t>
      </w:r>
      <w:r w:rsidRPr="00BA4482">
        <w:rPr>
          <w:rFonts w:cs="Times New Roman"/>
          <w:lang w:val="en-CA"/>
        </w:rPr>
        <w:t xml:space="preserve"> discrimination. However, the Commission did not adduce sufficient evidence to show that Mr. Latif’s ethnic or national origin played any role in DOJ’s unfavourable reply to his security screening request.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As for the circumstantial evidence, we do not agree with the Court of Appeal that the inference drawn by the Tribunal was based solely on Ms. Bahdi’s expert report. The Tribunal based its finding on all the evidence in the record. In our opinion, however, that evidence was not sufficient to support an inference of a connection between Mr. Latif’s ethnic or national origin and his exclusion. It follows that the Tribunal’s finding of fact was clearly unreasonable.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The parties do not know why DOJ refused to issue a security clearance for Mr. Latif in 2004. Indeed, the Tribunal wrote, at para. 310: [</w:t>
      </w:r>
      <w:r w:rsidRPr="00BA4482">
        <w:rPr>
          <w:rFonts w:cs="Times New Roman"/>
          <w:smallCaps/>
          <w:lang w:val="en-CA"/>
        </w:rPr>
        <w:t>translation</w:t>
      </w:r>
      <w:r w:rsidRPr="00BA4482">
        <w:rPr>
          <w:rFonts w:cs="Times New Roman"/>
          <w:lang w:val="en-CA"/>
        </w:rPr>
        <w:t xml:space="preserve">] “We do not know the process, criteria or objective reasons that resulted in the refusal by the US authorities to give Mr. Latif security </w:t>
      </w:r>
      <w:r w:rsidR="00B07D19" w:rsidRPr="00BA4482">
        <w:rPr>
          <w:rFonts w:cs="Times New Roman"/>
          <w:lang w:val="en-CA"/>
        </w:rPr>
        <w:t>clearance.</w:t>
      </w:r>
      <w:r w:rsidRPr="00BA4482">
        <w:rPr>
          <w:rFonts w:cs="Times New Roman"/>
          <w:lang w:val="en-CA"/>
        </w:rPr>
        <w:t> . .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lastRenderedPageBreak/>
        <w:t>Surprisingly, the only direct evidence concerning the reasons for DOJ’s decision comes from Mr. Latif’s own testimony. According to him, he was denied a security clearance as a result of an identification error, which he says was confirmed to him by telephone by a TSA official</w:t>
      </w:r>
      <w:r w:rsidRPr="00BA4482">
        <w:rPr>
          <w:rFonts w:cs="Times New Roman"/>
          <w:szCs w:val="24"/>
          <w:lang w:val="en-CA"/>
        </w:rPr>
        <w:t>.</w:t>
      </w:r>
      <w:r w:rsidRPr="00BA4482">
        <w:rPr>
          <w:rFonts w:cs="Times New Roman"/>
          <w:lang w:val="en-CA"/>
        </w:rPr>
        <w:t xml:space="preserve"> Bombardier argues that it was this identification error, and not Mr. Latif’s ethnic or national origin, that led to the refusal by the U.S. authorities. However, the Tribunal rejected that theory, adding that even if DOJ’s decision had resulted from such an error, that error had, on a balance of probabilities, been caused by discriminatory programs and racial profiling, given that the security screening process could lead to [</w:t>
      </w:r>
      <w:r w:rsidRPr="00BA4482">
        <w:rPr>
          <w:rFonts w:cs="Times New Roman"/>
          <w:smallCaps/>
          <w:lang w:val="en-CA"/>
        </w:rPr>
        <w:t>translation</w:t>
      </w:r>
      <w:r w:rsidRPr="00BA4482">
        <w:rPr>
          <w:rFonts w:cs="Times New Roman"/>
          <w:lang w:val="en-CA"/>
        </w:rPr>
        <w:t>] “false positives”: para. 310.</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It is therefore apparent that the Commission failed to satisfy the Tribunal that there was direct evidence concerning the real reason for the U.S. decision. For its conclusion that Mr. Latif had been discriminated against to be reasonable, therefore, the Tribunal had to be able to rely on circumstantial evidence. In our opinion, that evidence was insufficient in this case. Let us explain.</w:t>
      </w:r>
    </w:p>
    <w:p w:rsidR="00FC1A95" w:rsidRPr="00BA4482" w:rsidRDefault="00FC1A95" w:rsidP="00E810E1">
      <w:pPr>
        <w:pStyle w:val="Title3LevelTitre3Niveau"/>
        <w:widowControl w:val="0"/>
        <w:tabs>
          <w:tab w:val="clear" w:pos="1152"/>
          <w:tab w:val="num" w:pos="864"/>
        </w:tabs>
        <w:ind w:left="864" w:hanging="432"/>
        <w:outlineLvl w:val="0"/>
        <w:rPr>
          <w:rFonts w:cs="Times New Roman"/>
        </w:rPr>
      </w:pPr>
      <w:bookmarkStart w:id="28" w:name="_Toc416791121"/>
      <w:bookmarkStart w:id="29" w:name="_Toc417482740"/>
      <w:r w:rsidRPr="00BA4482">
        <w:rPr>
          <w:rFonts w:cs="Times New Roman"/>
        </w:rPr>
        <w:t>Ms. Bahdi’s Expert Report</w:t>
      </w:r>
      <w:bookmarkEnd w:id="28"/>
      <w:bookmarkEnd w:id="29"/>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The Commission’s case is based in large part on the report of Ms. Bahdi, who was qualified for the purposes of this case as an expert in racial profiling, more specifically in the context of the application of anti</w:t>
      </w:r>
      <w:r w:rsidRPr="00BA4482">
        <w:rPr>
          <w:rFonts w:cs="Times New Roman"/>
          <w:lang w:val="en-CA"/>
        </w:rPr>
        <w:noBreakHyphen/>
        <w:t xml:space="preserve">terrorism measures and programs related to national security in the United States after September 11, 2001. The Tribunal relied on that report to conclude, by way of presumption, that Bombardier’s </w:t>
      </w:r>
      <w:r w:rsidRPr="00BA4482">
        <w:rPr>
          <w:rFonts w:cs="Times New Roman"/>
          <w:lang w:val="en-CA"/>
        </w:rPr>
        <w:lastRenderedPageBreak/>
        <w:t>decision to deny Mr. Latif’s training request had been based on his ethnic or national origin.</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eastAsiaTheme="minorHAnsi" w:cs="Times New Roman"/>
          <w:lang w:val="en-CA"/>
        </w:rPr>
        <w:t>Ms. Bahdi’s expert report has three main parts: a description of the use of racial profiling in certain national security-related programs of U.S. authorities, a discussion of the a</w:t>
      </w:r>
      <w:r w:rsidRPr="00BA4482">
        <w:rPr>
          <w:rFonts w:eastAsiaTheme="minorHAnsi" w:cs="Times New Roman"/>
          <w:iCs/>
          <w:lang w:val="en-CA"/>
        </w:rPr>
        <w:t>ttitudinal biases, stereotyping and general discrimination faced by Arabs and Muslims in the United States</w:t>
      </w:r>
      <w:r w:rsidRPr="00BA4482">
        <w:rPr>
          <w:rFonts w:eastAsiaTheme="minorHAnsi" w:cs="Times New Roman"/>
          <w:lang w:val="en-CA"/>
        </w:rPr>
        <w:t>, and the author’s opinion that racial profiling is ineffective for national security purposes.</w:t>
      </w:r>
      <w:r w:rsidRPr="00BA4482">
        <w:rPr>
          <w:rFonts w:cs="Times New Roman"/>
          <w:lang w:val="en-CA"/>
        </w:rPr>
        <w:t xml:space="preserve">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The Court of Appeal found that the expert report did not refer to the only program </w:t>
      </w:r>
      <w:r w:rsidRPr="00BA4482">
        <w:rPr>
          <w:rFonts w:cs="Times New Roman"/>
          <w:i/>
          <w:iCs/>
          <w:spacing w:val="-2"/>
          <w:lang w:val="en-CA" w:eastAsia="fr-CA"/>
        </w:rPr>
        <w:t xml:space="preserve">— </w:t>
      </w:r>
      <w:r w:rsidRPr="00BA4482">
        <w:rPr>
          <w:rFonts w:cs="Times New Roman"/>
          <w:lang w:val="en-CA"/>
        </w:rPr>
        <w:t xml:space="preserve">the AFSP </w:t>
      </w:r>
      <w:r w:rsidRPr="00BA4482">
        <w:rPr>
          <w:rFonts w:cs="Times New Roman"/>
          <w:i/>
          <w:iCs/>
          <w:spacing w:val="-2"/>
          <w:lang w:val="en-CA" w:eastAsia="fr-CA"/>
        </w:rPr>
        <w:t>—</w:t>
      </w:r>
      <w:r w:rsidRPr="00BA4482">
        <w:rPr>
          <w:rFonts w:cs="Times New Roman"/>
          <w:iCs/>
          <w:spacing w:val="-2"/>
          <w:lang w:val="en-CA" w:eastAsia="fr-CA"/>
        </w:rPr>
        <w:t xml:space="preserve"> at issue in this case</w:t>
      </w:r>
      <w:r w:rsidRPr="00BA4482">
        <w:rPr>
          <w:rFonts w:cs="Times New Roman"/>
          <w:lang w:val="en-CA"/>
        </w:rPr>
        <w:t>. As well, most of the programs described in the report were terminated before 2004</w:t>
      </w:r>
      <w:r w:rsidRPr="00BA4482">
        <w:rPr>
          <w:rFonts w:cs="Times New Roman"/>
          <w:i/>
          <w:lang w:val="en-CA"/>
        </w:rPr>
        <w:t>.</w:t>
      </w:r>
      <w:r w:rsidRPr="00BA4482">
        <w:rPr>
          <w:rFonts w:cs="Times New Roman"/>
          <w:lang w:val="en-CA"/>
        </w:rPr>
        <w:t xml:space="preserve"> At best, the report showed that, at the time, there was a social climate in which racial profiling was generalized for national security purposes as a result of the terrorist attacks on September 11, 2001, and that racial profiling was practised in certain U.S. government programs.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It cannot be presumed solely on the basis of a social context of discrimination against a group that a specific decision against a member of that group is necessarily based on a prohibited ground under the </w:t>
      </w:r>
      <w:r w:rsidRPr="00BA4482">
        <w:rPr>
          <w:rFonts w:cs="Times New Roman"/>
          <w:i/>
          <w:lang w:val="en-CA"/>
        </w:rPr>
        <w:t>Charter</w:t>
      </w:r>
      <w:r w:rsidRPr="00BA4482">
        <w:rPr>
          <w:rFonts w:cs="Times New Roman"/>
          <w:lang w:val="en-CA"/>
        </w:rPr>
        <w:t>. In practice, this would amount to reversing the burden of proof in discrimination matters. Evidence of discrimination, even if it is circumstantial, must nonetheless be tangibly related to the impugned decision or conduct.</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In this case, the expert evidence in question was not sufficiently related to </w:t>
      </w:r>
      <w:r w:rsidRPr="00BA4482">
        <w:rPr>
          <w:rFonts w:cs="Times New Roman"/>
          <w:lang w:val="en-CA"/>
        </w:rPr>
        <w:lastRenderedPageBreak/>
        <w:t xml:space="preserve">the facts of the case to establish a connection between the decision of the U.S. authorities on which Bombardier relied and Mr. Latif’s ethnic or national origin. </w:t>
      </w:r>
    </w:p>
    <w:p w:rsidR="00FC1A95" w:rsidRPr="00BA4482" w:rsidRDefault="00FC1A95" w:rsidP="00E810E1">
      <w:pPr>
        <w:pStyle w:val="Title3LevelTitre3Niveau"/>
        <w:widowControl w:val="0"/>
        <w:tabs>
          <w:tab w:val="clear" w:pos="1152"/>
          <w:tab w:val="num" w:pos="864"/>
        </w:tabs>
        <w:ind w:left="864" w:hanging="432"/>
        <w:outlineLvl w:val="0"/>
        <w:rPr>
          <w:rFonts w:cs="Times New Roman"/>
        </w:rPr>
      </w:pPr>
      <w:bookmarkStart w:id="30" w:name="_Toc416791122"/>
      <w:bookmarkStart w:id="31" w:name="_Toc417482741"/>
      <w:r w:rsidRPr="00BA4482">
        <w:rPr>
          <w:rFonts w:cs="Times New Roman"/>
        </w:rPr>
        <w:t>Other Evidence</w:t>
      </w:r>
      <w:bookmarkEnd w:id="30"/>
      <w:bookmarkEnd w:id="31"/>
    </w:p>
    <w:p w:rsidR="00FC1A95" w:rsidRPr="00BA4482" w:rsidRDefault="00FC1A95" w:rsidP="00E810E1">
      <w:pPr>
        <w:pStyle w:val="ParaNoNdepar-AltN"/>
        <w:widowControl w:val="0"/>
        <w:tabs>
          <w:tab w:val="clear" w:pos="1166"/>
          <w:tab w:val="num" w:pos="1152"/>
        </w:tabs>
        <w:rPr>
          <w:rFonts w:cs="Times New Roman"/>
          <w:spacing w:val="-4"/>
          <w:lang w:val="en-CA"/>
        </w:rPr>
      </w:pPr>
      <w:r w:rsidRPr="00BA4482">
        <w:rPr>
          <w:rFonts w:cs="Times New Roman"/>
          <w:lang w:val="en-CA"/>
        </w:rPr>
        <w:t xml:space="preserve">The Commission argues that even without Ms. Bahdi’s expert report, there were several pieces of evidence that could have led the Tribunal to find that a </w:t>
      </w:r>
      <w:r w:rsidRPr="00BA4482">
        <w:rPr>
          <w:rFonts w:cs="Times New Roman"/>
          <w:i/>
          <w:iCs/>
          <w:lang w:val="en-CA"/>
        </w:rPr>
        <w:t>prima facie</w:t>
      </w:r>
      <w:r w:rsidRPr="00BA4482">
        <w:rPr>
          <w:rFonts w:cs="Times New Roman"/>
          <w:lang w:val="en-CA"/>
        </w:rPr>
        <w:t xml:space="preserve"> case of discrimination had been made out. The Commission submits that the Court of Appeal disregarded this circumstantial evidence and that in so doing it</w:t>
      </w:r>
      <w:r w:rsidRPr="00BA4482">
        <w:rPr>
          <w:rFonts w:eastAsia="Calibri" w:cs="Times New Roman"/>
          <w:spacing w:val="-4"/>
          <w:lang w:val="en-CA"/>
        </w:rPr>
        <w:t xml:space="preserve"> required “the elimination of every conceivable possibility before an inference of discrimination may be made”</w:t>
      </w:r>
      <w:r w:rsidRPr="00BA4482">
        <w:rPr>
          <w:rFonts w:eastAsia="Calibri" w:cs="Times New Roman"/>
          <w:iCs/>
          <w:spacing w:val="-4"/>
          <w:lang w:val="en-CA"/>
        </w:rPr>
        <w:t>,</w:t>
      </w:r>
      <w:r w:rsidRPr="00BA4482">
        <w:rPr>
          <w:rFonts w:eastAsia="Calibri" w:cs="Times New Roman"/>
          <w:spacing w:val="-4"/>
          <w:lang w:val="en-CA"/>
        </w:rPr>
        <w:t xml:space="preserve"> which is an error of law in articulating the </w:t>
      </w:r>
      <w:r w:rsidRPr="00BA4482">
        <w:rPr>
          <w:rFonts w:eastAsia="Calibri" w:cs="Times New Roman"/>
          <w:i/>
          <w:spacing w:val="-4"/>
          <w:lang w:val="en-CA"/>
        </w:rPr>
        <w:t>prima facie</w:t>
      </w:r>
      <w:r w:rsidRPr="00BA4482">
        <w:rPr>
          <w:rFonts w:eastAsia="Calibri" w:cs="Times New Roman"/>
          <w:spacing w:val="-4"/>
          <w:lang w:val="en-CA"/>
        </w:rPr>
        <w:t xml:space="preserve"> burden of proof: A.F. (Commission), at para. 89, quoting </w:t>
      </w:r>
      <w:r w:rsidRPr="00BA4482">
        <w:rPr>
          <w:rFonts w:eastAsia="Calibri" w:cs="Times New Roman"/>
          <w:i/>
          <w:spacing w:val="-4"/>
          <w:lang w:val="en-CA"/>
        </w:rPr>
        <w:t>Pieters</w:t>
      </w:r>
      <w:r w:rsidRPr="00BA4482">
        <w:rPr>
          <w:rFonts w:eastAsia="Calibri" w:cs="Times New Roman"/>
          <w:spacing w:val="-4"/>
          <w:lang w:val="en-CA"/>
        </w:rPr>
        <w:t>, at para. 92.</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For example, the Commission argues, the fact that Mr. Latif had already received a security clearance from DOJ in 2003 shows that the subsequent refusal is attributable to his being a native of Pakistan. This argument must fail.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In its correspondence with Mr. Latif in 2004, DOJ acknowledged that it had previously cleared him, but said that the information available to it had since changed. In addition, Mr. Latif’s country of origin was known to DOJ in 2003, so the past clearance from DOJ sheds no light on the reasons for its subsequent refusal.</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Next, the Commission adds that the transfer of responsibility from DOJ to TSA, accompanied by the tightening of rules provided for in the </w:t>
      </w:r>
      <w:r w:rsidRPr="00BA4482">
        <w:rPr>
          <w:rFonts w:cs="Times New Roman"/>
          <w:i/>
          <w:lang w:val="en-CA"/>
        </w:rPr>
        <w:t>Vision 100 Act</w:t>
      </w:r>
      <w:r w:rsidRPr="00BA4482">
        <w:rPr>
          <w:rFonts w:cs="Times New Roman"/>
          <w:lang w:val="en-CA"/>
        </w:rPr>
        <w:t xml:space="preserve">, is </w:t>
      </w:r>
      <w:r w:rsidRPr="00BA4482">
        <w:rPr>
          <w:rFonts w:cs="Times New Roman"/>
          <w:lang w:val="en-CA"/>
        </w:rPr>
        <w:lastRenderedPageBreak/>
        <w:t xml:space="preserve">what explains the sudden denial by the U.S. authorities of Mr. Latif’s request for training on the CL604 aircraft: § 612(a). However, although the </w:t>
      </w:r>
      <w:r w:rsidRPr="00BA4482">
        <w:rPr>
          <w:rFonts w:cs="Times New Roman"/>
          <w:i/>
          <w:lang w:val="en-CA"/>
        </w:rPr>
        <w:t xml:space="preserve">Vision 100 Act </w:t>
      </w:r>
      <w:r w:rsidRPr="00BA4482">
        <w:rPr>
          <w:rFonts w:cs="Times New Roman"/>
          <w:lang w:val="en-CA"/>
        </w:rPr>
        <w:t>was passed on December 12, 2003, it provided that the tightening of rules and the transfer of responsibility would not be effective until DHS promulgated an “</w:t>
      </w:r>
      <w:r w:rsidRPr="00BA4482">
        <w:rPr>
          <w:rFonts w:cs="Times New Roman"/>
          <w:iCs/>
          <w:lang w:val="en-CA"/>
        </w:rPr>
        <w:t>interim final rule</w:t>
      </w:r>
      <w:r w:rsidRPr="00BA4482">
        <w:rPr>
          <w:rFonts w:cs="Times New Roman"/>
          <w:lang w:val="en-CA"/>
        </w:rPr>
        <w:t>”</w:t>
      </w:r>
      <w:r w:rsidRPr="00BA4482">
        <w:rPr>
          <w:rFonts w:cs="Times New Roman"/>
          <w:iCs/>
          <w:lang w:val="en-CA"/>
        </w:rPr>
        <w:t>:</w:t>
      </w:r>
      <w:r w:rsidRPr="00BA4482">
        <w:rPr>
          <w:rFonts w:cs="Times New Roman"/>
          <w:lang w:val="en-CA"/>
        </w:rPr>
        <w:t xml:space="preserve"> § 612(c). The promulgation of that rule did not take place until September 2004, that is, after the decision concerning Mr. Latif was made in April 2004. This means that the provisions of the </w:t>
      </w:r>
      <w:r w:rsidRPr="00BA4482">
        <w:rPr>
          <w:rFonts w:cs="Times New Roman"/>
          <w:i/>
          <w:lang w:val="en-CA"/>
        </w:rPr>
        <w:t>Vision 100 Act</w:t>
      </w:r>
      <w:r w:rsidRPr="00BA4482">
        <w:rPr>
          <w:rFonts w:cs="Times New Roman"/>
          <w:lang w:val="en-CA"/>
        </w:rPr>
        <w:t xml:space="preserve"> cannot be the cause of the U.S. authorities’ refusal to issue Mr. Latif’s security clearance. Indeed, that refusal came from DOJ and not from TSA, and the evidence in the record concerns the correspondence between Mr. Latif and DOJ during the months following the refusal. Not until October 2004 does the evidence show a first exchange with DHS, TSA’s parent organization. </w:t>
      </w:r>
    </w:p>
    <w:p w:rsidR="00FC1A95" w:rsidRPr="00BA4482" w:rsidRDefault="00FC1A95" w:rsidP="00E810E1">
      <w:pPr>
        <w:pStyle w:val="ParaNoNdepar-AltN"/>
        <w:widowControl w:val="0"/>
        <w:tabs>
          <w:tab w:val="clear" w:pos="1166"/>
          <w:tab w:val="num" w:pos="1152"/>
        </w:tabs>
        <w:rPr>
          <w:rFonts w:cs="Times New Roman"/>
          <w:i/>
          <w:lang w:val="en-CA"/>
        </w:rPr>
      </w:pPr>
      <w:r w:rsidRPr="00BA4482">
        <w:rPr>
          <w:rFonts w:cs="Times New Roman"/>
          <w:lang w:val="en-CA"/>
        </w:rPr>
        <w:t xml:space="preserve">Furthermore, Mr. Latif points out that four of the five candidates </w:t>
      </w:r>
      <w:r w:rsidRPr="00BA4482">
        <w:rPr>
          <w:rFonts w:cs="Times New Roman"/>
          <w:i/>
          <w:iCs/>
          <w:spacing w:val="-2"/>
          <w:lang w:val="en-CA" w:eastAsia="fr-CA"/>
        </w:rPr>
        <w:t xml:space="preserve">— </w:t>
      </w:r>
      <w:r w:rsidRPr="00BA4482">
        <w:rPr>
          <w:rFonts w:cs="Times New Roman"/>
          <w:iCs/>
          <w:spacing w:val="-2"/>
          <w:lang w:val="en-CA" w:eastAsia="fr-CA"/>
        </w:rPr>
        <w:t xml:space="preserve">himself included </w:t>
      </w:r>
      <w:r w:rsidRPr="00BA4482">
        <w:rPr>
          <w:rFonts w:cs="Times New Roman"/>
          <w:i/>
          <w:iCs/>
          <w:spacing w:val="-2"/>
          <w:lang w:val="en-CA" w:eastAsia="fr-CA"/>
        </w:rPr>
        <w:t xml:space="preserve">— </w:t>
      </w:r>
      <w:r w:rsidRPr="00BA4482">
        <w:rPr>
          <w:rFonts w:cs="Times New Roman"/>
          <w:lang w:val="en-CA"/>
        </w:rPr>
        <w:t xml:space="preserve">who were unable to train at Bombardier’s centre in Montréal because of a refusal by the U.S. authorities were from Arab or Muslim countries. The Tribunal did not consider this argument in its decision. In any event, we are of the opinion that, in light of the evidence as a whole, this fact is insufficient to infer that there was a connection between Mr. Latif’s ethnic or national origin and DOJ’s refusal. We also note that Bombardier submitted a list of 30 candidates native to such countries </w:t>
      </w:r>
      <w:r w:rsidRPr="00BA4482">
        <w:rPr>
          <w:rFonts w:cs="Times New Roman"/>
          <w:i/>
          <w:iCs/>
          <w:spacing w:val="-2"/>
          <w:lang w:val="en-CA" w:eastAsia="fr-CA"/>
        </w:rPr>
        <w:t xml:space="preserve">— </w:t>
      </w:r>
      <w:r w:rsidRPr="00BA4482">
        <w:rPr>
          <w:rFonts w:cs="Times New Roman"/>
          <w:iCs/>
          <w:spacing w:val="-2"/>
          <w:lang w:val="en-CA" w:eastAsia="fr-CA"/>
        </w:rPr>
        <w:t xml:space="preserve">although two of them were U.S. citizens </w:t>
      </w:r>
      <w:r w:rsidRPr="00BA4482">
        <w:rPr>
          <w:rFonts w:cs="Times New Roman"/>
          <w:i/>
          <w:iCs/>
          <w:spacing w:val="-2"/>
          <w:lang w:val="en-CA" w:eastAsia="fr-CA"/>
        </w:rPr>
        <w:t>—</w:t>
      </w:r>
      <w:r w:rsidRPr="00BA4482">
        <w:rPr>
          <w:rFonts w:cs="Times New Roman"/>
          <w:iCs/>
          <w:spacing w:val="-2"/>
          <w:lang w:val="en-CA" w:eastAsia="fr-CA"/>
        </w:rPr>
        <w:t xml:space="preserve"> </w:t>
      </w:r>
      <w:r w:rsidRPr="00BA4482">
        <w:rPr>
          <w:rFonts w:cs="Times New Roman"/>
          <w:lang w:val="en-CA"/>
        </w:rPr>
        <w:t xml:space="preserve">who received clearances from DOJ or TSA.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The Commission adds that Mr. Latif’s spotless record is incompatible </w:t>
      </w:r>
      <w:r w:rsidRPr="00BA4482">
        <w:rPr>
          <w:rFonts w:cs="Times New Roman"/>
          <w:lang w:val="en-CA"/>
        </w:rPr>
        <w:lastRenderedPageBreak/>
        <w:t>with the conclusion that he posed a threat to aviation or national security in the United States. In its view, this, combined with the rest of the evidence, shows that his ethnic or national origin was a factor in DOJ’s refusal of his request.</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We cannot accept this argument. The refusal by the U.S. authorities was intended to protect the national security of the United States. Mr. Latif’s career record up to that time was not determinative of the threat he might pose to national security any more than were the many FAA</w:t>
      </w:r>
      <w:r w:rsidRPr="00BA4482">
        <w:rPr>
          <w:rFonts w:cs="Times New Roman"/>
          <w:lang w:val="en-CA"/>
        </w:rPr>
        <w:noBreakHyphen/>
        <w:t>approved training courses he had taken in the past.</w:t>
      </w:r>
    </w:p>
    <w:p w:rsidR="00FC1A95" w:rsidRPr="00BA4482" w:rsidRDefault="00FC1A95" w:rsidP="00E810E1">
      <w:pPr>
        <w:pStyle w:val="ParaNoNdepar-AltN"/>
        <w:widowControl w:val="0"/>
        <w:rPr>
          <w:rFonts w:cs="Times New Roman"/>
          <w:lang w:val="en-CA"/>
        </w:rPr>
      </w:pPr>
      <w:r w:rsidRPr="00BA4482">
        <w:rPr>
          <w:rFonts w:cs="Times New Roman"/>
          <w:lang w:val="en-CA"/>
        </w:rPr>
        <w:t xml:space="preserve">Finally, the Commission faults Bombardier for failing to check with the Canadian authorities or to ask the U.S. authorities to explain the reasons for their refusal. In this regard, it should be noted that Mr. Latif himself did not receive any explanation. In any event, even if these allegations might be of some relevance at the second step of the analysis (that of justification), it is our opinion that they do not show a connection between the prohibited ground and the exclusion of Mr. Latif, and that they are of no assistance. </w:t>
      </w:r>
    </w:p>
    <w:p w:rsidR="00FC1A95" w:rsidRPr="00BA4482" w:rsidRDefault="00FC1A95" w:rsidP="00E810E1">
      <w:pPr>
        <w:pStyle w:val="Title3LevelTitre3Niveau"/>
        <w:widowControl w:val="0"/>
        <w:tabs>
          <w:tab w:val="clear" w:pos="1152"/>
          <w:tab w:val="num" w:pos="864"/>
        </w:tabs>
        <w:ind w:left="864" w:hanging="432"/>
        <w:outlineLvl w:val="0"/>
        <w:rPr>
          <w:rFonts w:cs="Times New Roman"/>
        </w:rPr>
      </w:pPr>
      <w:bookmarkStart w:id="32" w:name="_Toc411931224"/>
      <w:bookmarkStart w:id="33" w:name="_Toc416791123"/>
      <w:bookmarkStart w:id="34" w:name="_Toc417482742"/>
      <w:r w:rsidRPr="00BA4482">
        <w:rPr>
          <w:rFonts w:cs="Times New Roman"/>
        </w:rPr>
        <w:t>Conclusion</w:t>
      </w:r>
      <w:bookmarkEnd w:id="32"/>
      <w:bookmarkEnd w:id="33"/>
      <w:bookmarkEnd w:id="34"/>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In our opinion, the evidence available to the Tribunal — indeed the absence of evidence — was such that it could not reasonably hold that there was a connection between Mr. Latif’s ethnic or national origin and the decision of the U.S. authorities, and therefore Bombardier’s decision to deny Mr. Latif’s training request. </w:t>
      </w:r>
      <w:r w:rsidRPr="00BA4482">
        <w:rPr>
          <w:rFonts w:cs="Times New Roman"/>
          <w:lang w:val="en-CA"/>
        </w:rPr>
        <w:lastRenderedPageBreak/>
        <w:t xml:space="preserve">As a result, it was not open to the Tribunal to conclude that Bombardier’s decision constituted </w:t>
      </w:r>
      <w:r w:rsidRPr="00BA4482">
        <w:rPr>
          <w:rFonts w:cs="Times New Roman"/>
          <w:i/>
          <w:lang w:val="en-CA"/>
        </w:rPr>
        <w:t xml:space="preserve">prima facie </w:t>
      </w:r>
      <w:r w:rsidRPr="00BA4482">
        <w:rPr>
          <w:rFonts w:cs="Times New Roman"/>
          <w:lang w:val="en-CA"/>
        </w:rPr>
        <w:t xml:space="preserve">discrimination under the </w:t>
      </w:r>
      <w:r w:rsidRPr="00BA4482">
        <w:rPr>
          <w:rFonts w:cs="Times New Roman"/>
          <w:i/>
          <w:lang w:val="en-CA"/>
        </w:rPr>
        <w:t>Charter</w:t>
      </w:r>
      <w:r w:rsidRPr="00BA4482">
        <w:rPr>
          <w:rFonts w:cs="Times New Roman"/>
          <w:iCs/>
          <w:lang w:val="en-CA"/>
        </w:rPr>
        <w:t>.</w:t>
      </w:r>
      <w:r w:rsidRPr="00BA4482">
        <w:rPr>
          <w:rFonts w:cs="Times New Roman"/>
          <w:lang w:val="en-CA"/>
        </w:rPr>
        <w:t xml:space="preserve">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However, we wish to make it clear that our conclusion in this case does not mean that a company can blindly comply with a discriminatory decision of a foreign authority without exposing itself to liability under the </w:t>
      </w:r>
      <w:r w:rsidRPr="00BA4482">
        <w:rPr>
          <w:rFonts w:cs="Times New Roman"/>
          <w:i/>
          <w:lang w:val="en-CA"/>
        </w:rPr>
        <w:t>Charter</w:t>
      </w:r>
      <w:r w:rsidRPr="00BA4482">
        <w:rPr>
          <w:rFonts w:cs="Times New Roman"/>
          <w:lang w:val="en-CA"/>
        </w:rPr>
        <w:t xml:space="preserve">. Our conclusion flows from the fact that there is simply no evidence in this case of a connection between a prohibited ground and the foreign decision in question.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In light of our conclusion that Mr. Latif was not discriminated against, our discussion could stop here. However, we think it necessary to add a few comments about the mandatory order made by the Tribunal against Bombardier.</w:t>
      </w:r>
    </w:p>
    <w:p w:rsidR="00FC1A95" w:rsidRPr="00BA4482" w:rsidRDefault="00FC1A95" w:rsidP="00E810E1">
      <w:pPr>
        <w:pStyle w:val="Title2LevelTitre2Niveau"/>
        <w:widowControl w:val="0"/>
        <w:tabs>
          <w:tab w:val="clear" w:pos="576"/>
          <w:tab w:val="num" w:pos="432"/>
        </w:tabs>
        <w:ind w:left="431" w:hanging="431"/>
        <w:outlineLvl w:val="0"/>
        <w:rPr>
          <w:rFonts w:cs="Times New Roman"/>
        </w:rPr>
      </w:pPr>
      <w:bookmarkStart w:id="35" w:name="_Toc417482743"/>
      <w:r w:rsidRPr="00BA4482">
        <w:rPr>
          <w:rFonts w:cs="Times New Roman"/>
        </w:rPr>
        <w:t>Was the Mandatory Order Against Bombardier Justified?</w:t>
      </w:r>
      <w:bookmarkEnd w:id="35"/>
    </w:p>
    <w:p w:rsidR="00FC1A95" w:rsidRPr="00BA4482" w:rsidRDefault="00FC1A95" w:rsidP="00E810E1">
      <w:pPr>
        <w:pStyle w:val="ParaNoNdepar-AltN"/>
        <w:widowControl w:val="0"/>
        <w:rPr>
          <w:rFonts w:cs="Times New Roman"/>
          <w:lang w:val="en-CA"/>
        </w:rPr>
      </w:pPr>
      <w:r w:rsidRPr="00BA4482">
        <w:rPr>
          <w:rFonts w:cs="Times New Roman"/>
          <w:lang w:val="en-CA"/>
        </w:rPr>
        <w:t>The Tribunal ordered Bombardier to [</w:t>
      </w:r>
      <w:r w:rsidRPr="00BA4482">
        <w:rPr>
          <w:rFonts w:cs="Times New Roman"/>
          <w:smallCaps/>
          <w:lang w:val="en-CA"/>
        </w:rPr>
        <w:t>translation</w:t>
      </w:r>
      <w:r w:rsidRPr="00BA4482">
        <w:rPr>
          <w:rFonts w:cs="Times New Roman"/>
          <w:lang w:val="en-CA"/>
        </w:rPr>
        <w:t>] “cease applying or considering the standards and decisions of the US authorities in ‘national security’ matters when dealing with applications for the training of pilots under Canadian pilot’s licences”: p. </w:t>
      </w:r>
      <w:r w:rsidR="00F43CB2" w:rsidRPr="00BA4482">
        <w:rPr>
          <w:rFonts w:cs="Times New Roman"/>
          <w:lang w:val="en-CA"/>
        </w:rPr>
        <w:t>81</w:t>
      </w:r>
      <w:r w:rsidRPr="00BA4482">
        <w:rPr>
          <w:rFonts w:cs="Times New Roman"/>
          <w:lang w:val="en-CA"/>
        </w:rPr>
        <w:t xml:space="preserve">. The Court of Appeal held that the Tribunal has the jurisdiction to make orders to do or not to do something but that this jurisdiction is limited to measures that are necessary and reasonable for the purpose of rectifying a problematic situation. The Court of Appeal was of the opinion that no order was necessary at the time the Tribunal rendered its decision in this case, since the U.S. authorities had finally approved Mr. Latif’s request for a security clearance and </w:t>
      </w:r>
      <w:r w:rsidRPr="00BA4482">
        <w:rPr>
          <w:rFonts w:cs="Times New Roman"/>
          <w:lang w:val="en-CA"/>
        </w:rPr>
        <w:lastRenderedPageBreak/>
        <w:t>Mr. Latif had received the training he wished to take. The Court of Appeal noted that [</w:t>
      </w:r>
      <w:r w:rsidRPr="00BA4482">
        <w:rPr>
          <w:rFonts w:cs="Times New Roman"/>
          <w:smallCaps/>
          <w:lang w:val="en-CA"/>
        </w:rPr>
        <w:t>translation</w:t>
      </w:r>
      <w:r w:rsidRPr="00BA4482">
        <w:rPr>
          <w:rFonts w:cs="Times New Roman"/>
          <w:lang w:val="en-CA"/>
        </w:rPr>
        <w:t>] “[t]he Tribunal could not use the case as a pretext for managing the future activities of Bombardier, a private entity that is entitled to freedom of contract”: para. 152.</w:t>
      </w:r>
    </w:p>
    <w:p w:rsidR="00FC1A95" w:rsidRPr="00BA4482" w:rsidRDefault="00FC1A95" w:rsidP="00E810E1">
      <w:pPr>
        <w:pStyle w:val="ParaNoNdepar-AltN"/>
        <w:widowControl w:val="0"/>
        <w:rPr>
          <w:rFonts w:cs="Times New Roman"/>
          <w:i/>
          <w:lang w:val="en-CA"/>
        </w:rPr>
      </w:pPr>
      <w:r w:rsidRPr="00BA4482">
        <w:rPr>
          <w:rFonts w:cs="Times New Roman"/>
          <w:lang w:val="en-CA"/>
        </w:rPr>
        <w:t xml:space="preserve">The Commission submits that the Tribunal’s jurisdiction is subject to that of the Commission, which is required to act in the public interest, and that the </w:t>
      </w:r>
      <w:r w:rsidRPr="00BA4482">
        <w:rPr>
          <w:rFonts w:cs="Times New Roman"/>
          <w:i/>
          <w:lang w:val="en-CA"/>
        </w:rPr>
        <w:t>Charter</w:t>
      </w:r>
      <w:r w:rsidRPr="00BA4482">
        <w:rPr>
          <w:rFonts w:cs="Times New Roman"/>
          <w:lang w:val="en-CA"/>
        </w:rPr>
        <w:t xml:space="preserve"> gives the Tribunal the power to make orders that transcend the case before it in order to prevent future discrimination. Bombardier counters that the order overstepped the bounds of the Tribunal’s powers under the </w:t>
      </w:r>
      <w:r w:rsidRPr="00BA4482">
        <w:rPr>
          <w:rFonts w:cs="Times New Roman"/>
          <w:i/>
          <w:lang w:val="en-CA"/>
        </w:rPr>
        <w:t>Charter</w:t>
      </w:r>
      <w:r w:rsidRPr="00BA4482">
        <w:rPr>
          <w:rFonts w:cs="Times New Roman"/>
          <w:lang w:val="en-CA"/>
        </w:rPr>
        <w:t>, because it was not limited to the scope of the dispute. In addition, it was too vague and, consequently, unlawful.</w:t>
      </w:r>
    </w:p>
    <w:p w:rsidR="00FC1A95" w:rsidRPr="00BA4482" w:rsidRDefault="00FC1A95" w:rsidP="00E810E1">
      <w:pPr>
        <w:pStyle w:val="ParaNoNdepar-AltN"/>
        <w:widowControl w:val="0"/>
        <w:rPr>
          <w:rFonts w:cs="Times New Roman"/>
          <w:i/>
          <w:lang w:val="en-CA"/>
        </w:rPr>
      </w:pPr>
      <w:r w:rsidRPr="00BA4482">
        <w:rPr>
          <w:rFonts w:cs="Times New Roman"/>
          <w:lang w:val="en-CA"/>
        </w:rPr>
        <w:t xml:space="preserve">We agree with the Commission about the principles it advances. In addition to the large and liberal interpretation required by the </w:t>
      </w:r>
      <w:r w:rsidRPr="00BA4482">
        <w:rPr>
          <w:rFonts w:cs="Times New Roman"/>
          <w:i/>
          <w:lang w:val="en-CA"/>
        </w:rPr>
        <w:t>Charter</w:t>
      </w:r>
      <w:r w:rsidRPr="00BA4482">
        <w:rPr>
          <w:rFonts w:cs="Times New Roman"/>
          <w:lang w:val="en-CA"/>
        </w:rPr>
        <w:t xml:space="preserve">, a careful reading of its provisions shows that the legislature intended to authorize the Commission to take measures needed to eliminate discrimination and in so doing to protect the public interest. In particular, s. 71 of the </w:t>
      </w:r>
      <w:r w:rsidRPr="00BA4482">
        <w:rPr>
          <w:rFonts w:cs="Times New Roman"/>
          <w:i/>
          <w:lang w:val="en-CA"/>
        </w:rPr>
        <w:t>Charter</w:t>
      </w:r>
      <w:r w:rsidRPr="00BA4482">
        <w:rPr>
          <w:rFonts w:cs="Times New Roman"/>
          <w:lang w:val="en-CA"/>
        </w:rPr>
        <w:t xml:space="preserve"> requires that the Commission “promote and uphold, by every appropriate measure, the principles enunciated in this Charter”. As well, s. 80 provides that the Commission may apply to a tribunal “to obtain, </w:t>
      </w:r>
      <w:r w:rsidRPr="00BA4482">
        <w:rPr>
          <w:rFonts w:cs="Times New Roman"/>
          <w:u w:val="single"/>
          <w:lang w:val="en-CA"/>
        </w:rPr>
        <w:t>where consistent with the public interest, any appropriate measure</w:t>
      </w:r>
      <w:r w:rsidRPr="00BA4482">
        <w:rPr>
          <w:rFonts w:cs="Times New Roman"/>
          <w:lang w:val="en-CA"/>
        </w:rPr>
        <w:t xml:space="preserve"> against the person at fault </w:t>
      </w:r>
      <w:r w:rsidRPr="00BA4482">
        <w:rPr>
          <w:rFonts w:cs="Times New Roman"/>
          <w:u w:val="single"/>
          <w:lang w:val="en-CA"/>
        </w:rPr>
        <w:t>or to demand, in favour of the victim</w:t>
      </w:r>
      <w:r w:rsidRPr="00BA4482">
        <w:rPr>
          <w:rFonts w:cs="Times New Roman"/>
          <w:lang w:val="en-CA"/>
        </w:rPr>
        <w:t xml:space="preserve">, any measure of redress it considers appropriate at that time”. This last section ensures that the orders the Tribunal can make are not limited to compensation for the prejudice </w:t>
      </w:r>
      <w:r w:rsidRPr="00BA4482">
        <w:rPr>
          <w:rFonts w:cs="Times New Roman"/>
          <w:lang w:val="en-CA"/>
        </w:rPr>
        <w:lastRenderedPageBreak/>
        <w:t xml:space="preserve">suffered by the plaintiff, but can also include measures that are necessary in the public interest. However, the exercise of this power must have a connection with the dispute submitted to the Tribunal, be supported by the relevant evidence and be appropriate in light of all the circumstances. </w:t>
      </w:r>
    </w:p>
    <w:p w:rsidR="00FC1A95" w:rsidRPr="00BA4482" w:rsidRDefault="00FC1A95" w:rsidP="00E810E1">
      <w:pPr>
        <w:pStyle w:val="ParaNoNdepar-AltN"/>
        <w:widowControl w:val="0"/>
        <w:rPr>
          <w:rStyle w:val="edoctrinedocumenttitle"/>
          <w:rFonts w:cs="Times New Roman"/>
          <w:b w:val="0"/>
          <w:bCs w:val="0"/>
          <w:i/>
          <w:lang w:val="en-CA"/>
        </w:rPr>
      </w:pPr>
      <w:r w:rsidRPr="00BA4482">
        <w:rPr>
          <w:rFonts w:cs="Times New Roman"/>
          <w:lang w:val="en-CA"/>
        </w:rPr>
        <w:t xml:space="preserve">This Court has stressed “the need for flexibility and imagination in the crafting of remedies for infringements of fundamental human rights”: </w:t>
      </w:r>
      <w:r w:rsidRPr="00BA4482">
        <w:rPr>
          <w:rFonts w:cs="Times New Roman"/>
          <w:i/>
          <w:iCs/>
          <w:lang w:val="en-CA"/>
        </w:rPr>
        <w:t>Quebec (Commission des droits de la personne et des droits de la jeunesse) v. Communauté urbaine de Montréal</w:t>
      </w:r>
      <w:r w:rsidRPr="00BA4482">
        <w:rPr>
          <w:rFonts w:cs="Times New Roman"/>
          <w:lang w:val="en-CA"/>
        </w:rPr>
        <w:t xml:space="preserve">, 2004 SCC 30, [2004] 1 S.C.R. 789, at para. 26; see also </w:t>
      </w:r>
      <w:r w:rsidRPr="00BA4482">
        <w:rPr>
          <w:rFonts w:cs="Times New Roman"/>
          <w:i/>
          <w:iCs/>
          <w:lang w:val="en-CA"/>
        </w:rPr>
        <w:t>Doucet</w:t>
      </w:r>
      <w:r w:rsidRPr="00BA4482">
        <w:rPr>
          <w:rFonts w:cs="Times New Roman"/>
          <w:i/>
          <w:iCs/>
          <w:lang w:val="en-CA"/>
        </w:rPr>
        <w:noBreakHyphen/>
        <w:t>Boudreau v. Nova Scotia (Minister of Education)</w:t>
      </w:r>
      <w:r w:rsidRPr="00BA4482">
        <w:rPr>
          <w:rFonts w:cs="Times New Roman"/>
          <w:lang w:val="en-CA"/>
        </w:rPr>
        <w:t>, 2003 SCC 62, [2003] 3 S.C.R. 3, at paras. 24</w:t>
      </w:r>
      <w:r w:rsidRPr="00BA4482">
        <w:rPr>
          <w:rFonts w:cs="Times New Roman"/>
          <w:lang w:val="en-CA"/>
        </w:rPr>
        <w:noBreakHyphen/>
        <w:t xml:space="preserve">25 and 94. It has also held that the enforcement of these rights under the </w:t>
      </w:r>
      <w:r w:rsidRPr="00BA4482">
        <w:rPr>
          <w:rFonts w:cs="Times New Roman"/>
          <w:i/>
          <w:lang w:val="en-CA"/>
        </w:rPr>
        <w:t>Charter</w:t>
      </w:r>
      <w:r w:rsidRPr="00BA4482">
        <w:rPr>
          <w:rFonts w:cs="Times New Roman"/>
          <w:lang w:val="en-CA"/>
        </w:rPr>
        <w:t xml:space="preserve"> “can lead to the imposition of affirmative or negative obligations designed to correct or bring an end to situations that are incompatible with the </w:t>
      </w:r>
      <w:r w:rsidRPr="00BA4482">
        <w:rPr>
          <w:rFonts w:cs="Times New Roman"/>
          <w:i/>
          <w:lang w:val="en-CA"/>
        </w:rPr>
        <w:t>. . . Charter</w:t>
      </w:r>
      <w:r w:rsidRPr="00BA4482">
        <w:rPr>
          <w:rFonts w:cs="Times New Roman"/>
          <w:lang w:val="en-CA"/>
        </w:rPr>
        <w:t xml:space="preserve">”: </w:t>
      </w:r>
      <w:r w:rsidRPr="00BA4482">
        <w:rPr>
          <w:rFonts w:cs="Times New Roman"/>
          <w:i/>
          <w:lang w:val="en-CA"/>
        </w:rPr>
        <w:t>Communauté urbaine de Montréal</w:t>
      </w:r>
      <w:r w:rsidRPr="00BA4482">
        <w:rPr>
          <w:rFonts w:cs="Times New Roman"/>
          <w:lang w:val="en-CA"/>
        </w:rPr>
        <w:t>, at para. 26</w:t>
      </w:r>
      <w:r w:rsidRPr="00BA4482">
        <w:rPr>
          <w:rFonts w:cs="Times New Roman"/>
          <w:i/>
          <w:iCs/>
          <w:lang w:val="en-CA"/>
        </w:rPr>
        <w:t>.</w:t>
      </w:r>
    </w:p>
    <w:p w:rsidR="00FC1A95" w:rsidRPr="00BA4482" w:rsidRDefault="00FC1A95" w:rsidP="00E810E1">
      <w:pPr>
        <w:pStyle w:val="ParaNoNdepar-AltN"/>
        <w:widowControl w:val="0"/>
        <w:rPr>
          <w:rFonts w:cs="Times New Roman"/>
          <w:i/>
          <w:lang w:val="en-CA"/>
        </w:rPr>
      </w:pPr>
      <w:r w:rsidRPr="00BA4482">
        <w:rPr>
          <w:rFonts w:cs="Times New Roman"/>
          <w:lang w:val="en-CA"/>
        </w:rPr>
        <w:t>In the instant case, the Court of Appeal recognized the Tribunal’s power to issue injunctions but found that this power can be exercised only in [</w:t>
      </w:r>
      <w:r w:rsidRPr="00BA4482">
        <w:rPr>
          <w:rFonts w:cs="Times New Roman"/>
          <w:smallCaps/>
          <w:lang w:val="en-CA"/>
        </w:rPr>
        <w:t>translation</w:t>
      </w:r>
      <w:r w:rsidRPr="00BA4482">
        <w:rPr>
          <w:rFonts w:cs="Times New Roman"/>
          <w:lang w:val="en-CA"/>
        </w:rPr>
        <w:t xml:space="preserve">] “problematic situations”: para. 150. In the Court of Appeal’s view, the situation had been resolved at the time of the hearing before the Tribunal, given that the U.S. authorities had finally granted the security clearance sought by Mr. Latif. That does not end the discussion, however. If the Tribunal had been right to find that Mr. Latif had been discriminated against, the fact that Mr. Latif had finally received his security clearance from the U.S. authorities would not necessarily have addressed the source of the problem, insofar as the evidence had established the existence of a </w:t>
      </w:r>
      <w:r w:rsidRPr="00BA4482">
        <w:rPr>
          <w:rFonts w:cs="Times New Roman"/>
          <w:lang w:val="en-CA"/>
        </w:rPr>
        <w:lastRenderedPageBreak/>
        <w:t xml:space="preserve">discriminatory organizational policy. In this sense, an order by the Tribunal might then have been necessary in the public interest in order to prevent discrimination against others. </w:t>
      </w:r>
    </w:p>
    <w:p w:rsidR="00FC1A95" w:rsidRPr="00BA4482" w:rsidRDefault="00FC1A95" w:rsidP="00E810E1">
      <w:pPr>
        <w:pStyle w:val="Title1LevelTitre1Niveau-AltL"/>
        <w:widowControl w:val="0"/>
        <w:tabs>
          <w:tab w:val="clear" w:pos="576"/>
          <w:tab w:val="left" w:pos="432"/>
        </w:tabs>
        <w:ind w:left="431" w:hanging="431"/>
        <w:outlineLvl w:val="0"/>
        <w:rPr>
          <w:rFonts w:cs="Times New Roman"/>
        </w:rPr>
      </w:pPr>
      <w:bookmarkStart w:id="36" w:name="_Toc413923572"/>
      <w:bookmarkStart w:id="37" w:name="_Toc416791125"/>
      <w:bookmarkStart w:id="38" w:name="_Toc417482744"/>
      <w:r w:rsidRPr="00BA4482">
        <w:rPr>
          <w:rFonts w:cs="Times New Roman"/>
        </w:rPr>
        <w:t>Dispositi</w:t>
      </w:r>
      <w:bookmarkEnd w:id="36"/>
      <w:bookmarkEnd w:id="37"/>
      <w:bookmarkEnd w:id="38"/>
      <w:r w:rsidRPr="00BA4482">
        <w:rPr>
          <w:rFonts w:cs="Times New Roman"/>
        </w:rPr>
        <w:t>on</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 xml:space="preserve">It has not been established in this case that Mr. Latif was discriminated against as a result of Bombardier’s actions. </w:t>
      </w:r>
    </w:p>
    <w:p w:rsidR="00FC1A95" w:rsidRPr="00BA4482" w:rsidRDefault="00FC1A95" w:rsidP="00E810E1">
      <w:pPr>
        <w:pStyle w:val="ParaNoNdepar-AltN"/>
        <w:widowControl w:val="0"/>
        <w:tabs>
          <w:tab w:val="clear" w:pos="1166"/>
          <w:tab w:val="num" w:pos="1152"/>
        </w:tabs>
        <w:rPr>
          <w:rFonts w:cs="Times New Roman"/>
          <w:lang w:val="en-CA"/>
        </w:rPr>
      </w:pPr>
      <w:r w:rsidRPr="00BA4482">
        <w:rPr>
          <w:rFonts w:cs="Times New Roman"/>
          <w:lang w:val="en-CA"/>
        </w:rPr>
        <w:t>We would dismiss the appeals, with costs against the Commission in the Tribunal and the Court of Appeal, and against the Commission and Mr. Latif, on a solidary basis, in this Court.</w:t>
      </w:r>
    </w:p>
    <w:p w:rsidR="009B57B3" w:rsidRPr="00275838" w:rsidRDefault="00EF5CB0" w:rsidP="00E810E1">
      <w:pPr>
        <w:pStyle w:val="SCCNormalDoubleSpacing"/>
        <w:widowControl w:val="0"/>
        <w:spacing w:before="480" w:after="480"/>
        <w:rPr>
          <w:lang w:val="fr-CA"/>
        </w:rPr>
      </w:pPr>
      <w:r w:rsidRPr="00BA4482">
        <w:tab/>
      </w:r>
      <w:proofErr w:type="spellStart"/>
      <w:r w:rsidR="00656313" w:rsidRPr="00275838">
        <w:rPr>
          <w:i/>
          <w:lang w:val="fr-CA"/>
        </w:rPr>
        <w:t>Appeal</w:t>
      </w:r>
      <w:r w:rsidRPr="00275838">
        <w:rPr>
          <w:i/>
          <w:lang w:val="fr-CA"/>
        </w:rPr>
        <w:t>s</w:t>
      </w:r>
      <w:proofErr w:type="spellEnd"/>
      <w:r w:rsidRPr="00275838">
        <w:rPr>
          <w:i/>
          <w:lang w:val="fr-CA"/>
        </w:rPr>
        <w:t xml:space="preserve"> </w:t>
      </w:r>
      <w:proofErr w:type="spellStart"/>
      <w:r w:rsidR="00F51751" w:rsidRPr="00275838">
        <w:rPr>
          <w:i/>
          <w:lang w:val="fr-CA"/>
        </w:rPr>
        <w:t>dismissed</w:t>
      </w:r>
      <w:proofErr w:type="spellEnd"/>
      <w:r w:rsidRPr="00275838">
        <w:rPr>
          <w:i/>
          <w:lang w:val="fr-CA"/>
        </w:rPr>
        <w:t>.</w:t>
      </w:r>
    </w:p>
    <w:p w:rsidR="007618D5" w:rsidRPr="00EB7620" w:rsidRDefault="007618D5" w:rsidP="00E810E1">
      <w:pPr>
        <w:pStyle w:val="SCCLawFirm"/>
        <w:widowControl w:val="0"/>
        <w:spacing w:before="480" w:after="480"/>
        <w:rPr>
          <w:lang w:val="fr-CA"/>
        </w:rPr>
      </w:pPr>
      <w:r w:rsidRPr="00275838">
        <w:rPr>
          <w:lang w:val="fr-CA"/>
        </w:rPr>
        <w:tab/>
      </w:r>
      <w:r w:rsidRPr="00EB7620">
        <w:rPr>
          <w:lang w:val="fr-CA"/>
        </w:rPr>
        <w:t xml:space="preserve">Solicitors for the </w:t>
      </w:r>
      <w:proofErr w:type="spellStart"/>
      <w:r w:rsidRPr="00EB7620">
        <w:rPr>
          <w:rStyle w:val="SCCCounselPartyRoleChar"/>
          <w:lang w:val="fr-CA"/>
        </w:rPr>
        <w:t>appellant</w:t>
      </w:r>
      <w:proofErr w:type="spellEnd"/>
      <w:r w:rsidRPr="00EB7620">
        <w:rPr>
          <w:rStyle w:val="SCCCounselPartyRoleChar"/>
          <w:lang w:val="fr-CA"/>
        </w:rPr>
        <w:t>/</w:t>
      </w:r>
      <w:proofErr w:type="spellStart"/>
      <w:r w:rsidRPr="00EB7620">
        <w:rPr>
          <w:rStyle w:val="SCCCounselPartyRoleChar"/>
          <w:lang w:val="fr-CA"/>
        </w:rPr>
        <w:t>respondent</w:t>
      </w:r>
      <w:proofErr w:type="spellEnd"/>
      <w:r w:rsidRPr="00EB7620">
        <w:rPr>
          <w:rStyle w:val="SCCCounselPartyRoleChar"/>
          <w:lang w:val="fr-CA"/>
        </w:rPr>
        <w:t xml:space="preserve"> Commission des droits de la personne et des droits de la jeunesse</w:t>
      </w:r>
      <w:r w:rsidR="00570231" w:rsidRPr="00EB7620">
        <w:rPr>
          <w:lang w:val="fr-CA"/>
        </w:rPr>
        <w:t>: </w:t>
      </w:r>
      <w:proofErr w:type="spellStart"/>
      <w:r w:rsidRPr="00EB7620">
        <w:rPr>
          <w:lang w:val="fr-CA"/>
        </w:rPr>
        <w:t>Boies</w:t>
      </w:r>
      <w:proofErr w:type="spellEnd"/>
      <w:r w:rsidRPr="00EB7620">
        <w:rPr>
          <w:lang w:val="fr-CA"/>
        </w:rPr>
        <w:t xml:space="preserve"> Drapeau </w:t>
      </w:r>
      <w:proofErr w:type="spellStart"/>
      <w:r w:rsidRPr="00EB7620">
        <w:rPr>
          <w:lang w:val="fr-CA"/>
        </w:rPr>
        <w:t>Bourdeau</w:t>
      </w:r>
      <w:proofErr w:type="spellEnd"/>
      <w:r w:rsidRPr="00EB7620">
        <w:rPr>
          <w:lang w:val="fr-CA"/>
        </w:rPr>
        <w:t>, Montréal.</w:t>
      </w:r>
    </w:p>
    <w:p w:rsidR="006E026F" w:rsidRPr="00BA4482" w:rsidRDefault="006E026F" w:rsidP="00E810E1">
      <w:pPr>
        <w:pStyle w:val="SCCLawFirm"/>
        <w:widowControl w:val="0"/>
        <w:spacing w:before="480" w:after="480"/>
      </w:pPr>
      <w:r w:rsidRPr="00EB7620">
        <w:rPr>
          <w:lang w:val="fr-CA"/>
        </w:rPr>
        <w:tab/>
      </w:r>
      <w:r w:rsidRPr="00BA4482">
        <w:t xml:space="preserve">Solicitors for the </w:t>
      </w:r>
      <w:r w:rsidRPr="00BA4482">
        <w:rPr>
          <w:rStyle w:val="SCCCounselPartyRoleChar"/>
        </w:rPr>
        <w:t>respondent/appellant Javed Latif</w:t>
      </w:r>
      <w:r w:rsidR="00570231" w:rsidRPr="00BA4482">
        <w:t>: </w:t>
      </w:r>
      <w:r w:rsidRPr="00BA4482">
        <w:t xml:space="preserve">Irving Mitchell </w:t>
      </w:r>
      <w:proofErr w:type="spellStart"/>
      <w:r w:rsidRPr="00BA4482">
        <w:t>Kalichman</w:t>
      </w:r>
      <w:proofErr w:type="spellEnd"/>
      <w:r w:rsidRPr="00BA4482">
        <w:t>, Westmount, Quebec.</w:t>
      </w:r>
    </w:p>
    <w:p w:rsidR="007618D5" w:rsidRPr="00BA4482" w:rsidRDefault="007618D5" w:rsidP="00E810E1">
      <w:pPr>
        <w:pStyle w:val="SCCLawFirm"/>
        <w:widowControl w:val="0"/>
        <w:spacing w:before="480" w:after="480"/>
      </w:pPr>
      <w:r w:rsidRPr="00BA4482">
        <w:tab/>
        <w:t xml:space="preserve">Solicitors for the respondent </w:t>
      </w:r>
      <w:r w:rsidRPr="00BA4482">
        <w:rPr>
          <w:rStyle w:val="SCCCounselPartyRoleChar"/>
        </w:rPr>
        <w:t>Bombardier Inc. (Bombardier Aerospace Training Center)</w:t>
      </w:r>
      <w:r w:rsidR="00570231" w:rsidRPr="00BA4482">
        <w:t>: </w:t>
      </w:r>
      <w:r w:rsidRPr="00BA4482">
        <w:t>Norton Rose Fulbright Canada, Montréal.</w:t>
      </w:r>
    </w:p>
    <w:p w:rsidR="007618D5" w:rsidRPr="00BA4482" w:rsidRDefault="007618D5" w:rsidP="00E810E1">
      <w:pPr>
        <w:pStyle w:val="SCCLawFirm"/>
        <w:widowControl w:val="0"/>
        <w:spacing w:before="480" w:after="480"/>
      </w:pPr>
      <w:r w:rsidRPr="00BA4482">
        <w:tab/>
        <w:t xml:space="preserve">Solicitors for the intervener the Canadian Civil Liberties </w:t>
      </w:r>
      <w:r w:rsidRPr="00BA4482">
        <w:lastRenderedPageBreak/>
        <w:t>Association</w:t>
      </w:r>
      <w:r w:rsidR="00570231" w:rsidRPr="00BA4482">
        <w:t>: </w:t>
      </w:r>
      <w:proofErr w:type="spellStart"/>
      <w:r w:rsidRPr="00BA4482">
        <w:t>Paliare</w:t>
      </w:r>
      <w:proofErr w:type="spellEnd"/>
      <w:r w:rsidRPr="00BA4482">
        <w:t xml:space="preserve"> Roland Rosenberg Rothstein, Toronto.</w:t>
      </w:r>
    </w:p>
    <w:p w:rsidR="007618D5" w:rsidRPr="00BA4482" w:rsidRDefault="007618D5" w:rsidP="00E810E1">
      <w:pPr>
        <w:pStyle w:val="SCCLawFirm"/>
        <w:widowControl w:val="0"/>
        <w:spacing w:before="480" w:after="480"/>
      </w:pPr>
      <w:r w:rsidRPr="00BA4482">
        <w:tab/>
        <w:t>Solicitor for the intervener the Canadian Human Rights Commission</w:t>
      </w:r>
      <w:r w:rsidR="00570231" w:rsidRPr="00BA4482">
        <w:t>: </w:t>
      </w:r>
      <w:r w:rsidRPr="00BA4482">
        <w:t>Canadian Human Rights Commission, Ottawa.</w:t>
      </w:r>
    </w:p>
    <w:p w:rsidR="007618D5" w:rsidRPr="00BA4482" w:rsidRDefault="007618D5" w:rsidP="00E810E1">
      <w:pPr>
        <w:pStyle w:val="SCCLawFirm"/>
        <w:widowControl w:val="0"/>
        <w:spacing w:before="480" w:after="480"/>
      </w:pPr>
      <w:r w:rsidRPr="00BA4482">
        <w:tab/>
        <w:t>Solicitors for the intervener the Center for Research</w:t>
      </w:r>
      <w:r w:rsidR="00570231" w:rsidRPr="00BA4482">
        <w:noBreakHyphen/>
      </w:r>
      <w:r w:rsidRPr="00BA4482">
        <w:t>Action on Race Relations</w:t>
      </w:r>
      <w:r w:rsidR="00570231" w:rsidRPr="00BA4482">
        <w:t>: </w:t>
      </w:r>
      <w:r w:rsidRPr="00BA4482">
        <w:t xml:space="preserve">Selwyn </w:t>
      </w:r>
      <w:proofErr w:type="spellStart"/>
      <w:r w:rsidRPr="00BA4482">
        <w:t>Pieters</w:t>
      </w:r>
      <w:proofErr w:type="spellEnd"/>
      <w:r w:rsidRPr="00BA4482">
        <w:t xml:space="preserve">, Toronto; </w:t>
      </w:r>
      <w:proofErr w:type="spellStart"/>
      <w:r w:rsidRPr="00BA4482">
        <w:t>Aymar</w:t>
      </w:r>
      <w:proofErr w:type="spellEnd"/>
      <w:r w:rsidRPr="00BA4482">
        <w:t xml:space="preserve"> </w:t>
      </w:r>
      <w:proofErr w:type="spellStart"/>
      <w:r w:rsidRPr="00BA4482">
        <w:t>Missakila</w:t>
      </w:r>
      <w:proofErr w:type="spellEnd"/>
      <w:r w:rsidRPr="00BA4482">
        <w:t>, Montréal.</w:t>
      </w:r>
    </w:p>
    <w:p w:rsidR="007618D5" w:rsidRPr="00BA4482" w:rsidRDefault="007618D5" w:rsidP="00E810E1">
      <w:pPr>
        <w:pStyle w:val="SCCLawFirm"/>
        <w:widowControl w:val="0"/>
        <w:spacing w:before="480" w:after="480"/>
      </w:pPr>
      <w:r w:rsidRPr="00BA4482">
        <w:tab/>
        <w:t xml:space="preserve">Solicitors for the interveners the National Council of Canadian Muslims </w:t>
      </w:r>
      <w:r w:rsidRPr="00BA4482">
        <w:rPr>
          <w:rStyle w:val="SCCCounselPartyRoleChar"/>
        </w:rPr>
        <w:t>and the Canadian Muslim Lawyers Association</w:t>
      </w:r>
      <w:r w:rsidR="00570231" w:rsidRPr="00BA4482">
        <w:t>: </w:t>
      </w:r>
      <w:r w:rsidRPr="00BA4482">
        <w:t>Office of Khalid Elgazzar, Barrister, Ottawa.</w:t>
      </w:r>
    </w:p>
    <w:p w:rsidR="009B57B3" w:rsidRPr="00BA4482" w:rsidRDefault="007618D5" w:rsidP="00E810E1">
      <w:pPr>
        <w:pStyle w:val="SCCLawFirm"/>
        <w:widowControl w:val="0"/>
        <w:rPr>
          <w:b/>
          <w:i w:val="0"/>
        </w:rPr>
      </w:pPr>
      <w:r w:rsidRPr="00BA4482">
        <w:tab/>
        <w:t>Solicitors for the intervener the South Asian Legal Clinic of Ontario</w:t>
      </w:r>
      <w:r w:rsidR="00570231" w:rsidRPr="00BA4482">
        <w:t>: </w:t>
      </w:r>
      <w:r w:rsidRPr="00BA4482">
        <w:t>Bennett Jones, Toronto.</w:t>
      </w:r>
    </w:p>
    <w:sectPr w:rsidR="009B57B3" w:rsidRPr="00BA4482"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37" w:rsidRDefault="003D0F37">
      <w:r>
        <w:separator/>
      </w:r>
    </w:p>
  </w:endnote>
  <w:endnote w:type="continuationSeparator" w:id="0">
    <w:p w:rsidR="003D0F37" w:rsidRDefault="003D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37" w:rsidRDefault="003D0F37">
      <w:r>
        <w:separator/>
      </w:r>
    </w:p>
  </w:footnote>
  <w:footnote w:type="continuationSeparator" w:id="0">
    <w:p w:rsidR="003D0F37" w:rsidRDefault="003D0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F37" w:rsidRPr="00450352" w:rsidRDefault="003D0F37"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74C"/>
    <w:multiLevelType w:val="hybridMultilevel"/>
    <w:tmpl w:val="3A205396"/>
    <w:lvl w:ilvl="0" w:tplc="0409000F">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1DA630DC"/>
    <w:multiLevelType w:val="hybridMultilevel"/>
    <w:tmpl w:val="3D6254C0"/>
    <w:lvl w:ilvl="0" w:tplc="BBAEA6B6">
      <w:start w:val="1"/>
      <w:numFmt w:val="decimal"/>
      <w:pStyle w:val="Titre32"/>
      <w:lvlText w:val="%1-"/>
      <w:lvlJc w:val="left"/>
      <w:pPr>
        <w:ind w:left="720" w:hanging="360"/>
      </w:pPr>
      <w:rPr>
        <w:rFonts w:hint="default"/>
        <w:i w:val="0"/>
        <w:iCs w:val="0"/>
      </w:rPr>
    </w:lvl>
    <w:lvl w:ilvl="1" w:tplc="18D650BC">
      <w:start w:val="1"/>
      <w:numFmt w:val="lowerLetter"/>
      <w:lvlText w:val="%2."/>
      <w:lvlJc w:val="left"/>
      <w:pPr>
        <w:ind w:left="1440" w:hanging="360"/>
      </w:pPr>
    </w:lvl>
    <w:lvl w:ilvl="2" w:tplc="BD5E3FBA" w:tentative="1">
      <w:start w:val="1"/>
      <w:numFmt w:val="lowerRoman"/>
      <w:lvlText w:val="%3."/>
      <w:lvlJc w:val="right"/>
      <w:pPr>
        <w:ind w:left="2160" w:hanging="180"/>
      </w:pPr>
    </w:lvl>
    <w:lvl w:ilvl="3" w:tplc="3E9679DA" w:tentative="1">
      <w:start w:val="1"/>
      <w:numFmt w:val="decimal"/>
      <w:lvlText w:val="%4."/>
      <w:lvlJc w:val="left"/>
      <w:pPr>
        <w:ind w:left="2880" w:hanging="360"/>
      </w:pPr>
    </w:lvl>
    <w:lvl w:ilvl="4" w:tplc="FFEED69C" w:tentative="1">
      <w:start w:val="1"/>
      <w:numFmt w:val="lowerLetter"/>
      <w:lvlText w:val="%5."/>
      <w:lvlJc w:val="left"/>
      <w:pPr>
        <w:ind w:left="3600" w:hanging="360"/>
      </w:pPr>
    </w:lvl>
    <w:lvl w:ilvl="5" w:tplc="A49A1698" w:tentative="1">
      <w:start w:val="1"/>
      <w:numFmt w:val="lowerRoman"/>
      <w:lvlText w:val="%6."/>
      <w:lvlJc w:val="right"/>
      <w:pPr>
        <w:ind w:left="4320" w:hanging="180"/>
      </w:pPr>
    </w:lvl>
    <w:lvl w:ilvl="6" w:tplc="3E2202EC" w:tentative="1">
      <w:start w:val="1"/>
      <w:numFmt w:val="decimal"/>
      <w:lvlText w:val="%7."/>
      <w:lvlJc w:val="left"/>
      <w:pPr>
        <w:ind w:left="5040" w:hanging="360"/>
      </w:pPr>
    </w:lvl>
    <w:lvl w:ilvl="7" w:tplc="85E06F52" w:tentative="1">
      <w:start w:val="1"/>
      <w:numFmt w:val="lowerLetter"/>
      <w:lvlText w:val="%8."/>
      <w:lvlJc w:val="left"/>
      <w:pPr>
        <w:ind w:left="5760" w:hanging="360"/>
      </w:pPr>
    </w:lvl>
    <w:lvl w:ilvl="8" w:tplc="0A1C571A" w:tentative="1">
      <w:start w:val="1"/>
      <w:numFmt w:val="lowerRoman"/>
      <w:lvlText w:val="%9."/>
      <w:lvlJc w:val="right"/>
      <w:pPr>
        <w:ind w:left="6480" w:hanging="180"/>
      </w:pPr>
    </w:lvl>
  </w:abstractNum>
  <w:abstractNum w:abstractNumId="2"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color w:val="auto"/>
        <w:sz w:val="22"/>
        <w:szCs w:val="22"/>
        <w:u w:val="none"/>
        <w:vertAlign w:val="baseline"/>
      </w:rPr>
    </w:lvl>
    <w:lvl w:ilvl="1" w:tplc="D278D728">
      <w:start w:val="1"/>
      <w:numFmt w:val="decimal"/>
      <w:pStyle w:val="21Paragraphesnumrots"/>
      <w:lvlText w:val="%2."/>
      <w:lvlJc w:val="left"/>
      <w:pPr>
        <w:tabs>
          <w:tab w:val="num" w:pos="1440"/>
        </w:tabs>
        <w:ind w:left="1440" w:hanging="360"/>
      </w:pPr>
      <w:rPr>
        <w:rFonts w:hint="default"/>
        <w:b w:val="0"/>
        <w:i w:val="0"/>
        <w:caps w:val="0"/>
        <w:strike w:val="0"/>
        <w:dstrike w:val="0"/>
        <w:vanish w:val="0"/>
        <w:color w:val="auto"/>
        <w:sz w:val="24"/>
        <w:szCs w:val="24"/>
        <w:u w:val="none"/>
        <w:vertAlign w:val="baseline"/>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22E31568"/>
    <w:multiLevelType w:val="hybridMultilevel"/>
    <w:tmpl w:val="576E6A60"/>
    <w:lvl w:ilvl="0" w:tplc="17628FCC">
      <w:start w:val="1"/>
      <w:numFmt w:val="lowerLetter"/>
      <w:pStyle w:val="Titre4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F51D2"/>
    <w:multiLevelType w:val="hybridMultilevel"/>
    <w:tmpl w:val="5650B33A"/>
    <w:lvl w:ilvl="0" w:tplc="04090003">
      <w:start w:val="1"/>
      <w:numFmt w:val="lowerRoman"/>
      <w:pStyle w:val="Titre52"/>
      <w:lvlText w:val="%1."/>
      <w:lvlJc w:val="right"/>
      <w:pPr>
        <w:ind w:left="2160" w:hanging="360"/>
      </w:pPr>
    </w:lvl>
    <w:lvl w:ilvl="1" w:tplc="10090003" w:tentative="1">
      <w:start w:val="1"/>
      <w:numFmt w:val="lowerLetter"/>
      <w:lvlText w:val="%2."/>
      <w:lvlJc w:val="left"/>
      <w:pPr>
        <w:ind w:left="2880" w:hanging="360"/>
      </w:pPr>
    </w:lvl>
    <w:lvl w:ilvl="2" w:tplc="10090005" w:tentative="1">
      <w:start w:val="1"/>
      <w:numFmt w:val="lowerRoman"/>
      <w:lvlText w:val="%3."/>
      <w:lvlJc w:val="right"/>
      <w:pPr>
        <w:ind w:left="3600" w:hanging="180"/>
      </w:pPr>
    </w:lvl>
    <w:lvl w:ilvl="3" w:tplc="10090001" w:tentative="1">
      <w:start w:val="1"/>
      <w:numFmt w:val="decimal"/>
      <w:lvlText w:val="%4."/>
      <w:lvlJc w:val="left"/>
      <w:pPr>
        <w:ind w:left="4320" w:hanging="360"/>
      </w:pPr>
    </w:lvl>
    <w:lvl w:ilvl="4" w:tplc="10090003" w:tentative="1">
      <w:start w:val="1"/>
      <w:numFmt w:val="lowerLetter"/>
      <w:lvlText w:val="%5."/>
      <w:lvlJc w:val="left"/>
      <w:pPr>
        <w:ind w:left="5040" w:hanging="360"/>
      </w:pPr>
    </w:lvl>
    <w:lvl w:ilvl="5" w:tplc="10090005" w:tentative="1">
      <w:start w:val="1"/>
      <w:numFmt w:val="lowerRoman"/>
      <w:lvlText w:val="%6."/>
      <w:lvlJc w:val="right"/>
      <w:pPr>
        <w:ind w:left="5760" w:hanging="180"/>
      </w:pPr>
    </w:lvl>
    <w:lvl w:ilvl="6" w:tplc="10090001" w:tentative="1">
      <w:start w:val="1"/>
      <w:numFmt w:val="decimal"/>
      <w:lvlText w:val="%7."/>
      <w:lvlJc w:val="left"/>
      <w:pPr>
        <w:ind w:left="6480" w:hanging="360"/>
      </w:pPr>
    </w:lvl>
    <w:lvl w:ilvl="7" w:tplc="10090003" w:tentative="1">
      <w:start w:val="1"/>
      <w:numFmt w:val="lowerLetter"/>
      <w:lvlText w:val="%8."/>
      <w:lvlJc w:val="left"/>
      <w:pPr>
        <w:ind w:left="7200" w:hanging="360"/>
      </w:pPr>
    </w:lvl>
    <w:lvl w:ilvl="8" w:tplc="10090005" w:tentative="1">
      <w:start w:val="1"/>
      <w:numFmt w:val="lowerRoman"/>
      <w:lvlText w:val="%9."/>
      <w:lvlJc w:val="right"/>
      <w:pPr>
        <w:ind w:left="7920" w:hanging="180"/>
      </w:p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54283EE8"/>
    <w:multiLevelType w:val="multilevel"/>
    <w:tmpl w:val="AF061580"/>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5"/>
  </w:num>
  <w:num w:numId="3">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3"/>
    <w:lvlOverride w:ilvl="0">
      <w:startOverride w:val="1"/>
    </w:lvlOverride>
  </w:num>
  <w:num w:numId="5">
    <w:abstractNumId w:val="1"/>
    <w:lvlOverride w:ilvl="0">
      <w:startOverride w:val="1"/>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58A1"/>
    <w:rsid w:val="00025198"/>
    <w:rsid w:val="00056C76"/>
    <w:rsid w:val="00056EED"/>
    <w:rsid w:val="000578A3"/>
    <w:rsid w:val="0005791C"/>
    <w:rsid w:val="00062FD8"/>
    <w:rsid w:val="000648CC"/>
    <w:rsid w:val="000736D6"/>
    <w:rsid w:val="00074EA7"/>
    <w:rsid w:val="00080F41"/>
    <w:rsid w:val="00086E40"/>
    <w:rsid w:val="000A4CF8"/>
    <w:rsid w:val="000A7029"/>
    <w:rsid w:val="000B6174"/>
    <w:rsid w:val="000B713C"/>
    <w:rsid w:val="000C59B8"/>
    <w:rsid w:val="000C6AF0"/>
    <w:rsid w:val="000D425C"/>
    <w:rsid w:val="000D5A5C"/>
    <w:rsid w:val="000E2B16"/>
    <w:rsid w:val="00101313"/>
    <w:rsid w:val="00104F33"/>
    <w:rsid w:val="00111DE2"/>
    <w:rsid w:val="00116B38"/>
    <w:rsid w:val="00135406"/>
    <w:rsid w:val="00135972"/>
    <w:rsid w:val="00141E4A"/>
    <w:rsid w:val="001426A9"/>
    <w:rsid w:val="00154D7C"/>
    <w:rsid w:val="001570B0"/>
    <w:rsid w:val="0015752C"/>
    <w:rsid w:val="00157737"/>
    <w:rsid w:val="00165277"/>
    <w:rsid w:val="00170592"/>
    <w:rsid w:val="00186351"/>
    <w:rsid w:val="00195D83"/>
    <w:rsid w:val="001A00C1"/>
    <w:rsid w:val="001A0D82"/>
    <w:rsid w:val="001A1034"/>
    <w:rsid w:val="001A1647"/>
    <w:rsid w:val="001B33E0"/>
    <w:rsid w:val="001B4573"/>
    <w:rsid w:val="001B7C63"/>
    <w:rsid w:val="001C3A45"/>
    <w:rsid w:val="001C779F"/>
    <w:rsid w:val="001D2AC1"/>
    <w:rsid w:val="001D4E88"/>
    <w:rsid w:val="001E18AD"/>
    <w:rsid w:val="001F0C80"/>
    <w:rsid w:val="00201C8E"/>
    <w:rsid w:val="0020391C"/>
    <w:rsid w:val="00204D9B"/>
    <w:rsid w:val="00207F9F"/>
    <w:rsid w:val="00220FC2"/>
    <w:rsid w:val="002222F4"/>
    <w:rsid w:val="00224FC0"/>
    <w:rsid w:val="00225EA4"/>
    <w:rsid w:val="00226EAF"/>
    <w:rsid w:val="00231F3A"/>
    <w:rsid w:val="00234199"/>
    <w:rsid w:val="00236052"/>
    <w:rsid w:val="002406EE"/>
    <w:rsid w:val="00243EC8"/>
    <w:rsid w:val="00270D93"/>
    <w:rsid w:val="002745CC"/>
    <w:rsid w:val="00275838"/>
    <w:rsid w:val="002772E9"/>
    <w:rsid w:val="00295E9D"/>
    <w:rsid w:val="002A0CD2"/>
    <w:rsid w:val="002A74B9"/>
    <w:rsid w:val="002B7924"/>
    <w:rsid w:val="002C45D6"/>
    <w:rsid w:val="002D279B"/>
    <w:rsid w:val="002D28C3"/>
    <w:rsid w:val="002D39A4"/>
    <w:rsid w:val="002E6705"/>
    <w:rsid w:val="002F45D5"/>
    <w:rsid w:val="00301D08"/>
    <w:rsid w:val="00303268"/>
    <w:rsid w:val="0030329A"/>
    <w:rsid w:val="0031086F"/>
    <w:rsid w:val="0031414C"/>
    <w:rsid w:val="00314E01"/>
    <w:rsid w:val="00316CA7"/>
    <w:rsid w:val="0032089D"/>
    <w:rsid w:val="003310DE"/>
    <w:rsid w:val="003323B0"/>
    <w:rsid w:val="0035169A"/>
    <w:rsid w:val="0035259D"/>
    <w:rsid w:val="00364B18"/>
    <w:rsid w:val="003703D8"/>
    <w:rsid w:val="00376B13"/>
    <w:rsid w:val="0038391B"/>
    <w:rsid w:val="003A125D"/>
    <w:rsid w:val="003A4C6E"/>
    <w:rsid w:val="003A4C70"/>
    <w:rsid w:val="003A66E1"/>
    <w:rsid w:val="003A6CBA"/>
    <w:rsid w:val="003B215F"/>
    <w:rsid w:val="003C4595"/>
    <w:rsid w:val="003C799C"/>
    <w:rsid w:val="003D0399"/>
    <w:rsid w:val="003D0F37"/>
    <w:rsid w:val="003E1C71"/>
    <w:rsid w:val="003E3AAF"/>
    <w:rsid w:val="003E4678"/>
    <w:rsid w:val="003F2A71"/>
    <w:rsid w:val="003F327B"/>
    <w:rsid w:val="003F6F63"/>
    <w:rsid w:val="00406166"/>
    <w:rsid w:val="00406641"/>
    <w:rsid w:val="0040704B"/>
    <w:rsid w:val="00407AB6"/>
    <w:rsid w:val="00407BA1"/>
    <w:rsid w:val="00410A55"/>
    <w:rsid w:val="00411300"/>
    <w:rsid w:val="00415417"/>
    <w:rsid w:val="00426659"/>
    <w:rsid w:val="00443D51"/>
    <w:rsid w:val="00450352"/>
    <w:rsid w:val="00454BDB"/>
    <w:rsid w:val="00464800"/>
    <w:rsid w:val="00465132"/>
    <w:rsid w:val="00480C90"/>
    <w:rsid w:val="0048389C"/>
    <w:rsid w:val="0048396F"/>
    <w:rsid w:val="00493C18"/>
    <w:rsid w:val="004A600C"/>
    <w:rsid w:val="004A6118"/>
    <w:rsid w:val="004A715E"/>
    <w:rsid w:val="004B25AB"/>
    <w:rsid w:val="004C478D"/>
    <w:rsid w:val="004D13CB"/>
    <w:rsid w:val="004E27D2"/>
    <w:rsid w:val="004E2C26"/>
    <w:rsid w:val="004E7CC0"/>
    <w:rsid w:val="004F26F6"/>
    <w:rsid w:val="004F3573"/>
    <w:rsid w:val="004F36FF"/>
    <w:rsid w:val="004F7CD5"/>
    <w:rsid w:val="005125A8"/>
    <w:rsid w:val="00514390"/>
    <w:rsid w:val="005153C8"/>
    <w:rsid w:val="00521AE8"/>
    <w:rsid w:val="00526F71"/>
    <w:rsid w:val="00527180"/>
    <w:rsid w:val="00541972"/>
    <w:rsid w:val="0054201E"/>
    <w:rsid w:val="0054740C"/>
    <w:rsid w:val="00555291"/>
    <w:rsid w:val="00564E15"/>
    <w:rsid w:val="00566925"/>
    <w:rsid w:val="00566AD1"/>
    <w:rsid w:val="00570231"/>
    <w:rsid w:val="005823C8"/>
    <w:rsid w:val="00583EDE"/>
    <w:rsid w:val="005A6079"/>
    <w:rsid w:val="005B13FE"/>
    <w:rsid w:val="005C3390"/>
    <w:rsid w:val="005D052F"/>
    <w:rsid w:val="005D5ADD"/>
    <w:rsid w:val="005D66B5"/>
    <w:rsid w:val="005E22F6"/>
    <w:rsid w:val="005E4698"/>
    <w:rsid w:val="005F46D6"/>
    <w:rsid w:val="00610539"/>
    <w:rsid w:val="00613969"/>
    <w:rsid w:val="006231B7"/>
    <w:rsid w:val="00625C35"/>
    <w:rsid w:val="006433B8"/>
    <w:rsid w:val="006550E1"/>
    <w:rsid w:val="00656313"/>
    <w:rsid w:val="006565F4"/>
    <w:rsid w:val="00661C40"/>
    <w:rsid w:val="00684EEA"/>
    <w:rsid w:val="00695D46"/>
    <w:rsid w:val="0069689B"/>
    <w:rsid w:val="006A1551"/>
    <w:rsid w:val="006B5FF5"/>
    <w:rsid w:val="006C390A"/>
    <w:rsid w:val="006D203C"/>
    <w:rsid w:val="006E026F"/>
    <w:rsid w:val="006F30AF"/>
    <w:rsid w:val="00701759"/>
    <w:rsid w:val="00705C15"/>
    <w:rsid w:val="00707C78"/>
    <w:rsid w:val="00710AA8"/>
    <w:rsid w:val="0071600E"/>
    <w:rsid w:val="00716BF3"/>
    <w:rsid w:val="00720455"/>
    <w:rsid w:val="007208D1"/>
    <w:rsid w:val="00742634"/>
    <w:rsid w:val="00746191"/>
    <w:rsid w:val="00747288"/>
    <w:rsid w:val="007474BE"/>
    <w:rsid w:val="00747DD3"/>
    <w:rsid w:val="007549C8"/>
    <w:rsid w:val="00754A0B"/>
    <w:rsid w:val="00755FA9"/>
    <w:rsid w:val="007618D5"/>
    <w:rsid w:val="00766D14"/>
    <w:rsid w:val="00767A0F"/>
    <w:rsid w:val="007804C6"/>
    <w:rsid w:val="0078107F"/>
    <w:rsid w:val="007A05F6"/>
    <w:rsid w:val="007A0820"/>
    <w:rsid w:val="007A13FF"/>
    <w:rsid w:val="007A6AD7"/>
    <w:rsid w:val="007A7C5C"/>
    <w:rsid w:val="007B6F4A"/>
    <w:rsid w:val="007C0CEE"/>
    <w:rsid w:val="007D0F25"/>
    <w:rsid w:val="007D19EF"/>
    <w:rsid w:val="007E1C47"/>
    <w:rsid w:val="007E337A"/>
    <w:rsid w:val="007E5C70"/>
    <w:rsid w:val="007F20A2"/>
    <w:rsid w:val="007F2FF5"/>
    <w:rsid w:val="007F3F08"/>
    <w:rsid w:val="00802564"/>
    <w:rsid w:val="00804CC6"/>
    <w:rsid w:val="00805FFF"/>
    <w:rsid w:val="00817190"/>
    <w:rsid w:val="00820EE5"/>
    <w:rsid w:val="008260E2"/>
    <w:rsid w:val="008322BD"/>
    <w:rsid w:val="00833E0A"/>
    <w:rsid w:val="00834F73"/>
    <w:rsid w:val="00836BF5"/>
    <w:rsid w:val="00853954"/>
    <w:rsid w:val="00864CF8"/>
    <w:rsid w:val="00867840"/>
    <w:rsid w:val="0087191A"/>
    <w:rsid w:val="00872819"/>
    <w:rsid w:val="00874914"/>
    <w:rsid w:val="00884060"/>
    <w:rsid w:val="0089001A"/>
    <w:rsid w:val="00891422"/>
    <w:rsid w:val="00892E1A"/>
    <w:rsid w:val="008A3F29"/>
    <w:rsid w:val="008A4B2F"/>
    <w:rsid w:val="008B660A"/>
    <w:rsid w:val="008C01DA"/>
    <w:rsid w:val="008D7BB0"/>
    <w:rsid w:val="008E586C"/>
    <w:rsid w:val="008F562E"/>
    <w:rsid w:val="008F78E9"/>
    <w:rsid w:val="00901B27"/>
    <w:rsid w:val="00901B61"/>
    <w:rsid w:val="009107F9"/>
    <w:rsid w:val="00911989"/>
    <w:rsid w:val="009179F9"/>
    <w:rsid w:val="00925C03"/>
    <w:rsid w:val="00933E5E"/>
    <w:rsid w:val="00935218"/>
    <w:rsid w:val="009403F3"/>
    <w:rsid w:val="00944130"/>
    <w:rsid w:val="00954531"/>
    <w:rsid w:val="009555B7"/>
    <w:rsid w:val="009567AA"/>
    <w:rsid w:val="00967374"/>
    <w:rsid w:val="009A343A"/>
    <w:rsid w:val="009B2F23"/>
    <w:rsid w:val="009B57B3"/>
    <w:rsid w:val="009C5B92"/>
    <w:rsid w:val="009D2920"/>
    <w:rsid w:val="009D4051"/>
    <w:rsid w:val="009D5AEB"/>
    <w:rsid w:val="009E4911"/>
    <w:rsid w:val="009F0E33"/>
    <w:rsid w:val="00A01D39"/>
    <w:rsid w:val="00A030CE"/>
    <w:rsid w:val="00A149DF"/>
    <w:rsid w:val="00A1755C"/>
    <w:rsid w:val="00A21B90"/>
    <w:rsid w:val="00A26143"/>
    <w:rsid w:val="00A41805"/>
    <w:rsid w:val="00A42DCD"/>
    <w:rsid w:val="00A52AFB"/>
    <w:rsid w:val="00A548CB"/>
    <w:rsid w:val="00A5521C"/>
    <w:rsid w:val="00A643E7"/>
    <w:rsid w:val="00A73C38"/>
    <w:rsid w:val="00A815FA"/>
    <w:rsid w:val="00A857D0"/>
    <w:rsid w:val="00A87192"/>
    <w:rsid w:val="00AB670D"/>
    <w:rsid w:val="00AC5392"/>
    <w:rsid w:val="00AC6201"/>
    <w:rsid w:val="00AC6B8E"/>
    <w:rsid w:val="00AD1A7D"/>
    <w:rsid w:val="00AD7364"/>
    <w:rsid w:val="00AF03C5"/>
    <w:rsid w:val="00AF241F"/>
    <w:rsid w:val="00AF615F"/>
    <w:rsid w:val="00B00003"/>
    <w:rsid w:val="00B000D8"/>
    <w:rsid w:val="00B00F75"/>
    <w:rsid w:val="00B07D19"/>
    <w:rsid w:val="00B145B6"/>
    <w:rsid w:val="00B15075"/>
    <w:rsid w:val="00B176FA"/>
    <w:rsid w:val="00B2657F"/>
    <w:rsid w:val="00B279EB"/>
    <w:rsid w:val="00B50C81"/>
    <w:rsid w:val="00B557F8"/>
    <w:rsid w:val="00B62D3C"/>
    <w:rsid w:val="00B74910"/>
    <w:rsid w:val="00B815FC"/>
    <w:rsid w:val="00B87B73"/>
    <w:rsid w:val="00B93FBC"/>
    <w:rsid w:val="00BA04E1"/>
    <w:rsid w:val="00BA4482"/>
    <w:rsid w:val="00BA7DA0"/>
    <w:rsid w:val="00BB2EE4"/>
    <w:rsid w:val="00BC2108"/>
    <w:rsid w:val="00BC7022"/>
    <w:rsid w:val="00BD0E9E"/>
    <w:rsid w:val="00BD1187"/>
    <w:rsid w:val="00BD1433"/>
    <w:rsid w:val="00BD17FF"/>
    <w:rsid w:val="00BD1BEC"/>
    <w:rsid w:val="00BD2E59"/>
    <w:rsid w:val="00BD32FF"/>
    <w:rsid w:val="00BE0EB2"/>
    <w:rsid w:val="00BE770B"/>
    <w:rsid w:val="00BE7EF9"/>
    <w:rsid w:val="00BF728C"/>
    <w:rsid w:val="00C02092"/>
    <w:rsid w:val="00C243E9"/>
    <w:rsid w:val="00C24D91"/>
    <w:rsid w:val="00C33FDA"/>
    <w:rsid w:val="00C529AF"/>
    <w:rsid w:val="00C53F14"/>
    <w:rsid w:val="00C600CF"/>
    <w:rsid w:val="00C6084F"/>
    <w:rsid w:val="00C61634"/>
    <w:rsid w:val="00C62A66"/>
    <w:rsid w:val="00C6418B"/>
    <w:rsid w:val="00C71458"/>
    <w:rsid w:val="00C76288"/>
    <w:rsid w:val="00C77613"/>
    <w:rsid w:val="00C828E7"/>
    <w:rsid w:val="00C85DC6"/>
    <w:rsid w:val="00C86719"/>
    <w:rsid w:val="00C921DD"/>
    <w:rsid w:val="00CA6391"/>
    <w:rsid w:val="00CA6B47"/>
    <w:rsid w:val="00CA6D72"/>
    <w:rsid w:val="00CB3B3A"/>
    <w:rsid w:val="00CC34BD"/>
    <w:rsid w:val="00CD00EB"/>
    <w:rsid w:val="00CD2DCB"/>
    <w:rsid w:val="00CE161A"/>
    <w:rsid w:val="00CE3171"/>
    <w:rsid w:val="00CF1601"/>
    <w:rsid w:val="00CF4424"/>
    <w:rsid w:val="00D00CE1"/>
    <w:rsid w:val="00D0172F"/>
    <w:rsid w:val="00D068A7"/>
    <w:rsid w:val="00D17476"/>
    <w:rsid w:val="00D24E4B"/>
    <w:rsid w:val="00D26F9F"/>
    <w:rsid w:val="00D32086"/>
    <w:rsid w:val="00D37A3F"/>
    <w:rsid w:val="00D4431D"/>
    <w:rsid w:val="00D4667A"/>
    <w:rsid w:val="00D5345B"/>
    <w:rsid w:val="00D60164"/>
    <w:rsid w:val="00D63A1C"/>
    <w:rsid w:val="00D7089D"/>
    <w:rsid w:val="00D737DA"/>
    <w:rsid w:val="00D7516F"/>
    <w:rsid w:val="00D82E80"/>
    <w:rsid w:val="00D8339C"/>
    <w:rsid w:val="00D851B3"/>
    <w:rsid w:val="00D8579F"/>
    <w:rsid w:val="00D91DD6"/>
    <w:rsid w:val="00D95F8E"/>
    <w:rsid w:val="00DA0590"/>
    <w:rsid w:val="00DB7BEA"/>
    <w:rsid w:val="00DC1739"/>
    <w:rsid w:val="00DC1788"/>
    <w:rsid w:val="00DC43FD"/>
    <w:rsid w:val="00DC590D"/>
    <w:rsid w:val="00DD1B8B"/>
    <w:rsid w:val="00DE319C"/>
    <w:rsid w:val="00DE3F81"/>
    <w:rsid w:val="00DF0CA8"/>
    <w:rsid w:val="00DF2B48"/>
    <w:rsid w:val="00DF49A7"/>
    <w:rsid w:val="00E0055A"/>
    <w:rsid w:val="00E07EE2"/>
    <w:rsid w:val="00E07FD1"/>
    <w:rsid w:val="00E20733"/>
    <w:rsid w:val="00E23D10"/>
    <w:rsid w:val="00E24573"/>
    <w:rsid w:val="00E25E1E"/>
    <w:rsid w:val="00E27EE7"/>
    <w:rsid w:val="00E35404"/>
    <w:rsid w:val="00E35D15"/>
    <w:rsid w:val="00E45109"/>
    <w:rsid w:val="00E47B7A"/>
    <w:rsid w:val="00E56A44"/>
    <w:rsid w:val="00E60269"/>
    <w:rsid w:val="00E7250D"/>
    <w:rsid w:val="00E77932"/>
    <w:rsid w:val="00E77E4E"/>
    <w:rsid w:val="00E810E1"/>
    <w:rsid w:val="00E908C5"/>
    <w:rsid w:val="00E97830"/>
    <w:rsid w:val="00EB6B57"/>
    <w:rsid w:val="00EB7620"/>
    <w:rsid w:val="00EC2C35"/>
    <w:rsid w:val="00ED1480"/>
    <w:rsid w:val="00ED2CE6"/>
    <w:rsid w:val="00EE55CF"/>
    <w:rsid w:val="00EE643C"/>
    <w:rsid w:val="00EE76C7"/>
    <w:rsid w:val="00EF0683"/>
    <w:rsid w:val="00EF5CB0"/>
    <w:rsid w:val="00EF69D2"/>
    <w:rsid w:val="00EF766E"/>
    <w:rsid w:val="00F0070C"/>
    <w:rsid w:val="00F00EB7"/>
    <w:rsid w:val="00F12451"/>
    <w:rsid w:val="00F328F4"/>
    <w:rsid w:val="00F36AB6"/>
    <w:rsid w:val="00F37A09"/>
    <w:rsid w:val="00F409CE"/>
    <w:rsid w:val="00F4379D"/>
    <w:rsid w:val="00F43CB2"/>
    <w:rsid w:val="00F50D2D"/>
    <w:rsid w:val="00F51751"/>
    <w:rsid w:val="00F56C8B"/>
    <w:rsid w:val="00F66810"/>
    <w:rsid w:val="00F76F30"/>
    <w:rsid w:val="00F84505"/>
    <w:rsid w:val="00F846D9"/>
    <w:rsid w:val="00F84DF4"/>
    <w:rsid w:val="00F85C97"/>
    <w:rsid w:val="00F92515"/>
    <w:rsid w:val="00FB16BE"/>
    <w:rsid w:val="00FB37D2"/>
    <w:rsid w:val="00FC1A95"/>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1A95"/>
    <w:pPr>
      <w:keepNext/>
      <w:keepLines/>
      <w:spacing w:before="200"/>
      <w:outlineLvl w:val="2"/>
    </w:pPr>
    <w:rPr>
      <w:rFonts w:asciiTheme="majorHAnsi" w:eastAsiaTheme="majorEastAsia" w:hAnsiTheme="majorHAnsi" w:cstheme="majorBidi"/>
      <w:b/>
      <w:bCs/>
      <w:color w:val="4F81BD" w:themeColor="accent1"/>
      <w:szCs w:val="22"/>
      <w:lang w:val="fr-CA" w:eastAsia="en-US" w:bidi="en-US"/>
    </w:rPr>
  </w:style>
  <w:style w:type="paragraph" w:styleId="Heading4">
    <w:name w:val="heading 4"/>
    <w:basedOn w:val="Normal"/>
    <w:next w:val="Normal"/>
    <w:link w:val="Heading4Char"/>
    <w:uiPriority w:val="9"/>
    <w:unhideWhenUsed/>
    <w:qFormat/>
    <w:rsid w:val="00FC1A95"/>
    <w:pPr>
      <w:keepNext/>
      <w:keepLines/>
      <w:spacing w:before="200"/>
      <w:outlineLvl w:val="3"/>
    </w:pPr>
    <w:rPr>
      <w:rFonts w:asciiTheme="majorHAnsi" w:eastAsiaTheme="majorEastAsia" w:hAnsiTheme="majorHAnsi" w:cstheme="majorBidi"/>
      <w:b/>
      <w:bCs/>
      <w:i/>
      <w:iCs/>
      <w:color w:val="4F81BD" w:themeColor="accent1"/>
      <w:szCs w:val="22"/>
      <w:lang w:val="fr-CA" w:eastAsia="en-US" w:bidi="en-US"/>
    </w:rPr>
  </w:style>
  <w:style w:type="paragraph" w:styleId="Heading5">
    <w:name w:val="heading 5"/>
    <w:basedOn w:val="Normal"/>
    <w:next w:val="Normal"/>
    <w:link w:val="Heading5Char"/>
    <w:uiPriority w:val="9"/>
    <w:semiHidden/>
    <w:unhideWhenUsed/>
    <w:qFormat/>
    <w:rsid w:val="00FC1A95"/>
    <w:pPr>
      <w:keepNext/>
      <w:keepLines/>
      <w:spacing w:before="200"/>
      <w:outlineLvl w:val="4"/>
    </w:pPr>
    <w:rPr>
      <w:rFonts w:asciiTheme="majorHAnsi" w:eastAsiaTheme="majorEastAsia" w:hAnsiTheme="majorHAnsi" w:cstheme="majorBidi"/>
      <w:color w:val="243F60" w:themeColor="accent1" w:themeShade="7F"/>
      <w:szCs w:val="22"/>
      <w:lang w:val="fr-CA" w:eastAsia="en-US" w:bidi="en-US"/>
    </w:rPr>
  </w:style>
  <w:style w:type="paragraph" w:styleId="Heading6">
    <w:name w:val="heading 6"/>
    <w:basedOn w:val="Normal"/>
    <w:next w:val="Normal"/>
    <w:link w:val="Heading6Char"/>
    <w:uiPriority w:val="9"/>
    <w:semiHidden/>
    <w:unhideWhenUsed/>
    <w:qFormat/>
    <w:rsid w:val="00FC1A95"/>
    <w:pPr>
      <w:keepNext/>
      <w:keepLines/>
      <w:spacing w:before="200"/>
      <w:outlineLvl w:val="5"/>
    </w:pPr>
    <w:rPr>
      <w:rFonts w:asciiTheme="majorHAnsi" w:eastAsiaTheme="majorEastAsia" w:hAnsiTheme="majorHAnsi" w:cstheme="majorBidi"/>
      <w:i/>
      <w:iCs/>
      <w:color w:val="243F60" w:themeColor="accent1" w:themeShade="7F"/>
      <w:szCs w:val="22"/>
      <w:lang w:val="fr-CA" w:eastAsia="en-US" w:bidi="en-US"/>
    </w:rPr>
  </w:style>
  <w:style w:type="paragraph" w:styleId="Heading7">
    <w:name w:val="heading 7"/>
    <w:basedOn w:val="Normal"/>
    <w:next w:val="Normal"/>
    <w:link w:val="Heading7Char"/>
    <w:uiPriority w:val="9"/>
    <w:unhideWhenUsed/>
    <w:qFormat/>
    <w:rsid w:val="00FC1A95"/>
    <w:pPr>
      <w:keepNext/>
      <w:keepLines/>
      <w:spacing w:before="200"/>
      <w:outlineLvl w:val="6"/>
    </w:pPr>
    <w:rPr>
      <w:rFonts w:asciiTheme="majorHAnsi" w:eastAsiaTheme="majorEastAsia" w:hAnsiTheme="majorHAnsi" w:cstheme="majorBidi"/>
      <w:i/>
      <w:iCs/>
      <w:color w:val="404040" w:themeColor="text1" w:themeTint="BF"/>
      <w:szCs w:val="22"/>
      <w:lang w:val="fr-CA" w:eastAsia="en-US" w:bidi="en-US"/>
    </w:rPr>
  </w:style>
  <w:style w:type="paragraph" w:styleId="Heading8">
    <w:name w:val="heading 8"/>
    <w:basedOn w:val="Normal"/>
    <w:next w:val="Normal"/>
    <w:link w:val="Heading8Char"/>
    <w:uiPriority w:val="9"/>
    <w:semiHidden/>
    <w:unhideWhenUsed/>
    <w:qFormat/>
    <w:rsid w:val="00FC1A95"/>
    <w:pPr>
      <w:keepNext/>
      <w:keepLines/>
      <w:spacing w:before="200"/>
      <w:outlineLvl w:val="7"/>
    </w:pPr>
    <w:rPr>
      <w:rFonts w:asciiTheme="majorHAnsi" w:eastAsiaTheme="majorEastAsia" w:hAnsiTheme="majorHAnsi" w:cstheme="majorBidi"/>
      <w:color w:val="4F81BD" w:themeColor="accent1"/>
      <w:sz w:val="20"/>
      <w:lang w:val="fr-CA" w:eastAsia="en-US" w:bidi="en-US"/>
    </w:rPr>
  </w:style>
  <w:style w:type="paragraph" w:styleId="Heading9">
    <w:name w:val="heading 9"/>
    <w:basedOn w:val="Normal"/>
    <w:next w:val="Normal"/>
    <w:link w:val="Heading9Char"/>
    <w:uiPriority w:val="9"/>
    <w:semiHidden/>
    <w:unhideWhenUsed/>
    <w:qFormat/>
    <w:rsid w:val="00FC1A95"/>
    <w:pPr>
      <w:keepNext/>
      <w:keepLines/>
      <w:spacing w:before="200"/>
      <w:outlineLvl w:val="8"/>
    </w:pPr>
    <w:rPr>
      <w:rFonts w:asciiTheme="majorHAnsi" w:eastAsiaTheme="majorEastAsia" w:hAnsiTheme="majorHAnsi" w:cstheme="majorBidi"/>
      <w:i/>
      <w:iCs/>
      <w:color w:val="404040" w:themeColor="text1" w:themeTint="BF"/>
      <w:sz w:val="20"/>
      <w:lang w:val="fr-CA"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2F45D5"/>
    <w:rPr>
      <w:color w:val="0000FF" w:themeColor="hyperlink"/>
      <w:u w:val="single"/>
    </w:rPr>
  </w:style>
  <w:style w:type="character" w:customStyle="1" w:styleId="Heading3Char">
    <w:name w:val="Heading 3 Char"/>
    <w:basedOn w:val="DefaultParagraphFont"/>
    <w:link w:val="Heading3"/>
    <w:uiPriority w:val="9"/>
    <w:rsid w:val="00FC1A95"/>
    <w:rPr>
      <w:rFonts w:asciiTheme="majorHAnsi" w:eastAsiaTheme="majorEastAsia" w:hAnsiTheme="majorHAnsi" w:cstheme="majorBidi"/>
      <w:b/>
      <w:bCs/>
      <w:color w:val="4F81BD" w:themeColor="accent1"/>
      <w:sz w:val="24"/>
      <w:szCs w:val="22"/>
      <w:lang w:val="fr-CA" w:eastAsia="en-US" w:bidi="en-US"/>
    </w:rPr>
  </w:style>
  <w:style w:type="character" w:customStyle="1" w:styleId="Heading4Char">
    <w:name w:val="Heading 4 Char"/>
    <w:basedOn w:val="DefaultParagraphFont"/>
    <w:link w:val="Heading4"/>
    <w:uiPriority w:val="9"/>
    <w:rsid w:val="00FC1A95"/>
    <w:rPr>
      <w:rFonts w:asciiTheme="majorHAnsi" w:eastAsiaTheme="majorEastAsia" w:hAnsiTheme="majorHAnsi" w:cstheme="majorBidi"/>
      <w:b/>
      <w:bCs/>
      <w:i/>
      <w:iCs/>
      <w:color w:val="4F81BD" w:themeColor="accent1"/>
      <w:sz w:val="24"/>
      <w:szCs w:val="22"/>
      <w:lang w:val="fr-CA" w:eastAsia="en-US" w:bidi="en-US"/>
    </w:rPr>
  </w:style>
  <w:style w:type="character" w:customStyle="1" w:styleId="Heading5Char">
    <w:name w:val="Heading 5 Char"/>
    <w:basedOn w:val="DefaultParagraphFont"/>
    <w:link w:val="Heading5"/>
    <w:uiPriority w:val="9"/>
    <w:semiHidden/>
    <w:rsid w:val="00FC1A95"/>
    <w:rPr>
      <w:rFonts w:asciiTheme="majorHAnsi" w:eastAsiaTheme="majorEastAsia" w:hAnsiTheme="majorHAnsi" w:cstheme="majorBidi"/>
      <w:color w:val="243F60" w:themeColor="accent1" w:themeShade="7F"/>
      <w:sz w:val="24"/>
      <w:szCs w:val="22"/>
      <w:lang w:val="fr-CA" w:eastAsia="en-US" w:bidi="en-US"/>
    </w:rPr>
  </w:style>
  <w:style w:type="character" w:customStyle="1" w:styleId="Heading6Char">
    <w:name w:val="Heading 6 Char"/>
    <w:basedOn w:val="DefaultParagraphFont"/>
    <w:link w:val="Heading6"/>
    <w:uiPriority w:val="9"/>
    <w:semiHidden/>
    <w:rsid w:val="00FC1A95"/>
    <w:rPr>
      <w:rFonts w:asciiTheme="majorHAnsi" w:eastAsiaTheme="majorEastAsia" w:hAnsiTheme="majorHAnsi" w:cstheme="majorBidi"/>
      <w:i/>
      <w:iCs/>
      <w:color w:val="243F60" w:themeColor="accent1" w:themeShade="7F"/>
      <w:sz w:val="24"/>
      <w:szCs w:val="22"/>
      <w:lang w:val="fr-CA" w:eastAsia="en-US" w:bidi="en-US"/>
    </w:rPr>
  </w:style>
  <w:style w:type="character" w:customStyle="1" w:styleId="Heading7Char">
    <w:name w:val="Heading 7 Char"/>
    <w:basedOn w:val="DefaultParagraphFont"/>
    <w:link w:val="Heading7"/>
    <w:uiPriority w:val="9"/>
    <w:rsid w:val="00FC1A95"/>
    <w:rPr>
      <w:rFonts w:asciiTheme="majorHAnsi" w:eastAsiaTheme="majorEastAsia" w:hAnsiTheme="majorHAnsi" w:cstheme="majorBidi"/>
      <w:i/>
      <w:iCs/>
      <w:color w:val="404040" w:themeColor="text1" w:themeTint="BF"/>
      <w:sz w:val="24"/>
      <w:szCs w:val="22"/>
      <w:lang w:val="fr-CA" w:eastAsia="en-US" w:bidi="en-US"/>
    </w:rPr>
  </w:style>
  <w:style w:type="character" w:customStyle="1" w:styleId="Heading8Char">
    <w:name w:val="Heading 8 Char"/>
    <w:basedOn w:val="DefaultParagraphFont"/>
    <w:link w:val="Heading8"/>
    <w:uiPriority w:val="9"/>
    <w:semiHidden/>
    <w:rsid w:val="00FC1A95"/>
    <w:rPr>
      <w:rFonts w:asciiTheme="majorHAnsi" w:eastAsiaTheme="majorEastAsia" w:hAnsiTheme="majorHAnsi" w:cstheme="majorBidi"/>
      <w:color w:val="4F81BD" w:themeColor="accent1"/>
      <w:lang w:val="fr-CA" w:eastAsia="en-US" w:bidi="en-US"/>
    </w:rPr>
  </w:style>
  <w:style w:type="character" w:customStyle="1" w:styleId="Heading9Char">
    <w:name w:val="Heading 9 Char"/>
    <w:basedOn w:val="DefaultParagraphFont"/>
    <w:link w:val="Heading9"/>
    <w:uiPriority w:val="9"/>
    <w:semiHidden/>
    <w:rsid w:val="00FC1A95"/>
    <w:rPr>
      <w:rFonts w:asciiTheme="majorHAnsi" w:eastAsiaTheme="majorEastAsia" w:hAnsiTheme="majorHAnsi" w:cstheme="majorBidi"/>
      <w:i/>
      <w:iCs/>
      <w:color w:val="404040" w:themeColor="text1" w:themeTint="BF"/>
      <w:lang w:val="fr-CA" w:eastAsia="en-US" w:bidi="en-US"/>
    </w:rPr>
  </w:style>
  <w:style w:type="paragraph" w:styleId="NoSpacing">
    <w:name w:val="No Spacing"/>
    <w:uiPriority w:val="1"/>
    <w:rsid w:val="00FC1A95"/>
    <w:rPr>
      <w:sz w:val="24"/>
    </w:rPr>
  </w:style>
  <w:style w:type="paragraph" w:customStyle="1" w:styleId="SCCLsocOtherPartyRoleSeparator">
    <w:name w:val="SCC.Lsoc.OtherPartyRoleSeparator"/>
    <w:basedOn w:val="Normal"/>
    <w:next w:val="Normal"/>
    <w:link w:val="SCCLsocOtherPartyRoleSeparatorChar"/>
    <w:rsid w:val="00FC1A95"/>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FC1A95"/>
    <w:rPr>
      <w:rFonts w:eastAsiaTheme="minorHAnsi" w:cstheme="minorBidi"/>
      <w:sz w:val="24"/>
      <w:szCs w:val="22"/>
      <w:lang w:val="fr-CA" w:eastAsia="en-US"/>
    </w:rPr>
  </w:style>
  <w:style w:type="paragraph" w:customStyle="1" w:styleId="SCCCoram">
    <w:name w:val="SCC.Coram"/>
    <w:basedOn w:val="Normal"/>
    <w:next w:val="Normal"/>
    <w:link w:val="SCCCoramChar"/>
    <w:rsid w:val="00FC1A95"/>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FC1A95"/>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FC1A95"/>
    <w:rPr>
      <w:b/>
      <w:sz w:val="24"/>
    </w:rPr>
  </w:style>
  <w:style w:type="table" w:styleId="TableGrid">
    <w:name w:val="Table Grid"/>
    <w:basedOn w:val="TableNormal"/>
    <w:uiPriority w:val="59"/>
    <w:rsid w:val="00FC1A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C1A95"/>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FC1A95"/>
    <w:pPr>
      <w:spacing w:before="480" w:after="480" w:line="480" w:lineRule="auto"/>
      <w:jc w:val="both"/>
    </w:pPr>
    <w:rPr>
      <w:rFonts w:eastAsiaTheme="minorHAnsi" w:cstheme="minorBidi"/>
      <w:sz w:val="24"/>
      <w:szCs w:val="22"/>
      <w:lang w:val="fr-CA" w:eastAsia="en-US"/>
    </w:rPr>
  </w:style>
  <w:style w:type="paragraph" w:customStyle="1" w:styleId="ParaNoNdepar-AltN">
    <w:name w:val="Para. No. / Nº de par. - Alt N"/>
    <w:link w:val="ParaNoNdepar-AltNChar"/>
    <w:qFormat/>
    <w:rsid w:val="00FC1A95"/>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FC1A95"/>
    <w:rPr>
      <w:rFonts w:eastAsiaTheme="minorEastAsia" w:cstheme="minorBidi"/>
      <w:sz w:val="24"/>
      <w:szCs w:val="22"/>
      <w:lang w:val="fr-CA" w:eastAsia="en-US"/>
    </w:rPr>
  </w:style>
  <w:style w:type="paragraph" w:customStyle="1" w:styleId="JudgeJuge">
    <w:name w:val="Judge / Juge"/>
    <w:link w:val="JudgeJugeChar"/>
    <w:uiPriority w:val="3"/>
    <w:rsid w:val="00FC1A95"/>
    <w:pPr>
      <w:tabs>
        <w:tab w:val="left" w:pos="1166"/>
      </w:tabs>
      <w:spacing w:after="480" w:line="480" w:lineRule="auto"/>
    </w:pPr>
    <w:rPr>
      <w:smallCaps/>
      <w:sz w:val="24"/>
      <w:lang w:val="fr-CA"/>
    </w:rPr>
  </w:style>
  <w:style w:type="character" w:customStyle="1" w:styleId="JudgeJugeChar">
    <w:name w:val="Judge / Juge Char"/>
    <w:basedOn w:val="DefaultParagraphFont"/>
    <w:link w:val="JudgeJuge"/>
    <w:uiPriority w:val="3"/>
    <w:rsid w:val="00FC1A95"/>
    <w:rPr>
      <w:smallCaps/>
      <w:sz w:val="24"/>
      <w:lang w:val="fr-CA"/>
    </w:rPr>
  </w:style>
  <w:style w:type="paragraph" w:customStyle="1" w:styleId="Title1LevelTitre1Niveau-AltL">
    <w:name w:val="Title 1 Level / Titre 1 Niveau - Alt L"/>
    <w:next w:val="ParaNoNdepar-AltN"/>
    <w:uiPriority w:val="4"/>
    <w:qFormat/>
    <w:rsid w:val="00FC1A95"/>
    <w:pPr>
      <w:numPr>
        <w:numId w:val="2"/>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C1A95"/>
    <w:pPr>
      <w:numPr>
        <w:ilvl w:val="1"/>
      </w:numPr>
      <w:jc w:val="both"/>
    </w:pPr>
    <w:rPr>
      <w:i/>
      <w:u w:val="none"/>
    </w:rPr>
  </w:style>
  <w:style w:type="paragraph" w:customStyle="1" w:styleId="Title3LevelTitre3Niveau">
    <w:name w:val="Title 3 Level / Titre 3 Niveau"/>
    <w:basedOn w:val="Title1LevelTitre1Niveau-AltL"/>
    <w:next w:val="ParaNoNdepar-AltN"/>
    <w:uiPriority w:val="4"/>
    <w:qFormat/>
    <w:rsid w:val="00FC1A95"/>
    <w:pPr>
      <w:numPr>
        <w:ilvl w:val="2"/>
      </w:numPr>
      <w:jc w:val="both"/>
    </w:pPr>
  </w:style>
  <w:style w:type="paragraph" w:customStyle="1" w:styleId="Title4LevelTitre4Niveau">
    <w:name w:val="Title 4 Level / Titre 4 Niveau"/>
    <w:basedOn w:val="Title3LevelTitre3Niveau"/>
    <w:next w:val="ParaNoNdepar-AltN"/>
    <w:uiPriority w:val="4"/>
    <w:qFormat/>
    <w:rsid w:val="00FC1A95"/>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C1A95"/>
    <w:pPr>
      <w:numPr>
        <w:ilvl w:val="4"/>
      </w:numPr>
    </w:pPr>
  </w:style>
  <w:style w:type="paragraph" w:customStyle="1" w:styleId="TitleTitre-AltT">
    <w:name w:val="Title / Titre - Alt T"/>
    <w:next w:val="ParaNoNdepar-AltN"/>
    <w:uiPriority w:val="3"/>
    <w:qFormat/>
    <w:rsid w:val="00FC1A95"/>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C1A95"/>
    <w:pPr>
      <w:numPr>
        <w:ilvl w:val="5"/>
      </w:numPr>
    </w:pPr>
    <w:rPr>
      <w:i/>
      <w:u w:val="none"/>
    </w:rPr>
  </w:style>
  <w:style w:type="paragraph" w:styleId="TOC1">
    <w:name w:val="toc 1"/>
    <w:basedOn w:val="Normal"/>
    <w:next w:val="Normal"/>
    <w:autoRedefine/>
    <w:uiPriority w:val="39"/>
    <w:unhideWhenUsed/>
    <w:rsid w:val="00FC1A95"/>
    <w:pPr>
      <w:tabs>
        <w:tab w:val="left" w:pos="360"/>
        <w:tab w:val="right" w:leader="dot" w:pos="8270"/>
      </w:tabs>
      <w:spacing w:before="120" w:after="120"/>
    </w:pPr>
    <w:rPr>
      <w:rFonts w:eastAsiaTheme="minorHAnsi" w:cstheme="minorBidi"/>
      <w:noProof/>
      <w:u w:val="single"/>
      <w:lang w:val="fr-CA" w:eastAsia="en-US" w:bidi="en-US"/>
    </w:rPr>
  </w:style>
  <w:style w:type="paragraph" w:styleId="TOC2">
    <w:name w:val="toc 2"/>
    <w:basedOn w:val="Normal"/>
    <w:next w:val="Normal"/>
    <w:autoRedefine/>
    <w:uiPriority w:val="39"/>
    <w:unhideWhenUsed/>
    <w:rsid w:val="00FC1A95"/>
    <w:pPr>
      <w:tabs>
        <w:tab w:val="left" w:pos="720"/>
        <w:tab w:val="right" w:leader="dot" w:pos="8270"/>
      </w:tabs>
      <w:spacing w:before="120" w:after="120"/>
      <w:ind w:left="432" w:hanging="432"/>
    </w:pPr>
    <w:rPr>
      <w:rFonts w:eastAsiaTheme="minorHAnsi" w:cstheme="minorBidi"/>
      <w:i/>
      <w:szCs w:val="22"/>
      <w:lang w:val="fr-CA" w:eastAsia="en-US" w:bidi="en-US"/>
    </w:rPr>
  </w:style>
  <w:style w:type="paragraph" w:styleId="TOC3">
    <w:name w:val="toc 3"/>
    <w:basedOn w:val="Normal"/>
    <w:next w:val="Normal"/>
    <w:autoRedefine/>
    <w:uiPriority w:val="39"/>
    <w:unhideWhenUsed/>
    <w:rsid w:val="00FC1A95"/>
    <w:pPr>
      <w:tabs>
        <w:tab w:val="left" w:pos="1080"/>
        <w:tab w:val="right" w:leader="dot" w:pos="8270"/>
      </w:tabs>
      <w:spacing w:before="120" w:after="120"/>
      <w:ind w:left="864" w:hanging="432"/>
    </w:pPr>
    <w:rPr>
      <w:rFonts w:eastAsiaTheme="minorHAnsi" w:cstheme="minorBidi"/>
      <w:noProof/>
      <w:u w:val="single"/>
      <w:lang w:val="fr-CA" w:eastAsia="en-US" w:bidi="en-US"/>
    </w:rPr>
  </w:style>
  <w:style w:type="paragraph" w:styleId="TOC4">
    <w:name w:val="toc 4"/>
    <w:basedOn w:val="Normal"/>
    <w:next w:val="Normal"/>
    <w:autoRedefine/>
    <w:uiPriority w:val="39"/>
    <w:unhideWhenUsed/>
    <w:rsid w:val="00FC1A95"/>
    <w:pPr>
      <w:tabs>
        <w:tab w:val="left" w:pos="900"/>
        <w:tab w:val="right" w:leader="dot" w:pos="8270"/>
      </w:tabs>
      <w:spacing w:before="120" w:after="120"/>
      <w:ind w:left="900" w:hanging="450"/>
    </w:pPr>
    <w:rPr>
      <w:rFonts w:eastAsiaTheme="minorEastAsia" w:cstheme="minorBidi"/>
      <w:i/>
      <w:noProof/>
      <w:szCs w:val="22"/>
      <w:lang w:val="fr-CA" w:eastAsia="en-US" w:bidi="en-US"/>
    </w:rPr>
  </w:style>
  <w:style w:type="paragraph" w:styleId="TOC5">
    <w:name w:val="toc 5"/>
    <w:basedOn w:val="Normal"/>
    <w:next w:val="Normal"/>
    <w:autoRedefine/>
    <w:uiPriority w:val="39"/>
    <w:unhideWhenUsed/>
    <w:rsid w:val="00FC1A95"/>
    <w:pPr>
      <w:tabs>
        <w:tab w:val="left" w:pos="1440"/>
        <w:tab w:val="right" w:leader="dot" w:pos="8270"/>
      </w:tabs>
      <w:spacing w:before="120" w:after="120"/>
      <w:ind w:left="1454" w:hanging="547"/>
    </w:pPr>
    <w:rPr>
      <w:rFonts w:eastAsiaTheme="minorHAnsi" w:cstheme="minorBidi"/>
      <w:noProof/>
      <w:u w:val="single"/>
      <w:lang w:val="fr-CA" w:eastAsia="en-US" w:bidi="en-US"/>
    </w:rPr>
  </w:style>
  <w:style w:type="paragraph" w:styleId="TOC6">
    <w:name w:val="toc 6"/>
    <w:basedOn w:val="Normal"/>
    <w:next w:val="Normal"/>
    <w:autoRedefine/>
    <w:uiPriority w:val="39"/>
    <w:unhideWhenUsed/>
    <w:rsid w:val="00FC1A95"/>
    <w:pPr>
      <w:tabs>
        <w:tab w:val="left" w:pos="2160"/>
        <w:tab w:val="right" w:leader="dot" w:pos="8270"/>
      </w:tabs>
      <w:spacing w:after="100"/>
      <w:ind w:left="1800"/>
    </w:pPr>
    <w:rPr>
      <w:rFonts w:eastAsiaTheme="minorHAnsi" w:cstheme="minorBidi"/>
      <w:noProof/>
      <w:lang w:val="fr-CA" w:eastAsia="en-US" w:bidi="en-US"/>
    </w:rPr>
  </w:style>
  <w:style w:type="table" w:customStyle="1" w:styleId="TableGrid1">
    <w:name w:val="Table Grid1"/>
    <w:basedOn w:val="TableNormal"/>
    <w:uiPriority w:val="59"/>
    <w:rsid w:val="00FC1A9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rsid w:val="00FC1A95"/>
    <w:pPr>
      <w:ind w:left="720"/>
      <w:contextualSpacing/>
    </w:pPr>
    <w:rPr>
      <w:rFonts w:eastAsiaTheme="minorHAnsi" w:cstheme="minorBidi"/>
      <w:szCs w:val="22"/>
      <w:lang w:val="fr-CA" w:eastAsia="en-US" w:bidi="en-US"/>
    </w:rPr>
  </w:style>
  <w:style w:type="character" w:customStyle="1" w:styleId="ListParagraphChar">
    <w:name w:val="List Paragraph Char"/>
    <w:basedOn w:val="DefaultParagraphFont"/>
    <w:link w:val="ListParagraph"/>
    <w:rsid w:val="00FC1A95"/>
    <w:rPr>
      <w:rFonts w:eastAsiaTheme="minorHAnsi" w:cstheme="minorBidi"/>
      <w:sz w:val="24"/>
      <w:szCs w:val="22"/>
      <w:lang w:val="fr-CA" w:eastAsia="en-US" w:bidi="en-US"/>
    </w:rPr>
  </w:style>
  <w:style w:type="paragraph" w:customStyle="1" w:styleId="11">
    <w:name w:val="11"/>
    <w:basedOn w:val="Normal"/>
    <w:rsid w:val="00FC1A95"/>
    <w:pPr>
      <w:autoSpaceDE w:val="0"/>
      <w:autoSpaceDN w:val="0"/>
      <w:ind w:hanging="720"/>
    </w:pPr>
    <w:rPr>
      <w:rFonts w:eastAsiaTheme="minorHAnsi" w:cstheme="minorBidi"/>
      <w:szCs w:val="22"/>
      <w:lang w:val="fr-CA" w:eastAsia="en-US" w:bidi="en-US"/>
    </w:rPr>
  </w:style>
  <w:style w:type="paragraph" w:styleId="NormalWeb">
    <w:name w:val="Normal (Web)"/>
    <w:basedOn w:val="Normal"/>
    <w:uiPriority w:val="99"/>
    <w:semiHidden/>
    <w:unhideWhenUsed/>
    <w:rsid w:val="00FC1A95"/>
    <w:pPr>
      <w:spacing w:before="100" w:beforeAutospacing="1" w:after="100" w:afterAutospacing="1"/>
    </w:pPr>
    <w:rPr>
      <w:rFonts w:eastAsiaTheme="minorHAnsi" w:cstheme="minorBidi"/>
      <w:szCs w:val="22"/>
      <w:lang w:val="fr-CA" w:eastAsia="en-US" w:bidi="en-US"/>
    </w:rPr>
  </w:style>
  <w:style w:type="character" w:styleId="SubtleEmphasis">
    <w:name w:val="Subtle Emphasis"/>
    <w:basedOn w:val="DefaultParagraphFont"/>
    <w:uiPriority w:val="19"/>
    <w:rsid w:val="00FC1A95"/>
    <w:rPr>
      <w:i/>
      <w:iCs/>
      <w:color w:val="808080" w:themeColor="text1" w:themeTint="7F"/>
    </w:rPr>
  </w:style>
  <w:style w:type="paragraph" w:styleId="FootnoteText">
    <w:name w:val="footnote text"/>
    <w:basedOn w:val="Normal"/>
    <w:link w:val="FootnoteTextChar"/>
    <w:uiPriority w:val="99"/>
    <w:unhideWhenUsed/>
    <w:rsid w:val="00FC1A95"/>
    <w:rPr>
      <w:rFonts w:eastAsiaTheme="minorHAnsi" w:cstheme="minorBidi"/>
      <w:sz w:val="20"/>
      <w:lang w:val="fr-CA" w:eastAsia="en-US" w:bidi="en-US"/>
    </w:rPr>
  </w:style>
  <w:style w:type="character" w:customStyle="1" w:styleId="FootnoteTextChar">
    <w:name w:val="Footnote Text Char"/>
    <w:basedOn w:val="DefaultParagraphFont"/>
    <w:link w:val="FootnoteText"/>
    <w:uiPriority w:val="99"/>
    <w:rsid w:val="00FC1A95"/>
    <w:rPr>
      <w:rFonts w:eastAsiaTheme="minorHAnsi" w:cstheme="minorBidi"/>
      <w:lang w:val="fr-CA" w:eastAsia="en-US" w:bidi="en-US"/>
    </w:rPr>
  </w:style>
  <w:style w:type="character" w:styleId="FootnoteReference">
    <w:name w:val="footnote reference"/>
    <w:basedOn w:val="DefaultParagraphFont"/>
    <w:uiPriority w:val="99"/>
    <w:unhideWhenUsed/>
    <w:rsid w:val="00FC1A95"/>
    <w:rPr>
      <w:vertAlign w:val="superscript"/>
    </w:rPr>
  </w:style>
  <w:style w:type="paragraph" w:customStyle="1" w:styleId="citationenretrait1">
    <w:name w:val="citationenretrait1"/>
    <w:basedOn w:val="Normal"/>
    <w:rsid w:val="00FC1A95"/>
    <w:pPr>
      <w:spacing w:before="120" w:after="120"/>
      <w:ind w:left="720" w:right="648"/>
      <w:jc w:val="both"/>
    </w:pPr>
    <w:rPr>
      <w:rFonts w:ascii="Arial" w:eastAsiaTheme="minorHAnsi" w:hAnsi="Arial" w:cs="Arial"/>
      <w:color w:val="000000"/>
      <w:sz w:val="22"/>
      <w:szCs w:val="22"/>
      <w:lang w:val="fr-CA" w:eastAsia="en-US" w:bidi="en-US"/>
    </w:rPr>
  </w:style>
  <w:style w:type="character" w:customStyle="1" w:styleId="ssl21">
    <w:name w:val="ss_l21"/>
    <w:basedOn w:val="DefaultParagraphFont"/>
    <w:rsid w:val="00FC1A95"/>
    <w:rPr>
      <w:color w:val="000000"/>
      <w:sz w:val="24"/>
      <w:szCs w:val="24"/>
    </w:rPr>
  </w:style>
  <w:style w:type="character" w:styleId="Emphasis">
    <w:name w:val="Emphasis"/>
    <w:basedOn w:val="DefaultParagraphFont"/>
    <w:uiPriority w:val="20"/>
    <w:rsid w:val="00FC1A95"/>
    <w:rPr>
      <w:i/>
      <w:iCs/>
    </w:rPr>
  </w:style>
  <w:style w:type="paragraph" w:customStyle="1" w:styleId="section">
    <w:name w:val="section"/>
    <w:basedOn w:val="Normal"/>
    <w:rsid w:val="00FC1A95"/>
    <w:pPr>
      <w:spacing w:before="100" w:beforeAutospacing="1" w:after="100" w:afterAutospacing="1"/>
    </w:pPr>
    <w:rPr>
      <w:rFonts w:eastAsiaTheme="minorHAnsi" w:cstheme="minorBidi"/>
      <w:szCs w:val="22"/>
      <w:lang w:val="fr-CA" w:eastAsia="en-US" w:bidi="en-US"/>
    </w:rPr>
  </w:style>
  <w:style w:type="paragraph" w:customStyle="1" w:styleId="paragraph">
    <w:name w:val="paragraph"/>
    <w:basedOn w:val="Normal"/>
    <w:rsid w:val="00FC1A95"/>
    <w:pPr>
      <w:spacing w:before="100" w:beforeAutospacing="1" w:after="100" w:afterAutospacing="1"/>
    </w:pPr>
    <w:rPr>
      <w:rFonts w:eastAsiaTheme="minorHAnsi" w:cstheme="minorBidi"/>
      <w:szCs w:val="22"/>
      <w:lang w:val="fr-CA" w:eastAsia="en-US" w:bidi="en-US"/>
    </w:rPr>
  </w:style>
  <w:style w:type="paragraph" w:customStyle="1" w:styleId="continuedsectionsubsection">
    <w:name w:val="continuedsectionsubsection"/>
    <w:basedOn w:val="Normal"/>
    <w:rsid w:val="00FC1A95"/>
    <w:pPr>
      <w:spacing w:before="100" w:beforeAutospacing="1" w:after="100" w:afterAutospacing="1"/>
    </w:pPr>
    <w:rPr>
      <w:rFonts w:eastAsiaTheme="minorHAnsi" w:cstheme="minorBidi"/>
      <w:szCs w:val="22"/>
      <w:lang w:val="fr-CA" w:eastAsia="en-US" w:bidi="en-US"/>
    </w:rPr>
  </w:style>
  <w:style w:type="character" w:customStyle="1" w:styleId="italic1">
    <w:name w:val="italic1"/>
    <w:basedOn w:val="DefaultParagraphFont"/>
    <w:rsid w:val="00FC1A95"/>
    <w:rPr>
      <w:i/>
      <w:iCs/>
    </w:rPr>
  </w:style>
  <w:style w:type="character" w:customStyle="1" w:styleId="bold1">
    <w:name w:val="bold1"/>
    <w:basedOn w:val="DefaultParagraphFont"/>
    <w:rsid w:val="00FC1A95"/>
    <w:rPr>
      <w:b/>
      <w:bCs/>
    </w:rPr>
  </w:style>
  <w:style w:type="paragraph" w:styleId="CommentText">
    <w:name w:val="annotation text"/>
    <w:basedOn w:val="Normal"/>
    <w:link w:val="CommentTextChar"/>
    <w:uiPriority w:val="99"/>
    <w:semiHidden/>
    <w:unhideWhenUsed/>
    <w:rsid w:val="00FC1A95"/>
    <w:rPr>
      <w:rFonts w:eastAsiaTheme="minorHAnsi" w:cstheme="minorBidi"/>
      <w:sz w:val="20"/>
      <w:szCs w:val="22"/>
      <w:lang w:val="fr-CA" w:eastAsia="en-US" w:bidi="en-US"/>
    </w:rPr>
  </w:style>
  <w:style w:type="character" w:customStyle="1" w:styleId="CommentTextChar">
    <w:name w:val="Comment Text Char"/>
    <w:basedOn w:val="DefaultParagraphFont"/>
    <w:link w:val="CommentText"/>
    <w:uiPriority w:val="99"/>
    <w:semiHidden/>
    <w:rsid w:val="00FC1A95"/>
    <w:rPr>
      <w:rFonts w:eastAsiaTheme="minorHAnsi" w:cstheme="minorBidi"/>
      <w:szCs w:val="22"/>
      <w:lang w:val="fr-CA" w:eastAsia="en-US" w:bidi="en-US"/>
    </w:rPr>
  </w:style>
  <w:style w:type="paragraph" w:styleId="CommentSubject">
    <w:name w:val="annotation subject"/>
    <w:basedOn w:val="CommentText"/>
    <w:next w:val="CommentText"/>
    <w:link w:val="CommentSubjectChar"/>
    <w:uiPriority w:val="99"/>
    <w:semiHidden/>
    <w:unhideWhenUsed/>
    <w:rsid w:val="00FC1A95"/>
    <w:rPr>
      <w:b/>
      <w:bCs/>
    </w:rPr>
  </w:style>
  <w:style w:type="character" w:customStyle="1" w:styleId="CommentSubjectChar">
    <w:name w:val="Comment Subject Char"/>
    <w:basedOn w:val="CommentTextChar"/>
    <w:link w:val="CommentSubject"/>
    <w:uiPriority w:val="99"/>
    <w:semiHidden/>
    <w:rsid w:val="00FC1A95"/>
    <w:rPr>
      <w:rFonts w:eastAsiaTheme="minorHAnsi" w:cstheme="minorBidi"/>
      <w:b/>
      <w:bCs/>
      <w:szCs w:val="22"/>
      <w:lang w:val="fr-CA" w:eastAsia="en-US" w:bidi="en-US"/>
    </w:rPr>
  </w:style>
  <w:style w:type="character" w:customStyle="1" w:styleId="sfbbfee58">
    <w:name w:val="sfbbfee58"/>
    <w:basedOn w:val="DefaultParagraphFont"/>
    <w:rsid w:val="00FC1A95"/>
  </w:style>
  <w:style w:type="character" w:customStyle="1" w:styleId="s1a844bc0">
    <w:name w:val="s1a844bc0"/>
    <w:basedOn w:val="DefaultParagraphFont"/>
    <w:rsid w:val="00FC1A95"/>
  </w:style>
  <w:style w:type="character" w:customStyle="1" w:styleId="sb8d990e2">
    <w:name w:val="sb8d990e2"/>
    <w:basedOn w:val="DefaultParagraphFont"/>
    <w:rsid w:val="00FC1A95"/>
  </w:style>
  <w:style w:type="character" w:customStyle="1" w:styleId="s6b621b36">
    <w:name w:val="s6b621b36"/>
    <w:basedOn w:val="DefaultParagraphFont"/>
    <w:rsid w:val="00FC1A95"/>
  </w:style>
  <w:style w:type="paragraph" w:styleId="PlainText">
    <w:name w:val="Plain Text"/>
    <w:basedOn w:val="Normal"/>
    <w:link w:val="PlainTextChar"/>
    <w:uiPriority w:val="99"/>
    <w:semiHidden/>
    <w:unhideWhenUsed/>
    <w:rsid w:val="00FC1A95"/>
    <w:rPr>
      <w:rFonts w:ascii="Consolas" w:eastAsiaTheme="minorHAnsi" w:hAnsi="Consolas" w:cs="Consolas"/>
      <w:sz w:val="21"/>
      <w:szCs w:val="21"/>
      <w:lang w:val="fr-CA" w:eastAsia="en-US" w:bidi="en-US"/>
    </w:rPr>
  </w:style>
  <w:style w:type="character" w:customStyle="1" w:styleId="PlainTextChar">
    <w:name w:val="Plain Text Char"/>
    <w:basedOn w:val="DefaultParagraphFont"/>
    <w:link w:val="PlainText"/>
    <w:uiPriority w:val="99"/>
    <w:semiHidden/>
    <w:rsid w:val="00FC1A95"/>
    <w:rPr>
      <w:rFonts w:ascii="Consolas" w:eastAsiaTheme="minorHAnsi" w:hAnsi="Consolas" w:cs="Consolas"/>
      <w:sz w:val="21"/>
      <w:szCs w:val="21"/>
      <w:lang w:val="fr-CA" w:eastAsia="en-US" w:bidi="en-US"/>
    </w:rPr>
  </w:style>
  <w:style w:type="paragraph" w:styleId="TOCHeading">
    <w:name w:val="TOC Heading"/>
    <w:basedOn w:val="Heading1"/>
    <w:next w:val="Normal"/>
    <w:uiPriority w:val="39"/>
    <w:unhideWhenUsed/>
    <w:qFormat/>
    <w:rsid w:val="00FC1A95"/>
    <w:pPr>
      <w:spacing w:before="480" w:after="0"/>
      <w:ind w:left="0" w:firstLine="0"/>
      <w:outlineLvl w:val="9"/>
    </w:pPr>
    <w:rPr>
      <w:lang w:val="fr-CA" w:eastAsia="en-US" w:bidi="en-US"/>
    </w:rPr>
  </w:style>
  <w:style w:type="paragraph" w:styleId="Caption">
    <w:name w:val="caption"/>
    <w:basedOn w:val="Normal"/>
    <w:next w:val="Normal"/>
    <w:uiPriority w:val="35"/>
    <w:semiHidden/>
    <w:unhideWhenUsed/>
    <w:qFormat/>
    <w:rsid w:val="00FC1A95"/>
    <w:rPr>
      <w:rFonts w:eastAsiaTheme="minorHAnsi" w:cstheme="minorBidi"/>
      <w:b/>
      <w:bCs/>
      <w:color w:val="4F81BD" w:themeColor="accent1"/>
      <w:sz w:val="18"/>
      <w:szCs w:val="18"/>
      <w:lang w:val="fr-CA" w:eastAsia="en-US" w:bidi="en-US"/>
    </w:rPr>
  </w:style>
  <w:style w:type="paragraph" w:styleId="Title">
    <w:name w:val="Title"/>
    <w:basedOn w:val="Normal"/>
    <w:next w:val="Normal"/>
    <w:link w:val="TitleChar"/>
    <w:uiPriority w:val="10"/>
    <w:rsid w:val="00FC1A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CA" w:eastAsia="en-US" w:bidi="en-US"/>
    </w:rPr>
  </w:style>
  <w:style w:type="character" w:customStyle="1" w:styleId="TitleChar">
    <w:name w:val="Title Char"/>
    <w:basedOn w:val="DefaultParagraphFont"/>
    <w:link w:val="Title"/>
    <w:uiPriority w:val="10"/>
    <w:rsid w:val="00FC1A95"/>
    <w:rPr>
      <w:rFonts w:asciiTheme="majorHAnsi" w:eastAsiaTheme="majorEastAsia" w:hAnsiTheme="majorHAnsi" w:cstheme="majorBidi"/>
      <w:color w:val="17365D" w:themeColor="text2" w:themeShade="BF"/>
      <w:spacing w:val="5"/>
      <w:kern w:val="28"/>
      <w:sz w:val="52"/>
      <w:szCs w:val="52"/>
      <w:lang w:val="fr-CA" w:eastAsia="en-US" w:bidi="en-US"/>
    </w:rPr>
  </w:style>
  <w:style w:type="paragraph" w:styleId="Subtitle">
    <w:name w:val="Subtitle"/>
    <w:basedOn w:val="Normal"/>
    <w:next w:val="Normal"/>
    <w:link w:val="SubtitleChar"/>
    <w:uiPriority w:val="11"/>
    <w:rsid w:val="00FC1A95"/>
    <w:pPr>
      <w:numPr>
        <w:ilvl w:val="1"/>
      </w:numPr>
    </w:pPr>
    <w:rPr>
      <w:rFonts w:asciiTheme="majorHAnsi" w:eastAsiaTheme="majorEastAsia" w:hAnsiTheme="majorHAnsi" w:cstheme="majorBidi"/>
      <w:i/>
      <w:iCs/>
      <w:color w:val="4F81BD" w:themeColor="accent1"/>
      <w:spacing w:val="15"/>
      <w:szCs w:val="24"/>
      <w:lang w:val="fr-CA" w:eastAsia="en-US" w:bidi="en-US"/>
    </w:rPr>
  </w:style>
  <w:style w:type="character" w:customStyle="1" w:styleId="SubtitleChar">
    <w:name w:val="Subtitle Char"/>
    <w:basedOn w:val="DefaultParagraphFont"/>
    <w:link w:val="Subtitle"/>
    <w:uiPriority w:val="11"/>
    <w:rsid w:val="00FC1A95"/>
    <w:rPr>
      <w:rFonts w:asciiTheme="majorHAnsi" w:eastAsiaTheme="majorEastAsia" w:hAnsiTheme="majorHAnsi" w:cstheme="majorBidi"/>
      <w:i/>
      <w:iCs/>
      <w:color w:val="4F81BD" w:themeColor="accent1"/>
      <w:spacing w:val="15"/>
      <w:sz w:val="24"/>
      <w:szCs w:val="24"/>
      <w:lang w:val="fr-CA" w:eastAsia="en-US" w:bidi="en-US"/>
    </w:rPr>
  </w:style>
  <w:style w:type="paragraph" w:styleId="IntenseQuote">
    <w:name w:val="Intense Quote"/>
    <w:basedOn w:val="Normal"/>
    <w:next w:val="Normal"/>
    <w:link w:val="IntenseQuoteChar"/>
    <w:uiPriority w:val="30"/>
    <w:rsid w:val="00FC1A95"/>
    <w:pPr>
      <w:pBdr>
        <w:bottom w:val="single" w:sz="4" w:space="4" w:color="4F81BD" w:themeColor="accent1"/>
      </w:pBdr>
      <w:spacing w:before="200" w:after="280"/>
      <w:ind w:left="936" w:right="936"/>
    </w:pPr>
    <w:rPr>
      <w:rFonts w:eastAsiaTheme="minorHAnsi" w:cstheme="minorBidi"/>
      <w:b/>
      <w:bCs/>
      <w:i/>
      <w:iCs/>
      <w:color w:val="4F81BD" w:themeColor="accent1"/>
      <w:szCs w:val="22"/>
      <w:lang w:val="fr-CA" w:eastAsia="en-US" w:bidi="en-US"/>
    </w:rPr>
  </w:style>
  <w:style w:type="character" w:customStyle="1" w:styleId="IntenseQuoteChar">
    <w:name w:val="Intense Quote Char"/>
    <w:basedOn w:val="DefaultParagraphFont"/>
    <w:link w:val="IntenseQuote"/>
    <w:uiPriority w:val="30"/>
    <w:rsid w:val="00FC1A95"/>
    <w:rPr>
      <w:rFonts w:eastAsiaTheme="minorHAnsi" w:cstheme="minorBidi"/>
      <w:b/>
      <w:bCs/>
      <w:i/>
      <w:iCs/>
      <w:color w:val="4F81BD" w:themeColor="accent1"/>
      <w:sz w:val="24"/>
      <w:szCs w:val="22"/>
      <w:lang w:val="fr-CA" w:eastAsia="en-US" w:bidi="en-US"/>
    </w:rPr>
  </w:style>
  <w:style w:type="character" w:styleId="IntenseEmphasis">
    <w:name w:val="Intense Emphasis"/>
    <w:basedOn w:val="DefaultParagraphFont"/>
    <w:uiPriority w:val="21"/>
    <w:rsid w:val="00FC1A95"/>
    <w:rPr>
      <w:b/>
      <w:bCs/>
      <w:i/>
      <w:iCs/>
      <w:color w:val="4F81BD" w:themeColor="accent1"/>
    </w:rPr>
  </w:style>
  <w:style w:type="character" w:styleId="SubtleReference">
    <w:name w:val="Subtle Reference"/>
    <w:basedOn w:val="DefaultParagraphFont"/>
    <w:uiPriority w:val="31"/>
    <w:rsid w:val="00FC1A95"/>
    <w:rPr>
      <w:smallCaps/>
      <w:color w:val="C0504D" w:themeColor="accent2"/>
      <w:u w:val="single"/>
    </w:rPr>
  </w:style>
  <w:style w:type="character" w:styleId="IntenseReference">
    <w:name w:val="Intense Reference"/>
    <w:basedOn w:val="DefaultParagraphFont"/>
    <w:uiPriority w:val="32"/>
    <w:rsid w:val="00FC1A95"/>
    <w:rPr>
      <w:b/>
      <w:bCs/>
      <w:smallCaps/>
      <w:color w:val="C0504D" w:themeColor="accent2"/>
      <w:spacing w:val="5"/>
      <w:u w:val="single"/>
    </w:rPr>
  </w:style>
  <w:style w:type="character" w:styleId="BookTitle">
    <w:name w:val="Book Title"/>
    <w:basedOn w:val="DefaultParagraphFont"/>
    <w:uiPriority w:val="33"/>
    <w:rsid w:val="00FC1A95"/>
    <w:rPr>
      <w:b/>
      <w:bCs/>
      <w:smallCaps/>
      <w:spacing w:val="5"/>
    </w:rPr>
  </w:style>
  <w:style w:type="paragraph" w:styleId="Revision">
    <w:name w:val="Revision"/>
    <w:hidden/>
    <w:uiPriority w:val="99"/>
    <w:semiHidden/>
    <w:rsid w:val="00FC1A95"/>
    <w:rPr>
      <w:rFonts w:eastAsiaTheme="minorHAnsi" w:cstheme="minorBidi"/>
      <w:sz w:val="24"/>
      <w:szCs w:val="22"/>
      <w:lang w:val="en-US" w:eastAsia="en-US" w:bidi="en-US"/>
    </w:rPr>
  </w:style>
  <w:style w:type="paragraph" w:styleId="DocumentMap">
    <w:name w:val="Document Map"/>
    <w:basedOn w:val="Normal"/>
    <w:link w:val="DocumentMapChar"/>
    <w:uiPriority w:val="99"/>
    <w:semiHidden/>
    <w:unhideWhenUsed/>
    <w:rsid w:val="00FC1A95"/>
    <w:rPr>
      <w:rFonts w:ascii="Tahoma" w:eastAsiaTheme="minorHAnsi" w:hAnsi="Tahoma" w:cs="Tahoma"/>
      <w:sz w:val="16"/>
      <w:szCs w:val="16"/>
      <w:lang w:val="fr-CA" w:eastAsia="en-US" w:bidi="en-US"/>
    </w:rPr>
  </w:style>
  <w:style w:type="character" w:customStyle="1" w:styleId="DocumentMapChar">
    <w:name w:val="Document Map Char"/>
    <w:basedOn w:val="DefaultParagraphFont"/>
    <w:link w:val="DocumentMap"/>
    <w:uiPriority w:val="99"/>
    <w:semiHidden/>
    <w:rsid w:val="00FC1A95"/>
    <w:rPr>
      <w:rFonts w:ascii="Tahoma" w:eastAsiaTheme="minorHAnsi" w:hAnsi="Tahoma" w:cs="Tahoma"/>
      <w:sz w:val="16"/>
      <w:szCs w:val="16"/>
      <w:lang w:val="fr-CA" w:eastAsia="en-US" w:bidi="en-US"/>
    </w:rPr>
  </w:style>
  <w:style w:type="character" w:customStyle="1" w:styleId="canliisection1">
    <w:name w:val="canlii_section1"/>
    <w:basedOn w:val="DefaultParagraphFont"/>
    <w:rsid w:val="00FC1A95"/>
    <w:rPr>
      <w:color w:val="027ABB"/>
      <w:shd w:val="clear" w:color="auto" w:fill="F3F3F3"/>
    </w:rPr>
  </w:style>
  <w:style w:type="character" w:customStyle="1" w:styleId="Appelnotedebasdep1">
    <w:name w:val="Appel note de bas de p.1"/>
    <w:rsid w:val="00FC1A95"/>
    <w:rPr>
      <w:vertAlign w:val="superscript"/>
    </w:rPr>
  </w:style>
  <w:style w:type="character" w:customStyle="1" w:styleId="decisia-reflex2-icon">
    <w:name w:val="decisia-reflex2-icon"/>
    <w:basedOn w:val="DefaultParagraphFont"/>
    <w:rsid w:val="00FC1A95"/>
    <w:rPr>
      <w:strike w:val="0"/>
      <w:dstrike w:val="0"/>
      <w:sz w:val="19"/>
      <w:szCs w:val="19"/>
      <w:u w:val="none"/>
      <w:effect w:val="none"/>
    </w:rPr>
  </w:style>
  <w:style w:type="character" w:customStyle="1" w:styleId="sccrespondentforindexchar1">
    <w:name w:val="sccrespondentforindexchar1"/>
    <w:basedOn w:val="DefaultParagraphFont"/>
    <w:rsid w:val="00FC1A95"/>
    <w:rPr>
      <w:rFonts w:ascii="Times New Roman" w:hAnsi="Times New Roman" w:cs="Times New Roman" w:hint="default"/>
      <w:b/>
      <w:bCs/>
    </w:rPr>
  </w:style>
  <w:style w:type="character" w:customStyle="1" w:styleId="sccrespondentforrunningheadchar1">
    <w:name w:val="sccrespondentforrunningheadchar1"/>
    <w:basedOn w:val="DefaultParagraphFont"/>
    <w:rsid w:val="00FC1A95"/>
    <w:rPr>
      <w:rFonts w:ascii="Times New Roman" w:hAnsi="Times New Roman" w:cs="Times New Roman" w:hint="default"/>
      <w:smallCaps/>
    </w:rPr>
  </w:style>
  <w:style w:type="paragraph" w:customStyle="1" w:styleId="Titre32">
    <w:name w:val="Titre 32"/>
    <w:basedOn w:val="Normal"/>
    <w:link w:val="Titre3Char1"/>
    <w:qFormat/>
    <w:rsid w:val="00FC1A95"/>
    <w:pPr>
      <w:numPr>
        <w:numId w:val="5"/>
      </w:numPr>
      <w:spacing w:after="200" w:line="276" w:lineRule="auto"/>
      <w:jc w:val="both"/>
      <w:outlineLvl w:val="0"/>
    </w:pPr>
    <w:rPr>
      <w:rFonts w:asciiTheme="minorHAnsi" w:eastAsiaTheme="minorHAnsi" w:hAnsiTheme="minorHAnsi" w:cstheme="minorHAnsi"/>
      <w:b/>
      <w:bCs/>
      <w:sz w:val="22"/>
      <w:szCs w:val="22"/>
      <w:lang w:val="fr-CA" w:eastAsia="en-US"/>
    </w:rPr>
  </w:style>
  <w:style w:type="character" w:customStyle="1" w:styleId="Titre3Char1">
    <w:name w:val="Titre 3 Char1"/>
    <w:basedOn w:val="DefaultParagraphFont"/>
    <w:link w:val="Titre32"/>
    <w:rsid w:val="00FC1A95"/>
    <w:rPr>
      <w:rFonts w:asciiTheme="minorHAnsi" w:eastAsiaTheme="minorHAnsi" w:hAnsiTheme="minorHAnsi" w:cstheme="minorHAnsi"/>
      <w:b/>
      <w:bCs/>
      <w:sz w:val="22"/>
      <w:szCs w:val="22"/>
      <w:lang w:val="fr-CA" w:eastAsia="en-US"/>
    </w:rPr>
  </w:style>
  <w:style w:type="paragraph" w:customStyle="1" w:styleId="Titre42">
    <w:name w:val="Titre 42"/>
    <w:basedOn w:val="Normal"/>
    <w:link w:val="Titre4Char1"/>
    <w:qFormat/>
    <w:rsid w:val="00FC1A95"/>
    <w:pPr>
      <w:numPr>
        <w:numId w:val="4"/>
      </w:numPr>
      <w:spacing w:after="200" w:line="276" w:lineRule="auto"/>
      <w:contextualSpacing/>
      <w:jc w:val="both"/>
      <w:outlineLvl w:val="0"/>
    </w:pPr>
    <w:rPr>
      <w:rFonts w:asciiTheme="minorHAnsi" w:eastAsiaTheme="minorHAnsi" w:hAnsiTheme="minorHAnsi" w:cstheme="minorHAnsi"/>
      <w:b/>
      <w:bCs/>
      <w:i/>
      <w:iCs/>
      <w:sz w:val="22"/>
      <w:szCs w:val="22"/>
      <w:lang w:val="fr-CA" w:eastAsia="en-US"/>
    </w:rPr>
  </w:style>
  <w:style w:type="character" w:customStyle="1" w:styleId="Titre4Char1">
    <w:name w:val="Titre 4 Char1"/>
    <w:basedOn w:val="DefaultParagraphFont"/>
    <w:link w:val="Titre42"/>
    <w:rsid w:val="00FC1A95"/>
    <w:rPr>
      <w:rFonts w:asciiTheme="minorHAnsi" w:eastAsiaTheme="minorHAnsi" w:hAnsiTheme="minorHAnsi" w:cstheme="minorHAnsi"/>
      <w:b/>
      <w:bCs/>
      <w:i/>
      <w:iCs/>
      <w:sz w:val="22"/>
      <w:szCs w:val="22"/>
      <w:lang w:val="fr-CA" w:eastAsia="en-US"/>
    </w:rPr>
  </w:style>
  <w:style w:type="paragraph" w:customStyle="1" w:styleId="Titre52">
    <w:name w:val="Titre 52"/>
    <w:basedOn w:val="Normal"/>
    <w:link w:val="Titre5Char1"/>
    <w:qFormat/>
    <w:rsid w:val="00FC1A95"/>
    <w:pPr>
      <w:numPr>
        <w:numId w:val="6"/>
      </w:numPr>
      <w:spacing w:after="240" w:line="276" w:lineRule="auto"/>
      <w:contextualSpacing/>
      <w:jc w:val="both"/>
      <w:outlineLvl w:val="0"/>
    </w:pPr>
    <w:rPr>
      <w:rFonts w:asciiTheme="minorHAnsi" w:eastAsiaTheme="minorHAnsi" w:hAnsiTheme="minorHAnsi" w:cstheme="minorHAnsi"/>
      <w:b/>
      <w:bCs/>
      <w:i/>
      <w:iCs/>
      <w:sz w:val="22"/>
      <w:szCs w:val="22"/>
      <w:lang w:val="fr-CA" w:eastAsia="en-US"/>
    </w:rPr>
  </w:style>
  <w:style w:type="character" w:customStyle="1" w:styleId="Titre5Char1">
    <w:name w:val="Titre 5 Char1"/>
    <w:basedOn w:val="DefaultParagraphFont"/>
    <w:link w:val="Titre52"/>
    <w:rsid w:val="00FC1A95"/>
    <w:rPr>
      <w:rFonts w:asciiTheme="minorHAnsi" w:eastAsiaTheme="minorHAnsi" w:hAnsiTheme="minorHAnsi" w:cstheme="minorHAnsi"/>
      <w:b/>
      <w:bCs/>
      <w:i/>
      <w:iCs/>
      <w:sz w:val="22"/>
      <w:szCs w:val="22"/>
      <w:lang w:val="fr-CA" w:eastAsia="en-US"/>
    </w:rPr>
  </w:style>
  <w:style w:type="paragraph" w:customStyle="1" w:styleId="5Notebaspagemmoire">
    <w:name w:val="5. Note bas page mémoire"/>
    <w:basedOn w:val="Normal"/>
    <w:rsid w:val="00FC1A95"/>
    <w:pPr>
      <w:tabs>
        <w:tab w:val="left" w:pos="540"/>
        <w:tab w:val="center" w:pos="4536"/>
        <w:tab w:val="right" w:pos="9072"/>
      </w:tabs>
      <w:ind w:left="540" w:hanging="540"/>
      <w:jc w:val="both"/>
    </w:pPr>
    <w:rPr>
      <w:sz w:val="22"/>
      <w:szCs w:val="22"/>
      <w:lang w:val="fr-CA" w:eastAsia="fr-FR"/>
    </w:rPr>
  </w:style>
  <w:style w:type="paragraph" w:customStyle="1" w:styleId="21Paragraphesnumrots">
    <w:name w:val="2.1 Paragraphes numérotés"/>
    <w:basedOn w:val="Normal"/>
    <w:rsid w:val="00FC1A95"/>
    <w:pPr>
      <w:numPr>
        <w:ilvl w:val="1"/>
        <w:numId w:val="7"/>
      </w:numPr>
      <w:spacing w:after="360" w:line="360" w:lineRule="auto"/>
      <w:jc w:val="both"/>
    </w:pPr>
    <w:rPr>
      <w:szCs w:val="24"/>
      <w:lang w:eastAsia="fr-FR"/>
    </w:rPr>
  </w:style>
  <w:style w:type="paragraph" w:customStyle="1" w:styleId="Titre41">
    <w:name w:val="Titre 41"/>
    <w:basedOn w:val="Normal"/>
    <w:qFormat/>
    <w:rsid w:val="00FC1A95"/>
    <w:pPr>
      <w:spacing w:after="200" w:line="276" w:lineRule="auto"/>
      <w:ind w:left="1080" w:hanging="360"/>
      <w:contextualSpacing/>
      <w:jc w:val="both"/>
      <w:outlineLvl w:val="0"/>
    </w:pPr>
    <w:rPr>
      <w:rFonts w:asciiTheme="minorHAnsi" w:eastAsiaTheme="minorHAnsi" w:hAnsiTheme="minorHAnsi" w:cstheme="minorHAnsi"/>
      <w:b/>
      <w:bCs/>
      <w:i/>
      <w:iCs/>
      <w:sz w:val="22"/>
      <w:szCs w:val="22"/>
      <w:lang w:val="fr-CA" w:eastAsia="en-US"/>
    </w:rPr>
  </w:style>
  <w:style w:type="character" w:customStyle="1" w:styleId="edoctrinedocumenttitle">
    <w:name w:val="edoctrinedocumenttitle"/>
    <w:basedOn w:val="DefaultParagraphFont"/>
    <w:rsid w:val="00FC1A95"/>
    <w:rPr>
      <w:b/>
      <w:bCs/>
      <w:vanish w:val="0"/>
      <w:webHidden w:val="0"/>
      <w:color w:val="000000"/>
      <w:sz w:val="20"/>
      <w:szCs w:val="20"/>
      <w:specVanish w:val="0"/>
    </w:rPr>
  </w:style>
  <w:style w:type="paragraph" w:customStyle="1" w:styleId="paragraphe2">
    <w:name w:val="paragraphe2"/>
    <w:basedOn w:val="Normal"/>
    <w:rsid w:val="00FC1A95"/>
    <w:pPr>
      <w:spacing w:before="120" w:after="120"/>
      <w:jc w:val="both"/>
    </w:pPr>
    <w:rPr>
      <w:rFonts w:ascii="Arial" w:hAnsi="Arial" w:cs="Arial"/>
      <w:szCs w:val="24"/>
      <w:lang w:val="en-US" w:eastAsia="en-US"/>
    </w:rPr>
  </w:style>
  <w:style w:type="character" w:customStyle="1" w:styleId="SCCLsocPartyRoleChar">
    <w:name w:val="SCC.Lsoc.PartyRole Char"/>
    <w:basedOn w:val="DefaultParagraphFont"/>
    <w:rsid w:val="00AF615F"/>
    <w:rPr>
      <w:lang w:val="en-CA"/>
    </w:rPr>
  </w:style>
  <w:style w:type="paragraph" w:customStyle="1" w:styleId="SCCLsocPrefix">
    <w:name w:val="SCC.Lsoc.Prefix"/>
    <w:basedOn w:val="Normal"/>
    <w:next w:val="Normal"/>
    <w:link w:val="SCCLsocPrefixChar"/>
    <w:rsid w:val="00AF615F"/>
    <w:rPr>
      <w:rFonts w:eastAsiaTheme="minorHAnsi" w:cstheme="minorBidi"/>
      <w:b/>
      <w:smallCaps/>
      <w:szCs w:val="24"/>
      <w:lang w:eastAsia="en-US"/>
    </w:rPr>
  </w:style>
  <w:style w:type="character" w:customStyle="1" w:styleId="SCCLsocPrefixChar">
    <w:name w:val="SCC.Lsoc.Prefix Char"/>
    <w:basedOn w:val="DefaultParagraphFont"/>
    <w:link w:val="SCCLsocPrefix"/>
    <w:rsid w:val="00AF615F"/>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EBAA4-3DC8-41DE-B24E-2FAA3C1D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11320</Words>
  <Characters>64528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2015-07-27T19:35:00Z</dcterms:created>
  <dcterms:modified xsi:type="dcterms:W3CDTF">2015-11-12T19:01:00Z</dcterms:modified>
</cp:coreProperties>
</file>