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60" w:rsidRDefault="00316C60" w:rsidP="00D90A50">
      <w:pPr>
        <w:widowControl w:val="0"/>
        <w:spacing w:after="720"/>
        <w:jc w:val="both"/>
        <w:rPr>
          <w:rStyle w:val="SCCAppellantForRunningHeadChar"/>
          <w:smallCaps w:val="0"/>
        </w:rPr>
      </w:pPr>
    </w:p>
    <w:p w:rsidR="00316C60" w:rsidRDefault="00316C60" w:rsidP="00316C6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518349140" r:id="rId8"/>
        </w:object>
      </w:r>
      <w:r>
        <w:t xml:space="preserve"> </w:t>
      </w:r>
      <w:r>
        <w:ptab w:relativeTo="margin" w:alignment="right" w:leader="none"/>
      </w:r>
    </w:p>
    <w:p w:rsidR="00316C60" w:rsidRDefault="00316C60" w:rsidP="00316C60">
      <w:pPr>
        <w:pStyle w:val="Header"/>
      </w:pPr>
    </w:p>
    <w:p w:rsidR="00316C60" w:rsidRPr="006B210C" w:rsidRDefault="00316C60" w:rsidP="00316C60">
      <w:pPr>
        <w:jc w:val="center"/>
        <w:rPr>
          <w:b/>
        </w:rPr>
      </w:pPr>
      <w:r w:rsidRPr="006B210C">
        <w:rPr>
          <w:b/>
        </w:rPr>
        <w:t>SUPREME COURT OF CANADA</w:t>
      </w:r>
    </w:p>
    <w:p w:rsidR="00316C60" w:rsidRDefault="00316C60" w:rsidP="00316C6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316C60" w:rsidRPr="006B210C" w:rsidTr="00F31C40">
        <w:trPr>
          <w:cantSplit/>
        </w:trPr>
        <w:tc>
          <w:tcPr>
            <w:tcW w:w="6768" w:type="dxa"/>
          </w:tcPr>
          <w:p w:rsidR="00316C60" w:rsidRPr="006B210C" w:rsidRDefault="00316C60" w:rsidP="00F31C40">
            <w:r w:rsidRPr="006B210C">
              <w:rPr>
                <w:b/>
                <w:smallCaps/>
              </w:rPr>
              <w:t>Citation</w:t>
            </w:r>
            <w:r>
              <w:rPr>
                <w:b/>
                <w:smallCaps/>
              </w:rPr>
              <w:t>:</w:t>
            </w:r>
            <w:r w:rsidRPr="006B210C">
              <w:t xml:space="preserve"> </w:t>
            </w:r>
            <w:r>
              <w:t xml:space="preserve">R. </w:t>
            </w:r>
            <w:r w:rsidRPr="005940EF">
              <w:rPr>
                <w:i/>
              </w:rPr>
              <w:t>v.</w:t>
            </w:r>
            <w:r>
              <w:t xml:space="preserve"> Riesberry, 2015 SCC 65</w:t>
            </w:r>
            <w:r>
              <w:t xml:space="preserve">, </w:t>
            </w:r>
            <w:r>
              <w:t>[2015] 3 S.C.R. 1167</w:t>
            </w:r>
          </w:p>
        </w:tc>
        <w:tc>
          <w:tcPr>
            <w:tcW w:w="2808" w:type="dxa"/>
          </w:tcPr>
          <w:p w:rsidR="00316C60" w:rsidRPr="006B210C" w:rsidRDefault="00316C60" w:rsidP="00F31C40">
            <w:r w:rsidRPr="006B210C">
              <w:rPr>
                <w:b/>
                <w:smallCaps/>
              </w:rPr>
              <w:t>Date</w:t>
            </w:r>
            <w:r w:rsidRPr="00CA608E">
              <w:rPr>
                <w:b/>
                <w:smallCaps/>
              </w:rPr>
              <w:t>:</w:t>
            </w:r>
            <w:r w:rsidRPr="00CA608E">
              <w:t xml:space="preserve"> 20151218</w:t>
            </w:r>
          </w:p>
          <w:p w:rsidR="00316C60" w:rsidRPr="006B210C" w:rsidRDefault="00316C60" w:rsidP="00F31C40">
            <w:r w:rsidRPr="006B210C">
              <w:rPr>
                <w:b/>
                <w:smallCaps/>
              </w:rPr>
              <w:t>Docket</w:t>
            </w:r>
            <w:r>
              <w:rPr>
                <w:b/>
                <w:smallCaps/>
              </w:rPr>
              <w:t>:</w:t>
            </w:r>
            <w:r w:rsidRPr="006B210C">
              <w:t xml:space="preserve"> </w:t>
            </w:r>
            <w:r>
              <w:t>36179</w:t>
            </w:r>
          </w:p>
        </w:tc>
      </w:tr>
    </w:tbl>
    <w:p w:rsidR="00316C60" w:rsidRPr="006B210C" w:rsidRDefault="00316C60" w:rsidP="00316C60"/>
    <w:p w:rsidR="00316C60" w:rsidRDefault="00316C60" w:rsidP="00316C60">
      <w:pPr>
        <w:pStyle w:val="SCCLsocPrefix"/>
      </w:pPr>
      <w:r>
        <w:t>Between:</w:t>
      </w:r>
    </w:p>
    <w:p w:rsidR="00316C60" w:rsidRDefault="00316C60" w:rsidP="00316C60">
      <w:pPr>
        <w:pStyle w:val="SCCLsocParty"/>
        <w:jc w:val="center"/>
      </w:pPr>
      <w:r>
        <w:t>Derek Riesberry</w:t>
      </w:r>
    </w:p>
    <w:p w:rsidR="00316C60" w:rsidRDefault="00316C60" w:rsidP="00316C60">
      <w:pPr>
        <w:jc w:val="center"/>
      </w:pPr>
      <w:r>
        <w:t>Appellant</w:t>
      </w:r>
    </w:p>
    <w:p w:rsidR="00316C60" w:rsidRPr="00316C60" w:rsidRDefault="00316C60" w:rsidP="00316C60">
      <w:pPr>
        <w:pStyle w:val="SCCLsocVersus"/>
        <w:spacing w:after="0"/>
        <w:jc w:val="center"/>
        <w:rPr>
          <w:i w:val="0"/>
        </w:rPr>
      </w:pPr>
      <w:bookmarkStart w:id="0" w:name="_GoBack"/>
      <w:bookmarkEnd w:id="0"/>
      <w:r w:rsidRPr="00316C60">
        <w:rPr>
          <w:i w:val="0"/>
        </w:rPr>
        <w:t>and</w:t>
      </w:r>
    </w:p>
    <w:p w:rsidR="00316C60" w:rsidRDefault="00316C60" w:rsidP="00316C60">
      <w:pPr>
        <w:pStyle w:val="SCCLsocParty"/>
        <w:jc w:val="center"/>
      </w:pPr>
      <w:r>
        <w:t>Her Majesty The Queen</w:t>
      </w:r>
    </w:p>
    <w:p w:rsidR="00316C60" w:rsidRDefault="00316C60" w:rsidP="00316C60">
      <w:pPr>
        <w:jc w:val="center"/>
      </w:pPr>
      <w:r>
        <w:t>Respondent</w:t>
      </w:r>
    </w:p>
    <w:p w:rsidR="00316C60" w:rsidRDefault="00316C60" w:rsidP="00316C60"/>
    <w:p w:rsidR="00316C60" w:rsidRPr="006B210C" w:rsidRDefault="00316C60" w:rsidP="00316C60"/>
    <w:p w:rsidR="00316C60" w:rsidRPr="006B210C" w:rsidRDefault="00316C60" w:rsidP="00316C60">
      <w:r w:rsidRPr="006B210C">
        <w:rPr>
          <w:b/>
          <w:smallCaps/>
        </w:rPr>
        <w:t>Coram</w:t>
      </w:r>
      <w:r>
        <w:rPr>
          <w:b/>
          <w:smallCaps/>
        </w:rPr>
        <w:t>:</w:t>
      </w:r>
      <w:r w:rsidRPr="006B210C">
        <w:t xml:space="preserve"> </w:t>
      </w:r>
      <w:r>
        <w:t xml:space="preserve">Cromwell, Moldaver, Karakatsanis, Wagner, Gascon, </w:t>
      </w:r>
      <w:r w:rsidRPr="00CA608E">
        <w:t>Côté</w:t>
      </w:r>
      <w:r>
        <w:t xml:space="preserve"> and Brown JJ.</w:t>
      </w:r>
    </w:p>
    <w:p w:rsidR="00316C60" w:rsidRPr="006B210C" w:rsidRDefault="00316C60" w:rsidP="00316C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16C60" w:rsidRPr="006B210C" w:rsidTr="00F31C40">
        <w:trPr>
          <w:cantSplit/>
        </w:trPr>
        <w:tc>
          <w:tcPr>
            <w:tcW w:w="3618" w:type="dxa"/>
          </w:tcPr>
          <w:p w:rsidR="00316C60" w:rsidRDefault="00316C60" w:rsidP="00F31C40">
            <w:pPr>
              <w:rPr>
                <w:b/>
                <w:smallCaps/>
              </w:rPr>
            </w:pPr>
            <w:r w:rsidRPr="006B210C">
              <w:rPr>
                <w:b/>
                <w:smallCaps/>
              </w:rPr>
              <w:t>Reasons for Judgment</w:t>
            </w:r>
            <w:r>
              <w:rPr>
                <w:b/>
                <w:smallCaps/>
              </w:rPr>
              <w:t>:</w:t>
            </w:r>
          </w:p>
          <w:p w:rsidR="00316C60" w:rsidRDefault="00316C60" w:rsidP="00F31C40">
            <w:pPr>
              <w:rPr>
                <w:b/>
                <w:smallCaps/>
              </w:rPr>
            </w:pPr>
            <w:r>
              <w:t>(paras. 1 to 34)</w:t>
            </w:r>
          </w:p>
          <w:p w:rsidR="00316C60" w:rsidRPr="006B210C" w:rsidRDefault="00316C60" w:rsidP="00F31C40"/>
        </w:tc>
        <w:tc>
          <w:tcPr>
            <w:tcW w:w="5958" w:type="dxa"/>
          </w:tcPr>
          <w:p w:rsidR="00316C60" w:rsidRPr="006B210C" w:rsidRDefault="00316C60" w:rsidP="00F31C40">
            <w:r>
              <w:t xml:space="preserve">Cromwell J. (Moldaver, Karakatsanis, Wagner, Gascon, </w:t>
            </w:r>
            <w:r w:rsidRPr="00CA608E">
              <w:t>Côté</w:t>
            </w:r>
            <w:r>
              <w:t xml:space="preserve"> and Brown JJ. concurring)</w:t>
            </w:r>
          </w:p>
        </w:tc>
      </w:tr>
    </w:tbl>
    <w:p w:rsidR="00316C60" w:rsidRDefault="00316C60" w:rsidP="00316C60">
      <w:pPr>
        <w:rPr>
          <w:rStyle w:val="SCCHearingJudgmentDatesTextChar"/>
        </w:rPr>
      </w:pPr>
      <w:r>
        <w:rPr>
          <w:rStyle w:val="SCCHearingJudgmentDatesTitleChar"/>
        </w:rPr>
        <w:t xml:space="preserve">Appeal heard and Judgment rendered: </w:t>
      </w:r>
      <w:r>
        <w:rPr>
          <w:rStyle w:val="SCCHearingJudgmentDatesTextChar"/>
        </w:rPr>
        <w:t>October 13, 2015</w:t>
      </w:r>
    </w:p>
    <w:p w:rsidR="00316C60" w:rsidRDefault="00316C60" w:rsidP="00316C60"/>
    <w:p w:rsidR="00316C60" w:rsidRPr="005940EF" w:rsidRDefault="00316C60" w:rsidP="00316C60">
      <w:pPr>
        <w:rPr>
          <w:b/>
        </w:rPr>
      </w:pPr>
      <w:r>
        <w:rPr>
          <w:rStyle w:val="SCCHearingJudgmentDatesTitleChar"/>
        </w:rPr>
        <w:t>Reasons delivered:</w:t>
      </w:r>
      <w:r w:rsidRPr="005940EF">
        <w:rPr>
          <w:rStyle w:val="SCCHearingJudgmentDatesTitleChar"/>
        </w:rPr>
        <w:t xml:space="preserve"> </w:t>
      </w:r>
      <w:r>
        <w:rPr>
          <w:rStyle w:val="SCCHearingJudgmentDatesTitleChar"/>
        </w:rPr>
        <w:t>December 18, 2015</w:t>
      </w:r>
    </w:p>
    <w:p w:rsidR="00316C60" w:rsidRPr="005940EF" w:rsidRDefault="00316C60" w:rsidP="00316C60"/>
    <w:p w:rsidR="00316C60" w:rsidRPr="006B210C" w:rsidRDefault="00316C60" w:rsidP="00316C60">
      <w:r>
        <w:rPr>
          <w:noProof/>
          <w:lang w:val="en-US"/>
        </w:rPr>
        <mc:AlternateContent>
          <mc:Choice Requires="wps">
            <w:drawing>
              <wp:anchor distT="0" distB="0" distL="114300" distR="114300" simplePos="0" relativeHeight="251659264" behindDoc="0" locked="0" layoutInCell="1" allowOverlap="1" wp14:anchorId="42F68DD8" wp14:editId="07AC6F7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132F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16C60" w:rsidRDefault="00316C60" w:rsidP="00D90A50">
      <w:pPr>
        <w:widowControl w:val="0"/>
        <w:spacing w:after="720"/>
        <w:jc w:val="both"/>
        <w:rPr>
          <w:rStyle w:val="SCCAppellantForRunningHeadChar"/>
          <w:smallCaps w:val="0"/>
        </w:rPr>
      </w:pPr>
    </w:p>
    <w:p w:rsidR="008322BD" w:rsidRPr="00567EB4" w:rsidRDefault="00567EB4" w:rsidP="00D90A50">
      <w:pPr>
        <w:widowControl w:val="0"/>
        <w:spacing w:after="720"/>
        <w:jc w:val="both"/>
        <w:rPr>
          <w:smallCaps/>
        </w:rPr>
      </w:pPr>
      <w:r>
        <w:rPr>
          <w:rStyle w:val="SCCAppellantForRunningHeadChar"/>
          <w:smallCaps w:val="0"/>
        </w:rPr>
        <w:t>R</w:t>
      </w:r>
      <w:r w:rsidR="00E42BDD" w:rsidRPr="00567EB4">
        <w:rPr>
          <w:rStyle w:val="SCCAppellantForRunningHeadChar"/>
          <w:smallCaps w:val="0"/>
        </w:rPr>
        <w:t xml:space="preserve">. </w:t>
      </w:r>
      <w:r w:rsidR="00E42BDD" w:rsidRPr="00567EB4">
        <w:rPr>
          <w:i/>
        </w:rPr>
        <w:t>v.</w:t>
      </w:r>
      <w:r w:rsidR="00E42BDD" w:rsidRPr="00567EB4">
        <w:rPr>
          <w:smallCaps/>
        </w:rPr>
        <w:t xml:space="preserve"> </w:t>
      </w:r>
      <w:r>
        <w:rPr>
          <w:rStyle w:val="SCCAppellantForRunningHeadChar"/>
          <w:smallCaps w:val="0"/>
        </w:rPr>
        <w:t>R</w:t>
      </w:r>
      <w:r w:rsidR="008F78E9" w:rsidRPr="00567EB4">
        <w:rPr>
          <w:rStyle w:val="SCCAppellantForRunningHeadChar"/>
          <w:smallCaps w:val="0"/>
        </w:rPr>
        <w:t>iesberry</w:t>
      </w:r>
      <w:r>
        <w:rPr>
          <w:rStyle w:val="SCCAppellantForRunningHeadChar"/>
          <w:smallCaps w:val="0"/>
        </w:rPr>
        <w:t xml:space="preserve">, </w:t>
      </w:r>
      <w:r w:rsidRPr="00CF05F7">
        <w:t>2015 SCC 65</w:t>
      </w:r>
      <w:r>
        <w:t>, [2015] 3 S.C.R. 1167</w:t>
      </w:r>
    </w:p>
    <w:p w:rsidR="005304D1" w:rsidRPr="00CF05F7" w:rsidRDefault="008F0B63" w:rsidP="00D90A50">
      <w:pPr>
        <w:pStyle w:val="SCCLsocLastPartyInRole"/>
        <w:widowControl w:val="0"/>
      </w:pPr>
      <w:r w:rsidRPr="00CF05F7">
        <w:t>Derek Riesberry</w:t>
      </w:r>
      <w:r w:rsidRPr="00CF05F7">
        <w:rPr>
          <w:rStyle w:val="SCCLsocPartyRole"/>
        </w:rPr>
        <w:tab/>
        <w:t>Appellant</w:t>
      </w:r>
    </w:p>
    <w:p w:rsidR="005304D1" w:rsidRPr="00CF05F7" w:rsidRDefault="008F0B63" w:rsidP="00D90A50">
      <w:pPr>
        <w:pStyle w:val="SCCLsocVersus"/>
        <w:widowControl w:val="0"/>
      </w:pPr>
      <w:r w:rsidRPr="00CF05F7">
        <w:t>v.</w:t>
      </w:r>
    </w:p>
    <w:p w:rsidR="005304D1" w:rsidRPr="00CF05F7" w:rsidRDefault="00E42BDD" w:rsidP="00D90A50">
      <w:pPr>
        <w:pStyle w:val="SCCLsocLastPartyInRole"/>
        <w:widowControl w:val="0"/>
      </w:pPr>
      <w:r w:rsidRPr="00CF05F7">
        <w:t>Her Majesty T</w:t>
      </w:r>
      <w:r w:rsidR="008F0B63" w:rsidRPr="00CF05F7">
        <w:t>he Queen</w:t>
      </w:r>
      <w:r w:rsidR="008F0B63" w:rsidRPr="00CF05F7">
        <w:rPr>
          <w:rStyle w:val="SCCLsocPartyRole"/>
        </w:rPr>
        <w:tab/>
        <w:t>Respondent</w:t>
      </w:r>
    </w:p>
    <w:p w:rsidR="00426659" w:rsidRPr="00CF05F7" w:rsidRDefault="00426659" w:rsidP="00D90A50">
      <w:pPr>
        <w:widowControl w:val="0"/>
        <w:spacing w:after="720"/>
        <w:jc w:val="both"/>
        <w:rPr>
          <w:b/>
        </w:rPr>
      </w:pPr>
      <w:r w:rsidRPr="00CF05F7">
        <w:rPr>
          <w:b/>
        </w:rPr>
        <w:lastRenderedPageBreak/>
        <w:t xml:space="preserve">Indexed as: </w:t>
      </w:r>
      <w:r w:rsidR="00E42BDD" w:rsidRPr="00CF05F7">
        <w:rPr>
          <w:b/>
        </w:rPr>
        <w:t xml:space="preserve">R. </w:t>
      </w:r>
      <w:r w:rsidR="00E42BDD" w:rsidRPr="00CF05F7">
        <w:rPr>
          <w:b/>
          <w:i/>
        </w:rPr>
        <w:t>v.</w:t>
      </w:r>
      <w:r w:rsidR="00E42BDD" w:rsidRPr="00CF05F7">
        <w:rPr>
          <w:b/>
        </w:rPr>
        <w:t xml:space="preserve"> </w:t>
      </w:r>
      <w:r w:rsidRPr="00CF05F7">
        <w:rPr>
          <w:rStyle w:val="SCCAppellantForIndexChar"/>
        </w:rPr>
        <w:t>Riesberry</w:t>
      </w:r>
    </w:p>
    <w:p w:rsidR="00426659" w:rsidRPr="00CF05F7" w:rsidRDefault="00AE4535" w:rsidP="00D90A50">
      <w:pPr>
        <w:pStyle w:val="SCCSystemYear"/>
        <w:widowControl w:val="0"/>
        <w:spacing w:after="720"/>
        <w:jc w:val="both"/>
      </w:pPr>
      <w:r w:rsidRPr="00CF05F7">
        <w:t>2015</w:t>
      </w:r>
      <w:r w:rsidR="003D0399" w:rsidRPr="00CF05F7">
        <w:t xml:space="preserve"> </w:t>
      </w:r>
      <w:r w:rsidR="00C55E94" w:rsidRPr="00CF05F7">
        <w:t>SCC 65</w:t>
      </w:r>
    </w:p>
    <w:p w:rsidR="008322BD" w:rsidRPr="00CF05F7" w:rsidRDefault="00E42BDD" w:rsidP="00D90A50">
      <w:pPr>
        <w:widowControl w:val="0"/>
        <w:spacing w:after="720"/>
        <w:jc w:val="both"/>
      </w:pPr>
      <w:r w:rsidRPr="00CF05F7">
        <w:t>File No.:</w:t>
      </w:r>
      <w:r w:rsidR="008D14A7" w:rsidRPr="00CF05F7">
        <w:t> </w:t>
      </w:r>
      <w:r w:rsidR="009B57B3" w:rsidRPr="00CF05F7">
        <w:t>36179.</w:t>
      </w:r>
    </w:p>
    <w:p w:rsidR="001B7A7C" w:rsidRPr="00CF05F7" w:rsidRDefault="00923B55" w:rsidP="00D90A50">
      <w:pPr>
        <w:widowControl w:val="0"/>
        <w:jc w:val="both"/>
      </w:pPr>
      <w:r w:rsidRPr="00CF05F7">
        <w:t>Hearing and judgment: </w:t>
      </w:r>
      <w:r w:rsidR="001B7A7C" w:rsidRPr="00CF05F7">
        <w:t>October</w:t>
      </w:r>
      <w:r w:rsidR="00F4466E" w:rsidRPr="00CF05F7">
        <w:t> </w:t>
      </w:r>
      <w:r w:rsidR="001B7A7C" w:rsidRPr="00CF05F7">
        <w:t>13, 2015.</w:t>
      </w:r>
    </w:p>
    <w:p w:rsidR="001B7A7C" w:rsidRPr="00CF05F7" w:rsidRDefault="00426B31" w:rsidP="00D90A50">
      <w:pPr>
        <w:widowControl w:val="0"/>
        <w:spacing w:after="720"/>
        <w:jc w:val="both"/>
      </w:pPr>
      <w:r w:rsidRPr="00CF05F7">
        <w:t xml:space="preserve">Reasons </w:t>
      </w:r>
      <w:r w:rsidR="00923B55" w:rsidRPr="00CF05F7">
        <w:t>delivered: </w:t>
      </w:r>
      <w:r w:rsidRPr="00CF05F7">
        <w:t>December 18</w:t>
      </w:r>
      <w:r w:rsidR="001B7A7C" w:rsidRPr="00CF05F7">
        <w:t>, 2015.</w:t>
      </w:r>
    </w:p>
    <w:p w:rsidR="008322BD" w:rsidRPr="00CF05F7" w:rsidRDefault="00E42BDD" w:rsidP="00D90A50">
      <w:pPr>
        <w:widowControl w:val="0"/>
        <w:spacing w:after="720"/>
        <w:jc w:val="both"/>
      </w:pPr>
      <w:r w:rsidRPr="00CF05F7">
        <w:t xml:space="preserve">Present: </w:t>
      </w:r>
      <w:r w:rsidR="009B57B3" w:rsidRPr="00CF05F7">
        <w:t>Cromwell, Moldaver, Karakatsanis, Wagner, Gascon, Côté and Brown JJ.</w:t>
      </w:r>
    </w:p>
    <w:p w:rsidR="008322BD" w:rsidRPr="00CF05F7" w:rsidRDefault="00656313" w:rsidP="00D90A50">
      <w:pPr>
        <w:pStyle w:val="SCCLowerCourtNameLowercase"/>
        <w:widowControl w:val="0"/>
        <w:spacing w:after="720" w:line="240" w:lineRule="auto"/>
      </w:pPr>
      <w:r w:rsidRPr="00CF05F7">
        <w:t>o</w:t>
      </w:r>
      <w:r w:rsidR="00170592" w:rsidRPr="00CF05F7">
        <w:t>n</w:t>
      </w:r>
      <w:r w:rsidR="00224FC0" w:rsidRPr="00CF05F7">
        <w:t xml:space="preserve"> </w:t>
      </w:r>
      <w:r w:rsidRPr="00CF05F7">
        <w:t>a</w:t>
      </w:r>
      <w:r w:rsidR="00170592" w:rsidRPr="00CF05F7">
        <w:t>ppeal</w:t>
      </w:r>
      <w:r w:rsidR="00224FC0" w:rsidRPr="00CF05F7">
        <w:t xml:space="preserve"> </w:t>
      </w:r>
      <w:r w:rsidR="00170592" w:rsidRPr="00CF05F7">
        <w:t>from</w:t>
      </w:r>
      <w:r w:rsidR="009567AA" w:rsidRPr="00CF05F7">
        <w:t xml:space="preserve"> the</w:t>
      </w:r>
      <w:r w:rsidR="00224FC0" w:rsidRPr="00CF05F7">
        <w:t xml:space="preserve"> </w:t>
      </w:r>
      <w:r w:rsidR="009B57B3" w:rsidRPr="00CF05F7">
        <w:t>court of appeal for ontario</w:t>
      </w:r>
    </w:p>
    <w:p w:rsidR="008B41FB" w:rsidRPr="00CF05F7" w:rsidRDefault="009B57B3" w:rsidP="00D90A50">
      <w:pPr>
        <w:pStyle w:val="SCCNormalDoubleSpacing"/>
        <w:widowControl w:val="0"/>
        <w:spacing w:after="480"/>
        <w:rPr>
          <w:i/>
        </w:rPr>
      </w:pPr>
      <w:r w:rsidRPr="00CF05F7">
        <w:tab/>
      </w:r>
      <w:r w:rsidR="008B41FB" w:rsidRPr="00CF05F7">
        <w:rPr>
          <w:i/>
        </w:rPr>
        <w:t xml:space="preserve">Criminal law </w:t>
      </w:r>
      <w:r w:rsidR="008B41FB" w:rsidRPr="00CF05F7">
        <w:rPr>
          <w:i/>
          <w:iCs/>
          <w:lang w:val="en"/>
        </w:rPr>
        <w:t xml:space="preserve">— </w:t>
      </w:r>
      <w:r w:rsidR="008B41FB" w:rsidRPr="00CF05F7">
        <w:rPr>
          <w:i/>
        </w:rPr>
        <w:t xml:space="preserve">Offences </w:t>
      </w:r>
      <w:r w:rsidR="008B41FB" w:rsidRPr="00CF05F7">
        <w:rPr>
          <w:i/>
          <w:iCs/>
          <w:lang w:val="en"/>
        </w:rPr>
        <w:t xml:space="preserve">— Elements of offence — </w:t>
      </w:r>
      <w:r w:rsidR="008B41FB" w:rsidRPr="00CF05F7">
        <w:rPr>
          <w:i/>
        </w:rPr>
        <w:t xml:space="preserve">Cheating at play </w:t>
      </w:r>
      <w:r w:rsidR="008B41FB" w:rsidRPr="00CF05F7">
        <w:rPr>
          <w:i/>
          <w:iCs/>
          <w:lang w:val="en"/>
        </w:rPr>
        <w:t xml:space="preserve">— </w:t>
      </w:r>
      <w:r w:rsidR="008B41FB" w:rsidRPr="00CF05F7">
        <w:rPr>
          <w:i/>
        </w:rPr>
        <w:t xml:space="preserve">Fraud </w:t>
      </w:r>
      <w:r w:rsidR="000E2446" w:rsidRPr="00CF05F7">
        <w:rPr>
          <w:i/>
          <w:iCs/>
          <w:lang w:val="en"/>
        </w:rPr>
        <w:t xml:space="preserve">— </w:t>
      </w:r>
      <w:r w:rsidR="008B41FB" w:rsidRPr="00CF05F7">
        <w:rPr>
          <w:i/>
        </w:rPr>
        <w:t xml:space="preserve">Accused attempted to rig horse races by drugging horses </w:t>
      </w:r>
      <w:r w:rsidR="008B41FB" w:rsidRPr="00CF05F7">
        <w:rPr>
          <w:i/>
          <w:iCs/>
          <w:lang w:val="en"/>
        </w:rPr>
        <w:t xml:space="preserve">— </w:t>
      </w:r>
      <w:r w:rsidR="008B41FB" w:rsidRPr="00CF05F7">
        <w:rPr>
          <w:i/>
        </w:rPr>
        <w:t xml:space="preserve">Whether horse race constituted a game for purposes of offence of cheating at play </w:t>
      </w:r>
      <w:r w:rsidR="008B41FB" w:rsidRPr="00CF05F7">
        <w:rPr>
          <w:i/>
          <w:iCs/>
          <w:lang w:val="en"/>
        </w:rPr>
        <w:t xml:space="preserve">— </w:t>
      </w:r>
      <w:r w:rsidR="008B41FB" w:rsidRPr="00CF05F7">
        <w:rPr>
          <w:i/>
        </w:rPr>
        <w:t xml:space="preserve">Whether accused’s conduct constituted cheating at play or fraud </w:t>
      </w:r>
      <w:r w:rsidR="008B41FB" w:rsidRPr="00CF05F7">
        <w:rPr>
          <w:i/>
          <w:iCs/>
          <w:lang w:val="en"/>
        </w:rPr>
        <w:t xml:space="preserve">— </w:t>
      </w:r>
      <w:r w:rsidR="008B41FB" w:rsidRPr="00CF05F7">
        <w:rPr>
          <w:i/>
        </w:rPr>
        <w:t xml:space="preserve">Criminal Code, </w:t>
      </w:r>
      <w:r w:rsidR="00393B2C" w:rsidRPr="00CF05F7">
        <w:rPr>
          <w:i/>
        </w:rPr>
        <w:t>R.S.C. 1985, c. </w:t>
      </w:r>
      <w:r w:rsidR="008B41FB" w:rsidRPr="00CF05F7">
        <w:rPr>
          <w:i/>
        </w:rPr>
        <w:t>C</w:t>
      </w:r>
      <w:r w:rsidR="00393B2C" w:rsidRPr="00CF05F7">
        <w:rPr>
          <w:i/>
        </w:rPr>
        <w:noBreakHyphen/>
      </w:r>
      <w:r w:rsidR="008B41FB" w:rsidRPr="00CF05F7">
        <w:rPr>
          <w:i/>
        </w:rPr>
        <w:t xml:space="preserve">46, </w:t>
      </w:r>
      <w:r w:rsidR="00393B2C" w:rsidRPr="00CF05F7">
        <w:rPr>
          <w:i/>
        </w:rPr>
        <w:t>ss. </w:t>
      </w:r>
      <w:r w:rsidR="008B41FB" w:rsidRPr="00CF05F7">
        <w:rPr>
          <w:i/>
        </w:rPr>
        <w:t>197(1) “game”, 209, 380(1).</w:t>
      </w:r>
    </w:p>
    <w:p w:rsidR="008B41FB" w:rsidRPr="00CF05F7" w:rsidRDefault="000A31C8" w:rsidP="00D90A50">
      <w:pPr>
        <w:pStyle w:val="SCCNormalDoubleSpacing"/>
        <w:widowControl w:val="0"/>
        <w:spacing w:after="480"/>
      </w:pPr>
      <w:r w:rsidRPr="00CF05F7">
        <w:tab/>
      </w:r>
      <w:r w:rsidR="008B41FB" w:rsidRPr="00CF05F7">
        <w:t>R tr</w:t>
      </w:r>
      <w:r w:rsidR="000E2446" w:rsidRPr="00CF05F7">
        <w:t>ied to rig two horse races. He was caught drugging one horse and</w:t>
      </w:r>
      <w:r w:rsidR="008B41FB" w:rsidRPr="00CF05F7">
        <w:t xml:space="preserve"> trying to sneak syringes with drugs into the track for the purpose of doing t</w:t>
      </w:r>
      <w:r w:rsidR="00551637" w:rsidRPr="00CF05F7">
        <w:t xml:space="preserve">he same thing to another. </w:t>
      </w:r>
      <w:r w:rsidR="000E2446" w:rsidRPr="00CF05F7">
        <w:t>B</w:t>
      </w:r>
      <w:r w:rsidR="008B41FB" w:rsidRPr="00CF05F7">
        <w:t>ets in excess of</w:t>
      </w:r>
      <w:r w:rsidR="00393B2C" w:rsidRPr="00CF05F7">
        <w:t xml:space="preserve"> $</w:t>
      </w:r>
      <w:r w:rsidR="008B41FB" w:rsidRPr="00CF05F7">
        <w:t xml:space="preserve">5,000 had </w:t>
      </w:r>
      <w:r w:rsidR="000E2446" w:rsidRPr="00CF05F7">
        <w:t>been placed on both races. R</w:t>
      </w:r>
      <w:r w:rsidR="008B41FB" w:rsidRPr="00CF05F7">
        <w:t xml:space="preserve"> was charged with cheating while playing a game</w:t>
      </w:r>
      <w:r w:rsidR="000E2446" w:rsidRPr="00CF05F7">
        <w:t>, defrauding the public, and</w:t>
      </w:r>
      <w:r w:rsidR="008B41FB" w:rsidRPr="00CF05F7">
        <w:t xml:space="preserve"> attempting to commit the same offence</w:t>
      </w:r>
      <w:r w:rsidR="000E2446" w:rsidRPr="00CF05F7">
        <w:t>s. At trial, he was acquitted. T</w:t>
      </w:r>
      <w:r w:rsidR="008B41FB" w:rsidRPr="00CF05F7">
        <w:t>he Court</w:t>
      </w:r>
      <w:r w:rsidR="000E2446" w:rsidRPr="00CF05F7">
        <w:t xml:space="preserve"> of Appeal allowed an appeal and</w:t>
      </w:r>
      <w:r w:rsidR="008B41FB" w:rsidRPr="00CF05F7">
        <w:t xml:space="preserve"> set aside th</w:t>
      </w:r>
      <w:r w:rsidR="000E2446" w:rsidRPr="00CF05F7">
        <w:t>e acquittals. It</w:t>
      </w:r>
      <w:r w:rsidR="008B41FB" w:rsidRPr="00CF05F7">
        <w:t xml:space="preserve"> ordered a new trial on the cheating counts and entered convictions on the fraud counts</w:t>
      </w:r>
      <w:r w:rsidR="00393B2C" w:rsidRPr="00CF05F7">
        <w:t xml:space="preserve">. </w:t>
      </w:r>
    </w:p>
    <w:p w:rsidR="008B41FB" w:rsidRPr="00CF05F7" w:rsidRDefault="000A31C8" w:rsidP="00D90A50">
      <w:pPr>
        <w:pStyle w:val="SCCNormalDoubleSpacing"/>
        <w:widowControl w:val="0"/>
        <w:spacing w:after="480"/>
      </w:pPr>
      <w:r w:rsidRPr="00CF05F7">
        <w:lastRenderedPageBreak/>
        <w:tab/>
      </w:r>
      <w:r w:rsidR="008B41FB" w:rsidRPr="00CF05F7">
        <w:rPr>
          <w:i/>
        </w:rPr>
        <w:t>Held</w:t>
      </w:r>
      <w:r w:rsidR="008B41FB" w:rsidRPr="00CF05F7">
        <w:t>: The appeal should be dismissed.</w:t>
      </w:r>
    </w:p>
    <w:p w:rsidR="008B41FB" w:rsidRPr="00CF05F7" w:rsidRDefault="000A31C8" w:rsidP="00D90A50">
      <w:pPr>
        <w:pStyle w:val="SCCNormalDoubleSpacing"/>
        <w:widowControl w:val="0"/>
        <w:spacing w:after="480"/>
      </w:pPr>
      <w:r w:rsidRPr="00CF05F7">
        <w:tab/>
      </w:r>
      <w:r w:rsidR="000E2446" w:rsidRPr="00CF05F7">
        <w:t>T</w:t>
      </w:r>
      <w:r w:rsidR="008B41FB" w:rsidRPr="00CF05F7">
        <w:t>he Court of Appeal was c</w:t>
      </w:r>
      <w:r w:rsidR="000E2446" w:rsidRPr="00CF05F7">
        <w:t xml:space="preserve">orrect to order a new trial on </w:t>
      </w:r>
      <w:r w:rsidR="008B41FB" w:rsidRPr="00CF05F7">
        <w:t>the charges of</w:t>
      </w:r>
      <w:r w:rsidR="000E2446" w:rsidRPr="00CF05F7">
        <w:t xml:space="preserve"> cheating while playing a game.</w:t>
      </w:r>
      <w:r w:rsidR="008B41FB" w:rsidRPr="00CF05F7">
        <w:t xml:space="preserve"> “Game” is defined as “a game of chance or mixed chance </w:t>
      </w:r>
      <w:r w:rsidR="00393B2C" w:rsidRPr="00CF05F7">
        <w:t>and skill” in s. </w:t>
      </w:r>
      <w:r w:rsidR="000E2446" w:rsidRPr="00CF05F7">
        <w:t xml:space="preserve">197(1) </w:t>
      </w:r>
      <w:r w:rsidR="008B41FB" w:rsidRPr="00CF05F7">
        <w:t xml:space="preserve">of the </w:t>
      </w:r>
      <w:r w:rsidR="008B41FB" w:rsidRPr="00CF05F7">
        <w:rPr>
          <w:i/>
        </w:rPr>
        <w:t>Criminal Code</w:t>
      </w:r>
      <w:r w:rsidR="00551637" w:rsidRPr="00CF05F7">
        <w:t xml:space="preserve">. </w:t>
      </w:r>
      <w:r w:rsidR="000E2446" w:rsidRPr="00CF05F7">
        <w:t>T</w:t>
      </w:r>
      <w:r w:rsidR="008B41FB" w:rsidRPr="00CF05F7">
        <w:t>he Crown had to establish that a horse race is a game with a systematic resort to chance to determine outcomes. There was evidence th</w:t>
      </w:r>
      <w:r w:rsidR="000E2446" w:rsidRPr="00CF05F7">
        <w:t>at post position is determined at random</w:t>
      </w:r>
      <w:r w:rsidR="008B41FB" w:rsidRPr="00CF05F7">
        <w:t xml:space="preserve"> and that certain post positions are more advantageous than others. </w:t>
      </w:r>
      <w:r w:rsidR="000E2446" w:rsidRPr="00CF05F7">
        <w:t>The trial judge failed</w:t>
      </w:r>
      <w:r w:rsidR="008B41FB" w:rsidRPr="00CF05F7">
        <w:t xml:space="preserve"> to consider </w:t>
      </w:r>
      <w:r w:rsidR="000E2446" w:rsidRPr="00CF05F7">
        <w:t>this</w:t>
      </w:r>
      <w:r w:rsidR="008B41FB" w:rsidRPr="00CF05F7">
        <w:t xml:space="preserve"> evidence upon which a trier of fact could find that there was systematic resort to chance which made the race a game of mixed chance and skill</w:t>
      </w:r>
      <w:r w:rsidR="000E2446" w:rsidRPr="00CF05F7">
        <w:t>. W</w:t>
      </w:r>
      <w:r w:rsidR="008B41FB" w:rsidRPr="00CF05F7">
        <w:t>hether the evidence actually establishes this will be for the trier of fact at the new trial to determine.</w:t>
      </w:r>
    </w:p>
    <w:p w:rsidR="008B41FB" w:rsidRPr="00CF05F7" w:rsidRDefault="000A31C8" w:rsidP="00D90A50">
      <w:pPr>
        <w:pStyle w:val="SCCNormalDoubleSpacing"/>
        <w:widowControl w:val="0"/>
        <w:spacing w:after="480"/>
      </w:pPr>
      <w:r w:rsidRPr="00CF05F7">
        <w:tab/>
      </w:r>
      <w:r w:rsidR="008B41FB" w:rsidRPr="00CF05F7">
        <w:t xml:space="preserve">Fraud consists of dishonest conduct that results in at least a risk of deprivation to the victim. Fraudulent conduct for the purposes of a fraud prosecution is not limited to deception, such as misrepresentations of fact. Rather, fraud requires proof of deceit, falsehood or other fraudulent means. The term “other fraudulent means” encompasses all other means which can properly be stigmatized as dishonest. </w:t>
      </w:r>
      <w:r w:rsidR="000E2446" w:rsidRPr="00CF05F7">
        <w:t>W</w:t>
      </w:r>
      <w:r w:rsidR="008B41FB" w:rsidRPr="00CF05F7">
        <w:t xml:space="preserve">here the alleged fraudulent act is not in the nature of deceit or falsehood, the causal link between the dishonest conduct and the deprivation may not depend on showing that the victim relied on or was induced to act by the fraudulent act. </w:t>
      </w:r>
      <w:r w:rsidR="000E2446" w:rsidRPr="00CF05F7">
        <w:t>R’s</w:t>
      </w:r>
      <w:r w:rsidR="008B41FB" w:rsidRPr="00CF05F7">
        <w:t xml:space="preserve"> conduct constituted other fraudulent means because </w:t>
      </w:r>
      <w:r w:rsidR="000E2446" w:rsidRPr="00CF05F7">
        <w:t xml:space="preserve">it </w:t>
      </w:r>
      <w:r w:rsidR="008B41FB" w:rsidRPr="00CF05F7">
        <w:t>can proper</w:t>
      </w:r>
      <w:r w:rsidR="000E2446" w:rsidRPr="00CF05F7">
        <w:t xml:space="preserve">ly be stigmatized as dishonest conduct that </w:t>
      </w:r>
      <w:r w:rsidR="008B41FB" w:rsidRPr="00CF05F7">
        <w:t>caused a risk of deprivation to the betting public. There is a direct c</w:t>
      </w:r>
      <w:r w:rsidR="000E2446" w:rsidRPr="00CF05F7">
        <w:t>ausal relationship between R’s conduct and a</w:t>
      </w:r>
      <w:r w:rsidR="008B41FB" w:rsidRPr="00CF05F7">
        <w:t xml:space="preserve"> risk of financial depr</w:t>
      </w:r>
      <w:r w:rsidR="000E2446" w:rsidRPr="00CF05F7">
        <w:t>ivation to the betting public</w:t>
      </w:r>
      <w:r w:rsidR="00393B2C" w:rsidRPr="00CF05F7">
        <w:t xml:space="preserve">. </w:t>
      </w:r>
      <w:r w:rsidR="000E2446" w:rsidRPr="00CF05F7">
        <w:t>T</w:t>
      </w:r>
      <w:r w:rsidR="008B41FB" w:rsidRPr="00CF05F7">
        <w:t>he trial judge erred in law by finding that the betting public was not put at risk of deprivation and that any risk of deprivation was too remote.</w:t>
      </w:r>
    </w:p>
    <w:p w:rsidR="008B41FB" w:rsidRPr="00CF05F7" w:rsidRDefault="000A31C8" w:rsidP="00D90A50">
      <w:pPr>
        <w:pStyle w:val="SCCNormalDoubleSpacing"/>
        <w:widowControl w:val="0"/>
        <w:spacing w:after="480"/>
      </w:pPr>
      <w:r w:rsidRPr="00CF05F7">
        <w:lastRenderedPageBreak/>
        <w:tab/>
      </w:r>
      <w:r w:rsidR="00CC3E17" w:rsidRPr="00CF05F7">
        <w:t>The trial judge made</w:t>
      </w:r>
      <w:r w:rsidR="008B41FB" w:rsidRPr="00CF05F7">
        <w:t xml:space="preserve"> the necessa</w:t>
      </w:r>
      <w:r w:rsidR="00CC3E17" w:rsidRPr="00CF05F7">
        <w:t>ry findings of fact to support the fraud</w:t>
      </w:r>
      <w:r w:rsidR="008B41FB" w:rsidRPr="00CF05F7">
        <w:t xml:space="preserve"> convictions entered by the Court of Appeal, </w:t>
      </w:r>
      <w:r w:rsidR="00CC3E17" w:rsidRPr="00CF05F7">
        <w:t>including in relation to both required aspects of</w:t>
      </w:r>
      <w:r w:rsidR="008B41FB" w:rsidRPr="00CF05F7">
        <w:t xml:space="preserve"> the required </w:t>
      </w:r>
      <w:r w:rsidR="008B41FB" w:rsidRPr="00CF05F7">
        <w:rPr>
          <w:i/>
        </w:rPr>
        <w:t>mens rea</w:t>
      </w:r>
      <w:r w:rsidR="00CC3E17" w:rsidRPr="00CF05F7">
        <w:t xml:space="preserve"> of fraud</w:t>
      </w:r>
      <w:r w:rsidR="008B41FB" w:rsidRPr="00CF05F7">
        <w:t xml:space="preserve">. </w:t>
      </w:r>
      <w:r w:rsidR="00CC3E17" w:rsidRPr="00CF05F7">
        <w:t>T</w:t>
      </w:r>
      <w:r w:rsidR="008B41FB" w:rsidRPr="00CF05F7">
        <w:t>he trial judge found that R kne</w:t>
      </w:r>
      <w:r w:rsidR="00CC3E17" w:rsidRPr="00CF05F7">
        <w:t>w that his acts were dishonest and,</w:t>
      </w:r>
      <w:r w:rsidR="008B41FB" w:rsidRPr="00CF05F7">
        <w:t xml:space="preserve"> in the context of the cheating</w:t>
      </w:r>
      <w:r w:rsidR="00CC3E17" w:rsidRPr="00CF05F7">
        <w:t xml:space="preserve"> while playing a game charges, </w:t>
      </w:r>
      <w:r w:rsidR="008B41FB" w:rsidRPr="00CF05F7">
        <w:t>that</w:t>
      </w:r>
      <w:r w:rsidR="00CC3E17" w:rsidRPr="00CF05F7">
        <w:t xml:space="preserve"> he</w:t>
      </w:r>
      <w:r w:rsidR="008B41FB" w:rsidRPr="00CF05F7">
        <w:t xml:space="preserve"> knew that his dishonest conduct put b</w:t>
      </w:r>
      <w:r w:rsidR="00551637" w:rsidRPr="00CF05F7">
        <w:t xml:space="preserve">ettors at risk of deprivation. </w:t>
      </w:r>
      <w:r w:rsidR="008B41FB" w:rsidRPr="00CF05F7">
        <w:t>That, after all, is what cheating is.</w:t>
      </w:r>
    </w:p>
    <w:p w:rsidR="007E1C47" w:rsidRPr="00CF05F7" w:rsidRDefault="002E6705" w:rsidP="00D90A50">
      <w:pPr>
        <w:pStyle w:val="SCCNormalDoubleSpacing"/>
        <w:widowControl w:val="0"/>
        <w:spacing w:after="480"/>
        <w:rPr>
          <w:b/>
        </w:rPr>
      </w:pPr>
      <w:r w:rsidRPr="00CF05F7">
        <w:rPr>
          <w:b/>
        </w:rPr>
        <w:t>Cases Cited</w:t>
      </w:r>
    </w:p>
    <w:p w:rsidR="008B41FB" w:rsidRPr="00CF05F7" w:rsidRDefault="008B41FB" w:rsidP="00D90A50">
      <w:pPr>
        <w:pStyle w:val="SCCNormalDoubleSpacing"/>
        <w:widowControl w:val="0"/>
        <w:spacing w:after="480"/>
      </w:pPr>
      <w:r w:rsidRPr="00CF05F7">
        <w:tab/>
      </w:r>
      <w:r w:rsidRPr="00CF05F7">
        <w:rPr>
          <w:b/>
        </w:rPr>
        <w:t>Distinguished:</w:t>
      </w:r>
      <w:r w:rsidRPr="00CF05F7">
        <w:t xml:space="preserve"> </w:t>
      </w:r>
      <w:r w:rsidRPr="00CF05F7">
        <w:rPr>
          <w:i/>
        </w:rPr>
        <w:t>Harless v. United States</w:t>
      </w:r>
      <w:r w:rsidRPr="00CF05F7">
        <w:t xml:space="preserve">, 1 Morris 169 (1843); </w:t>
      </w:r>
      <w:r w:rsidRPr="00CF05F7">
        <w:rPr>
          <w:b/>
        </w:rPr>
        <w:t>referred to:</w:t>
      </w:r>
      <w:r w:rsidRPr="00CF05F7">
        <w:t xml:space="preserve"> </w:t>
      </w:r>
      <w:r w:rsidRPr="00CF05F7">
        <w:rPr>
          <w:i/>
        </w:rPr>
        <w:t>Ross, Banks and Dyson v. The Queen</w:t>
      </w:r>
      <w:r w:rsidRPr="00CF05F7">
        <w:t xml:space="preserve">, [1968] S.C.R. 786; </w:t>
      </w:r>
      <w:r w:rsidRPr="00CF05F7">
        <w:rPr>
          <w:i/>
        </w:rPr>
        <w:t>R. v. Graveline</w:t>
      </w:r>
      <w:r w:rsidRPr="00CF05F7">
        <w:t xml:space="preserve">, 2006 SCC 16, [2006] 1 S.C.R. 609; </w:t>
      </w:r>
      <w:r w:rsidRPr="00CF05F7">
        <w:rPr>
          <w:i/>
        </w:rPr>
        <w:t>R. v. Théroux</w:t>
      </w:r>
      <w:r w:rsidRPr="00CF05F7">
        <w:t xml:space="preserve">, [1993] 2 S.C.R. 5; </w:t>
      </w:r>
      <w:r w:rsidRPr="00CF05F7">
        <w:rPr>
          <w:i/>
        </w:rPr>
        <w:t>R. v. Zlatic</w:t>
      </w:r>
      <w:r w:rsidRPr="00CF05F7">
        <w:t xml:space="preserve">, [1993] 2 S.C.R. 29; </w:t>
      </w:r>
      <w:r w:rsidRPr="00CF05F7">
        <w:rPr>
          <w:i/>
        </w:rPr>
        <w:t>R. v. Olan</w:t>
      </w:r>
      <w:r w:rsidRPr="00CF05F7">
        <w:t xml:space="preserve">, [1978] 2 S.C.R. 1175; </w:t>
      </w:r>
      <w:r w:rsidRPr="00CF05F7">
        <w:rPr>
          <w:i/>
        </w:rPr>
        <w:t>Scott v. Metropolitan Police Commissioner</w:t>
      </w:r>
      <w:r w:rsidRPr="00CF05F7">
        <w:t xml:space="preserve">, [1975] A.C. 819; </w:t>
      </w:r>
      <w:r w:rsidRPr="00CF05F7">
        <w:rPr>
          <w:i/>
        </w:rPr>
        <w:t>Vézina and Côté v. The Queen</w:t>
      </w:r>
      <w:r w:rsidRPr="00CF05F7">
        <w:t xml:space="preserve">, [1986] 1 S.C.R. 2; </w:t>
      </w:r>
      <w:r w:rsidRPr="00CF05F7">
        <w:rPr>
          <w:i/>
        </w:rPr>
        <w:t>R. v. Cassidy</w:t>
      </w:r>
      <w:r w:rsidRPr="00CF05F7">
        <w:t>, [1989] 2 S.C.R. 345.</w:t>
      </w:r>
    </w:p>
    <w:p w:rsidR="003B215F" w:rsidRPr="00CF05F7" w:rsidRDefault="002E6705" w:rsidP="00D90A50">
      <w:pPr>
        <w:pStyle w:val="SCCNormalDoubleSpacing"/>
        <w:widowControl w:val="0"/>
        <w:spacing w:after="720" w:line="240" w:lineRule="auto"/>
      </w:pPr>
      <w:r w:rsidRPr="00CF05F7">
        <w:rPr>
          <w:b/>
        </w:rPr>
        <w:t>Statutes and Regulations Cite</w:t>
      </w:r>
      <w:r w:rsidR="00A41805" w:rsidRPr="00CF05F7">
        <w:rPr>
          <w:b/>
        </w:rPr>
        <w:t>d</w:t>
      </w:r>
    </w:p>
    <w:p w:rsidR="007A460C" w:rsidRDefault="008D14A7" w:rsidP="00A97C71">
      <w:pPr>
        <w:pStyle w:val="SCCNormalDoubleSpacing"/>
        <w:widowControl w:val="0"/>
        <w:spacing w:after="240" w:line="240" w:lineRule="auto"/>
        <w:ind w:left="547" w:hanging="547"/>
      </w:pPr>
      <w:r w:rsidRPr="00CF05F7">
        <w:rPr>
          <w:i/>
        </w:rPr>
        <w:t>Criminal Code</w:t>
      </w:r>
      <w:r w:rsidR="00F4466E" w:rsidRPr="00CF05F7">
        <w:t>, R.S.C. 1985, c. </w:t>
      </w:r>
      <w:r w:rsidRPr="00CF05F7">
        <w:t>C</w:t>
      </w:r>
      <w:r w:rsidR="00393B2C" w:rsidRPr="00CF05F7">
        <w:noBreakHyphen/>
      </w:r>
      <w:r w:rsidRPr="00CF05F7">
        <w:t xml:space="preserve">46, </w:t>
      </w:r>
      <w:r w:rsidR="00393B2C" w:rsidRPr="00CF05F7">
        <w:t>ss. </w:t>
      </w:r>
      <w:r w:rsidRPr="00CF05F7">
        <w:t>197(1) “game”, 209, 380(1).</w:t>
      </w:r>
    </w:p>
    <w:p w:rsidR="00426B31" w:rsidRPr="007A460C" w:rsidRDefault="00426B31" w:rsidP="00A97C71">
      <w:pPr>
        <w:pStyle w:val="SCCNormalDoubleSpacing"/>
        <w:widowControl w:val="0"/>
        <w:spacing w:after="720" w:line="240" w:lineRule="auto"/>
        <w:ind w:left="547" w:hanging="547"/>
      </w:pPr>
      <w:r w:rsidRPr="00CF05F7">
        <w:t xml:space="preserve">Ontario. Racing Commission. </w:t>
      </w:r>
      <w:r w:rsidRPr="00CF05F7">
        <w:rPr>
          <w:i/>
        </w:rPr>
        <w:t>Rules of Standardbred Racing</w:t>
      </w:r>
      <w:r w:rsidR="00D41462" w:rsidRPr="00CF05F7">
        <w:rPr>
          <w:i/>
        </w:rPr>
        <w:t>,</w:t>
      </w:r>
      <w:r w:rsidRPr="00CF05F7">
        <w:rPr>
          <w:i/>
        </w:rPr>
        <w:t xml:space="preserve"> 2008</w:t>
      </w:r>
      <w:r w:rsidRPr="00CF05F7">
        <w:t>, r. 10.01.</w:t>
      </w:r>
    </w:p>
    <w:p w:rsidR="00656313" w:rsidRPr="00CF05F7" w:rsidRDefault="009B57B3" w:rsidP="00D90A50">
      <w:pPr>
        <w:pStyle w:val="SCCNormalDoubleSpacing"/>
        <w:widowControl w:val="0"/>
        <w:spacing w:after="480"/>
      </w:pPr>
      <w:r w:rsidRPr="00CF05F7">
        <w:tab/>
        <w:t xml:space="preserve">APPEAL from a judgment of the </w:t>
      </w:r>
      <w:r w:rsidR="00E42BDD" w:rsidRPr="00CF05F7">
        <w:t xml:space="preserve">Ontario </w:t>
      </w:r>
      <w:r w:rsidRPr="00CF05F7">
        <w:t>Court of Appeal</w:t>
      </w:r>
      <w:r w:rsidR="00A7003B" w:rsidRPr="00CF05F7">
        <w:t xml:space="preserve"> (Simmons, Rouleau and Tulloch JJ.A.), 2014 ONCA 744, 122 O.R. (3d) 594, 316 C.C.C. (3d) 527, 325 O.A.C. 351, [2014] O.J. </w:t>
      </w:r>
      <w:r w:rsidR="00393B2C" w:rsidRPr="00CF05F7">
        <w:t>No. </w:t>
      </w:r>
      <w:r w:rsidR="00A7003B" w:rsidRPr="00CF05F7">
        <w:t>5094 (QL), 2014 CarswellOnt 14907 (WL Can.), setting aside the accused’s acquittals and ordering a new tri</w:t>
      </w:r>
      <w:r w:rsidR="00393B2C" w:rsidRPr="00CF05F7">
        <w:t>al. </w:t>
      </w:r>
      <w:r w:rsidR="00E42BDD" w:rsidRPr="00CF05F7">
        <w:t>Appeal dismissed.</w:t>
      </w:r>
    </w:p>
    <w:p w:rsidR="005304D1" w:rsidRPr="00CF05F7" w:rsidRDefault="008F0B63" w:rsidP="00D90A50">
      <w:pPr>
        <w:pStyle w:val="SCCNormalDoubleSpacing"/>
        <w:widowControl w:val="0"/>
        <w:spacing w:after="480"/>
      </w:pPr>
      <w:r w:rsidRPr="00CF05F7">
        <w:rPr>
          <w:rStyle w:val="SCCCounselNameChar"/>
          <w:i w:val="0"/>
        </w:rPr>
        <w:lastRenderedPageBreak/>
        <w:tab/>
      </w:r>
      <w:r w:rsidRPr="00CF05F7">
        <w:rPr>
          <w:rStyle w:val="SCCCounselNameChar"/>
        </w:rPr>
        <w:t>Gregory Lafontaine</w:t>
      </w:r>
      <w:r w:rsidRPr="00CF05F7">
        <w:rPr>
          <w:rStyle w:val="SCCCounselPartyRoleChar"/>
        </w:rPr>
        <w:t>, for the appellant.</w:t>
      </w:r>
    </w:p>
    <w:p w:rsidR="005304D1" w:rsidRPr="00CF05F7" w:rsidRDefault="008F0B63" w:rsidP="00D90A50">
      <w:pPr>
        <w:pStyle w:val="SCCNormalDoubleSpacing"/>
        <w:widowControl w:val="0"/>
        <w:spacing w:after="480"/>
      </w:pPr>
      <w:r w:rsidRPr="00CF05F7">
        <w:rPr>
          <w:rStyle w:val="SCCCounselNameChar"/>
          <w:i w:val="0"/>
        </w:rPr>
        <w:tab/>
      </w:r>
      <w:r w:rsidR="00324C46" w:rsidRPr="00CF05F7">
        <w:rPr>
          <w:rStyle w:val="SCCCounselNameChar"/>
        </w:rPr>
        <w:t>Michael Kelly</w:t>
      </w:r>
      <w:r w:rsidR="00324C46" w:rsidRPr="00CF05F7">
        <w:rPr>
          <w:rStyle w:val="SCCCounselNameChar"/>
          <w:i w:val="0"/>
        </w:rPr>
        <w:t xml:space="preserve"> </w:t>
      </w:r>
      <w:r w:rsidR="00324C46" w:rsidRPr="00CF05F7">
        <w:rPr>
          <w:rStyle w:val="SCCCounselSeparatorChar"/>
        </w:rPr>
        <w:t>and</w:t>
      </w:r>
      <w:r w:rsidR="00324C46" w:rsidRPr="00CF05F7">
        <w:rPr>
          <w:rStyle w:val="SCCCounselNameChar"/>
          <w:i w:val="0"/>
        </w:rPr>
        <w:t xml:space="preserve"> </w:t>
      </w:r>
      <w:r w:rsidRPr="00CF05F7">
        <w:rPr>
          <w:rStyle w:val="SCCCounselNameChar"/>
        </w:rPr>
        <w:t>Matthew Asma</w:t>
      </w:r>
      <w:r w:rsidRPr="00CF05F7">
        <w:rPr>
          <w:rStyle w:val="SCCCounselPartyRoleChar"/>
        </w:rPr>
        <w:t>, for the respondent.</w:t>
      </w:r>
    </w:p>
    <w:p w:rsidR="00281D3F" w:rsidRDefault="00D90A50" w:rsidP="00D90A50">
      <w:pPr>
        <w:pStyle w:val="SCCNormalDoubleSpacing"/>
        <w:widowControl w:val="0"/>
        <w:spacing w:after="480"/>
      </w:pPr>
      <w:r>
        <w:tab/>
        <w:t>The judgment of the Court was delivered by</w:t>
      </w:r>
    </w:p>
    <w:p w:rsidR="00281D3F" w:rsidRPr="000F7611" w:rsidRDefault="00281D3F" w:rsidP="00D90A50">
      <w:pPr>
        <w:pStyle w:val="JudgeJuge"/>
        <w:widowControl w:val="0"/>
      </w:pPr>
      <w:r>
        <w:tab/>
      </w:r>
      <w:r w:rsidRPr="000F7611">
        <w:t xml:space="preserve">Cromwell J. — </w:t>
      </w:r>
    </w:p>
    <w:p w:rsidR="00281D3F" w:rsidRPr="000F7611" w:rsidRDefault="00281D3F" w:rsidP="00D90A50">
      <w:pPr>
        <w:pStyle w:val="Title1LevelTitre1Niveau-AltL"/>
        <w:widowControl w:val="0"/>
        <w:rPr>
          <w:rFonts w:cs="Times New Roman"/>
        </w:rPr>
      </w:pPr>
      <w:r w:rsidRPr="000F7611">
        <w:rPr>
          <w:rFonts w:cs="Times New Roman"/>
        </w:rPr>
        <w:t>Introduction</w:t>
      </w:r>
    </w:p>
    <w:p w:rsidR="00281D3F" w:rsidRPr="000F7611" w:rsidRDefault="00281D3F" w:rsidP="00D90A50">
      <w:pPr>
        <w:pStyle w:val="ParaNoNdepar-AltN"/>
        <w:widowControl w:val="0"/>
        <w:rPr>
          <w:rFonts w:cs="Times New Roman"/>
        </w:rPr>
      </w:pPr>
      <w:r w:rsidRPr="000F7611">
        <w:rPr>
          <w:rFonts w:cs="Times New Roman"/>
        </w:rPr>
        <w:t xml:space="preserve">This appeal was heard and dismissed, with reasons to follow, on October 13, 2015. These are the reasons. </w:t>
      </w:r>
    </w:p>
    <w:p w:rsidR="00281D3F" w:rsidRPr="000F7611" w:rsidRDefault="00281D3F" w:rsidP="00D90A50">
      <w:pPr>
        <w:pStyle w:val="ParaNoNdepar-AltN"/>
        <w:widowControl w:val="0"/>
        <w:rPr>
          <w:rFonts w:cs="Times New Roman"/>
        </w:rPr>
      </w:pPr>
      <w:r w:rsidRPr="000F7611">
        <w:rPr>
          <w:rFonts w:cs="Times New Roman"/>
        </w:rPr>
        <w:t xml:space="preserve">The appellant, Mr. Riesberry, tried to rig two horse races by drugging two horses. The question at the bottom of this appeal is whether the provisions of the </w:t>
      </w:r>
      <w:r w:rsidRPr="000F7611">
        <w:rPr>
          <w:rFonts w:cs="Times New Roman"/>
          <w:i/>
        </w:rPr>
        <w:t>Criminal Code</w:t>
      </w:r>
      <w:r>
        <w:rPr>
          <w:rFonts w:cs="Times New Roman"/>
        </w:rPr>
        <w:t>, R.S.C. 1985, c. C-46,</w:t>
      </w:r>
      <w:r w:rsidRPr="000F7611">
        <w:rPr>
          <w:rFonts w:cs="Times New Roman"/>
        </w:rPr>
        <w:t xml:space="preserve"> under which he was charged can apply to this conduct. </w:t>
      </w:r>
    </w:p>
    <w:p w:rsidR="00281D3F" w:rsidRPr="000F7611" w:rsidRDefault="00281D3F" w:rsidP="00D90A50">
      <w:pPr>
        <w:pStyle w:val="ParaNoNdepar-AltN"/>
        <w:widowControl w:val="0"/>
        <w:rPr>
          <w:rFonts w:cs="Times New Roman"/>
        </w:rPr>
      </w:pPr>
      <w:r w:rsidRPr="000F7611">
        <w:rPr>
          <w:rFonts w:cs="Times New Roman"/>
        </w:rPr>
        <w:t xml:space="preserve">Mr. Riesberry was a licensed trainer of Standardbred horses. He was caught on video drugging one horse, and caught trying to sneak syringes with drugs into the track for the purpose of doing the same thing to another.  For the drugging caught on tape, he was charged with cheating while playing a game (a horse race) with the intent to defraud the public wagering money on its outcome (s. 209 of the </w:t>
      </w:r>
      <w:r w:rsidRPr="000F7611">
        <w:rPr>
          <w:rFonts w:cs="Times New Roman"/>
          <w:i/>
        </w:rPr>
        <w:t>Criminal Code</w:t>
      </w:r>
      <w:r w:rsidRPr="000F7611">
        <w:rPr>
          <w:rFonts w:cs="Times New Roman"/>
        </w:rPr>
        <w:t xml:space="preserve">) and with defrauding the public of money wagered on the outcome of a horse race (s. 380(1)).  For trying to sneak the drugs into the track, he was charged with attempting to commit the same offences. At trial, he was acquitted. However, the </w:t>
      </w:r>
      <w:r>
        <w:rPr>
          <w:rFonts w:cs="Times New Roman"/>
        </w:rPr>
        <w:t xml:space="preserve">Ontario </w:t>
      </w:r>
      <w:r w:rsidRPr="000F7611">
        <w:rPr>
          <w:rFonts w:cs="Times New Roman"/>
        </w:rPr>
        <w:t xml:space="preserve">Court of </w:t>
      </w:r>
      <w:r w:rsidRPr="000F7611">
        <w:rPr>
          <w:rFonts w:cs="Times New Roman"/>
        </w:rPr>
        <w:lastRenderedPageBreak/>
        <w:t xml:space="preserve">Appeal allowed the Crown’s appeal, set aside the acquittals on all </w:t>
      </w:r>
      <w:r>
        <w:rPr>
          <w:rFonts w:cs="Times New Roman"/>
        </w:rPr>
        <w:t xml:space="preserve">four </w:t>
      </w:r>
      <w:r w:rsidRPr="000F7611">
        <w:rPr>
          <w:rFonts w:cs="Times New Roman"/>
        </w:rPr>
        <w:t xml:space="preserve">counts, ordered a new trial on the cheating </w:t>
      </w:r>
      <w:r>
        <w:rPr>
          <w:rFonts w:cs="Times New Roman"/>
        </w:rPr>
        <w:t>and attempted cheating counts (“cheating counts”)</w:t>
      </w:r>
      <w:r w:rsidRPr="000F7611">
        <w:rPr>
          <w:rFonts w:cs="Times New Roman"/>
        </w:rPr>
        <w:t xml:space="preserve"> and entered convictions on the fraud </w:t>
      </w:r>
      <w:r>
        <w:rPr>
          <w:rFonts w:cs="Times New Roman"/>
        </w:rPr>
        <w:t>and attempted fraud counts (“fraud counts”): 2014 ONCA 744, 122 O.R. (3d) 594</w:t>
      </w:r>
      <w:r w:rsidRPr="000F7611">
        <w:rPr>
          <w:rFonts w:cs="Times New Roman"/>
        </w:rPr>
        <w:t xml:space="preserve">. </w:t>
      </w:r>
    </w:p>
    <w:p w:rsidR="00281D3F" w:rsidRPr="000F7611" w:rsidRDefault="00281D3F" w:rsidP="00D90A50">
      <w:pPr>
        <w:pStyle w:val="ParaNoNdepar-AltN"/>
        <w:widowControl w:val="0"/>
        <w:rPr>
          <w:rFonts w:cs="Times New Roman"/>
        </w:rPr>
      </w:pPr>
      <w:r w:rsidRPr="000F7611">
        <w:rPr>
          <w:rFonts w:cs="Times New Roman"/>
        </w:rPr>
        <w:t xml:space="preserve">Mr. Riesberry appeals the fraud convictions as of right and the </w:t>
      </w:r>
      <w:r>
        <w:rPr>
          <w:rFonts w:cs="Times New Roman"/>
        </w:rPr>
        <w:t>order for a new trial</w:t>
      </w:r>
      <w:r w:rsidRPr="000F7611">
        <w:rPr>
          <w:rFonts w:cs="Times New Roman"/>
        </w:rPr>
        <w:t xml:space="preserve"> by leave of the Court. There are four main issues before us, two concern the cheating counts and two the fraud counts. </w:t>
      </w:r>
    </w:p>
    <w:p w:rsidR="00281D3F" w:rsidRPr="000F7611" w:rsidRDefault="00281D3F" w:rsidP="00D90A50">
      <w:pPr>
        <w:pStyle w:val="ParaNoNdepar-AltN"/>
        <w:widowControl w:val="0"/>
        <w:rPr>
          <w:rFonts w:cs="Times New Roman"/>
        </w:rPr>
      </w:pPr>
      <w:r w:rsidRPr="000F7611">
        <w:rPr>
          <w:rFonts w:cs="Times New Roman"/>
        </w:rPr>
        <w:t>With respect to the cheating counts, the main questions are (i) whether the trial judge made a legal error in his interpretat</w:t>
      </w:r>
      <w:r>
        <w:rPr>
          <w:rFonts w:cs="Times New Roman"/>
        </w:rPr>
        <w:t>ion of what constitutes a “game</w:t>
      </w:r>
      <w:r w:rsidRPr="000F7611">
        <w:rPr>
          <w:rFonts w:cs="Times New Roman"/>
        </w:rPr>
        <w:t>”</w:t>
      </w:r>
      <w:r>
        <w:rPr>
          <w:rFonts w:cs="Times New Roman"/>
        </w:rPr>
        <w:t>;</w:t>
      </w:r>
      <w:r w:rsidRPr="000F7611">
        <w:rPr>
          <w:rFonts w:cs="Times New Roman"/>
        </w:rPr>
        <w:t xml:space="preserve"> and (ii) whether there was any evidence that could establish that a horse race is a “game” as defined in </w:t>
      </w:r>
      <w:r>
        <w:rPr>
          <w:rFonts w:cs="Times New Roman"/>
        </w:rPr>
        <w:t xml:space="preserve">s. 197 of the </w:t>
      </w:r>
      <w:r w:rsidRPr="00BB5E9C">
        <w:rPr>
          <w:rFonts w:cs="Times New Roman"/>
          <w:i/>
        </w:rPr>
        <w:t>Criminal Code</w:t>
      </w:r>
      <w:r w:rsidRPr="000F7611">
        <w:rPr>
          <w:rFonts w:cs="Times New Roman"/>
        </w:rPr>
        <w:t xml:space="preserve"> for these offences.  I agree with the Court of Appeal that the trial judge erred in this respect and that there was evidence that could establish that a horse race is a game as defined for these offences.</w:t>
      </w:r>
    </w:p>
    <w:p w:rsidR="00281D3F" w:rsidRPr="000F7611" w:rsidRDefault="00281D3F" w:rsidP="00D90A50">
      <w:pPr>
        <w:pStyle w:val="ParaNoNdepar-AltN"/>
        <w:widowControl w:val="0"/>
        <w:rPr>
          <w:rFonts w:cs="Times New Roman"/>
        </w:rPr>
      </w:pPr>
      <w:r w:rsidRPr="000F7611">
        <w:rPr>
          <w:rFonts w:cs="Times New Roman"/>
        </w:rPr>
        <w:t>The two issues in relation to the fraud convictions are (i) whether the Court of Appeal was wrong to reverse the trial judge’s finding that the betting public was not</w:t>
      </w:r>
      <w:r>
        <w:rPr>
          <w:rFonts w:cs="Times New Roman"/>
        </w:rPr>
        <w:t xml:space="preserve"> put at risk by his conduct; and</w:t>
      </w:r>
      <w:r w:rsidRPr="000F7611">
        <w:rPr>
          <w:rFonts w:cs="Times New Roman"/>
        </w:rPr>
        <w:t xml:space="preserve"> (ii) </w:t>
      </w:r>
      <w:r>
        <w:rPr>
          <w:rFonts w:cs="Times New Roman"/>
        </w:rPr>
        <w:t>whether</w:t>
      </w:r>
      <w:r w:rsidRPr="000F7611">
        <w:rPr>
          <w:rFonts w:cs="Times New Roman"/>
        </w:rPr>
        <w:t>, even if the trial judge made that error, the Court of Appeal was wrong to have entered convictions rather than ordering a new trial. I also agree with the Court of Appeal’s disposition of these issues.</w:t>
      </w:r>
    </w:p>
    <w:p w:rsidR="00281D3F" w:rsidRPr="000F7611" w:rsidRDefault="00281D3F" w:rsidP="00D90A50">
      <w:pPr>
        <w:pStyle w:val="Title1LevelTitre1Niveau-AltL"/>
        <w:widowControl w:val="0"/>
        <w:rPr>
          <w:rFonts w:cs="Times New Roman"/>
        </w:rPr>
      </w:pPr>
      <w:r w:rsidRPr="000F7611">
        <w:rPr>
          <w:rFonts w:cs="Times New Roman"/>
        </w:rPr>
        <w:t>Analysis</w:t>
      </w:r>
    </w:p>
    <w:p w:rsidR="00281D3F" w:rsidRPr="000F7611" w:rsidRDefault="00281D3F" w:rsidP="00D90A50">
      <w:pPr>
        <w:pStyle w:val="Title2LevelTitre2Niveau"/>
        <w:widowControl w:val="0"/>
        <w:rPr>
          <w:rFonts w:cs="Times New Roman"/>
        </w:rPr>
      </w:pPr>
      <w:r w:rsidRPr="000F7611">
        <w:rPr>
          <w:rFonts w:cs="Times New Roman"/>
        </w:rPr>
        <w:t>Brief Overview of the Facts</w:t>
      </w:r>
    </w:p>
    <w:p w:rsidR="00281D3F" w:rsidRPr="000F7611" w:rsidRDefault="00281D3F" w:rsidP="00D90A50">
      <w:pPr>
        <w:pStyle w:val="ParaNoNdepar-AltN"/>
        <w:widowControl w:val="0"/>
        <w:rPr>
          <w:rFonts w:cs="Times New Roman"/>
        </w:rPr>
      </w:pPr>
      <w:r w:rsidRPr="000F7611">
        <w:rPr>
          <w:rFonts w:cs="Times New Roman"/>
        </w:rPr>
        <w:lastRenderedPageBreak/>
        <w:t>At trial, the judge found that, before a race, Mr. Riesberry injected a horse, “Everyone’s Fantasy”</w:t>
      </w:r>
      <w:r>
        <w:rPr>
          <w:rFonts w:cs="Times New Roman"/>
        </w:rPr>
        <w:t>,</w:t>
      </w:r>
      <w:r w:rsidRPr="000F7611">
        <w:rPr>
          <w:rFonts w:cs="Times New Roman"/>
        </w:rPr>
        <w:t xml:space="preserve"> with </w:t>
      </w:r>
      <w:r>
        <w:rPr>
          <w:rFonts w:cs="Times New Roman"/>
        </w:rPr>
        <w:t>e</w:t>
      </w:r>
      <w:r w:rsidRPr="000F7611">
        <w:rPr>
          <w:rFonts w:cs="Times New Roman"/>
        </w:rPr>
        <w:t>pinephrine</w:t>
      </w:r>
      <w:r>
        <w:rPr>
          <w:rFonts w:cs="Times New Roman"/>
        </w:rPr>
        <w:t xml:space="preserve"> and/or c</w:t>
      </w:r>
      <w:r w:rsidRPr="000F7611">
        <w:rPr>
          <w:rFonts w:cs="Times New Roman"/>
        </w:rPr>
        <w:t>lenbuterol for the purpose of enhancing the horse’s performance in the race.</w:t>
      </w:r>
      <w:r>
        <w:rPr>
          <w:rFonts w:cs="Times New Roman"/>
        </w:rPr>
        <w:t xml:space="preserve"> </w:t>
      </w:r>
      <w:r w:rsidRPr="000F7611">
        <w:rPr>
          <w:rFonts w:cs="Times New Roman"/>
        </w:rPr>
        <w:t>The horse participated in the race and finished sixth. The trial judge also found that, on a later occasion, Mr. Riesberry tried to bring a syringe loaded with</w:t>
      </w:r>
      <w:r>
        <w:rPr>
          <w:rFonts w:cs="Times New Roman"/>
        </w:rPr>
        <w:t xml:space="preserve"> </w:t>
      </w:r>
      <w:r w:rsidRPr="000F7611">
        <w:rPr>
          <w:rFonts w:cs="Times New Roman"/>
        </w:rPr>
        <w:t>prohibited drugs onto raceway property at which another horse, “Good Long Life”</w:t>
      </w:r>
      <w:r>
        <w:rPr>
          <w:rFonts w:cs="Times New Roman"/>
        </w:rPr>
        <w:t>,</w:t>
      </w:r>
      <w:r w:rsidRPr="000F7611">
        <w:rPr>
          <w:rFonts w:cs="Times New Roman"/>
        </w:rPr>
        <w:t xml:space="preserve"> was to race later that day. Mr. Riesberry was arrested and the horse was scratched from the race. The trial judge found that Mr. Riesberry,</w:t>
      </w:r>
      <w:r>
        <w:rPr>
          <w:rFonts w:cs="Times New Roman"/>
        </w:rPr>
        <w:t xml:space="preserve"> as a licens</w:t>
      </w:r>
      <w:r w:rsidRPr="000F7611">
        <w:rPr>
          <w:rFonts w:cs="Times New Roman"/>
        </w:rPr>
        <w:t xml:space="preserve">ed trainer, was bound by rules barring possession of syringes and use of the drugs in question in order to enhance performance: </w:t>
      </w:r>
      <w:r>
        <w:rPr>
          <w:rFonts w:cs="Times New Roman"/>
        </w:rPr>
        <w:t xml:space="preserve">Ontario Racing Commission, </w:t>
      </w:r>
      <w:r w:rsidRPr="000F7611">
        <w:rPr>
          <w:rFonts w:cs="Times New Roman"/>
          <w:i/>
        </w:rPr>
        <w:t>Rules of Standardbred Racing</w:t>
      </w:r>
      <w:r>
        <w:rPr>
          <w:rFonts w:cs="Times New Roman"/>
          <w:i/>
        </w:rPr>
        <w:t>,</w:t>
      </w:r>
      <w:r w:rsidR="00D90A50">
        <w:rPr>
          <w:rFonts w:cs="Times New Roman"/>
          <w:i/>
        </w:rPr>
        <w:t xml:space="preserve"> 2008</w:t>
      </w:r>
      <w:r w:rsidR="00D90A50" w:rsidRPr="00D90A50">
        <w:rPr>
          <w:rFonts w:cs="Times New Roman"/>
        </w:rPr>
        <w:t>,</w:t>
      </w:r>
      <w:r w:rsidRPr="00D90A50">
        <w:rPr>
          <w:rFonts w:cs="Times New Roman"/>
        </w:rPr>
        <w:t xml:space="preserve"> </w:t>
      </w:r>
      <w:r>
        <w:rPr>
          <w:rFonts w:cs="Times New Roman"/>
        </w:rPr>
        <w:t>r.</w:t>
      </w:r>
      <w:r w:rsidRPr="000F7611">
        <w:rPr>
          <w:rFonts w:cs="Times New Roman"/>
        </w:rPr>
        <w:t xml:space="preserve"> 10.01(a</w:t>
      </w:r>
      <w:r>
        <w:rPr>
          <w:rFonts w:cs="Times New Roman"/>
        </w:rPr>
        <w:t>) and (b)</w:t>
      </w:r>
      <w:r w:rsidRPr="000F7611">
        <w:rPr>
          <w:rFonts w:cs="Times New Roman"/>
        </w:rPr>
        <w:t xml:space="preserve">. The </w:t>
      </w:r>
      <w:r>
        <w:rPr>
          <w:rFonts w:cs="Times New Roman"/>
        </w:rPr>
        <w:t xml:space="preserve">trial </w:t>
      </w:r>
      <w:r w:rsidRPr="000F7611">
        <w:rPr>
          <w:rFonts w:cs="Times New Roman"/>
        </w:rPr>
        <w:t>judge also found that, in both instances, Mr. Riesberry had breached those rules and attempted to create an unfair advantage for the horses in the race. Nonetheless, the trial judge acquitted on all charges.</w:t>
      </w:r>
    </w:p>
    <w:p w:rsidR="00281D3F" w:rsidRPr="000F7611" w:rsidRDefault="00281D3F" w:rsidP="00D90A50">
      <w:pPr>
        <w:pStyle w:val="ParaNoNdepar-AltN"/>
        <w:widowControl w:val="0"/>
        <w:rPr>
          <w:rFonts w:cs="Times New Roman"/>
        </w:rPr>
      </w:pPr>
      <w:r w:rsidRPr="000F7611">
        <w:rPr>
          <w:rFonts w:cs="Times New Roman"/>
        </w:rPr>
        <w:t xml:space="preserve">It was undisputed on appeal that bets in excess of $5,000 had been placed on both races and that the trial judge erred in saying otherwise: Court of Appeal reasons, </w:t>
      </w:r>
      <w:r>
        <w:rPr>
          <w:rFonts w:cs="Times New Roman"/>
        </w:rPr>
        <w:t xml:space="preserve">at </w:t>
      </w:r>
      <w:r w:rsidRPr="000F7611">
        <w:rPr>
          <w:rFonts w:cs="Times New Roman"/>
        </w:rPr>
        <w:t>para</w:t>
      </w:r>
      <w:r>
        <w:rPr>
          <w:rFonts w:cs="Times New Roman"/>
        </w:rPr>
        <w:t xml:space="preserve">. </w:t>
      </w:r>
      <w:r w:rsidRPr="000F7611">
        <w:rPr>
          <w:rFonts w:cs="Times New Roman"/>
        </w:rPr>
        <w:t>18.</w:t>
      </w:r>
    </w:p>
    <w:p w:rsidR="00281D3F" w:rsidRPr="000F7611" w:rsidRDefault="00281D3F" w:rsidP="00D90A50">
      <w:pPr>
        <w:pStyle w:val="Title2LevelTitre2Niveau"/>
        <w:widowControl w:val="0"/>
        <w:rPr>
          <w:rFonts w:cs="Times New Roman"/>
        </w:rPr>
      </w:pPr>
      <w:r w:rsidRPr="000F7611">
        <w:rPr>
          <w:rFonts w:cs="Times New Roman"/>
        </w:rPr>
        <w:t>The Cheating at Play Convictions</w:t>
      </w:r>
    </w:p>
    <w:p w:rsidR="00281D3F" w:rsidRPr="000F7611" w:rsidRDefault="00281D3F" w:rsidP="00D90A50">
      <w:pPr>
        <w:pStyle w:val="ParaNoNdepar-AltN"/>
        <w:widowControl w:val="0"/>
        <w:rPr>
          <w:rFonts w:cs="Times New Roman"/>
        </w:rPr>
      </w:pPr>
      <w:r w:rsidRPr="000F7611">
        <w:rPr>
          <w:rFonts w:cs="Times New Roman"/>
        </w:rPr>
        <w:t xml:space="preserve">With respect to the cheating while playing a game charges, the </w:t>
      </w:r>
      <w:r>
        <w:rPr>
          <w:rFonts w:cs="Times New Roman"/>
        </w:rPr>
        <w:t xml:space="preserve">trial </w:t>
      </w:r>
      <w:r w:rsidRPr="000F7611">
        <w:rPr>
          <w:rFonts w:cs="Times New Roman"/>
        </w:rPr>
        <w:t xml:space="preserve">judge concluded that a horse race is not a game as defined in the </w:t>
      </w:r>
      <w:r w:rsidRPr="000F7611">
        <w:rPr>
          <w:rFonts w:cs="Times New Roman"/>
          <w:i/>
        </w:rPr>
        <w:t>Criminal Code</w:t>
      </w:r>
      <w:r w:rsidRPr="000F7611">
        <w:rPr>
          <w:rFonts w:cs="Times New Roman"/>
        </w:rPr>
        <w:t xml:space="preserve"> and therefore the charges were not made out. The first issue is whether the trial judge erred in law in his legal interpretation of what constitutes a “game” for the purposes of this offence.</w:t>
      </w:r>
      <w:r w:rsidRPr="000F7611">
        <w:rPr>
          <w:rFonts w:cs="Times New Roman"/>
          <w:i/>
        </w:rPr>
        <w:t xml:space="preserve"> </w:t>
      </w:r>
    </w:p>
    <w:p w:rsidR="00281D3F" w:rsidRPr="000F7611" w:rsidRDefault="00281D3F" w:rsidP="00D90A50">
      <w:pPr>
        <w:pStyle w:val="ParaNoNdepar-AltN"/>
        <w:widowControl w:val="0"/>
        <w:rPr>
          <w:rFonts w:cs="Times New Roman"/>
        </w:rPr>
      </w:pPr>
      <w:r w:rsidRPr="000F7611">
        <w:rPr>
          <w:rFonts w:cs="Times New Roman"/>
        </w:rPr>
        <w:t>The charge</w:t>
      </w:r>
      <w:r>
        <w:rPr>
          <w:rFonts w:cs="Times New Roman"/>
        </w:rPr>
        <w:t>s</w:t>
      </w:r>
      <w:r w:rsidRPr="000F7611">
        <w:rPr>
          <w:rFonts w:cs="Times New Roman"/>
        </w:rPr>
        <w:t xml:space="preserve"> against Mr. Riesberry arise under s. 209 of the </w:t>
      </w:r>
      <w:r w:rsidRPr="000F7611">
        <w:rPr>
          <w:rFonts w:cs="Times New Roman"/>
          <w:i/>
        </w:rPr>
        <w:t xml:space="preserve">Criminal Code </w:t>
      </w:r>
      <w:r w:rsidRPr="000F7611">
        <w:rPr>
          <w:rFonts w:cs="Times New Roman"/>
        </w:rPr>
        <w:lastRenderedPageBreak/>
        <w:t>which provides that everyone is guilty of an offence who</w:t>
      </w:r>
      <w:r>
        <w:rPr>
          <w:rFonts w:cs="Times New Roman"/>
        </w:rPr>
        <w:t>,</w:t>
      </w:r>
      <w:r w:rsidRPr="000F7611">
        <w:rPr>
          <w:rFonts w:cs="Times New Roman"/>
        </w:rPr>
        <w:t xml:space="preserve"> “with intent to defraud any person, cheats while playing a game</w:t>
      </w:r>
      <w:r>
        <w:rPr>
          <w:rFonts w:cs="Times New Roman"/>
        </w:rPr>
        <w:t>”</w:t>
      </w:r>
      <w:r w:rsidRPr="000F7611">
        <w:rPr>
          <w:rFonts w:cs="Times New Roman"/>
        </w:rPr>
        <w:t xml:space="preserve">. “Game” is defined as “a game of chance or mixed chance and skill”: s. 197(1). It follows that the Crown had to establish that a horse race is a game with at least some element of chance. The trial judge relied on the U.S. case of </w:t>
      </w:r>
      <w:r w:rsidRPr="000F7611">
        <w:rPr>
          <w:rFonts w:cs="Times New Roman"/>
          <w:i/>
        </w:rPr>
        <w:t>Harless v.</w:t>
      </w:r>
      <w:r>
        <w:rPr>
          <w:rFonts w:cs="Times New Roman"/>
          <w:i/>
        </w:rPr>
        <w:t xml:space="preserve"> U</w:t>
      </w:r>
      <w:r w:rsidRPr="000F7611">
        <w:rPr>
          <w:rFonts w:cs="Times New Roman"/>
          <w:i/>
        </w:rPr>
        <w:t>nited States</w:t>
      </w:r>
      <w:r w:rsidRPr="000F7611">
        <w:rPr>
          <w:rFonts w:cs="Times New Roman"/>
        </w:rPr>
        <w:t>, 1 Morris 169</w:t>
      </w:r>
      <w:r>
        <w:rPr>
          <w:rFonts w:cs="Times New Roman"/>
        </w:rPr>
        <w:t xml:space="preserve"> (Iowa 1843),</w:t>
      </w:r>
      <w:r w:rsidRPr="000F7611">
        <w:rPr>
          <w:rFonts w:cs="Times New Roman"/>
        </w:rPr>
        <w:t xml:space="preserve"> to conclude that a horse race is a game of pure skill. </w:t>
      </w:r>
    </w:p>
    <w:p w:rsidR="00281D3F" w:rsidRPr="000F7611" w:rsidRDefault="00281D3F" w:rsidP="00D90A50">
      <w:pPr>
        <w:pStyle w:val="ParaNoNdepar-AltN"/>
        <w:widowControl w:val="0"/>
        <w:rPr>
          <w:rFonts w:cs="Times New Roman"/>
        </w:rPr>
      </w:pPr>
      <w:r w:rsidRPr="000F7611">
        <w:rPr>
          <w:rFonts w:cs="Times New Roman"/>
        </w:rPr>
        <w:t>It is somewhat unclear to what extent</w:t>
      </w:r>
      <w:r>
        <w:rPr>
          <w:rFonts w:cs="Times New Roman"/>
        </w:rPr>
        <w:t xml:space="preserve"> </w:t>
      </w:r>
      <w:r w:rsidRPr="000F7611">
        <w:rPr>
          <w:rFonts w:cs="Times New Roman"/>
        </w:rPr>
        <w:t>the trial judge relied on this authority as stating the law in Canada</w:t>
      </w:r>
      <w:r>
        <w:rPr>
          <w:rFonts w:cs="Times New Roman"/>
        </w:rPr>
        <w:t xml:space="preserve">. </w:t>
      </w:r>
      <w:r w:rsidRPr="000F7611">
        <w:rPr>
          <w:rFonts w:cs="Times New Roman"/>
        </w:rPr>
        <w:t xml:space="preserve">However, to the extent that he did so, he made a legal error. The </w:t>
      </w:r>
      <w:r>
        <w:rPr>
          <w:rFonts w:cs="Times New Roman"/>
        </w:rPr>
        <w:t>statute considered by the U.S. c</w:t>
      </w:r>
      <w:r w:rsidRPr="000F7611">
        <w:rPr>
          <w:rFonts w:cs="Times New Roman"/>
        </w:rPr>
        <w:t xml:space="preserve">ourt divided games into only two categories, games of chance and games of skill. That case, therefore, did not address a point that must be addressed under the </w:t>
      </w:r>
      <w:r w:rsidRPr="000F7611">
        <w:rPr>
          <w:rFonts w:cs="Times New Roman"/>
          <w:i/>
        </w:rPr>
        <w:t>Criminal Code</w:t>
      </w:r>
      <w:r w:rsidRPr="000F7611">
        <w:rPr>
          <w:rFonts w:cs="Times New Roman"/>
        </w:rPr>
        <w:t xml:space="preserve">. That point is whether horse racing is a game of </w:t>
      </w:r>
      <w:r w:rsidRPr="00BB5E9C">
        <w:rPr>
          <w:rFonts w:cs="Times New Roman"/>
          <w:i/>
        </w:rPr>
        <w:t>mixed</w:t>
      </w:r>
      <w:r w:rsidRPr="000F7611">
        <w:rPr>
          <w:rFonts w:cs="Times New Roman"/>
        </w:rPr>
        <w:t xml:space="preserve"> chance and skill. The applicable Canadian law on this point is found in </w:t>
      </w:r>
      <w:r w:rsidRPr="000F7611">
        <w:rPr>
          <w:rFonts w:cs="Times New Roman"/>
          <w:i/>
        </w:rPr>
        <w:t xml:space="preserve">Ross, Banks </w:t>
      </w:r>
      <w:r>
        <w:rPr>
          <w:rFonts w:cs="Times New Roman"/>
          <w:i/>
        </w:rPr>
        <w:t>and</w:t>
      </w:r>
      <w:r w:rsidRPr="000F7611">
        <w:rPr>
          <w:rFonts w:cs="Times New Roman"/>
          <w:i/>
        </w:rPr>
        <w:t xml:space="preserve"> Dyson v. The Queen</w:t>
      </w:r>
      <w:r w:rsidRPr="000F7611">
        <w:rPr>
          <w:rFonts w:cs="Times New Roman"/>
        </w:rPr>
        <w:t>, [1968] S.C.R. 786. There must be a “systematic resort to chance” to determine outcomes, not merely the “unpredictable</w:t>
      </w:r>
      <w:r>
        <w:rPr>
          <w:rFonts w:cs="Times New Roman"/>
        </w:rPr>
        <w:t>s</w:t>
      </w:r>
      <w:r w:rsidRPr="000F7611">
        <w:rPr>
          <w:rFonts w:cs="Times New Roman"/>
        </w:rPr>
        <w:t xml:space="preserve"> that may occasionally defeat skill”: p. 791.</w:t>
      </w:r>
    </w:p>
    <w:p w:rsidR="00281D3F" w:rsidRPr="000F7611" w:rsidRDefault="00281D3F" w:rsidP="00D90A50">
      <w:pPr>
        <w:pStyle w:val="ParaNoNdepar-AltN"/>
        <w:widowControl w:val="0"/>
        <w:rPr>
          <w:rFonts w:cs="Times New Roman"/>
        </w:rPr>
      </w:pPr>
      <w:r w:rsidRPr="000F7611">
        <w:rPr>
          <w:rFonts w:cs="Times New Roman"/>
        </w:rPr>
        <w:t xml:space="preserve">Even if we were to accept that the trial judge was alive to this difference between the law as set out in </w:t>
      </w:r>
      <w:r w:rsidRPr="000F7611">
        <w:rPr>
          <w:rFonts w:cs="Times New Roman"/>
          <w:i/>
        </w:rPr>
        <w:t xml:space="preserve">Harless </w:t>
      </w:r>
      <w:r w:rsidRPr="000F7611">
        <w:rPr>
          <w:rFonts w:cs="Times New Roman"/>
        </w:rPr>
        <w:t xml:space="preserve">and Canadian law, he nonetheless erred by failing to consider evidence in the record upon which a trier of fact could find that there was systematic resort to chance which made the race a game of mixed chance and skill.  I therefore conclude that the </w:t>
      </w:r>
      <w:r>
        <w:rPr>
          <w:rFonts w:cs="Times New Roman"/>
        </w:rPr>
        <w:t xml:space="preserve">trial </w:t>
      </w:r>
      <w:r w:rsidRPr="000F7611">
        <w:rPr>
          <w:rFonts w:cs="Times New Roman"/>
        </w:rPr>
        <w:t xml:space="preserve">judge erred in law on this aspect of the case.  </w:t>
      </w:r>
    </w:p>
    <w:p w:rsidR="00281D3F" w:rsidRPr="000F7611" w:rsidRDefault="00281D3F" w:rsidP="00D90A50">
      <w:pPr>
        <w:pStyle w:val="ParaNoNdepar-AltN"/>
        <w:widowControl w:val="0"/>
        <w:rPr>
          <w:rFonts w:cs="Times New Roman"/>
        </w:rPr>
      </w:pPr>
      <w:r w:rsidRPr="000F7611">
        <w:rPr>
          <w:rFonts w:cs="Times New Roman"/>
        </w:rPr>
        <w:t xml:space="preserve">The Court of Appeal’s finding of a legal error at trial does not, on its own, justify setting aside the acquittals and ordering a new trial. A new trial may be ordered </w:t>
      </w:r>
      <w:r w:rsidRPr="000F7611">
        <w:rPr>
          <w:rFonts w:cs="Times New Roman"/>
        </w:rPr>
        <w:lastRenderedPageBreak/>
        <w:t xml:space="preserve">only if the Crown satisfies the appellate court that the “error (or errors) of the trial judge might reasonably be thought, in the concrete reality of the case at hand, to have had a material bearing on the acquittal”: </w:t>
      </w:r>
      <w:r w:rsidRPr="000F7611">
        <w:rPr>
          <w:rFonts w:cs="Times New Roman"/>
          <w:i/>
        </w:rPr>
        <w:t>R. v. Graveline</w:t>
      </w:r>
      <w:r w:rsidRPr="000F7611">
        <w:rPr>
          <w:rFonts w:cs="Times New Roman"/>
        </w:rPr>
        <w:t xml:space="preserve">, </w:t>
      </w:r>
      <w:r>
        <w:rPr>
          <w:rFonts w:cs="Times New Roman"/>
        </w:rPr>
        <w:t xml:space="preserve">2006 SCC 16, </w:t>
      </w:r>
      <w:r w:rsidRPr="000F7611">
        <w:rPr>
          <w:rFonts w:cs="Times New Roman"/>
        </w:rPr>
        <w:t>[2006] 1 S.C.R. 609</w:t>
      </w:r>
      <w:r>
        <w:rPr>
          <w:rFonts w:cs="Times New Roman"/>
        </w:rPr>
        <w:t>,</w:t>
      </w:r>
      <w:r w:rsidRPr="000F7611">
        <w:rPr>
          <w:rFonts w:cs="Times New Roman"/>
        </w:rPr>
        <w:t xml:space="preserve"> at para. 14</w:t>
      </w:r>
      <w:r>
        <w:rPr>
          <w:rFonts w:cs="Times New Roman"/>
        </w:rPr>
        <w:t>, per Fish J. for the majority</w:t>
      </w:r>
      <w:r w:rsidRPr="000F7611">
        <w:rPr>
          <w:rFonts w:cs="Times New Roman"/>
        </w:rPr>
        <w:t>. Whether the Crown has satisfied this burden is the second issue. The answer depends in this case on whether there is in the trial record any evidence which could support a finding that horse racing has a sufficient element of chance to be considered a game of mixed chance and skill. Mr. Riesberry claims that there is not while the Crown says that there is.</w:t>
      </w:r>
    </w:p>
    <w:p w:rsidR="00281D3F" w:rsidRPr="000F7611" w:rsidRDefault="00281D3F" w:rsidP="00D90A50">
      <w:pPr>
        <w:pStyle w:val="ParaNoNdepar-AltN"/>
        <w:widowControl w:val="0"/>
        <w:rPr>
          <w:rFonts w:cs="Times New Roman"/>
        </w:rPr>
      </w:pPr>
      <w:r w:rsidRPr="000F7611">
        <w:rPr>
          <w:rFonts w:cs="Times New Roman"/>
        </w:rPr>
        <w:t xml:space="preserve">I agree with the Court of Appeal that the record at trial contains evidence upon which horse racing, in the present circumstances, could be found to involve a systematic resort to chance. There was evidence that post position is determined by a computerized random post position generator and that certain post positions are more advantageous than others: </w:t>
      </w:r>
      <w:r>
        <w:rPr>
          <w:rFonts w:cs="Times New Roman"/>
        </w:rPr>
        <w:t>Court of Appeal</w:t>
      </w:r>
      <w:r w:rsidRPr="000F7611">
        <w:rPr>
          <w:rFonts w:cs="Times New Roman"/>
        </w:rPr>
        <w:t xml:space="preserve"> </w:t>
      </w:r>
      <w:r>
        <w:rPr>
          <w:rFonts w:cs="Times New Roman"/>
        </w:rPr>
        <w:t>r</w:t>
      </w:r>
      <w:r w:rsidRPr="000F7611">
        <w:rPr>
          <w:rFonts w:cs="Times New Roman"/>
        </w:rPr>
        <w:t>easons</w:t>
      </w:r>
      <w:r>
        <w:rPr>
          <w:rFonts w:cs="Times New Roman"/>
        </w:rPr>
        <w:t>, at</w:t>
      </w:r>
      <w:r w:rsidRPr="000F7611">
        <w:rPr>
          <w:rFonts w:cs="Times New Roman"/>
        </w:rPr>
        <w:t xml:space="preserve"> para. 41. It follows that the Court of Appeal was correct to order a new trial on these charges. Of course, whether the evidence actually establishes this will be for the trier of fact at the new trial to determine.</w:t>
      </w:r>
    </w:p>
    <w:p w:rsidR="00281D3F" w:rsidRPr="000F7611" w:rsidRDefault="00281D3F" w:rsidP="00D90A50">
      <w:pPr>
        <w:pStyle w:val="ParaNoNdepar-AltN"/>
        <w:widowControl w:val="0"/>
        <w:rPr>
          <w:rFonts w:cs="Times New Roman"/>
        </w:rPr>
      </w:pPr>
      <w:r w:rsidRPr="000F7611">
        <w:rPr>
          <w:rFonts w:cs="Times New Roman"/>
        </w:rPr>
        <w:t>Like the Court of Appeal, I would not address on appeal the Crown’s highly fact-driven alternative position that Mr. Riesberry’s conduct converted what would otherwise be a game of pure skill into one of mixed chance and skill.</w:t>
      </w:r>
    </w:p>
    <w:p w:rsidR="00281D3F" w:rsidRPr="000F7611" w:rsidRDefault="00281D3F" w:rsidP="00D90A50">
      <w:pPr>
        <w:pStyle w:val="ParaNoNdepar-AltN"/>
        <w:widowControl w:val="0"/>
        <w:rPr>
          <w:rFonts w:cs="Times New Roman"/>
        </w:rPr>
      </w:pPr>
      <w:r w:rsidRPr="000F7611">
        <w:rPr>
          <w:rFonts w:cs="Times New Roman"/>
        </w:rPr>
        <w:t>To conclude on the cheating counts, the Court of Appeal correctly ordered a new trial on these charges.</w:t>
      </w:r>
    </w:p>
    <w:p w:rsidR="00281D3F" w:rsidRPr="000F7611" w:rsidRDefault="00281D3F" w:rsidP="00D90A50">
      <w:pPr>
        <w:pStyle w:val="Title2LevelTitre2Niveau"/>
        <w:widowControl w:val="0"/>
        <w:rPr>
          <w:rFonts w:cs="Times New Roman"/>
        </w:rPr>
      </w:pPr>
      <w:r w:rsidRPr="000F7611">
        <w:rPr>
          <w:rFonts w:cs="Times New Roman"/>
        </w:rPr>
        <w:t>The Fraud Charges</w:t>
      </w:r>
    </w:p>
    <w:p w:rsidR="00281D3F" w:rsidRPr="000F7611" w:rsidRDefault="00281D3F" w:rsidP="00D90A50">
      <w:pPr>
        <w:pStyle w:val="ParaNoNdepar-AltN"/>
        <w:widowControl w:val="0"/>
        <w:rPr>
          <w:rFonts w:cs="Times New Roman"/>
        </w:rPr>
      </w:pPr>
      <w:r w:rsidRPr="000F7611">
        <w:rPr>
          <w:rFonts w:cs="Times New Roman"/>
        </w:rPr>
        <w:lastRenderedPageBreak/>
        <w:t xml:space="preserve">Fraud consists of dishonest conduct that results in at least a risk of deprivation to the victim. The trial judge found that the Crown had failed to prove that the betting public was at risk of deprivation due to Mr. Riesberry’s conduct. The trial judge also found that, even if the Crown had proved deprivation, there was no proof of any causal connection between Mr. Riesberry’s actions and any risk of loss of the money wagered by the betting public. </w:t>
      </w:r>
    </w:p>
    <w:p w:rsidR="00281D3F" w:rsidRPr="000F7611" w:rsidRDefault="00281D3F" w:rsidP="00D90A50">
      <w:pPr>
        <w:pStyle w:val="ParaNoNdepar-AltN"/>
        <w:widowControl w:val="0"/>
        <w:rPr>
          <w:rFonts w:cs="Times New Roman"/>
        </w:rPr>
      </w:pPr>
      <w:r w:rsidRPr="000F7611">
        <w:rPr>
          <w:rFonts w:cs="Times New Roman"/>
        </w:rPr>
        <w:t>The Court of Appeal allowed the Crown’s appeal from the acquitt</w:t>
      </w:r>
      <w:r>
        <w:rPr>
          <w:rFonts w:cs="Times New Roman"/>
        </w:rPr>
        <w:t>als. On the fraud charges, the c</w:t>
      </w:r>
      <w:r w:rsidRPr="000F7611">
        <w:rPr>
          <w:rFonts w:cs="Times New Roman"/>
        </w:rPr>
        <w:t xml:space="preserve">ourt identified a number of legal errors such that the acquittals had to be set aside. The </w:t>
      </w:r>
      <w:r>
        <w:rPr>
          <w:rFonts w:cs="Times New Roman"/>
        </w:rPr>
        <w:t>c</w:t>
      </w:r>
      <w:r w:rsidRPr="000F7611">
        <w:rPr>
          <w:rFonts w:cs="Times New Roman"/>
        </w:rPr>
        <w:t>ourt also concluded that if the trial judge had not made these legal errors, he would have convicted Mr. Riesberry of both fraud counts.</w:t>
      </w:r>
    </w:p>
    <w:p w:rsidR="00281D3F" w:rsidRPr="000F7611" w:rsidRDefault="00281D3F" w:rsidP="00D90A50">
      <w:pPr>
        <w:pStyle w:val="ParaNoNdepar-AltN"/>
        <w:widowControl w:val="0"/>
        <w:rPr>
          <w:rFonts w:cs="Times New Roman"/>
        </w:rPr>
      </w:pPr>
      <w:r w:rsidRPr="000F7611">
        <w:rPr>
          <w:rFonts w:cs="Times New Roman"/>
        </w:rPr>
        <w:t>Mr. Riesberry submits first that his conduct did not put the betting public at risk of deprivation and that any risk of deprivation was too remote. His second submission is that, even if the trial judge was wrong about this, the Court of Appeal should not have entered convictions on the fraud charges, but ought instead to have ordered a new trial. I will address these points in turn.</w:t>
      </w:r>
    </w:p>
    <w:p w:rsidR="00281D3F" w:rsidRPr="000F7611" w:rsidRDefault="00281D3F" w:rsidP="00D90A50">
      <w:pPr>
        <w:pStyle w:val="Title3LevelTitre3Niveau"/>
        <w:widowControl w:val="0"/>
        <w:rPr>
          <w:rFonts w:cs="Times New Roman"/>
        </w:rPr>
      </w:pPr>
      <w:r>
        <w:rPr>
          <w:rFonts w:cs="Times New Roman"/>
        </w:rPr>
        <w:t>Did Mr. Riesberry’s Fraudulent Acts C</w:t>
      </w:r>
      <w:r w:rsidRPr="000F7611">
        <w:rPr>
          <w:rFonts w:cs="Times New Roman"/>
        </w:rPr>
        <w:t xml:space="preserve">ause a </w:t>
      </w:r>
      <w:r>
        <w:rPr>
          <w:rFonts w:cs="Times New Roman"/>
        </w:rPr>
        <w:t>R</w:t>
      </w:r>
      <w:r w:rsidRPr="000F7611">
        <w:rPr>
          <w:rFonts w:cs="Times New Roman"/>
        </w:rPr>
        <w:t xml:space="preserve">isk of </w:t>
      </w:r>
      <w:r>
        <w:rPr>
          <w:rFonts w:cs="Times New Roman"/>
        </w:rPr>
        <w:t>D</w:t>
      </w:r>
      <w:r w:rsidRPr="000F7611">
        <w:rPr>
          <w:rFonts w:cs="Times New Roman"/>
        </w:rPr>
        <w:t xml:space="preserve">eprivation </w:t>
      </w:r>
      <w:r>
        <w:rPr>
          <w:rFonts w:cs="Times New Roman"/>
        </w:rPr>
        <w:t>T</w:t>
      </w:r>
      <w:r w:rsidRPr="000F7611">
        <w:rPr>
          <w:rFonts w:cs="Times New Roman"/>
        </w:rPr>
        <w:t xml:space="preserve">hat </w:t>
      </w:r>
      <w:r>
        <w:rPr>
          <w:rFonts w:cs="Times New Roman"/>
        </w:rPr>
        <w:t>Was Not Too R</w:t>
      </w:r>
      <w:r w:rsidRPr="000F7611">
        <w:rPr>
          <w:rFonts w:cs="Times New Roman"/>
        </w:rPr>
        <w:t>emote?</w:t>
      </w:r>
    </w:p>
    <w:p w:rsidR="00281D3F" w:rsidRPr="000F7611" w:rsidRDefault="00281D3F" w:rsidP="00D90A50">
      <w:pPr>
        <w:pStyle w:val="ParaNoNdepar-AltN"/>
        <w:widowControl w:val="0"/>
        <w:rPr>
          <w:rFonts w:cs="Times New Roman"/>
        </w:rPr>
      </w:pPr>
      <w:r w:rsidRPr="000F7611">
        <w:rPr>
          <w:rFonts w:cs="Times New Roman"/>
        </w:rPr>
        <w:t>Like virtually all offences, fraud consists of two main components, the prohibited act (</w:t>
      </w:r>
      <w:r w:rsidRPr="000F7611">
        <w:rPr>
          <w:rFonts w:cs="Times New Roman"/>
          <w:i/>
        </w:rPr>
        <w:t>actus reus</w:t>
      </w:r>
      <w:r w:rsidRPr="000F7611">
        <w:rPr>
          <w:rFonts w:cs="Times New Roman"/>
        </w:rPr>
        <w:t>) and the required state of mind (</w:t>
      </w:r>
      <w:r w:rsidRPr="000F7611">
        <w:rPr>
          <w:rFonts w:cs="Times New Roman"/>
          <w:i/>
        </w:rPr>
        <w:t>mens rea</w:t>
      </w:r>
      <w:r w:rsidRPr="000F7611">
        <w:rPr>
          <w:rFonts w:cs="Times New Roman"/>
        </w:rPr>
        <w:t xml:space="preserve">). Mr. Riesberry’s submission focuses on one of the two aspects of the </w:t>
      </w:r>
      <w:r w:rsidRPr="000F7611">
        <w:rPr>
          <w:rFonts w:cs="Times New Roman"/>
          <w:i/>
        </w:rPr>
        <w:t>actus reus</w:t>
      </w:r>
      <w:r w:rsidRPr="00140F50">
        <w:rPr>
          <w:rFonts w:cs="Times New Roman"/>
        </w:rPr>
        <w:t>.</w:t>
      </w:r>
      <w:r w:rsidRPr="000F7611">
        <w:rPr>
          <w:rFonts w:cs="Times New Roman"/>
          <w:i/>
        </w:rPr>
        <w:t xml:space="preserve"> </w:t>
      </w:r>
      <w:r w:rsidRPr="000F7611">
        <w:rPr>
          <w:rFonts w:cs="Times New Roman"/>
        </w:rPr>
        <w:t xml:space="preserve">Those two aspects are: </w:t>
      </w:r>
    </w:p>
    <w:p w:rsidR="00281D3F" w:rsidRPr="00140F50" w:rsidRDefault="00281D3F" w:rsidP="00D90A50">
      <w:pPr>
        <w:widowControl w:val="0"/>
        <w:tabs>
          <w:tab w:val="left" w:pos="990"/>
          <w:tab w:val="left" w:pos="1080"/>
        </w:tabs>
        <w:ind w:firstLine="720"/>
        <w:contextualSpacing/>
      </w:pPr>
      <w:r>
        <w:t xml:space="preserve">1. </w:t>
      </w:r>
      <w:r>
        <w:tab/>
        <w:t>. . . a</w:t>
      </w:r>
      <w:r w:rsidR="00D90A50">
        <w:t>n act of deceit, a falsehood</w:t>
      </w:r>
      <w:r w:rsidRPr="00140F50">
        <w:t xml:space="preserve"> or some other fraudulent means; and</w:t>
      </w:r>
    </w:p>
    <w:p w:rsidR="00281D3F" w:rsidRPr="000F7611" w:rsidRDefault="00281D3F" w:rsidP="00D90A50">
      <w:pPr>
        <w:pStyle w:val="ListParagraph"/>
        <w:widowControl w:val="0"/>
        <w:ind w:left="1080"/>
        <w:contextualSpacing/>
        <w:rPr>
          <w:rFonts w:ascii="Times New Roman" w:hAnsi="Times New Roman"/>
          <w:sz w:val="24"/>
          <w:szCs w:val="24"/>
        </w:rPr>
      </w:pPr>
    </w:p>
    <w:p w:rsidR="00281D3F" w:rsidRDefault="00281D3F" w:rsidP="00D90A50">
      <w:pPr>
        <w:pStyle w:val="ListParagraph"/>
        <w:widowControl w:val="0"/>
        <w:numPr>
          <w:ilvl w:val="6"/>
          <w:numId w:val="3"/>
        </w:numPr>
        <w:tabs>
          <w:tab w:val="left" w:pos="990"/>
        </w:tabs>
        <w:spacing w:after="240"/>
        <w:ind w:left="720" w:firstLine="0"/>
        <w:contextualSpacing/>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lastRenderedPageBreak/>
        <w:t>d</w:t>
      </w:r>
      <w:r w:rsidRPr="00140F50">
        <w:rPr>
          <w:rFonts w:ascii="Times New Roman" w:eastAsia="Times New Roman" w:hAnsi="Times New Roman"/>
          <w:sz w:val="24"/>
          <w:szCs w:val="24"/>
          <w:lang w:val="en-CA" w:eastAsia="en-CA"/>
        </w:rPr>
        <w:t xml:space="preserve">eprivation caused by the prohibited act, which may consist in actual loss or </w:t>
      </w:r>
      <w:r>
        <w:rPr>
          <w:rFonts w:ascii="Times New Roman" w:eastAsia="Times New Roman" w:hAnsi="Times New Roman"/>
          <w:sz w:val="24"/>
          <w:szCs w:val="24"/>
          <w:lang w:val="en-CA" w:eastAsia="en-CA"/>
        </w:rPr>
        <w:t xml:space="preserve">the </w:t>
      </w:r>
      <w:r w:rsidRPr="00140F50">
        <w:rPr>
          <w:rFonts w:ascii="Times New Roman" w:eastAsia="Times New Roman" w:hAnsi="Times New Roman"/>
          <w:sz w:val="24"/>
          <w:szCs w:val="24"/>
          <w:lang w:val="en-CA" w:eastAsia="en-CA"/>
        </w:rPr>
        <w:t xml:space="preserve">placing </w:t>
      </w:r>
      <w:r>
        <w:rPr>
          <w:rFonts w:ascii="Times New Roman" w:eastAsia="Times New Roman" w:hAnsi="Times New Roman"/>
          <w:sz w:val="24"/>
          <w:szCs w:val="24"/>
          <w:lang w:val="en-CA" w:eastAsia="en-CA"/>
        </w:rPr>
        <w:t xml:space="preserve">of </w:t>
      </w:r>
      <w:r w:rsidRPr="00140F50">
        <w:rPr>
          <w:rFonts w:ascii="Times New Roman" w:eastAsia="Times New Roman" w:hAnsi="Times New Roman"/>
          <w:sz w:val="24"/>
          <w:szCs w:val="24"/>
          <w:lang w:val="en-CA" w:eastAsia="en-CA"/>
        </w:rPr>
        <w:t>the victim’s pecuniary interests at risk</w:t>
      </w:r>
      <w:r>
        <w:rPr>
          <w:rFonts w:ascii="Times New Roman" w:eastAsia="Times New Roman" w:hAnsi="Times New Roman"/>
          <w:sz w:val="24"/>
          <w:szCs w:val="24"/>
          <w:lang w:val="en-CA" w:eastAsia="en-CA"/>
        </w:rPr>
        <w:t>.</w:t>
      </w:r>
      <w:r w:rsidRPr="00140F50">
        <w:rPr>
          <w:rFonts w:ascii="Times New Roman" w:eastAsia="Times New Roman" w:hAnsi="Times New Roman"/>
          <w:sz w:val="24"/>
          <w:szCs w:val="24"/>
          <w:lang w:val="en-CA" w:eastAsia="en-CA"/>
        </w:rPr>
        <w:t xml:space="preserve"> </w:t>
      </w:r>
    </w:p>
    <w:p w:rsidR="00281D3F" w:rsidRDefault="00281D3F" w:rsidP="00D90A50">
      <w:pPr>
        <w:pStyle w:val="ListParagraph"/>
        <w:widowControl w:val="0"/>
        <w:spacing w:after="240"/>
        <w:ind w:left="990"/>
        <w:contextualSpacing/>
        <w:rPr>
          <w:rFonts w:ascii="Times New Roman" w:eastAsia="Times New Roman" w:hAnsi="Times New Roman"/>
          <w:sz w:val="24"/>
          <w:szCs w:val="24"/>
          <w:lang w:val="en-CA" w:eastAsia="en-CA"/>
        </w:rPr>
      </w:pPr>
    </w:p>
    <w:p w:rsidR="00281D3F" w:rsidRPr="00D90A50" w:rsidRDefault="00281D3F" w:rsidP="00D90A50">
      <w:pPr>
        <w:widowControl w:val="0"/>
        <w:spacing w:after="240"/>
        <w:contextualSpacing/>
        <w:rPr>
          <w:szCs w:val="24"/>
        </w:rPr>
      </w:pPr>
      <w:r w:rsidRPr="00D90A50">
        <w:rPr>
          <w:szCs w:val="24"/>
        </w:rPr>
        <w:t>(</w:t>
      </w:r>
      <w:r w:rsidRPr="00D90A50">
        <w:rPr>
          <w:i/>
          <w:szCs w:val="24"/>
        </w:rPr>
        <w:t>R.</w:t>
      </w:r>
      <w:r w:rsidRPr="00D90A50">
        <w:rPr>
          <w:szCs w:val="24"/>
        </w:rPr>
        <w:t xml:space="preserve"> </w:t>
      </w:r>
      <w:r w:rsidRPr="00D90A50">
        <w:rPr>
          <w:i/>
          <w:szCs w:val="24"/>
        </w:rPr>
        <w:t>v. Théroux</w:t>
      </w:r>
      <w:r w:rsidRPr="00D90A50">
        <w:rPr>
          <w:szCs w:val="24"/>
        </w:rPr>
        <w:t xml:space="preserve">, [1993] 2 S.C.R. 5, at p. 20; </w:t>
      </w:r>
      <w:r w:rsidRPr="00D90A50">
        <w:rPr>
          <w:i/>
          <w:szCs w:val="24"/>
        </w:rPr>
        <w:t>R. v. Zlatic</w:t>
      </w:r>
      <w:r w:rsidRPr="00D90A50">
        <w:rPr>
          <w:szCs w:val="24"/>
        </w:rPr>
        <w:t>, [1993] 2 S.C.R. 29, at p. 43)</w:t>
      </w:r>
    </w:p>
    <w:p w:rsidR="00281D3F" w:rsidRPr="000F7611" w:rsidRDefault="00281D3F" w:rsidP="00D90A50">
      <w:pPr>
        <w:pStyle w:val="ParaNoNdepar-AltN"/>
        <w:widowControl w:val="0"/>
        <w:rPr>
          <w:rFonts w:cs="Times New Roman"/>
        </w:rPr>
      </w:pPr>
      <w:r w:rsidRPr="000F7611">
        <w:rPr>
          <w:rFonts w:cs="Times New Roman"/>
        </w:rPr>
        <w:t xml:space="preserve">The issue here concerns the aspect of deprivation. Mr. Riesberry contends that there was no evidence that his fraudulent conduct caused any risk of deprivation or that at least any such risk was too remote from his conduct. He submits that the Crown did not establish that anyone betting on the race had been induced to bet by, or would not have bet but for, his fraudulent conduct. </w:t>
      </w:r>
    </w:p>
    <w:p w:rsidR="00281D3F" w:rsidRPr="000F7611" w:rsidRDefault="00281D3F" w:rsidP="00D90A50">
      <w:pPr>
        <w:pStyle w:val="ParaNoNdepar-AltN"/>
        <w:widowControl w:val="0"/>
        <w:rPr>
          <w:rFonts w:cs="Times New Roman"/>
        </w:rPr>
      </w:pPr>
      <w:r w:rsidRPr="000F7611">
        <w:rPr>
          <w:rFonts w:cs="Times New Roman"/>
        </w:rPr>
        <w:t xml:space="preserve">I cannot accept this position. Contrary to Mr. Riesberry’s contention, proof of fraud does not always depend on showing that the alleged victim </w:t>
      </w:r>
      <w:r w:rsidRPr="00A6159D">
        <w:rPr>
          <w:rFonts w:cs="Times New Roman"/>
          <w:i/>
        </w:rPr>
        <w:t>relied</w:t>
      </w:r>
      <w:r w:rsidRPr="000F7611">
        <w:rPr>
          <w:rFonts w:cs="Times New Roman"/>
        </w:rPr>
        <w:t xml:space="preserve"> on the fraudulent conduct or was </w:t>
      </w:r>
      <w:r w:rsidRPr="00A6159D">
        <w:rPr>
          <w:rFonts w:cs="Times New Roman"/>
          <w:i/>
        </w:rPr>
        <w:t>induced</w:t>
      </w:r>
      <w:r w:rsidRPr="000F7611">
        <w:rPr>
          <w:rFonts w:cs="Times New Roman"/>
        </w:rPr>
        <w:t xml:space="preserve"> by it to act to his or her detriment. What is required in all cases is proof that there is a sufficient causal connection between the fraudulent act and the victim’s risk of deprivation. In some cases, this causal link may be established by showing that the victim of the fraud acted to his or her detriment as a result of relying on or being induced to act by the accused’s fraudulent conduct. But this is not the only way the causal link may be established. </w:t>
      </w:r>
    </w:p>
    <w:p w:rsidR="00281D3F" w:rsidRPr="000F7611" w:rsidRDefault="00281D3F" w:rsidP="00D90A50">
      <w:pPr>
        <w:pStyle w:val="ParaNoNdepar-AltN"/>
        <w:widowControl w:val="0"/>
        <w:rPr>
          <w:rFonts w:cs="Times New Roman"/>
        </w:rPr>
      </w:pPr>
      <w:r w:rsidRPr="000F7611">
        <w:rPr>
          <w:rFonts w:cs="Times New Roman"/>
        </w:rPr>
        <w:t xml:space="preserve">We should first be clear about what Mr. Riesberry’s fraudulent conduct was before turning to the question of whether it caused a risk of deprivation. Fraudulent conduct for the purposes of a fraud prosecution is not limited to deception, such as deception by misrepresentations of fact. Rather, fraud requires proof of “deceit, falsehood or </w:t>
      </w:r>
      <w:r w:rsidRPr="000F7611">
        <w:rPr>
          <w:rFonts w:cs="Times New Roman"/>
          <w:u w:val="single"/>
        </w:rPr>
        <w:t>other fraudulent means</w:t>
      </w:r>
      <w:r w:rsidRPr="000F7611">
        <w:rPr>
          <w:rFonts w:cs="Times New Roman"/>
        </w:rPr>
        <w:t>”</w:t>
      </w:r>
      <w:r>
        <w:rPr>
          <w:rFonts w:cs="Times New Roman"/>
        </w:rPr>
        <w:t>: s. 380(1)</w:t>
      </w:r>
      <w:r w:rsidRPr="000F7611">
        <w:rPr>
          <w:rFonts w:cs="Times New Roman"/>
        </w:rPr>
        <w:t>. The term “other fraudulent means” encompasses “all other means which can prope</w:t>
      </w:r>
      <w:r w:rsidR="00D90A50">
        <w:rPr>
          <w:rFonts w:cs="Times New Roman"/>
        </w:rPr>
        <w:t>rly be stigmatized as dishonest</w:t>
      </w:r>
      <w:r w:rsidRPr="000F7611">
        <w:rPr>
          <w:rFonts w:cs="Times New Roman"/>
        </w:rPr>
        <w:t>”</w:t>
      </w:r>
      <w:r w:rsidR="00D90A50">
        <w:rPr>
          <w:rFonts w:cs="Times New Roman"/>
        </w:rPr>
        <w:t>:</w:t>
      </w:r>
      <w:r w:rsidRPr="000F7611">
        <w:rPr>
          <w:rFonts w:cs="Times New Roman"/>
        </w:rPr>
        <w:t xml:space="preserve"> </w:t>
      </w:r>
      <w:r w:rsidRPr="000F7611">
        <w:rPr>
          <w:rFonts w:cs="Times New Roman"/>
          <w:i/>
        </w:rPr>
        <w:t>R. v. Olan</w:t>
      </w:r>
      <w:r w:rsidRPr="000F7611">
        <w:rPr>
          <w:rFonts w:cs="Times New Roman"/>
        </w:rPr>
        <w:t>, [1978] 2 S.C.R. 1175</w:t>
      </w:r>
      <w:r>
        <w:rPr>
          <w:rFonts w:cs="Times New Roman"/>
        </w:rPr>
        <w:t>,</w:t>
      </w:r>
      <w:r w:rsidRPr="000F7611">
        <w:rPr>
          <w:rFonts w:cs="Times New Roman"/>
        </w:rPr>
        <w:t xml:space="preserve"> at </w:t>
      </w:r>
      <w:r>
        <w:rPr>
          <w:rFonts w:cs="Times New Roman"/>
        </w:rPr>
        <w:t xml:space="preserve">p. </w:t>
      </w:r>
      <w:r w:rsidRPr="000F7611">
        <w:rPr>
          <w:rFonts w:cs="Times New Roman"/>
        </w:rPr>
        <w:t xml:space="preserve">1180. The House of Lords made the same point in </w:t>
      </w:r>
      <w:r w:rsidRPr="000F7611">
        <w:rPr>
          <w:rFonts w:cs="Times New Roman"/>
          <w:i/>
        </w:rPr>
        <w:lastRenderedPageBreak/>
        <w:t>Scott v. Metropolitan Police Commissioner</w:t>
      </w:r>
      <w:r w:rsidRPr="000F7611">
        <w:rPr>
          <w:rFonts w:cs="Times New Roman"/>
        </w:rPr>
        <w:t xml:space="preserve">, [1975] A.C. 819, a case approved by the Court in </w:t>
      </w:r>
      <w:r w:rsidRPr="000F7611">
        <w:rPr>
          <w:rFonts w:cs="Times New Roman"/>
          <w:i/>
        </w:rPr>
        <w:t>Olan</w:t>
      </w:r>
      <w:r w:rsidRPr="000F7611">
        <w:rPr>
          <w:rFonts w:cs="Times New Roman"/>
        </w:rPr>
        <w:t xml:space="preserve"> (p. 1181). Fraud, according to Viscount Dilhorne in </w:t>
      </w:r>
      <w:r w:rsidRPr="000F7611">
        <w:rPr>
          <w:rFonts w:cs="Times New Roman"/>
          <w:i/>
        </w:rPr>
        <w:t>Scott</w:t>
      </w:r>
      <w:r w:rsidRPr="000F7611">
        <w:rPr>
          <w:rFonts w:cs="Times New Roman"/>
        </w:rPr>
        <w:t xml:space="preserve">, may consist of depriving “a person dishonestly of something which is his or of something to which he is or would or might but for the perpetration of the fraud be entitled”: p. 839.  And as Lord Diplock said, the fraudulent means “need not involve fraudulent misrepresentation such as is needed to constitute the civil tort of deceit”: </w:t>
      </w:r>
      <w:r w:rsidRPr="00A6159D">
        <w:rPr>
          <w:rFonts w:cs="Times New Roman"/>
          <w:i/>
        </w:rPr>
        <w:t>ibid.</w:t>
      </w:r>
      <w:r>
        <w:rPr>
          <w:rFonts w:cs="Times New Roman"/>
        </w:rPr>
        <w:t xml:space="preserve">, at </w:t>
      </w:r>
      <w:r w:rsidRPr="000F7611">
        <w:rPr>
          <w:rFonts w:cs="Times New Roman"/>
        </w:rPr>
        <w:t xml:space="preserve">p. 841. </w:t>
      </w:r>
    </w:p>
    <w:p w:rsidR="00281D3F" w:rsidRPr="000F7611" w:rsidRDefault="00281D3F" w:rsidP="00D90A50">
      <w:pPr>
        <w:pStyle w:val="ParaNoNdepar-AltN"/>
        <w:widowControl w:val="0"/>
        <w:rPr>
          <w:rFonts w:cs="Times New Roman"/>
        </w:rPr>
      </w:pPr>
      <w:r w:rsidRPr="000F7611">
        <w:rPr>
          <w:rFonts w:cs="Times New Roman"/>
        </w:rPr>
        <w:t xml:space="preserve">It follows that where the alleged fraudulent act is not in the nature of deceit or falsehood, such as a misrepresentation of fact, the causal link between the dishonest conduct and the deprivation may not depend on showing that the victim relied on or was induced to act by the fraudulent act. This is such a case. </w:t>
      </w:r>
    </w:p>
    <w:p w:rsidR="00281D3F" w:rsidRPr="000F7611" w:rsidRDefault="00281D3F" w:rsidP="00D90A50">
      <w:pPr>
        <w:pStyle w:val="ParaNoNdepar-AltN"/>
        <w:widowControl w:val="0"/>
        <w:rPr>
          <w:rFonts w:cs="Times New Roman"/>
        </w:rPr>
      </w:pPr>
      <w:r w:rsidRPr="000F7611">
        <w:rPr>
          <w:rFonts w:cs="Times New Roman"/>
        </w:rPr>
        <w:t xml:space="preserve">Mr. Riesberry injected and attempted to inject </w:t>
      </w:r>
      <w:r>
        <w:rPr>
          <w:rFonts w:cs="Times New Roman"/>
        </w:rPr>
        <w:t>the</w:t>
      </w:r>
      <w:r w:rsidRPr="000F7611">
        <w:rPr>
          <w:rFonts w:cs="Times New Roman"/>
        </w:rPr>
        <w:t xml:space="preserve"> racehorses with performance</w:t>
      </w:r>
      <w:r w:rsidR="007A460C">
        <w:rPr>
          <w:rFonts w:cs="Times New Roman"/>
        </w:rPr>
        <w:t>-</w:t>
      </w:r>
      <w:r w:rsidRPr="000F7611">
        <w:rPr>
          <w:rFonts w:cs="Times New Roman"/>
        </w:rPr>
        <w:t xml:space="preserve">enhancing substances. The use of such drugs is prohibited and trainers such as Mr. Riesberry are prohibited even from possessing loaded syringes at a racetrack. This conduct constituted “other fraudulent means” because in the highly regulated setting in which he acted, that conduct can “properly be stigmatized as dishonest”: </w:t>
      </w:r>
      <w:r w:rsidRPr="000F7611">
        <w:rPr>
          <w:rFonts w:cs="Times New Roman"/>
          <w:i/>
        </w:rPr>
        <w:t>Olan</w:t>
      </w:r>
      <w:r>
        <w:rPr>
          <w:rFonts w:cs="Times New Roman"/>
        </w:rPr>
        <w:t>,</w:t>
      </w:r>
      <w:r w:rsidRPr="000F7611">
        <w:rPr>
          <w:rFonts w:cs="Times New Roman"/>
          <w:i/>
        </w:rPr>
        <w:t xml:space="preserve"> </w:t>
      </w:r>
      <w:r w:rsidRPr="000F7611">
        <w:rPr>
          <w:rFonts w:cs="Times New Roman"/>
        </w:rPr>
        <w:t xml:space="preserve">at p. 1180. He carried out these dishonest acts for the purpose of affecting the outcome of two horse races on which members of the public placed bets.  His dishonest acts, therefore, were intended to and </w:t>
      </w:r>
      <w:r>
        <w:rPr>
          <w:rFonts w:cs="Times New Roman"/>
        </w:rPr>
        <w:t xml:space="preserve">in one case actually </w:t>
      </w:r>
      <w:r w:rsidRPr="000F7611">
        <w:rPr>
          <w:rFonts w:cs="Times New Roman"/>
        </w:rPr>
        <w:t xml:space="preserve">did result in the possibility that a horse that might otherwise have won would not. The conduct therefore caused a risk of deprivation to the betting public: it created the risk of betting on a horse that, but for Mr. Riesberry’s dishonest acts, might have won and led to a payout to the persons betting on that horse. To return to Viscount Dilhorne’s words in </w:t>
      </w:r>
      <w:r w:rsidRPr="000F7611">
        <w:rPr>
          <w:rFonts w:cs="Times New Roman"/>
          <w:i/>
        </w:rPr>
        <w:t>Scott</w:t>
      </w:r>
      <w:r w:rsidRPr="000F7611">
        <w:rPr>
          <w:rFonts w:cs="Times New Roman"/>
        </w:rPr>
        <w:t xml:space="preserve">, Mr. </w:t>
      </w:r>
      <w:r w:rsidRPr="000F7611">
        <w:rPr>
          <w:rFonts w:cs="Times New Roman"/>
        </w:rPr>
        <w:lastRenderedPageBreak/>
        <w:t xml:space="preserve">Riesberry’s dishonest conduct created a risk that bettors would be deprived dishonestly of something which, but for the dishonest act, they might have obtained. </w:t>
      </w:r>
    </w:p>
    <w:p w:rsidR="00281D3F" w:rsidRPr="000F7611" w:rsidRDefault="00281D3F" w:rsidP="00D90A50">
      <w:pPr>
        <w:pStyle w:val="ParaNoNdepar-AltN"/>
        <w:widowControl w:val="0"/>
        <w:rPr>
          <w:rFonts w:cs="Times New Roman"/>
        </w:rPr>
      </w:pPr>
      <w:r w:rsidRPr="000F7611">
        <w:rPr>
          <w:rFonts w:cs="Times New Roman"/>
        </w:rPr>
        <w:t xml:space="preserve">There is a direct causal relationship between Mr. Riesberry’s dishonest acts and the risk of financial deprivation to the betting public. Simply put, a rigged race creates a risk of prejudice to the economic interests of bettors. Provided that </w:t>
      </w:r>
      <w:r>
        <w:rPr>
          <w:rFonts w:cs="Times New Roman"/>
        </w:rPr>
        <w:t xml:space="preserve">a </w:t>
      </w:r>
      <w:r w:rsidRPr="000F7611">
        <w:rPr>
          <w:rFonts w:cs="Times New Roman"/>
        </w:rPr>
        <w:t xml:space="preserve">causal link exists, the absence of inducement or reliance is irrelevant. I agree with the Court of Appeal that Mr. Riesberry’s reliance on </w:t>
      </w:r>
      <w:r w:rsidRPr="000F7611">
        <w:rPr>
          <w:rFonts w:cs="Times New Roman"/>
          <w:i/>
        </w:rPr>
        <w:t>V</w:t>
      </w:r>
      <w:r w:rsidRPr="000F7611">
        <w:rPr>
          <w:rFonts w:cs="Times New Roman"/>
          <w:i/>
          <w:lang w:val="en-US"/>
        </w:rPr>
        <w:t>é</w:t>
      </w:r>
      <w:r w:rsidRPr="000F7611">
        <w:rPr>
          <w:rFonts w:cs="Times New Roman"/>
          <w:i/>
        </w:rPr>
        <w:t>zina and Côté v. The Queen</w:t>
      </w:r>
      <w:r w:rsidRPr="000F7611">
        <w:rPr>
          <w:rFonts w:cs="Times New Roman"/>
        </w:rPr>
        <w:t>, [1986] 1 S.C.R. 2</w:t>
      </w:r>
      <w:r>
        <w:rPr>
          <w:rFonts w:cs="Times New Roman"/>
        </w:rPr>
        <w:t>,</w:t>
      </w:r>
      <w:r w:rsidRPr="000F7611">
        <w:rPr>
          <w:rFonts w:cs="Times New Roman"/>
        </w:rPr>
        <w:t xml:space="preserve"> is misplaced. That case made it clear that </w:t>
      </w:r>
    </w:p>
    <w:p w:rsidR="00281D3F" w:rsidRPr="000F7611" w:rsidRDefault="00281D3F" w:rsidP="00D90A50">
      <w:pPr>
        <w:pStyle w:val="Citation-AltC"/>
        <w:widowControl w:val="0"/>
        <w:ind w:firstLine="274"/>
      </w:pPr>
      <w:r>
        <w:t>[f]</w:t>
      </w:r>
      <w:r w:rsidRPr="000F7611">
        <w:t xml:space="preserve">raud consists of being dishonest for the purpose of obtaining an advantage and which results in prejudice or a risk of prejudice to someone’s </w:t>
      </w:r>
      <w:r w:rsidR="00D90A50">
        <w:t>“</w:t>
      </w:r>
      <w:r w:rsidRPr="000F7611">
        <w:t>property, money or valuable security</w:t>
      </w:r>
      <w:r w:rsidR="00D90A50">
        <w:t>”</w:t>
      </w:r>
      <w:r w:rsidRPr="000F7611">
        <w:t>. There is no need to target a victim</w:t>
      </w:r>
      <w:r>
        <w:t xml:space="preserve"> . . . </w:t>
      </w:r>
      <w:r w:rsidRPr="000F7611">
        <w:t xml:space="preserve">and the victim may not be ascertained. </w:t>
      </w:r>
      <w:r>
        <w:t>[</w:t>
      </w:r>
      <w:r w:rsidRPr="000F7611">
        <w:t>p. 19</w:t>
      </w:r>
      <w:r>
        <w:t>]</w:t>
      </w:r>
      <w:r w:rsidRPr="000F7611">
        <w:t xml:space="preserve"> </w:t>
      </w:r>
    </w:p>
    <w:p w:rsidR="00281D3F" w:rsidRPr="000F7611" w:rsidRDefault="00281D3F" w:rsidP="00D90A50">
      <w:pPr>
        <w:pStyle w:val="ParaNoNdepar-AltN"/>
        <w:widowControl w:val="0"/>
        <w:rPr>
          <w:rFonts w:cs="Times New Roman"/>
        </w:rPr>
      </w:pPr>
      <w:r w:rsidRPr="000F7611">
        <w:rPr>
          <w:rFonts w:cs="Times New Roman"/>
        </w:rPr>
        <w:t>This statement covers what Mr. Riesberry did.</w:t>
      </w:r>
    </w:p>
    <w:p w:rsidR="00281D3F" w:rsidRPr="000F7611" w:rsidRDefault="00281D3F" w:rsidP="00D90A50">
      <w:pPr>
        <w:pStyle w:val="ParaNoNdepar-AltN"/>
        <w:widowControl w:val="0"/>
        <w:rPr>
          <w:rFonts w:cs="Times New Roman"/>
        </w:rPr>
      </w:pPr>
      <w:r w:rsidRPr="000F7611">
        <w:rPr>
          <w:rFonts w:cs="Times New Roman"/>
        </w:rPr>
        <w:t>I conclude that the trial judge erred in law by finding that the betting public was not put at risk of deprivation by Mr. Riesberry’s dishonest acts and that any risk of deprivation was too remote.</w:t>
      </w:r>
    </w:p>
    <w:p w:rsidR="00281D3F" w:rsidRPr="000F7611" w:rsidRDefault="00281D3F" w:rsidP="00D90A50">
      <w:pPr>
        <w:pStyle w:val="Title3LevelTitre3Niveau"/>
        <w:widowControl w:val="0"/>
        <w:rPr>
          <w:rFonts w:cs="Times New Roman"/>
        </w:rPr>
      </w:pPr>
      <w:r>
        <w:rPr>
          <w:rFonts w:cs="Times New Roman"/>
        </w:rPr>
        <w:t>Was the Court of Appeal W</w:t>
      </w:r>
      <w:r w:rsidRPr="000F7611">
        <w:rPr>
          <w:rFonts w:cs="Times New Roman"/>
        </w:rPr>
        <w:t xml:space="preserve">rong to </w:t>
      </w:r>
      <w:r>
        <w:rPr>
          <w:rFonts w:cs="Times New Roman"/>
        </w:rPr>
        <w:t>Enter C</w:t>
      </w:r>
      <w:r w:rsidRPr="000F7611">
        <w:rPr>
          <w:rFonts w:cs="Times New Roman"/>
        </w:rPr>
        <w:t>onvictions</w:t>
      </w:r>
      <w:r>
        <w:rPr>
          <w:rFonts w:cs="Times New Roman"/>
        </w:rPr>
        <w:t xml:space="preserve"> Rather T</w:t>
      </w:r>
      <w:r w:rsidRPr="000F7611">
        <w:rPr>
          <w:rFonts w:cs="Times New Roman"/>
        </w:rPr>
        <w:t xml:space="preserve">han </w:t>
      </w:r>
      <w:r>
        <w:rPr>
          <w:rFonts w:cs="Times New Roman"/>
        </w:rPr>
        <w:t>O</w:t>
      </w:r>
      <w:r w:rsidRPr="000F7611">
        <w:rPr>
          <w:rFonts w:cs="Times New Roman"/>
        </w:rPr>
        <w:t xml:space="preserve">rder </w:t>
      </w:r>
      <w:r>
        <w:rPr>
          <w:rFonts w:cs="Times New Roman"/>
        </w:rPr>
        <w:t>a N</w:t>
      </w:r>
      <w:r w:rsidRPr="000F7611">
        <w:rPr>
          <w:rFonts w:cs="Times New Roman"/>
        </w:rPr>
        <w:t xml:space="preserve">ew </w:t>
      </w:r>
      <w:r>
        <w:rPr>
          <w:rFonts w:cs="Times New Roman"/>
        </w:rPr>
        <w:t>T</w:t>
      </w:r>
      <w:r w:rsidRPr="000F7611">
        <w:rPr>
          <w:rFonts w:cs="Times New Roman"/>
        </w:rPr>
        <w:t>rial?</w:t>
      </w:r>
    </w:p>
    <w:p w:rsidR="00281D3F" w:rsidRPr="000F7611" w:rsidRDefault="00281D3F" w:rsidP="00D90A50">
      <w:pPr>
        <w:pStyle w:val="ParaNoNdepar-AltN"/>
        <w:widowControl w:val="0"/>
        <w:rPr>
          <w:rFonts w:cs="Times New Roman"/>
        </w:rPr>
      </w:pPr>
      <w:r w:rsidRPr="000F7611">
        <w:rPr>
          <w:rFonts w:cs="Times New Roman"/>
        </w:rPr>
        <w:t xml:space="preserve">Mr. Riesberry submits that the Court of Appeal erred by entering convictions because the trial judge had not made all of the necessary findings of fact to support those convictions: see </w:t>
      </w:r>
      <w:r w:rsidRPr="000F7611">
        <w:rPr>
          <w:rFonts w:cs="Times New Roman"/>
          <w:i/>
        </w:rPr>
        <w:t>R. v. Cassidy</w:t>
      </w:r>
      <w:r w:rsidRPr="000F7611">
        <w:rPr>
          <w:rFonts w:cs="Times New Roman"/>
        </w:rPr>
        <w:t>, [1989] 2 S.C.R. 345</w:t>
      </w:r>
      <w:r>
        <w:rPr>
          <w:rFonts w:cs="Times New Roman"/>
        </w:rPr>
        <w:t>,</w:t>
      </w:r>
      <w:r w:rsidRPr="000F7611">
        <w:rPr>
          <w:rFonts w:cs="Times New Roman"/>
        </w:rPr>
        <w:t xml:space="preserve"> at </w:t>
      </w:r>
      <w:r>
        <w:rPr>
          <w:rFonts w:cs="Times New Roman"/>
        </w:rPr>
        <w:t>pp. 354-</w:t>
      </w:r>
      <w:r w:rsidRPr="000F7611">
        <w:rPr>
          <w:rFonts w:cs="Times New Roman"/>
        </w:rPr>
        <w:t xml:space="preserve">55. These submissions focus on what Mr. Riesberry contends is the absence of the necessary </w:t>
      </w:r>
      <w:r w:rsidRPr="000F7611">
        <w:rPr>
          <w:rFonts w:cs="Times New Roman"/>
        </w:rPr>
        <w:lastRenderedPageBreak/>
        <w:t xml:space="preserve">findings of fact in relation to </w:t>
      </w:r>
      <w:r>
        <w:rPr>
          <w:rFonts w:cs="Times New Roman"/>
        </w:rPr>
        <w:t xml:space="preserve">the </w:t>
      </w:r>
      <w:r w:rsidRPr="000F7611">
        <w:rPr>
          <w:rFonts w:cs="Times New Roman"/>
        </w:rPr>
        <w:t xml:space="preserve">mental element or </w:t>
      </w:r>
      <w:r w:rsidRPr="000F7611">
        <w:rPr>
          <w:rFonts w:cs="Times New Roman"/>
          <w:i/>
        </w:rPr>
        <w:t xml:space="preserve">mens rea </w:t>
      </w:r>
      <w:r w:rsidRPr="000F7611">
        <w:rPr>
          <w:rFonts w:cs="Times New Roman"/>
        </w:rPr>
        <w:t xml:space="preserve">of fraud. </w:t>
      </w:r>
    </w:p>
    <w:p w:rsidR="00281D3F" w:rsidRPr="000F7611" w:rsidRDefault="00281D3F" w:rsidP="00D90A50">
      <w:pPr>
        <w:pStyle w:val="ParaNoNdepar-AltN"/>
        <w:widowControl w:val="0"/>
        <w:rPr>
          <w:rFonts w:cs="Times New Roman"/>
        </w:rPr>
      </w:pPr>
      <w:r w:rsidRPr="000F7611">
        <w:rPr>
          <w:rFonts w:cs="Times New Roman"/>
        </w:rPr>
        <w:t xml:space="preserve">The mental element of fraud consists of two states of mind: </w:t>
      </w:r>
    </w:p>
    <w:p w:rsidR="00281D3F" w:rsidRPr="000F7611" w:rsidRDefault="00281D3F" w:rsidP="00D90A50">
      <w:pPr>
        <w:pStyle w:val="Citation-AltC"/>
        <w:widowControl w:val="0"/>
        <w:numPr>
          <w:ilvl w:val="6"/>
          <w:numId w:val="1"/>
        </w:numPr>
        <w:ind w:left="1530"/>
      </w:pPr>
      <w:r>
        <w:t>s</w:t>
      </w:r>
      <w:r w:rsidRPr="000F7611">
        <w:t xml:space="preserve">ubjective knowledge </w:t>
      </w:r>
      <w:r>
        <w:t>of</w:t>
      </w:r>
      <w:r w:rsidRPr="000F7611">
        <w:t xml:space="preserve"> the prohibited act; and</w:t>
      </w:r>
    </w:p>
    <w:p w:rsidR="00281D3F" w:rsidRPr="000F7611" w:rsidRDefault="00281D3F" w:rsidP="00D90A50">
      <w:pPr>
        <w:pStyle w:val="Citation-AltC"/>
        <w:widowControl w:val="0"/>
        <w:ind w:left="2520"/>
      </w:pPr>
    </w:p>
    <w:p w:rsidR="00281D3F" w:rsidRDefault="00281D3F" w:rsidP="00D90A50">
      <w:pPr>
        <w:pStyle w:val="Citation-AltC"/>
        <w:widowControl w:val="0"/>
        <w:numPr>
          <w:ilvl w:val="6"/>
          <w:numId w:val="1"/>
        </w:numPr>
        <w:ind w:left="1170" w:firstLine="0"/>
      </w:pPr>
      <w:r>
        <w:t xml:space="preserve">subjective </w:t>
      </w:r>
      <w:r w:rsidRPr="000F7611">
        <w:t>knowledge that the</w:t>
      </w:r>
      <w:r>
        <w:t xml:space="preserve"> prohibited act could have as a </w:t>
      </w:r>
      <w:r w:rsidRPr="000F7611">
        <w:t xml:space="preserve">consequence the deprivation of another </w:t>
      </w:r>
      <w:r>
        <w:t>(</w:t>
      </w:r>
      <w:r w:rsidRPr="000F7611">
        <w:t>which deprivation may consist in knowledge that the victim</w:t>
      </w:r>
      <w:r>
        <w:t>’</w:t>
      </w:r>
      <w:r w:rsidRPr="000F7611">
        <w:t>s pecu</w:t>
      </w:r>
      <w:r>
        <w:t>niary interests are put at risk).</w:t>
      </w:r>
    </w:p>
    <w:p w:rsidR="00281D3F" w:rsidRDefault="00281D3F" w:rsidP="00D90A50">
      <w:pPr>
        <w:pStyle w:val="Citation-AltC"/>
        <w:widowControl w:val="0"/>
        <w:ind w:left="1530"/>
        <w:rPr>
          <w:i/>
        </w:rPr>
      </w:pPr>
    </w:p>
    <w:p w:rsidR="00281D3F" w:rsidRPr="000F7611" w:rsidRDefault="00281D3F" w:rsidP="00D90A50">
      <w:pPr>
        <w:pStyle w:val="Citation-AltC"/>
        <w:widowControl w:val="0"/>
        <w:ind w:left="0"/>
      </w:pPr>
      <w:r w:rsidRPr="00D90A50">
        <w:t>(</w:t>
      </w:r>
      <w:r w:rsidRPr="000F7611">
        <w:rPr>
          <w:i/>
        </w:rPr>
        <w:t>Th</w:t>
      </w:r>
      <w:r>
        <w:rPr>
          <w:i/>
        </w:rPr>
        <w:t>é</w:t>
      </w:r>
      <w:r w:rsidRPr="000F7611">
        <w:rPr>
          <w:i/>
        </w:rPr>
        <w:t>roux</w:t>
      </w:r>
      <w:r>
        <w:t>,</w:t>
      </w:r>
      <w:r w:rsidRPr="000F7611">
        <w:rPr>
          <w:i/>
        </w:rPr>
        <w:t xml:space="preserve"> </w:t>
      </w:r>
      <w:r w:rsidRPr="000F7611">
        <w:t>at p.</w:t>
      </w:r>
      <w:r>
        <w:t xml:space="preserve"> 20</w:t>
      </w:r>
      <w:r w:rsidRPr="000F7611">
        <w:t xml:space="preserve">; </w:t>
      </w:r>
      <w:r w:rsidRPr="000F7611">
        <w:rPr>
          <w:i/>
        </w:rPr>
        <w:t>Zlatic</w:t>
      </w:r>
      <w:r>
        <w:t>,</w:t>
      </w:r>
      <w:r w:rsidRPr="000F7611">
        <w:rPr>
          <w:i/>
        </w:rPr>
        <w:t xml:space="preserve"> </w:t>
      </w:r>
      <w:r w:rsidRPr="000F7611">
        <w:t xml:space="preserve">at p. </w:t>
      </w:r>
      <w:r>
        <w:t>43)</w:t>
      </w:r>
    </w:p>
    <w:p w:rsidR="00281D3F" w:rsidRPr="000F7611" w:rsidRDefault="00281D3F" w:rsidP="00D90A50">
      <w:pPr>
        <w:pStyle w:val="ParaNoNdepar-AltN"/>
        <w:widowControl w:val="0"/>
        <w:rPr>
          <w:rFonts w:cs="Times New Roman"/>
        </w:rPr>
      </w:pPr>
      <w:r w:rsidRPr="000F7611">
        <w:rPr>
          <w:rFonts w:cs="Times New Roman"/>
        </w:rPr>
        <w:t xml:space="preserve">Mr. Riesberry’s position is that the </w:t>
      </w:r>
      <w:r>
        <w:rPr>
          <w:rFonts w:cs="Times New Roman"/>
        </w:rPr>
        <w:t xml:space="preserve">trial </w:t>
      </w:r>
      <w:r w:rsidRPr="000F7611">
        <w:rPr>
          <w:rFonts w:cs="Times New Roman"/>
        </w:rPr>
        <w:t xml:space="preserve">judge, having dismissed the fraud charges on the basis of no proof of the </w:t>
      </w:r>
      <w:r w:rsidRPr="000F7611">
        <w:rPr>
          <w:rFonts w:cs="Times New Roman"/>
          <w:i/>
        </w:rPr>
        <w:t>actus reus</w:t>
      </w:r>
      <w:r w:rsidRPr="000F7611">
        <w:rPr>
          <w:rFonts w:cs="Times New Roman"/>
        </w:rPr>
        <w:t xml:space="preserve">, did not go on to make findings in relation to these two aspects of the required </w:t>
      </w:r>
      <w:r w:rsidRPr="000F7611">
        <w:rPr>
          <w:rFonts w:cs="Times New Roman"/>
          <w:i/>
        </w:rPr>
        <w:t>mens rea</w:t>
      </w:r>
      <w:r w:rsidRPr="000F7611">
        <w:rPr>
          <w:rFonts w:cs="Times New Roman"/>
        </w:rPr>
        <w:t xml:space="preserve">. However, I agree with the Court of Appeal that the </w:t>
      </w:r>
      <w:r>
        <w:rPr>
          <w:rFonts w:cs="Times New Roman"/>
        </w:rPr>
        <w:t xml:space="preserve">trial </w:t>
      </w:r>
      <w:r w:rsidRPr="000F7611">
        <w:rPr>
          <w:rFonts w:cs="Times New Roman"/>
        </w:rPr>
        <w:t xml:space="preserve">judge in fact did make the necessary findings. </w:t>
      </w:r>
    </w:p>
    <w:p w:rsidR="00281D3F" w:rsidRPr="000F7611" w:rsidRDefault="00281D3F" w:rsidP="00D90A50">
      <w:pPr>
        <w:pStyle w:val="ParaNoNdepar-AltN"/>
        <w:widowControl w:val="0"/>
        <w:rPr>
          <w:rFonts w:cs="Times New Roman"/>
        </w:rPr>
      </w:pPr>
      <w:r w:rsidRPr="000F7611">
        <w:rPr>
          <w:rFonts w:cs="Times New Roman"/>
        </w:rPr>
        <w:t xml:space="preserve">There can be no doubt that the trial judge found that Mr. Riesberry knew that his acts were dishonest, which is the first aspect of the </w:t>
      </w:r>
      <w:r w:rsidRPr="000F7611">
        <w:rPr>
          <w:rFonts w:cs="Times New Roman"/>
          <w:i/>
        </w:rPr>
        <w:t>mens rea</w:t>
      </w:r>
      <w:r w:rsidRPr="000F7611">
        <w:rPr>
          <w:rFonts w:cs="Times New Roman"/>
        </w:rPr>
        <w:t xml:space="preserve">. The trial judge found that his conduct was for the purpose of enhancing his horses’ performances, not for any legitimate medical purpose. As for the second aspect, the </w:t>
      </w:r>
      <w:r>
        <w:rPr>
          <w:rFonts w:cs="Times New Roman"/>
        </w:rPr>
        <w:t xml:space="preserve">trial </w:t>
      </w:r>
      <w:r w:rsidRPr="000F7611">
        <w:rPr>
          <w:rFonts w:cs="Times New Roman"/>
        </w:rPr>
        <w:t>judge held, in his analysis of the same record in the context of the cheating while playing a game charges, that Mr. Riesberry’s conduct amounted to cheating. In other words, he intended to create an unfair advantage for his horses in their races. This is a finding of fact that Mr. Riesberry knew that his dishonest conduct put bettors at risk of deprivation.  That, after all, is what cheating is.</w:t>
      </w:r>
    </w:p>
    <w:p w:rsidR="00281D3F" w:rsidRPr="000F7611" w:rsidRDefault="00281D3F" w:rsidP="00D90A50">
      <w:pPr>
        <w:pStyle w:val="Title3LevelTitre3Niveau"/>
        <w:widowControl w:val="0"/>
        <w:rPr>
          <w:rFonts w:cs="Times New Roman"/>
        </w:rPr>
      </w:pPr>
      <w:r w:rsidRPr="000F7611">
        <w:rPr>
          <w:rFonts w:cs="Times New Roman"/>
        </w:rPr>
        <w:t>Conclusion</w:t>
      </w:r>
    </w:p>
    <w:p w:rsidR="00281D3F" w:rsidRPr="000F7611" w:rsidRDefault="00281D3F" w:rsidP="00D90A50">
      <w:pPr>
        <w:pStyle w:val="ParaNoNdepar-AltN"/>
        <w:widowControl w:val="0"/>
        <w:rPr>
          <w:rFonts w:cs="Times New Roman"/>
        </w:rPr>
      </w:pPr>
      <w:r w:rsidRPr="000F7611">
        <w:rPr>
          <w:rFonts w:cs="Times New Roman"/>
        </w:rPr>
        <w:lastRenderedPageBreak/>
        <w:t>In my view, Mr. Riesberry’s submissions in relation to the fraud charges cannot be accepted.</w:t>
      </w:r>
    </w:p>
    <w:p w:rsidR="00281D3F" w:rsidRPr="000F7611" w:rsidRDefault="00281D3F" w:rsidP="00D90A50">
      <w:pPr>
        <w:pStyle w:val="Title1LevelTitre1Niveau-AltL"/>
        <w:widowControl w:val="0"/>
        <w:rPr>
          <w:rFonts w:cs="Times New Roman"/>
        </w:rPr>
      </w:pPr>
      <w:r w:rsidRPr="000F7611">
        <w:rPr>
          <w:rFonts w:cs="Times New Roman"/>
        </w:rPr>
        <w:t>Disposition</w:t>
      </w:r>
    </w:p>
    <w:p w:rsidR="00281D3F" w:rsidRPr="000F7611" w:rsidRDefault="00281D3F" w:rsidP="00D90A50">
      <w:pPr>
        <w:pStyle w:val="ParaNoNdepar-AltN"/>
        <w:widowControl w:val="0"/>
        <w:rPr>
          <w:rFonts w:cs="Times New Roman"/>
        </w:rPr>
      </w:pPr>
      <w:r w:rsidRPr="000F7611">
        <w:rPr>
          <w:rFonts w:cs="Times New Roman"/>
        </w:rPr>
        <w:t>As announced at the conclusion of the hearing of the appeal, the appeal is dismissed.</w:t>
      </w:r>
    </w:p>
    <w:p w:rsidR="009B57B3" w:rsidRPr="00CF05F7" w:rsidRDefault="00E42BDD" w:rsidP="00D90A50">
      <w:pPr>
        <w:pStyle w:val="SCCNormalDoubleSpacing"/>
        <w:widowControl w:val="0"/>
        <w:spacing w:after="480"/>
      </w:pPr>
      <w:r w:rsidRPr="00CF05F7">
        <w:tab/>
      </w:r>
      <w:r w:rsidR="00656313" w:rsidRPr="00CF05F7">
        <w:rPr>
          <w:i/>
        </w:rPr>
        <w:t>Appeal</w:t>
      </w:r>
      <w:r w:rsidRPr="00CF05F7">
        <w:rPr>
          <w:i/>
        </w:rPr>
        <w:t xml:space="preserve"> </w:t>
      </w:r>
      <w:r w:rsidR="001B7A7C" w:rsidRPr="00CF05F7">
        <w:rPr>
          <w:i/>
        </w:rPr>
        <w:t>dismissed.</w:t>
      </w:r>
    </w:p>
    <w:p w:rsidR="00324C46" w:rsidRPr="00CF05F7" w:rsidRDefault="00F4466E" w:rsidP="00D90A50">
      <w:pPr>
        <w:pStyle w:val="SCCLawFirm"/>
        <w:widowControl w:val="0"/>
        <w:spacing w:after="480"/>
      </w:pPr>
      <w:r w:rsidRPr="00CF05F7">
        <w:tab/>
        <w:t>Solicitors for the appellant: </w:t>
      </w:r>
      <w:r w:rsidR="00324C46" w:rsidRPr="00CF05F7">
        <w:t>Lafontaine &amp; Associates, Toronto.</w:t>
      </w:r>
    </w:p>
    <w:p w:rsidR="00324C46" w:rsidRPr="00CF05F7" w:rsidRDefault="00F4466E" w:rsidP="00D90A50">
      <w:pPr>
        <w:pStyle w:val="SCCLawFirm"/>
        <w:widowControl w:val="0"/>
      </w:pPr>
      <w:r w:rsidRPr="00CF05F7">
        <w:tab/>
        <w:t>Solicitor for the respondent: </w:t>
      </w:r>
      <w:r w:rsidR="00324C46" w:rsidRPr="00CF05F7">
        <w:t>Attorney General of Ontario, Toronto.</w:t>
      </w:r>
    </w:p>
    <w:p w:rsidR="00E24573" w:rsidRDefault="00E24573" w:rsidP="00D90A50">
      <w:pPr>
        <w:widowControl w:val="0"/>
      </w:pPr>
    </w:p>
    <w:sectPr w:rsidR="00E24573"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A31C8"/>
    <w:rsid w:val="000C59B8"/>
    <w:rsid w:val="000C6AF0"/>
    <w:rsid w:val="000E2446"/>
    <w:rsid w:val="00104F33"/>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B7A7C"/>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81D3F"/>
    <w:rsid w:val="002B7924"/>
    <w:rsid w:val="002D28C3"/>
    <w:rsid w:val="002D39A4"/>
    <w:rsid w:val="002E6705"/>
    <w:rsid w:val="00301D08"/>
    <w:rsid w:val="0030329A"/>
    <w:rsid w:val="0031086F"/>
    <w:rsid w:val="0031414C"/>
    <w:rsid w:val="00314E01"/>
    <w:rsid w:val="00316C60"/>
    <w:rsid w:val="0032089D"/>
    <w:rsid w:val="00324C46"/>
    <w:rsid w:val="003310DE"/>
    <w:rsid w:val="003323B0"/>
    <w:rsid w:val="0035169A"/>
    <w:rsid w:val="0035259D"/>
    <w:rsid w:val="00364B18"/>
    <w:rsid w:val="00393B2C"/>
    <w:rsid w:val="003A125D"/>
    <w:rsid w:val="003A4C70"/>
    <w:rsid w:val="003B215F"/>
    <w:rsid w:val="003B263C"/>
    <w:rsid w:val="003C799C"/>
    <w:rsid w:val="003D0399"/>
    <w:rsid w:val="003E1C71"/>
    <w:rsid w:val="003F327B"/>
    <w:rsid w:val="00406166"/>
    <w:rsid w:val="0040704B"/>
    <w:rsid w:val="00410A55"/>
    <w:rsid w:val="00411300"/>
    <w:rsid w:val="00415417"/>
    <w:rsid w:val="00426659"/>
    <w:rsid w:val="00426B31"/>
    <w:rsid w:val="00450352"/>
    <w:rsid w:val="00454BDB"/>
    <w:rsid w:val="00464800"/>
    <w:rsid w:val="00465132"/>
    <w:rsid w:val="00480C90"/>
    <w:rsid w:val="0048396F"/>
    <w:rsid w:val="00493C18"/>
    <w:rsid w:val="004A600C"/>
    <w:rsid w:val="004A6118"/>
    <w:rsid w:val="004C478D"/>
    <w:rsid w:val="004E2C26"/>
    <w:rsid w:val="004F1EB8"/>
    <w:rsid w:val="004F36FF"/>
    <w:rsid w:val="005125A8"/>
    <w:rsid w:val="00521AE8"/>
    <w:rsid w:val="00527180"/>
    <w:rsid w:val="005304D1"/>
    <w:rsid w:val="0054201E"/>
    <w:rsid w:val="00551637"/>
    <w:rsid w:val="00555291"/>
    <w:rsid w:val="00566AD1"/>
    <w:rsid w:val="00567EB4"/>
    <w:rsid w:val="00583EDE"/>
    <w:rsid w:val="005A6079"/>
    <w:rsid w:val="005E4698"/>
    <w:rsid w:val="00610539"/>
    <w:rsid w:val="00613969"/>
    <w:rsid w:val="00625C35"/>
    <w:rsid w:val="00656313"/>
    <w:rsid w:val="006565F4"/>
    <w:rsid w:val="00684EEA"/>
    <w:rsid w:val="0069689B"/>
    <w:rsid w:val="006A1551"/>
    <w:rsid w:val="006B5FF5"/>
    <w:rsid w:val="006F30AF"/>
    <w:rsid w:val="00701759"/>
    <w:rsid w:val="00705C15"/>
    <w:rsid w:val="0071600E"/>
    <w:rsid w:val="007208D1"/>
    <w:rsid w:val="00747288"/>
    <w:rsid w:val="00747DD3"/>
    <w:rsid w:val="007549C8"/>
    <w:rsid w:val="00754A0B"/>
    <w:rsid w:val="00766D14"/>
    <w:rsid w:val="00767A0F"/>
    <w:rsid w:val="007A05F6"/>
    <w:rsid w:val="007A460C"/>
    <w:rsid w:val="007B6F4A"/>
    <w:rsid w:val="007E1C47"/>
    <w:rsid w:val="007E337A"/>
    <w:rsid w:val="007E5C70"/>
    <w:rsid w:val="007F2FF5"/>
    <w:rsid w:val="007F3F08"/>
    <w:rsid w:val="00804CC6"/>
    <w:rsid w:val="00817190"/>
    <w:rsid w:val="00820EE5"/>
    <w:rsid w:val="008260E2"/>
    <w:rsid w:val="008322BD"/>
    <w:rsid w:val="00833E0A"/>
    <w:rsid w:val="00834F73"/>
    <w:rsid w:val="0084131A"/>
    <w:rsid w:val="00864CF8"/>
    <w:rsid w:val="00872819"/>
    <w:rsid w:val="00874914"/>
    <w:rsid w:val="00891422"/>
    <w:rsid w:val="00892E1A"/>
    <w:rsid w:val="008A3F29"/>
    <w:rsid w:val="008B41FB"/>
    <w:rsid w:val="008B660A"/>
    <w:rsid w:val="008C01DA"/>
    <w:rsid w:val="008D14A7"/>
    <w:rsid w:val="008F0B63"/>
    <w:rsid w:val="008F78E9"/>
    <w:rsid w:val="00911989"/>
    <w:rsid w:val="009179F9"/>
    <w:rsid w:val="00923B55"/>
    <w:rsid w:val="00933E5E"/>
    <w:rsid w:val="00935218"/>
    <w:rsid w:val="009403F3"/>
    <w:rsid w:val="009555B7"/>
    <w:rsid w:val="009567AA"/>
    <w:rsid w:val="00967374"/>
    <w:rsid w:val="009A343A"/>
    <w:rsid w:val="009B2F23"/>
    <w:rsid w:val="009B57B3"/>
    <w:rsid w:val="009C5B92"/>
    <w:rsid w:val="009D2920"/>
    <w:rsid w:val="009D5AEB"/>
    <w:rsid w:val="009F0E33"/>
    <w:rsid w:val="00A030CE"/>
    <w:rsid w:val="00A149DF"/>
    <w:rsid w:val="00A1755C"/>
    <w:rsid w:val="00A21B90"/>
    <w:rsid w:val="00A41805"/>
    <w:rsid w:val="00A42DCD"/>
    <w:rsid w:val="00A52AFB"/>
    <w:rsid w:val="00A548CB"/>
    <w:rsid w:val="00A5521C"/>
    <w:rsid w:val="00A643E7"/>
    <w:rsid w:val="00A7003B"/>
    <w:rsid w:val="00A73C38"/>
    <w:rsid w:val="00A97C71"/>
    <w:rsid w:val="00AB670D"/>
    <w:rsid w:val="00AE4535"/>
    <w:rsid w:val="00AF03C5"/>
    <w:rsid w:val="00AF03C8"/>
    <w:rsid w:val="00B000D8"/>
    <w:rsid w:val="00B00F75"/>
    <w:rsid w:val="00B145B6"/>
    <w:rsid w:val="00B279EB"/>
    <w:rsid w:val="00B50C81"/>
    <w:rsid w:val="00B557F8"/>
    <w:rsid w:val="00B815FC"/>
    <w:rsid w:val="00B93FBC"/>
    <w:rsid w:val="00BA7DA0"/>
    <w:rsid w:val="00BB2EE4"/>
    <w:rsid w:val="00BC2108"/>
    <w:rsid w:val="00BD0D8D"/>
    <w:rsid w:val="00BD0E9E"/>
    <w:rsid w:val="00BD1BEC"/>
    <w:rsid w:val="00BD32FF"/>
    <w:rsid w:val="00C02092"/>
    <w:rsid w:val="00C21CCE"/>
    <w:rsid w:val="00C24D91"/>
    <w:rsid w:val="00C53F14"/>
    <w:rsid w:val="00C55E94"/>
    <w:rsid w:val="00C600CF"/>
    <w:rsid w:val="00C6084F"/>
    <w:rsid w:val="00C62A66"/>
    <w:rsid w:val="00C71458"/>
    <w:rsid w:val="00C77613"/>
    <w:rsid w:val="00C828E7"/>
    <w:rsid w:val="00C86719"/>
    <w:rsid w:val="00C921DD"/>
    <w:rsid w:val="00CA6391"/>
    <w:rsid w:val="00CC34BD"/>
    <w:rsid w:val="00CC3E17"/>
    <w:rsid w:val="00CE161A"/>
    <w:rsid w:val="00CE3171"/>
    <w:rsid w:val="00CF05F7"/>
    <w:rsid w:val="00CF1601"/>
    <w:rsid w:val="00D0172F"/>
    <w:rsid w:val="00D068A7"/>
    <w:rsid w:val="00D17476"/>
    <w:rsid w:val="00D32086"/>
    <w:rsid w:val="00D37A3F"/>
    <w:rsid w:val="00D41462"/>
    <w:rsid w:val="00D4431D"/>
    <w:rsid w:val="00D4667A"/>
    <w:rsid w:val="00D63A1C"/>
    <w:rsid w:val="00D7516F"/>
    <w:rsid w:val="00D8579F"/>
    <w:rsid w:val="00D90A50"/>
    <w:rsid w:val="00D95F8E"/>
    <w:rsid w:val="00DA0590"/>
    <w:rsid w:val="00DA5603"/>
    <w:rsid w:val="00DB7BEA"/>
    <w:rsid w:val="00DC1739"/>
    <w:rsid w:val="00DC1788"/>
    <w:rsid w:val="00DE319C"/>
    <w:rsid w:val="00DE749A"/>
    <w:rsid w:val="00DF0CA8"/>
    <w:rsid w:val="00DF2B48"/>
    <w:rsid w:val="00DF49A7"/>
    <w:rsid w:val="00E07EE2"/>
    <w:rsid w:val="00E07FD1"/>
    <w:rsid w:val="00E176D8"/>
    <w:rsid w:val="00E24573"/>
    <w:rsid w:val="00E25E1E"/>
    <w:rsid w:val="00E27EE7"/>
    <w:rsid w:val="00E35404"/>
    <w:rsid w:val="00E42BDD"/>
    <w:rsid w:val="00E45109"/>
    <w:rsid w:val="00E47B7A"/>
    <w:rsid w:val="00E5012F"/>
    <w:rsid w:val="00E56A44"/>
    <w:rsid w:val="00E60269"/>
    <w:rsid w:val="00E76E40"/>
    <w:rsid w:val="00E77932"/>
    <w:rsid w:val="00E823AD"/>
    <w:rsid w:val="00E97830"/>
    <w:rsid w:val="00EE0BD2"/>
    <w:rsid w:val="00EE643C"/>
    <w:rsid w:val="00EF0683"/>
    <w:rsid w:val="00EF69D2"/>
    <w:rsid w:val="00EF766E"/>
    <w:rsid w:val="00F0070C"/>
    <w:rsid w:val="00F00EB7"/>
    <w:rsid w:val="00F36AB6"/>
    <w:rsid w:val="00F37A09"/>
    <w:rsid w:val="00F409CE"/>
    <w:rsid w:val="00F4379D"/>
    <w:rsid w:val="00F4466E"/>
    <w:rsid w:val="00F50D2D"/>
    <w:rsid w:val="00F56C8B"/>
    <w:rsid w:val="00F629C2"/>
    <w:rsid w:val="00F66810"/>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NoSpacing">
    <w:name w:val="No Spacing"/>
    <w:uiPriority w:val="1"/>
    <w:qFormat/>
    <w:rsid w:val="008B41FB"/>
    <w:rPr>
      <w:sz w:val="24"/>
      <w:szCs w:val="24"/>
    </w:rPr>
  </w:style>
  <w:style w:type="paragraph" w:customStyle="1" w:styleId="SCCCoram">
    <w:name w:val="SCC.Coram"/>
    <w:basedOn w:val="Normal"/>
    <w:next w:val="Normal"/>
    <w:link w:val="SCCCoramChar"/>
    <w:rsid w:val="00281D3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81D3F"/>
    <w:rPr>
      <w:rFonts w:eastAsiaTheme="minorHAnsi" w:cstheme="minorBidi"/>
      <w:sz w:val="24"/>
      <w:szCs w:val="22"/>
      <w:lang w:eastAsia="en-US"/>
    </w:rPr>
  </w:style>
  <w:style w:type="table" w:styleId="TableGrid">
    <w:name w:val="Table Grid"/>
    <w:basedOn w:val="TableNormal"/>
    <w:uiPriority w:val="59"/>
    <w:rsid w:val="00281D3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81D3F"/>
    <w:pPr>
      <w:spacing w:after="720"/>
      <w:ind w:left="1166"/>
      <w:contextualSpacing/>
      <w:jc w:val="both"/>
    </w:pPr>
    <w:rPr>
      <w:sz w:val="24"/>
      <w:szCs w:val="24"/>
    </w:rPr>
  </w:style>
  <w:style w:type="paragraph" w:customStyle="1" w:styleId="JudgeJuge">
    <w:name w:val="Judge / Juge"/>
    <w:uiPriority w:val="3"/>
    <w:rsid w:val="00281D3F"/>
    <w:pPr>
      <w:tabs>
        <w:tab w:val="left" w:pos="1166"/>
      </w:tabs>
      <w:spacing w:after="480" w:line="480" w:lineRule="auto"/>
    </w:pPr>
    <w:rPr>
      <w:smallCaps/>
      <w:sz w:val="24"/>
      <w:szCs w:val="24"/>
    </w:rPr>
  </w:style>
  <w:style w:type="paragraph" w:customStyle="1" w:styleId="ParaNoNdepar-AltN">
    <w:name w:val="Para. No. / Nº de par. - Alt N"/>
    <w:qFormat/>
    <w:rsid w:val="00281D3F"/>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281D3F"/>
    <w:pPr>
      <w:numPr>
        <w:numId w:val="2"/>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81D3F"/>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281D3F"/>
    <w:pPr>
      <w:numPr>
        <w:ilvl w:val="2"/>
      </w:numPr>
    </w:pPr>
  </w:style>
  <w:style w:type="paragraph" w:customStyle="1" w:styleId="Title4LevelTitre4Niveau">
    <w:name w:val="Title 4 Level / Titre 4 Niveau"/>
    <w:basedOn w:val="Title3LevelTitre3Niveau"/>
    <w:next w:val="ParaNoNdepar-AltN"/>
    <w:uiPriority w:val="4"/>
    <w:qFormat/>
    <w:rsid w:val="00281D3F"/>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281D3F"/>
    <w:pPr>
      <w:numPr>
        <w:ilvl w:val="4"/>
      </w:numPr>
    </w:pPr>
  </w:style>
  <w:style w:type="paragraph" w:customStyle="1" w:styleId="Title6LevelTitre6Niveau">
    <w:name w:val="Title 6 Level / Titre 6 Niveau"/>
    <w:basedOn w:val="Title5LevelTitre5Niveau"/>
    <w:next w:val="ParaNoNdepar-AltN"/>
    <w:uiPriority w:val="4"/>
    <w:qFormat/>
    <w:rsid w:val="00281D3F"/>
    <w:pPr>
      <w:numPr>
        <w:ilvl w:val="5"/>
      </w:numPr>
    </w:pPr>
    <w:rPr>
      <w:i/>
      <w:u w:val="none"/>
    </w:rPr>
  </w:style>
  <w:style w:type="paragraph" w:styleId="ListParagraph">
    <w:name w:val="List Paragraph"/>
    <w:basedOn w:val="Normal"/>
    <w:uiPriority w:val="34"/>
    <w:qFormat/>
    <w:rsid w:val="00281D3F"/>
    <w:pPr>
      <w:ind w:left="720"/>
    </w:pPr>
    <w:rPr>
      <w:rFonts w:ascii="Calibri" w:eastAsiaTheme="minorHAnsi" w:hAnsi="Calibri"/>
      <w:sz w:val="22"/>
      <w:szCs w:val="22"/>
      <w:lang w:val="en-US" w:eastAsia="en-US"/>
    </w:rPr>
  </w:style>
  <w:style w:type="character" w:customStyle="1" w:styleId="SCCLsocPartyRoleChar">
    <w:name w:val="SCC.Lsoc.PartyRole Char"/>
    <w:basedOn w:val="DefaultParagraphFont"/>
    <w:rsid w:val="00316C60"/>
    <w:rPr>
      <w:lang w:val="en-CA"/>
    </w:rPr>
  </w:style>
  <w:style w:type="paragraph" w:customStyle="1" w:styleId="SCCLsocPrefix">
    <w:name w:val="SCC.Lsoc.Prefix"/>
    <w:basedOn w:val="Normal"/>
    <w:next w:val="Normal"/>
    <w:link w:val="SCCLsocPrefixChar"/>
    <w:rsid w:val="00316C60"/>
    <w:rPr>
      <w:rFonts w:eastAsiaTheme="minorHAnsi" w:cstheme="minorBidi"/>
      <w:b/>
      <w:smallCaps/>
      <w:szCs w:val="24"/>
      <w:lang w:eastAsia="en-US"/>
    </w:rPr>
  </w:style>
  <w:style w:type="character" w:customStyle="1" w:styleId="SCCLsocPrefixChar">
    <w:name w:val="SCC.Lsoc.Prefix Char"/>
    <w:basedOn w:val="DefaultParagraphFont"/>
    <w:link w:val="SCCLsocPrefix"/>
    <w:rsid w:val="00316C60"/>
    <w:rPr>
      <w:rFonts w:eastAsiaTheme="minorHAnsi" w:cstheme="minorBidi"/>
      <w:b/>
      <w:smallCaps/>
      <w:sz w:val="24"/>
      <w:szCs w:val="24"/>
      <w:lang w:eastAsia="en-US"/>
    </w:rPr>
  </w:style>
  <w:style w:type="paragraph" w:customStyle="1" w:styleId="SCCHearingJudgmentDatesText">
    <w:name w:val="SCC.HearingJudgmentDatesText"/>
    <w:basedOn w:val="Normal"/>
    <w:next w:val="Normal"/>
    <w:link w:val="SCCHearingJudgmentDatesTextChar"/>
    <w:rsid w:val="00316C60"/>
    <w:rPr>
      <w:rFonts w:eastAsiaTheme="minorHAnsi" w:cstheme="minorBidi"/>
      <w:szCs w:val="24"/>
      <w:lang w:eastAsia="en-US"/>
    </w:rPr>
  </w:style>
  <w:style w:type="character" w:customStyle="1" w:styleId="SCCHearingJudgmentDatesTextChar">
    <w:name w:val="SCC.HearingJudgmentDatesText Char"/>
    <w:basedOn w:val="DefaultParagraphFont"/>
    <w:link w:val="SCCHearingJudgmentDatesText"/>
    <w:rsid w:val="00316C60"/>
    <w:rPr>
      <w:rFonts w:eastAsiaTheme="minorHAnsi" w:cstheme="minorBidi"/>
      <w:sz w:val="24"/>
      <w:szCs w:val="24"/>
      <w:lang w:eastAsia="en-US"/>
    </w:rPr>
  </w:style>
  <w:style w:type="paragraph" w:customStyle="1" w:styleId="SCCHearingJudgmentDatesTitle">
    <w:name w:val="SCC.HearingJudgmentDatesTitle"/>
    <w:basedOn w:val="Normal"/>
    <w:next w:val="Normal"/>
    <w:link w:val="SCCHearingJudgmentDatesTitleChar"/>
    <w:rsid w:val="00316C60"/>
    <w:rPr>
      <w:rFonts w:eastAsiaTheme="minorHAnsi" w:cstheme="minorBidi"/>
      <w:b/>
      <w:smallCaps/>
      <w:szCs w:val="24"/>
      <w:lang w:eastAsia="en-US"/>
    </w:rPr>
  </w:style>
  <w:style w:type="character" w:customStyle="1" w:styleId="SCCHearingJudgmentDatesTitleChar">
    <w:name w:val="SCC.HearingJudgmentDatesTitle Char"/>
    <w:basedOn w:val="DefaultParagraphFont"/>
    <w:link w:val="SCCHearingJudgmentDatesTitle"/>
    <w:rsid w:val="00316C60"/>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3711</Words>
  <Characters>17611</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2016-01-14T20:09:00Z</dcterms:created>
  <dcterms:modified xsi:type="dcterms:W3CDTF">2016-03-01T19:53:00Z</dcterms:modified>
</cp:coreProperties>
</file>