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B9" w:rsidRDefault="005773B9" w:rsidP="005773B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6" o:title=""/>
          </v:shape>
          <o:OLEObject Type="Embed" ProgID="Presentations.Drawing.13" ShapeID="_x0000_i1025" DrawAspect="Content" ObjectID="_1539602937" r:id="rId7"/>
        </w:object>
      </w:r>
      <w:r>
        <w:t xml:space="preserve"> </w:t>
      </w:r>
      <w:r>
        <w:ptab w:relativeTo="margin" w:alignment="right" w:leader="none"/>
      </w:r>
    </w:p>
    <w:p w:rsidR="005773B9" w:rsidRDefault="005773B9" w:rsidP="005773B9">
      <w:pPr>
        <w:pStyle w:val="Header"/>
      </w:pPr>
    </w:p>
    <w:p w:rsidR="005773B9" w:rsidRPr="006B210C" w:rsidRDefault="005773B9" w:rsidP="005773B9">
      <w:pPr>
        <w:jc w:val="center"/>
        <w:rPr>
          <w:b/>
        </w:rPr>
      </w:pPr>
      <w:r w:rsidRPr="006B210C">
        <w:rPr>
          <w:b/>
        </w:rPr>
        <w:t>SUPREME COURT OF CANADA</w:t>
      </w:r>
    </w:p>
    <w:p w:rsidR="005773B9" w:rsidRDefault="005773B9" w:rsidP="005773B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4F7E76" w:rsidRPr="006B210C" w:rsidTr="001D6D19">
        <w:trPr>
          <w:cantSplit/>
        </w:trPr>
        <w:tc>
          <w:tcPr>
            <w:tcW w:w="5130" w:type="dxa"/>
          </w:tcPr>
          <w:p w:rsidR="004F7E76" w:rsidRPr="006B210C" w:rsidRDefault="004F7E76" w:rsidP="001D6D19">
            <w:pPr>
              <w:ind w:right="-58"/>
            </w:pPr>
            <w:r w:rsidRPr="006B210C">
              <w:rPr>
                <w:b/>
                <w:smallCaps/>
              </w:rPr>
              <w:t>Citation</w:t>
            </w:r>
            <w:r>
              <w:rPr>
                <w:b/>
                <w:smallCaps/>
              </w:rPr>
              <w:t>:</w:t>
            </w:r>
            <w:r w:rsidRPr="006B210C">
              <w:t xml:space="preserve"> </w:t>
            </w:r>
            <w:r>
              <w:t xml:space="preserve">R. </w:t>
            </w:r>
            <w:r w:rsidRPr="00623FDD">
              <w:rPr>
                <w:i/>
              </w:rPr>
              <w:t>v.</w:t>
            </w:r>
            <w:r>
              <w:t xml:space="preserve"> Seruhungo, 2016 SCC 2, </w:t>
            </w:r>
            <w:r>
              <w:rPr>
                <w:rStyle w:val="SCCAppellantForRunningHeadChar"/>
                <w:smallCaps w:val="0"/>
              </w:rPr>
              <w:t>[2016] 1 S.C.R. 9</w:t>
            </w:r>
          </w:p>
        </w:tc>
        <w:tc>
          <w:tcPr>
            <w:tcW w:w="4446" w:type="dxa"/>
          </w:tcPr>
          <w:p w:rsidR="004F7E76" w:rsidRPr="006B210C" w:rsidRDefault="004F7E76" w:rsidP="001D6D19">
            <w:r>
              <w:rPr>
                <w:b/>
                <w:smallCaps/>
              </w:rPr>
              <w:t>Appeal heard:</w:t>
            </w:r>
            <w:r w:rsidRPr="006B210C">
              <w:t xml:space="preserve"> </w:t>
            </w:r>
            <w:r>
              <w:t>January 15, 2016</w:t>
            </w:r>
          </w:p>
          <w:p w:rsidR="004F7E76" w:rsidRPr="00D549FF" w:rsidRDefault="004F7E76" w:rsidP="001D6D19">
            <w:r>
              <w:rPr>
                <w:b/>
                <w:smallCaps/>
              </w:rPr>
              <w:t>Judgment rendered:</w:t>
            </w:r>
            <w:r>
              <w:t xml:space="preserve"> January 15, 2016</w:t>
            </w:r>
          </w:p>
          <w:p w:rsidR="004F7E76" w:rsidRPr="006B210C" w:rsidRDefault="004F7E76" w:rsidP="001D6D19">
            <w:r w:rsidRPr="006B210C">
              <w:rPr>
                <w:b/>
                <w:smallCaps/>
              </w:rPr>
              <w:t>Docket</w:t>
            </w:r>
            <w:r>
              <w:rPr>
                <w:b/>
                <w:smallCaps/>
              </w:rPr>
              <w:t>:</w:t>
            </w:r>
            <w:r w:rsidRPr="006B210C">
              <w:t xml:space="preserve"> </w:t>
            </w:r>
            <w:r>
              <w:t>36523</w:t>
            </w:r>
          </w:p>
        </w:tc>
      </w:tr>
    </w:tbl>
    <w:p w:rsidR="004F7E76" w:rsidRPr="006B210C" w:rsidRDefault="004F7E76" w:rsidP="004F7E76"/>
    <w:p w:rsidR="004F7E76" w:rsidRPr="006B210C" w:rsidRDefault="004F7E76" w:rsidP="004F7E76"/>
    <w:p w:rsidR="004F7E76" w:rsidRDefault="004F7E76" w:rsidP="004F7E76">
      <w:pPr>
        <w:pStyle w:val="SCCLsocPrefix"/>
      </w:pPr>
      <w:r>
        <w:t>Between:</w:t>
      </w:r>
    </w:p>
    <w:p w:rsidR="004F7E76" w:rsidRDefault="004F7E76" w:rsidP="004F7E76">
      <w:pPr>
        <w:pStyle w:val="SCCLsocParty"/>
        <w:jc w:val="center"/>
      </w:pPr>
      <w:r>
        <w:t>Akeem Smith Seruhungo</w:t>
      </w:r>
    </w:p>
    <w:p w:rsidR="004F7E76" w:rsidRDefault="004F7E76" w:rsidP="004F7E76">
      <w:pPr>
        <w:jc w:val="center"/>
      </w:pPr>
      <w:r>
        <w:t>Appellant</w:t>
      </w:r>
    </w:p>
    <w:p w:rsidR="004F7E76" w:rsidRPr="00C1618E" w:rsidRDefault="004F7E76" w:rsidP="004F7E76">
      <w:pPr>
        <w:jc w:val="center"/>
      </w:pPr>
    </w:p>
    <w:p w:rsidR="004F7E76" w:rsidRPr="004F7E76" w:rsidRDefault="004F7E76" w:rsidP="004F7E76">
      <w:pPr>
        <w:pStyle w:val="SCCLsocVersus"/>
        <w:spacing w:after="0"/>
        <w:jc w:val="center"/>
        <w:rPr>
          <w:i w:val="0"/>
        </w:rPr>
      </w:pPr>
      <w:r w:rsidRPr="004F7E76">
        <w:rPr>
          <w:i w:val="0"/>
        </w:rPr>
        <w:t>and</w:t>
      </w:r>
    </w:p>
    <w:p w:rsidR="004F7E76" w:rsidRPr="00C1618E" w:rsidRDefault="004F7E76" w:rsidP="004F7E76">
      <w:pPr>
        <w:jc w:val="center"/>
      </w:pPr>
    </w:p>
    <w:p w:rsidR="004F7E76" w:rsidRDefault="004F7E76" w:rsidP="004F7E76">
      <w:pPr>
        <w:pStyle w:val="SCCLsocParty"/>
        <w:jc w:val="center"/>
      </w:pPr>
      <w:r>
        <w:t>Her Majesty Th</w:t>
      </w:r>
      <w:bookmarkStart w:id="0" w:name="_GoBack"/>
      <w:bookmarkEnd w:id="0"/>
      <w:r>
        <w:t>e Queen</w:t>
      </w:r>
    </w:p>
    <w:p w:rsidR="004F7E76" w:rsidRDefault="004F7E76" w:rsidP="004F7E76">
      <w:pPr>
        <w:jc w:val="center"/>
      </w:pPr>
      <w:r>
        <w:t>Respondent</w:t>
      </w:r>
    </w:p>
    <w:p w:rsidR="004F7E76" w:rsidRDefault="004F7E76" w:rsidP="004F7E76"/>
    <w:p w:rsidR="004F7E76" w:rsidRPr="006B210C" w:rsidRDefault="004F7E76" w:rsidP="004F7E76"/>
    <w:p w:rsidR="004F7E76" w:rsidRPr="006B210C" w:rsidRDefault="004F7E76" w:rsidP="004F7E76">
      <w:r w:rsidRPr="006B210C">
        <w:rPr>
          <w:b/>
          <w:smallCaps/>
        </w:rPr>
        <w:t>Coram</w:t>
      </w:r>
      <w:r>
        <w:rPr>
          <w:b/>
          <w:smallCaps/>
        </w:rPr>
        <w:t>:</w:t>
      </w:r>
      <w:r w:rsidRPr="006B210C">
        <w:t xml:space="preserve"> </w:t>
      </w:r>
      <w:r>
        <w:t>Moldaver, Karakatsanis, Wagner, Gascon and Côté JJ.</w:t>
      </w:r>
    </w:p>
    <w:p w:rsidR="004F7E76" w:rsidRPr="006B210C" w:rsidRDefault="004F7E76" w:rsidP="004F7E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F7E76" w:rsidRPr="006B210C" w:rsidTr="001D6D19">
        <w:trPr>
          <w:cantSplit/>
        </w:trPr>
        <w:tc>
          <w:tcPr>
            <w:tcW w:w="3618" w:type="dxa"/>
          </w:tcPr>
          <w:p w:rsidR="004F7E76" w:rsidRDefault="004F7E76" w:rsidP="004F7E76">
            <w:pPr>
              <w:rPr>
                <w:b/>
                <w:smallCaps/>
              </w:rPr>
            </w:pPr>
            <w:r w:rsidRPr="006B210C">
              <w:rPr>
                <w:b/>
                <w:smallCaps/>
              </w:rPr>
              <w:t>Reasons for Judgment</w:t>
            </w:r>
            <w:r>
              <w:rPr>
                <w:b/>
                <w:smallCaps/>
              </w:rPr>
              <w:t>:</w:t>
            </w:r>
          </w:p>
          <w:p w:rsidR="004F7E76" w:rsidRPr="00623FDD" w:rsidRDefault="004F7E76" w:rsidP="004F7E76">
            <w:r w:rsidRPr="00623FDD">
              <w:t>(paras. 1 to 2)</w:t>
            </w:r>
          </w:p>
        </w:tc>
        <w:tc>
          <w:tcPr>
            <w:tcW w:w="5958" w:type="dxa"/>
          </w:tcPr>
          <w:p w:rsidR="004F7E76" w:rsidRPr="006B210C" w:rsidRDefault="004F7E76" w:rsidP="004F7E76">
            <w:r>
              <w:t>Moldaver J. (Karakatsanis, Wagner, Gascon and Côté JJ. concurring)</w:t>
            </w:r>
          </w:p>
        </w:tc>
      </w:tr>
    </w:tbl>
    <w:p w:rsidR="004F7E76" w:rsidRDefault="004F7E76" w:rsidP="004F7E76"/>
    <w:p w:rsidR="004F7E76" w:rsidRDefault="004F7E76" w:rsidP="005773B9"/>
    <w:p w:rsidR="005773B9" w:rsidRPr="006B210C" w:rsidRDefault="005773B9" w:rsidP="005773B9">
      <w:r>
        <w:rPr>
          <w:noProof/>
          <w:lang w:val="en-US" w:eastAsia="en-US"/>
        </w:rPr>
        <mc:AlternateContent>
          <mc:Choice Requires="wps">
            <w:drawing>
              <wp:anchor distT="0" distB="0" distL="114300" distR="114300" simplePos="0" relativeHeight="251659264" behindDoc="0" locked="0" layoutInCell="1" allowOverlap="1" wp14:anchorId="15B9CB9B" wp14:editId="13C4BAC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047D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773B9" w:rsidRDefault="005773B9" w:rsidP="00565C88">
      <w:pPr>
        <w:widowControl w:val="0"/>
        <w:spacing w:after="480" w:line="480" w:lineRule="auto"/>
        <w:jc w:val="both"/>
        <w:rPr>
          <w:rStyle w:val="SCCAppellantForRunningHeadChar"/>
          <w:smallCaps w:val="0"/>
        </w:rPr>
      </w:pPr>
    </w:p>
    <w:p w:rsidR="008322BD" w:rsidRPr="00020927" w:rsidRDefault="00020927" w:rsidP="00565C88">
      <w:pPr>
        <w:widowControl w:val="0"/>
        <w:spacing w:after="480" w:line="480" w:lineRule="auto"/>
        <w:jc w:val="both"/>
        <w:rPr>
          <w:smallCaps/>
        </w:rPr>
      </w:pPr>
      <w:r>
        <w:rPr>
          <w:rStyle w:val="SCCAppellantForRunningHeadChar"/>
          <w:smallCaps w:val="0"/>
        </w:rPr>
        <w:t>R</w:t>
      </w:r>
      <w:r w:rsidR="00F56B13" w:rsidRPr="00020927">
        <w:rPr>
          <w:rStyle w:val="SCCAppellantForRunningHeadChar"/>
          <w:smallCaps w:val="0"/>
        </w:rPr>
        <w:t xml:space="preserve">. </w:t>
      </w:r>
      <w:r w:rsidR="00F56B13" w:rsidRPr="00020927">
        <w:rPr>
          <w:i/>
        </w:rPr>
        <w:t>v.</w:t>
      </w:r>
      <w:r w:rsidR="00F56B13" w:rsidRPr="00020927">
        <w:rPr>
          <w:smallCaps/>
        </w:rPr>
        <w:t xml:space="preserve"> </w:t>
      </w:r>
      <w:r>
        <w:rPr>
          <w:rStyle w:val="SCCAppellantForRunningHeadChar"/>
          <w:smallCaps w:val="0"/>
        </w:rPr>
        <w:t>S</w:t>
      </w:r>
      <w:r w:rsidR="008F78E9" w:rsidRPr="00020927">
        <w:rPr>
          <w:rStyle w:val="SCCAppellantForRunningHeadChar"/>
          <w:smallCaps w:val="0"/>
        </w:rPr>
        <w:t>eruhungo</w:t>
      </w:r>
      <w:r>
        <w:rPr>
          <w:rStyle w:val="SCCAppellantForRunningHeadChar"/>
          <w:smallCaps w:val="0"/>
        </w:rPr>
        <w:t>, 2016 SCC 2, [2016] 1 S.C.R. 9</w:t>
      </w:r>
    </w:p>
    <w:p w:rsidR="009F3071" w:rsidRDefault="00304773" w:rsidP="00565C88">
      <w:pPr>
        <w:pStyle w:val="SCCLsocLastPartyInRole"/>
        <w:widowControl w:val="0"/>
      </w:pPr>
      <w:r>
        <w:t>Akeem Smith Seruhungo</w:t>
      </w:r>
      <w:r>
        <w:rPr>
          <w:rStyle w:val="SCCLsocPartyRole"/>
        </w:rPr>
        <w:tab/>
        <w:t>Appellant</w:t>
      </w:r>
    </w:p>
    <w:p w:rsidR="009F3071" w:rsidRDefault="00304773" w:rsidP="00565C88">
      <w:pPr>
        <w:pStyle w:val="SCCLsocVersus"/>
        <w:widowControl w:val="0"/>
      </w:pPr>
      <w:r>
        <w:t>v.</w:t>
      </w:r>
    </w:p>
    <w:p w:rsidR="009F3071" w:rsidRDefault="00304773" w:rsidP="00565C88">
      <w:pPr>
        <w:pStyle w:val="SCCLsocLastPartyInRole"/>
        <w:widowControl w:val="0"/>
      </w:pPr>
      <w:r>
        <w:t xml:space="preserve">Her Majesty </w:t>
      </w:r>
      <w:r w:rsidR="00F56B13">
        <w:t>T</w:t>
      </w:r>
      <w:r>
        <w:t>he Queen</w:t>
      </w:r>
      <w:r>
        <w:rPr>
          <w:rStyle w:val="SCCLsocPartyRole"/>
        </w:rPr>
        <w:tab/>
        <w:t>Respondent</w:t>
      </w:r>
    </w:p>
    <w:p w:rsidR="00426659" w:rsidRPr="00426659" w:rsidRDefault="00426659" w:rsidP="00565C88">
      <w:pPr>
        <w:widowControl w:val="0"/>
        <w:spacing w:after="720"/>
        <w:jc w:val="both"/>
        <w:rPr>
          <w:b/>
        </w:rPr>
      </w:pPr>
      <w:r w:rsidRPr="00426659">
        <w:rPr>
          <w:b/>
        </w:rPr>
        <w:t>Indexed as:</w:t>
      </w:r>
      <w:r>
        <w:rPr>
          <w:b/>
        </w:rPr>
        <w:t xml:space="preserve"> </w:t>
      </w:r>
      <w:r w:rsidR="00F56B13">
        <w:rPr>
          <w:b/>
        </w:rPr>
        <w:t xml:space="preserve">R. </w:t>
      </w:r>
      <w:r w:rsidR="00F56B13" w:rsidRPr="00F56B13">
        <w:rPr>
          <w:b/>
          <w:i/>
        </w:rPr>
        <w:t>v.</w:t>
      </w:r>
      <w:r w:rsidR="00F56B13">
        <w:rPr>
          <w:b/>
        </w:rPr>
        <w:t xml:space="preserve"> </w:t>
      </w:r>
      <w:r>
        <w:rPr>
          <w:rStyle w:val="SCCAppellantForIndexChar"/>
        </w:rPr>
        <w:t>Seruhungo</w:t>
      </w:r>
    </w:p>
    <w:p w:rsidR="00426659" w:rsidRPr="00C02092" w:rsidRDefault="00AE4535" w:rsidP="00565C88">
      <w:pPr>
        <w:pStyle w:val="SCCSystemYear"/>
        <w:widowControl w:val="0"/>
        <w:spacing w:after="720"/>
        <w:jc w:val="both"/>
      </w:pPr>
      <w:r>
        <w:lastRenderedPageBreak/>
        <w:t>2016</w:t>
      </w:r>
      <w:r w:rsidR="003D0399">
        <w:t xml:space="preserve"> </w:t>
      </w:r>
      <w:r w:rsidR="00F56B13">
        <w:t>SCC 2</w:t>
      </w:r>
    </w:p>
    <w:p w:rsidR="008322BD" w:rsidRDefault="00F56B13" w:rsidP="00565C88">
      <w:pPr>
        <w:widowControl w:val="0"/>
        <w:spacing w:after="720"/>
        <w:jc w:val="both"/>
      </w:pPr>
      <w:r>
        <w:t xml:space="preserve">File No.: </w:t>
      </w:r>
      <w:r w:rsidR="009B57B3">
        <w:t>36523</w:t>
      </w:r>
      <w:r w:rsidR="009B57B3" w:rsidRPr="001426A9">
        <w:t>.</w:t>
      </w:r>
    </w:p>
    <w:p w:rsidR="008322BD" w:rsidRDefault="00F56B13" w:rsidP="00565C88">
      <w:pPr>
        <w:widowControl w:val="0"/>
        <w:spacing w:after="720"/>
        <w:jc w:val="both"/>
      </w:pPr>
      <w:r>
        <w:t xml:space="preserve">2016: </w:t>
      </w:r>
      <w:r w:rsidR="00AE4535">
        <w:t>January 15</w:t>
      </w:r>
      <w:r w:rsidR="009B57B3" w:rsidRPr="001426A9">
        <w:t>.</w:t>
      </w:r>
    </w:p>
    <w:p w:rsidR="008322BD" w:rsidRDefault="009B57B3" w:rsidP="00565C88">
      <w:pPr>
        <w:widowControl w:val="0"/>
        <w:spacing w:after="720"/>
        <w:jc w:val="both"/>
      </w:pPr>
      <w:r w:rsidRPr="001426A9">
        <w:t xml:space="preserve">Present: </w:t>
      </w:r>
      <w:r>
        <w:t>Moldaver, Karakatsanis, Wagner, Gascon and Côté JJ.</w:t>
      </w:r>
    </w:p>
    <w:p w:rsidR="008322BD" w:rsidRPr="001C779F" w:rsidRDefault="00656313" w:rsidP="00565C88">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w:t>
      </w:r>
      <w:r w:rsidR="00F56B13">
        <w:t>or</w:t>
      </w:r>
      <w:r w:rsidR="009B57B3">
        <w:t xml:space="preserve"> alberta</w:t>
      </w:r>
    </w:p>
    <w:p w:rsidR="003A4C70" w:rsidRPr="001426A9" w:rsidRDefault="003A4C70" w:rsidP="00565C88">
      <w:pPr>
        <w:pStyle w:val="SCCNormalDoubleSpacing"/>
        <w:widowControl w:val="0"/>
      </w:pPr>
    </w:p>
    <w:p w:rsidR="008322BD" w:rsidRPr="001C0538" w:rsidRDefault="009B57B3" w:rsidP="00565C88">
      <w:pPr>
        <w:pStyle w:val="SCCNormalDoubleSpacing"/>
        <w:widowControl w:val="0"/>
        <w:rPr>
          <w:i/>
        </w:rPr>
      </w:pPr>
      <w:r w:rsidRPr="00583EDE">
        <w:tab/>
      </w:r>
      <w:r w:rsidR="001C0538">
        <w:rPr>
          <w:i/>
        </w:rPr>
        <w:t xml:space="preserve">Criminal law </w:t>
      </w:r>
      <w:r w:rsidR="00664B01">
        <w:rPr>
          <w:i/>
        </w:rPr>
        <w:t>—</w:t>
      </w:r>
      <w:r w:rsidR="001C0538">
        <w:rPr>
          <w:i/>
        </w:rPr>
        <w:t xml:space="preserve"> Evidence </w:t>
      </w:r>
      <w:r w:rsidR="00664B01">
        <w:rPr>
          <w:i/>
        </w:rPr>
        <w:t xml:space="preserve">— </w:t>
      </w:r>
      <w:r w:rsidR="00A45BAA">
        <w:rPr>
          <w:i/>
        </w:rPr>
        <w:t>Corroboration</w:t>
      </w:r>
      <w:r w:rsidR="001C0538">
        <w:rPr>
          <w:i/>
        </w:rPr>
        <w:t xml:space="preserve"> </w:t>
      </w:r>
      <w:r w:rsidR="00664B01">
        <w:rPr>
          <w:i/>
        </w:rPr>
        <w:t xml:space="preserve">— </w:t>
      </w:r>
      <w:r w:rsidR="001C0538">
        <w:rPr>
          <w:i/>
        </w:rPr>
        <w:t xml:space="preserve">Hearsay </w:t>
      </w:r>
      <w:r w:rsidR="00664B01">
        <w:rPr>
          <w:i/>
        </w:rPr>
        <w:t xml:space="preserve">— </w:t>
      </w:r>
      <w:r w:rsidR="001C0538">
        <w:rPr>
          <w:i/>
        </w:rPr>
        <w:t xml:space="preserve">Trial judge properly considering confirmatory evidence </w:t>
      </w:r>
      <w:r w:rsidR="00664B01">
        <w:rPr>
          <w:i/>
        </w:rPr>
        <w:t xml:space="preserve">— </w:t>
      </w:r>
      <w:r w:rsidR="001C0538">
        <w:rPr>
          <w:i/>
        </w:rPr>
        <w:t xml:space="preserve">Trial judge’s error concerning test for hearsay not affecting result </w:t>
      </w:r>
      <w:r w:rsidR="002C4083">
        <w:rPr>
          <w:i/>
        </w:rPr>
        <w:t xml:space="preserve">at trial </w:t>
      </w:r>
      <w:r w:rsidR="00664B01">
        <w:rPr>
          <w:i/>
        </w:rPr>
        <w:t xml:space="preserve">— </w:t>
      </w:r>
      <w:r w:rsidR="001C0538">
        <w:rPr>
          <w:i/>
        </w:rPr>
        <w:t xml:space="preserve">Accused’s acquittal </w:t>
      </w:r>
      <w:r w:rsidR="00A45BAA">
        <w:rPr>
          <w:i/>
        </w:rPr>
        <w:t>for</w:t>
      </w:r>
      <w:r w:rsidR="001C0538">
        <w:rPr>
          <w:i/>
        </w:rPr>
        <w:t xml:space="preserve"> manslaughter restored.</w:t>
      </w:r>
    </w:p>
    <w:p w:rsidR="00A149DF" w:rsidRDefault="00A149DF" w:rsidP="00565C88">
      <w:pPr>
        <w:pStyle w:val="SCCNormalDoubleSpacing"/>
        <w:widowControl w:val="0"/>
      </w:pPr>
    </w:p>
    <w:p w:rsidR="00656313" w:rsidRDefault="00F56B13" w:rsidP="00565C88">
      <w:pPr>
        <w:pStyle w:val="SCCNormalDoubleSpacing"/>
        <w:widowControl w:val="0"/>
      </w:pPr>
      <w:r>
        <w:tab/>
      </w:r>
      <w:r w:rsidR="009B57B3" w:rsidRPr="001426A9">
        <w:t xml:space="preserve">APPEAL from a judgment of the </w:t>
      </w:r>
      <w:r>
        <w:t>Alberta Court of Appeal</w:t>
      </w:r>
      <w:r w:rsidR="0058473F">
        <w:t xml:space="preserve"> (</w:t>
      </w:r>
      <w:r w:rsidR="0058473F" w:rsidRPr="0058473F">
        <w:t>Bielby, O</w:t>
      </w:r>
      <w:r w:rsidR="0058473F">
        <w:t>’</w:t>
      </w:r>
      <w:r w:rsidR="0058473F" w:rsidRPr="0058473F">
        <w:t>Ferrall</w:t>
      </w:r>
      <w:r w:rsidR="0058473F">
        <w:t xml:space="preserve"> and</w:t>
      </w:r>
      <w:r w:rsidR="0058473F" w:rsidRPr="0058473F">
        <w:t xml:space="preserve"> Brown JJ.A</w:t>
      </w:r>
      <w:r w:rsidR="0058473F">
        <w:t>.)</w:t>
      </w:r>
      <w:r>
        <w:t xml:space="preserve">, </w:t>
      </w:r>
      <w:r w:rsidR="0058473F" w:rsidRPr="0058473F">
        <w:t>2015 ABCA 189, 600 A.R. 356, 23 Alta. L.R. (6th) 318, 324 C.C.C. (3d) 491, 645 W.A.C. 356, [2015] A.J. No. 601</w:t>
      </w:r>
      <w:r w:rsidR="0058473F">
        <w:t xml:space="preserve"> (QL)</w:t>
      </w:r>
      <w:r w:rsidR="0058473F" w:rsidRPr="0058473F">
        <w:t>, 2015 CarswellAlta 969</w:t>
      </w:r>
      <w:r w:rsidR="0058473F">
        <w:t xml:space="preserve"> (WL Can.)</w:t>
      </w:r>
      <w:r w:rsidR="0058473F" w:rsidRPr="0058473F">
        <w:t>,</w:t>
      </w:r>
      <w:r w:rsidR="0058473F">
        <w:t xml:space="preserve"> </w:t>
      </w:r>
      <w:r w:rsidR="00E54EDA">
        <w:t>setting aside</w:t>
      </w:r>
      <w:r w:rsidR="0058473F">
        <w:t xml:space="preserve"> the accused’s acquittal</w:t>
      </w:r>
      <w:r w:rsidR="00E54EDA">
        <w:t xml:space="preserve"> and ordering a new trial</w:t>
      </w:r>
      <w:r>
        <w:t>. Appeal allowed</w:t>
      </w:r>
      <w:r w:rsidR="00F261DB">
        <w:t>, Moldaver and Gascon JJ. dissenting</w:t>
      </w:r>
      <w:r>
        <w:t>.</w:t>
      </w:r>
    </w:p>
    <w:p w:rsidR="00656313" w:rsidRDefault="00656313" w:rsidP="00565C88">
      <w:pPr>
        <w:pStyle w:val="SCCNormalDoubleSpacing"/>
        <w:widowControl w:val="0"/>
      </w:pPr>
    </w:p>
    <w:p w:rsidR="009F3071" w:rsidRDefault="00F56B13" w:rsidP="00565C88">
      <w:pPr>
        <w:pStyle w:val="SCCNormalDoubleSpacing"/>
        <w:widowControl w:val="0"/>
      </w:pPr>
      <w:r>
        <w:rPr>
          <w:rStyle w:val="SCCCounselNameChar"/>
          <w:i w:val="0"/>
        </w:rPr>
        <w:tab/>
      </w:r>
      <w:r w:rsidR="006C602E">
        <w:rPr>
          <w:rStyle w:val="SCCCounselNameChar"/>
        </w:rPr>
        <w:t>Deborah </w:t>
      </w:r>
      <w:r w:rsidR="00304773">
        <w:rPr>
          <w:rStyle w:val="SCCCounselNameChar"/>
        </w:rPr>
        <w:t>R. Hatch</w:t>
      </w:r>
      <w:r w:rsidR="00304773">
        <w:rPr>
          <w:rStyle w:val="SCCCounselSeparatorChar"/>
        </w:rPr>
        <w:t xml:space="preserve"> and </w:t>
      </w:r>
      <w:r w:rsidR="00304773">
        <w:rPr>
          <w:rStyle w:val="SCCCounselNameChar"/>
        </w:rPr>
        <w:t>Morgan McClelland</w:t>
      </w:r>
      <w:r w:rsidR="00304773">
        <w:rPr>
          <w:rStyle w:val="SCCCounselPartyRoleChar"/>
        </w:rPr>
        <w:t>, for the appellant.</w:t>
      </w:r>
    </w:p>
    <w:p w:rsidR="009F3071" w:rsidRDefault="009F3071" w:rsidP="00565C88">
      <w:pPr>
        <w:pStyle w:val="SCCNormalDoubleSpacing"/>
        <w:widowControl w:val="0"/>
      </w:pPr>
    </w:p>
    <w:p w:rsidR="009F3071" w:rsidRDefault="00F56B13" w:rsidP="00565C88">
      <w:pPr>
        <w:pStyle w:val="SCCNormalDoubleSpacing"/>
        <w:widowControl w:val="0"/>
      </w:pPr>
      <w:r>
        <w:rPr>
          <w:rStyle w:val="SCCCounselNameChar"/>
          <w:i w:val="0"/>
        </w:rPr>
        <w:tab/>
      </w:r>
      <w:r w:rsidR="00304773">
        <w:rPr>
          <w:rStyle w:val="SCCCounselNameChar"/>
        </w:rPr>
        <w:t>Melanie Hayes-Richard</w:t>
      </w:r>
      <w:r w:rsidR="006C602E">
        <w:rPr>
          <w:rStyle w:val="SCCCounselNameChar"/>
        </w:rPr>
        <w:t>s</w:t>
      </w:r>
      <w:r w:rsidR="00304773">
        <w:rPr>
          <w:rStyle w:val="SCCCounselPartyRoleChar"/>
        </w:rPr>
        <w:t>, for the respondent.</w:t>
      </w:r>
    </w:p>
    <w:p w:rsidR="009F3071" w:rsidRDefault="009F3071" w:rsidP="00565C88">
      <w:pPr>
        <w:pStyle w:val="SCCNormalDoubleSpacing"/>
        <w:widowControl w:val="0"/>
      </w:pPr>
    </w:p>
    <w:p w:rsidR="00F56B13" w:rsidRDefault="0058473F" w:rsidP="00565C88">
      <w:pPr>
        <w:pStyle w:val="SCCNormalDoubleSpacing"/>
        <w:widowControl w:val="0"/>
        <w:spacing w:after="480"/>
      </w:pPr>
      <w:r>
        <w:tab/>
        <w:t>The judgment of the Court was delivered orally by</w:t>
      </w:r>
    </w:p>
    <w:p w:rsidR="0058473F" w:rsidRDefault="0058473F" w:rsidP="00565C88">
      <w:pPr>
        <w:pStyle w:val="SCCNormalDoubleSpacing"/>
        <w:widowControl w:val="0"/>
        <w:spacing w:after="480"/>
      </w:pPr>
      <w:r>
        <w:lastRenderedPageBreak/>
        <w:t>[1]</w:t>
      </w:r>
      <w:r>
        <w:tab/>
      </w:r>
      <w:r w:rsidRPr="0058473F">
        <w:rPr>
          <w:smallCaps/>
        </w:rPr>
        <w:t>Moldaver J.</w:t>
      </w:r>
      <w:r>
        <w:t xml:space="preserve"> — A majority of the Court would allow the appeal and restore the acquittal substantially for the reasons of O’Ferrall J.A. Moldaver and Gascon JJ. would dismiss the appeal substantially for the reasons of Brown J.A.</w:t>
      </w:r>
    </w:p>
    <w:p w:rsidR="0058473F" w:rsidRDefault="0058473F" w:rsidP="00565C88">
      <w:pPr>
        <w:pStyle w:val="SCCNormalDoubleSpacing"/>
        <w:widowControl w:val="0"/>
        <w:spacing w:after="480"/>
      </w:pPr>
      <w:r>
        <w:t>[2]</w:t>
      </w:r>
      <w:r>
        <w:tab/>
      </w:r>
      <w:r w:rsidRPr="0058473F">
        <w:t>In the result, the appeal is allowed and the acquittal is restored.</w:t>
      </w:r>
    </w:p>
    <w:p w:rsidR="009B57B3" w:rsidRDefault="00F56B13" w:rsidP="00565C88">
      <w:pPr>
        <w:pStyle w:val="SCCNormalDoubleSpacing"/>
        <w:widowControl w:val="0"/>
      </w:pPr>
      <w:r>
        <w:tab/>
      </w:r>
      <w:r>
        <w:rPr>
          <w:i/>
        </w:rPr>
        <w:t>Judgment accordingly.</w:t>
      </w:r>
    </w:p>
    <w:p w:rsidR="00A149DF" w:rsidRPr="001426A9" w:rsidRDefault="00A149DF" w:rsidP="00565C88">
      <w:pPr>
        <w:pStyle w:val="SCCNormalDoubleSpacing"/>
        <w:widowControl w:val="0"/>
      </w:pPr>
    </w:p>
    <w:p w:rsidR="009F3071" w:rsidRDefault="00304773" w:rsidP="00565C88">
      <w:pPr>
        <w:pStyle w:val="SCCLawFirm"/>
        <w:widowControl w:val="0"/>
      </w:pPr>
      <w:r>
        <w:tab/>
        <w:t xml:space="preserve">Solicitors for the appellant: </w:t>
      </w:r>
      <w:r w:rsidR="004A2056">
        <w:t>Hatch McClelland Moore</w:t>
      </w:r>
      <w:r>
        <w:t>, Edmonton.</w:t>
      </w:r>
    </w:p>
    <w:p w:rsidR="009F3071" w:rsidRDefault="009F3071" w:rsidP="00565C88">
      <w:pPr>
        <w:pStyle w:val="SCCLawFirm"/>
        <w:widowControl w:val="0"/>
      </w:pPr>
    </w:p>
    <w:p w:rsidR="009F3071" w:rsidRDefault="00304773" w:rsidP="00565C88">
      <w:pPr>
        <w:pStyle w:val="SCCLawFirm"/>
        <w:widowControl w:val="0"/>
      </w:pPr>
      <w:r>
        <w:tab/>
        <w:t>Solicitor for the respondent: A</w:t>
      </w:r>
      <w:r w:rsidR="006C602E">
        <w:t>ttorney General of Alberta</w:t>
      </w:r>
      <w:r>
        <w:t>, Edmonton.</w:t>
      </w:r>
    </w:p>
    <w:sectPr w:rsidR="009F3071"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927"/>
    <w:rsid w:val="00025198"/>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0538"/>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83A50"/>
    <w:rsid w:val="002B7924"/>
    <w:rsid w:val="002C4083"/>
    <w:rsid w:val="002D28C3"/>
    <w:rsid w:val="002D39A4"/>
    <w:rsid w:val="002E6705"/>
    <w:rsid w:val="00301D08"/>
    <w:rsid w:val="0030329A"/>
    <w:rsid w:val="00304773"/>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2056"/>
    <w:rsid w:val="004A600C"/>
    <w:rsid w:val="004A6118"/>
    <w:rsid w:val="004C478D"/>
    <w:rsid w:val="004E2C26"/>
    <w:rsid w:val="004F36FF"/>
    <w:rsid w:val="004F7E76"/>
    <w:rsid w:val="005125A8"/>
    <w:rsid w:val="00521AE8"/>
    <w:rsid w:val="00527180"/>
    <w:rsid w:val="0054201E"/>
    <w:rsid w:val="00555291"/>
    <w:rsid w:val="00565C88"/>
    <w:rsid w:val="00566AD1"/>
    <w:rsid w:val="005773B9"/>
    <w:rsid w:val="00583EDE"/>
    <w:rsid w:val="0058473F"/>
    <w:rsid w:val="005A6079"/>
    <w:rsid w:val="005E4698"/>
    <w:rsid w:val="00610539"/>
    <w:rsid w:val="00613969"/>
    <w:rsid w:val="00625C35"/>
    <w:rsid w:val="00656313"/>
    <w:rsid w:val="006565F4"/>
    <w:rsid w:val="00664B01"/>
    <w:rsid w:val="00684EEA"/>
    <w:rsid w:val="0069689B"/>
    <w:rsid w:val="006A1551"/>
    <w:rsid w:val="006B5FF5"/>
    <w:rsid w:val="006C602E"/>
    <w:rsid w:val="006F30AF"/>
    <w:rsid w:val="00701759"/>
    <w:rsid w:val="00705C15"/>
    <w:rsid w:val="0071600E"/>
    <w:rsid w:val="007208D1"/>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A073F"/>
    <w:rsid w:val="009A343A"/>
    <w:rsid w:val="009B2F23"/>
    <w:rsid w:val="009B57B3"/>
    <w:rsid w:val="009C5B92"/>
    <w:rsid w:val="009D2920"/>
    <w:rsid w:val="009D5AEB"/>
    <w:rsid w:val="009F0E33"/>
    <w:rsid w:val="009F3071"/>
    <w:rsid w:val="00A030CE"/>
    <w:rsid w:val="00A149DF"/>
    <w:rsid w:val="00A1755C"/>
    <w:rsid w:val="00A21B90"/>
    <w:rsid w:val="00A41805"/>
    <w:rsid w:val="00A42DCD"/>
    <w:rsid w:val="00A44444"/>
    <w:rsid w:val="00A45BAA"/>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81D2E"/>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4EDA"/>
    <w:rsid w:val="00E56A44"/>
    <w:rsid w:val="00E60269"/>
    <w:rsid w:val="00E77932"/>
    <w:rsid w:val="00E97830"/>
    <w:rsid w:val="00EE643C"/>
    <w:rsid w:val="00EF0683"/>
    <w:rsid w:val="00EF69D2"/>
    <w:rsid w:val="00EF766E"/>
    <w:rsid w:val="00F0070C"/>
    <w:rsid w:val="00F00EB7"/>
    <w:rsid w:val="00F261DB"/>
    <w:rsid w:val="00F36AB6"/>
    <w:rsid w:val="00F37A09"/>
    <w:rsid w:val="00F409CE"/>
    <w:rsid w:val="00F4379D"/>
    <w:rsid w:val="00F50D2D"/>
    <w:rsid w:val="00F56B13"/>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5773B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773B9"/>
    <w:rPr>
      <w:lang w:val="en-CA"/>
    </w:rPr>
  </w:style>
  <w:style w:type="paragraph" w:customStyle="1" w:styleId="SCCLsocPrefix">
    <w:name w:val="SCC.Lsoc.Prefix"/>
    <w:basedOn w:val="Normal"/>
    <w:next w:val="Normal"/>
    <w:link w:val="SCCLsocPrefixChar"/>
    <w:rsid w:val="005773B9"/>
    <w:rPr>
      <w:rFonts w:eastAsiaTheme="minorHAnsi" w:cstheme="minorBidi"/>
      <w:b/>
      <w:smallCaps/>
      <w:szCs w:val="24"/>
      <w:lang w:eastAsia="en-US"/>
    </w:rPr>
  </w:style>
  <w:style w:type="character" w:customStyle="1" w:styleId="SCCLsocPrefixChar">
    <w:name w:val="SCC.Lsoc.Prefix Char"/>
    <w:basedOn w:val="DefaultParagraphFont"/>
    <w:link w:val="SCCLsocPrefix"/>
    <w:rsid w:val="005773B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2016-01-19T20:56:00Z</dcterms:created>
  <dcterms:modified xsi:type="dcterms:W3CDTF">2016-11-02T18:42:00Z</dcterms:modified>
</cp:coreProperties>
</file>