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CC" w:rsidRDefault="004045CC" w:rsidP="004045C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6" o:title=""/>
          </v:shape>
          <o:OLEObject Type="Embed" ProgID="Presentations.Drawing.13" ShapeID="_x0000_i1025" DrawAspect="Content" ObjectID="_1540104766" r:id="rId7"/>
        </w:object>
      </w:r>
      <w:r>
        <w:t xml:space="preserve"> </w:t>
      </w:r>
      <w:r>
        <w:ptab w:relativeTo="margin" w:alignment="right" w:leader="none"/>
      </w:r>
    </w:p>
    <w:p w:rsidR="004045CC" w:rsidRDefault="004045CC" w:rsidP="004045CC">
      <w:pPr>
        <w:pStyle w:val="Header"/>
      </w:pPr>
    </w:p>
    <w:p w:rsidR="004045CC" w:rsidRPr="006B210C" w:rsidRDefault="004045CC" w:rsidP="004045CC">
      <w:pPr>
        <w:jc w:val="center"/>
        <w:rPr>
          <w:b/>
        </w:rPr>
      </w:pPr>
      <w:r w:rsidRPr="006B210C">
        <w:rPr>
          <w:b/>
        </w:rPr>
        <w:t>SUPREME COURT OF CANADA</w:t>
      </w:r>
    </w:p>
    <w:p w:rsidR="004045CC" w:rsidRDefault="004045CC" w:rsidP="004045CC"/>
    <w:p w:rsidR="004045CC" w:rsidRDefault="004045CC" w:rsidP="004045CC"/>
    <w:p w:rsidR="004045CC" w:rsidRDefault="004045CC" w:rsidP="004045C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045CC" w:rsidRPr="006B210C" w:rsidTr="008C70F8">
        <w:trPr>
          <w:cantSplit/>
        </w:trPr>
        <w:tc>
          <w:tcPr>
            <w:tcW w:w="5130" w:type="dxa"/>
          </w:tcPr>
          <w:p w:rsidR="004045CC" w:rsidRPr="006B210C" w:rsidRDefault="004045CC" w:rsidP="008C70F8">
            <w:pPr>
              <w:ind w:left="-58"/>
            </w:pPr>
            <w:r w:rsidRPr="006B210C">
              <w:rPr>
                <w:b/>
                <w:smallCaps/>
              </w:rPr>
              <w:t>Citation</w:t>
            </w:r>
            <w:r>
              <w:rPr>
                <w:b/>
                <w:smallCaps/>
              </w:rPr>
              <w:t>:</w:t>
            </w:r>
            <w:r w:rsidRPr="006B210C">
              <w:t xml:space="preserve"> </w:t>
            </w:r>
            <w:r>
              <w:t xml:space="preserve">R. </w:t>
            </w:r>
            <w:r w:rsidRPr="00284D61">
              <w:rPr>
                <w:i/>
              </w:rPr>
              <w:t>v.</w:t>
            </w:r>
            <w:r>
              <w:t xml:space="preserve"> Meer, 2016 SCC 5, </w:t>
            </w:r>
            <w:r>
              <w:rPr>
                <w:rStyle w:val="SCCAppellantForRunningHeadChar"/>
              </w:rPr>
              <w:t>[2016] 1 S.C.R. 23</w:t>
            </w:r>
          </w:p>
          <w:p w:rsidR="004045CC" w:rsidRPr="006B210C" w:rsidRDefault="004045CC" w:rsidP="008C70F8"/>
        </w:tc>
        <w:tc>
          <w:tcPr>
            <w:tcW w:w="4446" w:type="dxa"/>
          </w:tcPr>
          <w:p w:rsidR="004045CC" w:rsidRPr="006B210C" w:rsidRDefault="004045CC" w:rsidP="008C70F8">
            <w:pPr>
              <w:ind w:left="302"/>
            </w:pPr>
            <w:r>
              <w:rPr>
                <w:b/>
                <w:smallCaps/>
              </w:rPr>
              <w:t>Appeal heard:</w:t>
            </w:r>
            <w:r w:rsidRPr="006B210C">
              <w:t xml:space="preserve"> </w:t>
            </w:r>
            <w:r>
              <w:t>January 21, 2016</w:t>
            </w:r>
          </w:p>
          <w:p w:rsidR="004045CC" w:rsidRDefault="004045CC" w:rsidP="008C70F8">
            <w:pPr>
              <w:ind w:left="392" w:hanging="90"/>
            </w:pPr>
            <w:r>
              <w:rPr>
                <w:b/>
                <w:smallCaps/>
              </w:rPr>
              <w:t>Judgment rendered</w:t>
            </w:r>
            <w:r w:rsidRPr="0079323E">
              <w:rPr>
                <w:b/>
                <w:smallCaps/>
              </w:rPr>
              <w:t>:</w:t>
            </w:r>
            <w:r w:rsidRPr="0079323E">
              <w:t xml:space="preserve"> </w:t>
            </w:r>
            <w:r>
              <w:t>January 21</w:t>
            </w:r>
            <w:r w:rsidRPr="00991DB3">
              <w:t>, 2016</w:t>
            </w:r>
          </w:p>
          <w:p w:rsidR="004045CC" w:rsidRPr="006B210C" w:rsidRDefault="004045CC" w:rsidP="008C70F8">
            <w:pPr>
              <w:ind w:left="302"/>
            </w:pPr>
            <w:r w:rsidRPr="006B210C">
              <w:rPr>
                <w:b/>
                <w:smallCaps/>
              </w:rPr>
              <w:t>Docket</w:t>
            </w:r>
            <w:r>
              <w:rPr>
                <w:b/>
                <w:smallCaps/>
              </w:rPr>
              <w:t>:</w:t>
            </w:r>
            <w:r w:rsidRPr="006B210C">
              <w:t xml:space="preserve"> </w:t>
            </w:r>
            <w:r>
              <w:t>36448</w:t>
            </w:r>
          </w:p>
        </w:tc>
      </w:tr>
    </w:tbl>
    <w:p w:rsidR="004045CC" w:rsidRPr="006B210C" w:rsidRDefault="004045CC" w:rsidP="004045CC"/>
    <w:p w:rsidR="004045CC" w:rsidRDefault="004045CC" w:rsidP="004045CC">
      <w:pPr>
        <w:pStyle w:val="SCCLsocPrefix"/>
      </w:pPr>
      <w:r>
        <w:t>Between:</w:t>
      </w:r>
    </w:p>
    <w:p w:rsidR="004045CC" w:rsidRDefault="004045CC" w:rsidP="0019368E">
      <w:pPr>
        <w:pStyle w:val="SCCLsocParty"/>
        <w:jc w:val="center"/>
      </w:pPr>
      <w:r>
        <w:t>Jonathan David Meer</w:t>
      </w:r>
    </w:p>
    <w:p w:rsidR="004045CC" w:rsidRDefault="004045CC" w:rsidP="0019368E">
      <w:pPr>
        <w:jc w:val="center"/>
      </w:pPr>
      <w:r>
        <w:t>Appellant</w:t>
      </w:r>
    </w:p>
    <w:p w:rsidR="0019368E" w:rsidRDefault="0019368E" w:rsidP="0019368E">
      <w:pPr>
        <w:jc w:val="center"/>
      </w:pPr>
    </w:p>
    <w:p w:rsidR="004045CC" w:rsidRDefault="0019368E" w:rsidP="0019368E">
      <w:pPr>
        <w:pStyle w:val="SCCLsocVersus"/>
        <w:spacing w:after="0"/>
        <w:jc w:val="center"/>
        <w:rPr>
          <w:i w:val="0"/>
        </w:rPr>
      </w:pPr>
      <w:r>
        <w:rPr>
          <w:i w:val="0"/>
        </w:rPr>
        <w:t>a</w:t>
      </w:r>
      <w:bookmarkStart w:id="0" w:name="_GoBack"/>
      <w:bookmarkEnd w:id="0"/>
      <w:r w:rsidR="004045CC" w:rsidRPr="004045CC">
        <w:rPr>
          <w:i w:val="0"/>
        </w:rPr>
        <w:t>nd</w:t>
      </w:r>
    </w:p>
    <w:p w:rsidR="0019368E" w:rsidRPr="0019368E" w:rsidRDefault="0019368E" w:rsidP="0019368E"/>
    <w:p w:rsidR="004045CC" w:rsidRDefault="004045CC" w:rsidP="0019368E">
      <w:pPr>
        <w:pStyle w:val="SCCLsocParty"/>
        <w:jc w:val="center"/>
      </w:pPr>
      <w:r>
        <w:t>Her Majesty The Queen</w:t>
      </w:r>
    </w:p>
    <w:p w:rsidR="004045CC" w:rsidRDefault="004045CC" w:rsidP="0019368E">
      <w:pPr>
        <w:jc w:val="center"/>
      </w:pPr>
      <w:r>
        <w:t>Respondent</w:t>
      </w:r>
    </w:p>
    <w:p w:rsidR="004045CC" w:rsidRDefault="004045CC" w:rsidP="004045CC"/>
    <w:p w:rsidR="004045CC" w:rsidRPr="006B210C" w:rsidRDefault="004045CC" w:rsidP="004045CC"/>
    <w:p w:rsidR="004045CC" w:rsidRPr="006B210C" w:rsidRDefault="004045CC" w:rsidP="004045CC">
      <w:r w:rsidRPr="006B210C">
        <w:rPr>
          <w:b/>
          <w:smallCaps/>
        </w:rPr>
        <w:t>Coram</w:t>
      </w:r>
      <w:r>
        <w:rPr>
          <w:b/>
          <w:smallCaps/>
        </w:rPr>
        <w:t>:</w:t>
      </w:r>
      <w:r w:rsidRPr="006B210C">
        <w:t xml:space="preserve"> </w:t>
      </w:r>
      <w:r>
        <w:t>McLachlin C.J. and Abella, Cromwell, Moldaver, Karakatsanis, Wagner and Gascon JJ.</w:t>
      </w:r>
    </w:p>
    <w:p w:rsidR="004045CC" w:rsidRPr="006B210C" w:rsidRDefault="004045CC" w:rsidP="004045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045CC" w:rsidRPr="006B210C" w:rsidTr="008C70F8">
        <w:trPr>
          <w:cantSplit/>
        </w:trPr>
        <w:tc>
          <w:tcPr>
            <w:tcW w:w="3618" w:type="dxa"/>
          </w:tcPr>
          <w:p w:rsidR="004045CC" w:rsidRDefault="004045CC" w:rsidP="008C70F8">
            <w:pPr>
              <w:rPr>
                <w:b/>
                <w:smallCaps/>
              </w:rPr>
            </w:pPr>
            <w:r w:rsidRPr="006B210C">
              <w:rPr>
                <w:b/>
                <w:smallCaps/>
              </w:rPr>
              <w:t>Reasons for Judgment</w:t>
            </w:r>
            <w:r>
              <w:rPr>
                <w:b/>
                <w:smallCaps/>
              </w:rPr>
              <w:t>:</w:t>
            </w:r>
          </w:p>
          <w:p w:rsidR="004045CC" w:rsidRPr="000406C6" w:rsidRDefault="004045CC" w:rsidP="00753F4A">
            <w:r w:rsidRPr="000406C6">
              <w:t xml:space="preserve">(paras. 1 to </w:t>
            </w:r>
            <w:r w:rsidR="00753F4A">
              <w:t>4</w:t>
            </w:r>
            <w:r w:rsidRPr="000406C6">
              <w:t>)</w:t>
            </w:r>
          </w:p>
        </w:tc>
        <w:tc>
          <w:tcPr>
            <w:tcW w:w="5958" w:type="dxa"/>
          </w:tcPr>
          <w:p w:rsidR="004045CC" w:rsidRPr="006B210C" w:rsidRDefault="004045CC" w:rsidP="008C70F8">
            <w:r>
              <w:t>McLachlin C.J. (Abella, Cromwell, Moldaver, Karakatsanis, Wagner and Gascon JJ. concurring)</w:t>
            </w:r>
          </w:p>
        </w:tc>
      </w:tr>
    </w:tbl>
    <w:p w:rsidR="004045CC" w:rsidRDefault="004045CC" w:rsidP="004045CC"/>
    <w:p w:rsidR="004045CC" w:rsidRPr="006B210C" w:rsidRDefault="004045CC" w:rsidP="004045CC">
      <w:r>
        <w:rPr>
          <w:noProof/>
          <w:lang w:val="en-US" w:eastAsia="en-US"/>
        </w:rPr>
        <mc:AlternateContent>
          <mc:Choice Requires="wps">
            <w:drawing>
              <wp:anchor distT="0" distB="0" distL="114300" distR="114300" simplePos="0" relativeHeight="251659264" behindDoc="0" locked="0" layoutInCell="1" allowOverlap="1" wp14:anchorId="6A927E7D" wp14:editId="110B837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28E6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045CC" w:rsidRDefault="004045CC" w:rsidP="00363C5C">
      <w:pPr>
        <w:widowControl w:val="0"/>
        <w:spacing w:after="720"/>
        <w:jc w:val="both"/>
        <w:rPr>
          <w:rStyle w:val="SCCAppellantForRunningHeadChar"/>
          <w:smallCaps w:val="0"/>
        </w:rPr>
      </w:pPr>
    </w:p>
    <w:p w:rsidR="008322BD" w:rsidRPr="001426A9" w:rsidRDefault="007F1B39" w:rsidP="00363C5C">
      <w:pPr>
        <w:widowControl w:val="0"/>
        <w:spacing w:after="720"/>
        <w:jc w:val="both"/>
      </w:pPr>
      <w:r>
        <w:rPr>
          <w:rStyle w:val="SCCAppellantForRunningHeadChar"/>
          <w:smallCaps w:val="0"/>
        </w:rPr>
        <w:t>R</w:t>
      </w:r>
      <w:r w:rsidR="00AB05F1" w:rsidRPr="007F1B39">
        <w:rPr>
          <w:rStyle w:val="SCCAppellantForRunningHeadChar"/>
          <w:smallCaps w:val="0"/>
        </w:rPr>
        <w:t xml:space="preserve">. </w:t>
      </w:r>
      <w:r w:rsidR="00AB05F1" w:rsidRPr="007F1B39">
        <w:rPr>
          <w:rStyle w:val="SCCAppellantForRunningHeadChar"/>
          <w:i/>
          <w:smallCaps w:val="0"/>
        </w:rPr>
        <w:t>v.</w:t>
      </w:r>
      <w:r>
        <w:rPr>
          <w:rStyle w:val="SCCAppellantForRunningHeadChar"/>
          <w:smallCaps w:val="0"/>
        </w:rPr>
        <w:t xml:space="preserve"> M</w:t>
      </w:r>
      <w:r w:rsidR="008F78E9" w:rsidRPr="007F1B39">
        <w:rPr>
          <w:rStyle w:val="SCCAppellantForRunningHeadChar"/>
          <w:smallCaps w:val="0"/>
        </w:rPr>
        <w:t>eer</w:t>
      </w:r>
      <w:r>
        <w:rPr>
          <w:rStyle w:val="SCCAppellantForRunningHeadChar"/>
        </w:rPr>
        <w:t xml:space="preserve">, </w:t>
      </w:r>
      <w:r>
        <w:t xml:space="preserve">2016 SCC 5, [2016] </w:t>
      </w:r>
      <w:r w:rsidR="00704FEB">
        <w:t xml:space="preserve">1 </w:t>
      </w:r>
      <w:r>
        <w:t>S.C.R. 23</w:t>
      </w:r>
    </w:p>
    <w:p w:rsidR="00852CE7" w:rsidRDefault="00095B31" w:rsidP="00363C5C">
      <w:pPr>
        <w:pStyle w:val="SCCLsocLastPartyInRole"/>
        <w:widowControl w:val="0"/>
      </w:pPr>
      <w:r>
        <w:t>Jonathan David Meer</w:t>
      </w:r>
      <w:r>
        <w:rPr>
          <w:rStyle w:val="SCCLsocPartyRole"/>
        </w:rPr>
        <w:tab/>
        <w:t>Appellant</w:t>
      </w:r>
    </w:p>
    <w:p w:rsidR="00852CE7" w:rsidRDefault="00095B31" w:rsidP="00363C5C">
      <w:pPr>
        <w:pStyle w:val="SCCLsocVersus"/>
        <w:widowControl w:val="0"/>
      </w:pPr>
      <w:r>
        <w:t>v.</w:t>
      </w:r>
    </w:p>
    <w:p w:rsidR="00852CE7" w:rsidRDefault="00AB05F1" w:rsidP="00363C5C">
      <w:pPr>
        <w:pStyle w:val="SCCLsocLastPartyInRole"/>
        <w:widowControl w:val="0"/>
      </w:pPr>
      <w:r>
        <w:t>Her Majesty T</w:t>
      </w:r>
      <w:r w:rsidR="00095B31">
        <w:t>he Queen</w:t>
      </w:r>
      <w:r w:rsidR="00095B31">
        <w:rPr>
          <w:rStyle w:val="SCCLsocPartyRole"/>
        </w:rPr>
        <w:tab/>
        <w:t>Respondent</w:t>
      </w:r>
    </w:p>
    <w:p w:rsidR="00426659" w:rsidRPr="00426659" w:rsidRDefault="00426659" w:rsidP="00363C5C">
      <w:pPr>
        <w:widowControl w:val="0"/>
        <w:spacing w:after="720"/>
        <w:jc w:val="both"/>
        <w:rPr>
          <w:b/>
        </w:rPr>
      </w:pPr>
      <w:r w:rsidRPr="00426659">
        <w:rPr>
          <w:b/>
        </w:rPr>
        <w:lastRenderedPageBreak/>
        <w:t>Indexed as:</w:t>
      </w:r>
      <w:r>
        <w:rPr>
          <w:b/>
        </w:rPr>
        <w:t xml:space="preserve"> </w:t>
      </w:r>
      <w:r w:rsidR="00AB05F1">
        <w:rPr>
          <w:b/>
        </w:rPr>
        <w:t xml:space="preserve">R. </w:t>
      </w:r>
      <w:r w:rsidR="00AB05F1" w:rsidRPr="00AB05F1">
        <w:rPr>
          <w:b/>
          <w:i/>
        </w:rPr>
        <w:t>v.</w:t>
      </w:r>
      <w:r w:rsidR="00AB05F1">
        <w:rPr>
          <w:b/>
        </w:rPr>
        <w:t xml:space="preserve"> </w:t>
      </w:r>
      <w:r>
        <w:rPr>
          <w:rStyle w:val="SCCAppellantForIndexChar"/>
        </w:rPr>
        <w:t>Meer</w:t>
      </w:r>
    </w:p>
    <w:p w:rsidR="00426659" w:rsidRPr="00C02092" w:rsidRDefault="00AE4535" w:rsidP="00363C5C">
      <w:pPr>
        <w:pStyle w:val="SCCSystemYear"/>
        <w:widowControl w:val="0"/>
        <w:spacing w:after="720"/>
        <w:jc w:val="both"/>
      </w:pPr>
      <w:r>
        <w:t>2016</w:t>
      </w:r>
      <w:r w:rsidR="003D0399">
        <w:t xml:space="preserve"> </w:t>
      </w:r>
      <w:r w:rsidR="00AB05F1">
        <w:t>SCC 5</w:t>
      </w:r>
    </w:p>
    <w:p w:rsidR="008322BD" w:rsidRDefault="00AB05F1" w:rsidP="00363C5C">
      <w:pPr>
        <w:widowControl w:val="0"/>
        <w:spacing w:after="720"/>
        <w:jc w:val="both"/>
      </w:pPr>
      <w:r>
        <w:t xml:space="preserve">File No.: </w:t>
      </w:r>
      <w:r w:rsidR="009B57B3">
        <w:t>36448</w:t>
      </w:r>
      <w:r w:rsidR="009B57B3" w:rsidRPr="001426A9">
        <w:t>.</w:t>
      </w:r>
    </w:p>
    <w:p w:rsidR="008322BD" w:rsidRDefault="00AB05F1" w:rsidP="00363C5C">
      <w:pPr>
        <w:widowControl w:val="0"/>
        <w:spacing w:after="720"/>
        <w:jc w:val="both"/>
      </w:pPr>
      <w:r>
        <w:t xml:space="preserve">2016: </w:t>
      </w:r>
      <w:r w:rsidR="00AE4535">
        <w:t>January 21</w:t>
      </w:r>
      <w:r>
        <w:t>.</w:t>
      </w:r>
    </w:p>
    <w:p w:rsidR="008322BD" w:rsidRDefault="00AB05F1" w:rsidP="00363C5C">
      <w:pPr>
        <w:widowControl w:val="0"/>
        <w:spacing w:after="720"/>
        <w:jc w:val="both"/>
      </w:pPr>
      <w:r>
        <w:t xml:space="preserve">Present: </w:t>
      </w:r>
      <w:r w:rsidR="009B57B3">
        <w:t>McLachlin C.J. and Abella, Cromwell, Moldaver, Karakatsanis, Wagner and Gascon JJ.</w:t>
      </w:r>
    </w:p>
    <w:p w:rsidR="008322BD" w:rsidRPr="001C779F" w:rsidRDefault="00656313" w:rsidP="00363C5C">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AB05F1">
        <w:t>or</w:t>
      </w:r>
      <w:r w:rsidR="009B57B3">
        <w:t xml:space="preserve"> alberta</w:t>
      </w:r>
    </w:p>
    <w:p w:rsidR="003A4C70" w:rsidRPr="001426A9" w:rsidRDefault="003A4C70" w:rsidP="00363C5C">
      <w:pPr>
        <w:pStyle w:val="SCCNormalDoubleSpacing"/>
        <w:widowControl w:val="0"/>
      </w:pPr>
    </w:p>
    <w:p w:rsidR="008322BD" w:rsidRPr="00DF7CBF" w:rsidRDefault="009B57B3" w:rsidP="00363C5C">
      <w:pPr>
        <w:pStyle w:val="SCCNormalDoubleSpacing"/>
        <w:widowControl w:val="0"/>
        <w:rPr>
          <w:i/>
        </w:rPr>
      </w:pPr>
      <w:r w:rsidRPr="00583EDE">
        <w:tab/>
      </w:r>
      <w:r w:rsidR="00CA0B80">
        <w:rPr>
          <w:i/>
        </w:rPr>
        <w:t>Criminal law — Trial — E</w:t>
      </w:r>
      <w:r w:rsidR="00DF7CBF" w:rsidRPr="00DF7CBF">
        <w:rPr>
          <w:i/>
        </w:rPr>
        <w:t>ffective assistance of counsel — Accused challenging competence of his trial counsel — Majority of Court of Appeal correct in rejecting accused’s submissions of ineffective assistance — No miscarriage of justice occurred.</w:t>
      </w:r>
    </w:p>
    <w:p w:rsidR="00A149DF" w:rsidRDefault="00A149DF" w:rsidP="00363C5C">
      <w:pPr>
        <w:pStyle w:val="SCCNormalDoubleSpacing"/>
        <w:widowControl w:val="0"/>
      </w:pPr>
    </w:p>
    <w:p w:rsidR="007E1C47" w:rsidRDefault="002E6705" w:rsidP="00363C5C">
      <w:pPr>
        <w:pStyle w:val="SCCNormalDoubleSpacing"/>
        <w:widowControl w:val="0"/>
        <w:rPr>
          <w:b/>
        </w:rPr>
      </w:pPr>
      <w:r w:rsidRPr="00314E01">
        <w:rPr>
          <w:b/>
        </w:rPr>
        <w:t>Cases Cited</w:t>
      </w:r>
    </w:p>
    <w:p w:rsidR="00A149DF" w:rsidRPr="00613969" w:rsidRDefault="00A149DF" w:rsidP="00363C5C">
      <w:pPr>
        <w:pStyle w:val="SCCNormalDoubleSpacing"/>
        <w:widowControl w:val="0"/>
      </w:pPr>
    </w:p>
    <w:p w:rsidR="004E2C26" w:rsidRPr="007E1C47" w:rsidRDefault="002E6705" w:rsidP="00363C5C">
      <w:pPr>
        <w:pStyle w:val="SCCNormalDoubleSpacing"/>
        <w:widowControl w:val="0"/>
      </w:pPr>
      <w:r>
        <w:tab/>
      </w:r>
      <w:r w:rsidRPr="00314E01">
        <w:rPr>
          <w:b/>
        </w:rPr>
        <w:t>Referred to:</w:t>
      </w:r>
      <w:r w:rsidR="00BD0E9E" w:rsidRPr="00BD0E9E">
        <w:t xml:space="preserve"> </w:t>
      </w:r>
      <w:r w:rsidR="00AB05F1" w:rsidRPr="00AB05F1">
        <w:rPr>
          <w:i/>
        </w:rPr>
        <w:t>R. v. G.D.B.</w:t>
      </w:r>
      <w:r w:rsidR="00AB05F1" w:rsidRPr="00AB05F1">
        <w:t>, 2000 SCC 22, [2000] 1 S.C.R. 520</w:t>
      </w:r>
      <w:r w:rsidR="00AB05F1">
        <w:t>.</w:t>
      </w:r>
    </w:p>
    <w:p w:rsidR="00A149DF" w:rsidRDefault="00A149DF" w:rsidP="00363C5C">
      <w:pPr>
        <w:pStyle w:val="SCCNormalDoubleSpacing"/>
        <w:widowControl w:val="0"/>
      </w:pPr>
    </w:p>
    <w:p w:rsidR="00656313" w:rsidRDefault="00AB05F1" w:rsidP="00363C5C">
      <w:pPr>
        <w:pStyle w:val="SCCNormalDoubleSpacing"/>
        <w:widowControl w:val="0"/>
      </w:pPr>
      <w:r>
        <w:tab/>
      </w:r>
      <w:r w:rsidR="009B57B3" w:rsidRPr="001426A9">
        <w:t xml:space="preserve">APPEAL from a judgment of the </w:t>
      </w:r>
      <w:r>
        <w:t xml:space="preserve">Alberta </w:t>
      </w:r>
      <w:r w:rsidR="009B57B3">
        <w:t>Court of Appeal</w:t>
      </w:r>
      <w:r w:rsidR="00FF28B0">
        <w:t xml:space="preserve"> (Berger, </w:t>
      </w:r>
      <w:r w:rsidR="00FF28B0" w:rsidRPr="00FF28B0">
        <w:t>Slatter and Wakeling JJ.A</w:t>
      </w:r>
      <w:r w:rsidR="00FF28B0">
        <w:t>.)</w:t>
      </w:r>
      <w:r>
        <w:t xml:space="preserve">, </w:t>
      </w:r>
      <w:r w:rsidR="00C717FF" w:rsidRPr="00C717FF">
        <w:t>2015 ABCA 141, 600 A.R. 66, 15 Alta. L.R. (6th) 291, 323 C.C.C. (3d) 98, 645 W.A.C. 66, [2015] 8 W.W.R. 24, [2015] A.J. No. 411 (QL), 2015 CarswellAlta 652 (WL Can.),</w:t>
      </w:r>
      <w:r w:rsidR="00C717FF">
        <w:t xml:space="preserve"> </w:t>
      </w:r>
      <w:r w:rsidR="00C717FF" w:rsidRPr="00C717FF">
        <w:t>affirming the conviction</w:t>
      </w:r>
      <w:r w:rsidR="00C717FF">
        <w:t>s</w:t>
      </w:r>
      <w:r w:rsidR="00C717FF" w:rsidRPr="00C717FF">
        <w:t xml:space="preserve"> entered by </w:t>
      </w:r>
      <w:r w:rsidR="00C717FF">
        <w:t xml:space="preserve">Burrows J., 2010 ABQB 768, </w:t>
      </w:r>
      <w:r w:rsidR="00C717FF" w:rsidRPr="00C717FF">
        <w:t>[2010] A.J. No. 1542</w:t>
      </w:r>
      <w:r w:rsidR="00C717FF">
        <w:t xml:space="preserve"> (QL)</w:t>
      </w:r>
      <w:r w:rsidR="00C717FF" w:rsidRPr="00C717FF">
        <w:t>, 2010 CarswellAlta 2548</w:t>
      </w:r>
      <w:r w:rsidR="00C717FF">
        <w:t xml:space="preserve"> (WL Can.).</w:t>
      </w:r>
      <w:r>
        <w:t xml:space="preserve"> Appeal dismissed.</w:t>
      </w:r>
    </w:p>
    <w:p w:rsidR="00656313" w:rsidRDefault="00656313" w:rsidP="00363C5C">
      <w:pPr>
        <w:pStyle w:val="SCCNormalDoubleSpacing"/>
        <w:widowControl w:val="0"/>
      </w:pPr>
    </w:p>
    <w:p w:rsidR="00852CE7" w:rsidRDefault="00EC0D39" w:rsidP="00363C5C">
      <w:pPr>
        <w:pStyle w:val="SCCNormalDoubleSpacing"/>
        <w:widowControl w:val="0"/>
      </w:pPr>
      <w:r>
        <w:rPr>
          <w:rStyle w:val="SCCCounselNameChar"/>
          <w:i w:val="0"/>
        </w:rPr>
        <w:tab/>
      </w:r>
      <w:r>
        <w:rPr>
          <w:rStyle w:val="SCCCounselNameChar"/>
        </w:rPr>
        <w:t>Dale </w:t>
      </w:r>
      <w:r w:rsidR="00095B31">
        <w:rPr>
          <w:rStyle w:val="SCCCounselNameChar"/>
        </w:rPr>
        <w:t>M. Knisely</w:t>
      </w:r>
      <w:r w:rsidR="00095B31">
        <w:rPr>
          <w:rStyle w:val="SCCCounselPartyRoleChar"/>
        </w:rPr>
        <w:t>, for the appellant.</w:t>
      </w:r>
    </w:p>
    <w:p w:rsidR="00852CE7" w:rsidRDefault="00852CE7" w:rsidP="00363C5C">
      <w:pPr>
        <w:pStyle w:val="SCCNormalDoubleSpacing"/>
        <w:widowControl w:val="0"/>
      </w:pPr>
    </w:p>
    <w:p w:rsidR="00852CE7" w:rsidRDefault="00EC0D39" w:rsidP="00363C5C">
      <w:pPr>
        <w:pStyle w:val="SCCNormalDoubleSpacing"/>
        <w:widowControl w:val="0"/>
      </w:pPr>
      <w:r>
        <w:rPr>
          <w:rStyle w:val="SCCCounselNameChar"/>
          <w:i w:val="0"/>
        </w:rPr>
        <w:tab/>
      </w:r>
      <w:r w:rsidR="00095B31">
        <w:rPr>
          <w:rStyle w:val="SCCCounselNameChar"/>
        </w:rPr>
        <w:t>Maureen McGuire</w:t>
      </w:r>
      <w:r w:rsidR="00095B31">
        <w:rPr>
          <w:rStyle w:val="SCCCounselSeparatorChar"/>
        </w:rPr>
        <w:t xml:space="preserve"> and </w:t>
      </w:r>
      <w:r w:rsidR="00095B31">
        <w:rPr>
          <w:rStyle w:val="SCCCounselNameChar"/>
        </w:rPr>
        <w:t>Cheryl Schlecker</w:t>
      </w:r>
      <w:r w:rsidR="00095B31">
        <w:rPr>
          <w:rStyle w:val="SCCCounselPartyRoleChar"/>
        </w:rPr>
        <w:t>, for the respondent.</w:t>
      </w:r>
    </w:p>
    <w:p w:rsidR="00852CE7" w:rsidRDefault="00852CE7" w:rsidP="00363C5C">
      <w:pPr>
        <w:pStyle w:val="SCCNormalDoubleSpacing"/>
        <w:widowControl w:val="0"/>
      </w:pPr>
    </w:p>
    <w:p w:rsidR="00AB05F1" w:rsidRDefault="00AB05F1" w:rsidP="00363C5C">
      <w:pPr>
        <w:pStyle w:val="SCCNormalDoubleSpacing"/>
        <w:widowControl w:val="0"/>
        <w:spacing w:after="480"/>
      </w:pPr>
      <w:r>
        <w:tab/>
        <w:t>The judgment of the Court was delivered orally by</w:t>
      </w:r>
    </w:p>
    <w:p w:rsidR="00AB05F1" w:rsidRDefault="00AB05F1" w:rsidP="00363C5C">
      <w:pPr>
        <w:pStyle w:val="SCCNormalDoubleSpacing"/>
        <w:widowControl w:val="0"/>
        <w:spacing w:after="480"/>
      </w:pPr>
      <w:r>
        <w:t>[1]</w:t>
      </w:r>
      <w:r>
        <w:tab/>
      </w:r>
      <w:r w:rsidRPr="00AB05F1">
        <w:rPr>
          <w:smallCaps/>
        </w:rPr>
        <w:t>The Chief Justice</w:t>
      </w:r>
      <w:r>
        <w:t xml:space="preserve"> — </w:t>
      </w:r>
      <w:r w:rsidR="00095B31" w:rsidRPr="00514854">
        <w:rPr>
          <w:lang w:val="en-US"/>
        </w:rPr>
        <w:t>This appeal as of right comes to us based on the dissent of Berger J.A. in the Court of Appeal of Alberta. The learned Justice of Appeal was of the view that trial counsel’s conduct of the case (not counsel before us) was “woefully incompetent” and that “it cannot be safely concluded that the appellant received a fair trial”: reasons on appeal, at para. 153 (2015 ABCA 141, 600 A.R. 66).</w:t>
      </w:r>
    </w:p>
    <w:p w:rsidR="00AB05F1" w:rsidRDefault="00EC0D39" w:rsidP="00363C5C">
      <w:pPr>
        <w:pStyle w:val="SCCNormalDoubleSpacing"/>
        <w:widowControl w:val="0"/>
        <w:spacing w:after="480"/>
      </w:pPr>
      <w:r>
        <w:t>[2]</w:t>
      </w:r>
      <w:r>
        <w:tab/>
      </w:r>
      <w:r w:rsidR="00095B31" w:rsidRPr="00514854">
        <w:rPr>
          <w:lang w:val="en-US"/>
        </w:rPr>
        <w:t xml:space="preserve">We are all of the view that the appeal must be dismissed. To succeed in setting aside a trial verdict on the basis of the ineffective assistance of counsel, the appellant must show “first, that counsel’s acts or omissions constituted incompetence and second, that a miscarriage of justice resulted”: </w:t>
      </w:r>
      <w:r w:rsidR="00095B31" w:rsidRPr="00514854">
        <w:rPr>
          <w:i/>
          <w:lang w:val="en-US"/>
        </w:rPr>
        <w:t>R. v. G.D.B</w:t>
      </w:r>
      <w:r w:rsidR="00095B31" w:rsidRPr="00514854">
        <w:rPr>
          <w:lang w:val="en-US"/>
        </w:rPr>
        <w:t>., 2000 SCC 22, [2000] 1 S.C.R. 520, at para. 26. Aside from finding that “[c]ounsel’s ineffectiveness pertains to critical aspects of the trial”, the learned dissenting Justice did not indicate how the instances which he identified of counsel’s incompetence had occasioned a miscarriage of justice: reasons on appeal, at para. 153.</w:t>
      </w:r>
    </w:p>
    <w:p w:rsidR="00EC0D39" w:rsidRDefault="00EC0D39" w:rsidP="00363C5C">
      <w:pPr>
        <w:pStyle w:val="SCCNormalDoubleSpacing"/>
        <w:widowControl w:val="0"/>
        <w:spacing w:after="480"/>
      </w:pPr>
      <w:r>
        <w:t>[3]</w:t>
      </w:r>
      <w:r>
        <w:tab/>
      </w:r>
      <w:r w:rsidR="00095B31" w:rsidRPr="00514854">
        <w:t xml:space="preserve">As this Court noted in </w:t>
      </w:r>
      <w:r w:rsidR="00095B31" w:rsidRPr="00514854">
        <w:rPr>
          <w:i/>
        </w:rPr>
        <w:t>G.D.B.</w:t>
      </w:r>
      <w:r w:rsidR="00095B31" w:rsidRPr="00514854">
        <w:t>, miscarriages of justice may take many forms in the context of ineffective assistance of counsel. While the Court of Appeal addressed a wide range of issues, we need comment only on one: we are not persuaded that there was any miscarriage of justice in any of its forms in this case.</w:t>
      </w:r>
    </w:p>
    <w:p w:rsidR="00095B31" w:rsidRDefault="00095B31" w:rsidP="00363C5C">
      <w:pPr>
        <w:pStyle w:val="SCCNormalDoubleSpacing"/>
        <w:widowControl w:val="0"/>
        <w:spacing w:after="480"/>
      </w:pPr>
      <w:r>
        <w:t>[4]</w:t>
      </w:r>
      <w:r>
        <w:tab/>
      </w:r>
      <w:r w:rsidRPr="00514854">
        <w:t>The appeal is dismissed.</w:t>
      </w:r>
    </w:p>
    <w:p w:rsidR="009B57B3" w:rsidRDefault="009B57B3" w:rsidP="00363C5C">
      <w:pPr>
        <w:pStyle w:val="SCCNormalDoubleSpacing"/>
        <w:widowControl w:val="0"/>
      </w:pPr>
      <w:r w:rsidRPr="001426A9">
        <w:tab/>
      </w:r>
      <w:r w:rsidR="00AB05F1">
        <w:rPr>
          <w:i/>
        </w:rPr>
        <w:t>Judgment accordingly.</w:t>
      </w:r>
    </w:p>
    <w:p w:rsidR="00A149DF" w:rsidRPr="001426A9" w:rsidRDefault="00A149DF" w:rsidP="00363C5C">
      <w:pPr>
        <w:pStyle w:val="SCCNormalDoubleSpacing"/>
        <w:widowControl w:val="0"/>
      </w:pPr>
    </w:p>
    <w:p w:rsidR="00852CE7" w:rsidRDefault="00095B31" w:rsidP="00363C5C">
      <w:pPr>
        <w:pStyle w:val="SCCLawFirm"/>
        <w:widowControl w:val="0"/>
      </w:pPr>
      <w:r>
        <w:tab/>
        <w:t xml:space="preserve">Solicitors for the appellant: </w:t>
      </w:r>
      <w:r w:rsidR="00EC0D39">
        <w:t xml:space="preserve">Barr Picard </w:t>
      </w:r>
      <w:r>
        <w:t>Knisely, Edmonton.</w:t>
      </w:r>
    </w:p>
    <w:p w:rsidR="00852CE7" w:rsidRDefault="00852CE7" w:rsidP="00363C5C">
      <w:pPr>
        <w:pStyle w:val="SCCLawFirm"/>
        <w:widowControl w:val="0"/>
      </w:pPr>
    </w:p>
    <w:p w:rsidR="00852CE7" w:rsidRDefault="00095B31" w:rsidP="00363C5C">
      <w:pPr>
        <w:pStyle w:val="SCCLawFirm"/>
        <w:widowControl w:val="0"/>
      </w:pPr>
      <w:r>
        <w:tab/>
        <w:t>Solicitor for the respondent: Attorney General of Alberta, Edmonton.</w:t>
      </w:r>
    </w:p>
    <w:sectPr w:rsidR="00852CE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95B31"/>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368E"/>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3C5C"/>
    <w:rsid w:val="00364B18"/>
    <w:rsid w:val="003A125D"/>
    <w:rsid w:val="003A4C70"/>
    <w:rsid w:val="003B215F"/>
    <w:rsid w:val="003C799C"/>
    <w:rsid w:val="003D0399"/>
    <w:rsid w:val="003E1C71"/>
    <w:rsid w:val="003F327B"/>
    <w:rsid w:val="004045CC"/>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E4698"/>
    <w:rsid w:val="00610539"/>
    <w:rsid w:val="00613969"/>
    <w:rsid w:val="00625C35"/>
    <w:rsid w:val="00656313"/>
    <w:rsid w:val="006565F4"/>
    <w:rsid w:val="00661573"/>
    <w:rsid w:val="00684EEA"/>
    <w:rsid w:val="0069689B"/>
    <w:rsid w:val="006A1551"/>
    <w:rsid w:val="006B5FF5"/>
    <w:rsid w:val="006C7B0D"/>
    <w:rsid w:val="006F30AF"/>
    <w:rsid w:val="00701759"/>
    <w:rsid w:val="00704FEB"/>
    <w:rsid w:val="00705C15"/>
    <w:rsid w:val="0071600E"/>
    <w:rsid w:val="007206AF"/>
    <w:rsid w:val="007208D1"/>
    <w:rsid w:val="00747288"/>
    <w:rsid w:val="00747DD3"/>
    <w:rsid w:val="00753F4A"/>
    <w:rsid w:val="007549C8"/>
    <w:rsid w:val="00754A0B"/>
    <w:rsid w:val="00766D14"/>
    <w:rsid w:val="00767A0F"/>
    <w:rsid w:val="007A05F6"/>
    <w:rsid w:val="007B6F4A"/>
    <w:rsid w:val="007E1C47"/>
    <w:rsid w:val="007E337A"/>
    <w:rsid w:val="007E5C70"/>
    <w:rsid w:val="007F1B39"/>
    <w:rsid w:val="007F2FF5"/>
    <w:rsid w:val="007F3F08"/>
    <w:rsid w:val="00804CC6"/>
    <w:rsid w:val="00817190"/>
    <w:rsid w:val="00820EE5"/>
    <w:rsid w:val="008260E2"/>
    <w:rsid w:val="008322BD"/>
    <w:rsid w:val="00833E0A"/>
    <w:rsid w:val="00834F73"/>
    <w:rsid w:val="00852CE7"/>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05F1"/>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2C06"/>
    <w:rsid w:val="00BD32FF"/>
    <w:rsid w:val="00C02092"/>
    <w:rsid w:val="00C24D91"/>
    <w:rsid w:val="00C53F14"/>
    <w:rsid w:val="00C600CF"/>
    <w:rsid w:val="00C6084F"/>
    <w:rsid w:val="00C62A66"/>
    <w:rsid w:val="00C71458"/>
    <w:rsid w:val="00C717FF"/>
    <w:rsid w:val="00C77613"/>
    <w:rsid w:val="00C828E7"/>
    <w:rsid w:val="00C86719"/>
    <w:rsid w:val="00C921DD"/>
    <w:rsid w:val="00CA0B80"/>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23AE"/>
    <w:rsid w:val="00D95F8E"/>
    <w:rsid w:val="00DA0590"/>
    <w:rsid w:val="00DB7BEA"/>
    <w:rsid w:val="00DC1739"/>
    <w:rsid w:val="00DC1788"/>
    <w:rsid w:val="00DE319C"/>
    <w:rsid w:val="00DF0CA8"/>
    <w:rsid w:val="00DF2B48"/>
    <w:rsid w:val="00DF49A7"/>
    <w:rsid w:val="00DF7CBF"/>
    <w:rsid w:val="00E07EE2"/>
    <w:rsid w:val="00E07FD1"/>
    <w:rsid w:val="00E176D8"/>
    <w:rsid w:val="00E24573"/>
    <w:rsid w:val="00E25E1E"/>
    <w:rsid w:val="00E27EE7"/>
    <w:rsid w:val="00E35404"/>
    <w:rsid w:val="00E45109"/>
    <w:rsid w:val="00E47B7A"/>
    <w:rsid w:val="00E56A44"/>
    <w:rsid w:val="00E60269"/>
    <w:rsid w:val="00E77932"/>
    <w:rsid w:val="00E97830"/>
    <w:rsid w:val="00EC0D39"/>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4045C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045CC"/>
    <w:rPr>
      <w:lang w:val="en-CA"/>
    </w:rPr>
  </w:style>
  <w:style w:type="paragraph" w:customStyle="1" w:styleId="SCCLsocPrefix">
    <w:name w:val="SCC.Lsoc.Prefix"/>
    <w:basedOn w:val="Normal"/>
    <w:next w:val="Normal"/>
    <w:link w:val="SCCLsocPrefixChar"/>
    <w:rsid w:val="004045CC"/>
    <w:rPr>
      <w:rFonts w:eastAsiaTheme="minorHAnsi" w:cstheme="minorBidi"/>
      <w:b/>
      <w:smallCaps/>
      <w:szCs w:val="24"/>
      <w:lang w:eastAsia="en-US"/>
    </w:rPr>
  </w:style>
  <w:style w:type="character" w:customStyle="1" w:styleId="SCCLsocPrefixChar">
    <w:name w:val="SCC.Lsoc.Prefix Char"/>
    <w:basedOn w:val="DefaultParagraphFont"/>
    <w:link w:val="SCCLsocPrefix"/>
    <w:rsid w:val="004045C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2016-01-21T20:09:00Z</dcterms:created>
  <dcterms:modified xsi:type="dcterms:W3CDTF">2016-11-08T15:06:00Z</dcterms:modified>
</cp:coreProperties>
</file>