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B3" w:rsidRPr="003976E7" w:rsidRDefault="009B57B3" w:rsidP="00111DE2">
      <w:pPr>
        <w:pStyle w:val="SCCBanSummary"/>
        <w:rPr>
          <w:lang w:val="fr-CA"/>
        </w:rPr>
      </w:pPr>
    </w:p>
    <w:p w:rsidR="000C3D4B" w:rsidRDefault="000C3D4B" w:rsidP="000C3D4B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540106061" r:id="rId8"/>
        </w:object>
      </w:r>
      <w:r>
        <w:t xml:space="preserve"> </w:t>
      </w:r>
      <w:r>
        <w:ptab w:relativeTo="margin" w:alignment="right" w:leader="none"/>
      </w:r>
    </w:p>
    <w:p w:rsidR="000C3D4B" w:rsidRDefault="000C3D4B" w:rsidP="000C3D4B">
      <w:pPr>
        <w:pStyle w:val="Header"/>
      </w:pPr>
    </w:p>
    <w:p w:rsidR="000C3D4B" w:rsidRPr="006B210C" w:rsidRDefault="000C3D4B" w:rsidP="000C3D4B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0C3D4B" w:rsidRDefault="000C3D4B" w:rsidP="000C3D4B"/>
    <w:p w:rsidR="000C3D4B" w:rsidRDefault="000C3D4B" w:rsidP="000C3D4B"/>
    <w:p w:rsidR="000C3D4B" w:rsidRDefault="000C3D4B" w:rsidP="000C3D4B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0C3D4B" w:rsidRPr="006B210C" w:rsidTr="002C664B">
        <w:trPr>
          <w:cantSplit/>
        </w:trPr>
        <w:tc>
          <w:tcPr>
            <w:tcW w:w="5130" w:type="dxa"/>
          </w:tcPr>
          <w:p w:rsidR="000C3D4B" w:rsidRPr="00481016" w:rsidRDefault="000C3D4B" w:rsidP="002C664B">
            <w:pPr>
              <w:ind w:left="-58"/>
              <w:rPr>
                <w:lang w:val="fr-CA"/>
              </w:rPr>
            </w:pPr>
            <w:r w:rsidRPr="00481016">
              <w:rPr>
                <w:b/>
                <w:smallCaps/>
                <w:lang w:val="fr-CA"/>
              </w:rPr>
              <w:t>Citation:</w:t>
            </w:r>
            <w:r w:rsidRPr="00481016">
              <w:rPr>
                <w:lang w:val="fr-CA"/>
              </w:rPr>
              <w:t xml:space="preserve"> R. </w:t>
            </w:r>
            <w:r w:rsidRPr="00481016">
              <w:rPr>
                <w:i/>
                <w:lang w:val="fr-CA"/>
              </w:rPr>
              <w:t>v.</w:t>
            </w:r>
            <w:r w:rsidRPr="00481016">
              <w:rPr>
                <w:lang w:val="fr-CA"/>
              </w:rPr>
              <w:t xml:space="preserve"> Gagnon, 2016 SCC </w:t>
            </w:r>
            <w:r>
              <w:rPr>
                <w:lang w:val="fr-CA"/>
              </w:rPr>
              <w:t>6</w:t>
            </w:r>
            <w:r w:rsidRPr="00481016">
              <w:rPr>
                <w:lang w:val="fr-CA"/>
              </w:rPr>
              <w:t xml:space="preserve">, </w:t>
            </w:r>
            <w:r>
              <w:rPr>
                <w:rStyle w:val="SCCAppellantForRunningHeadChar"/>
                <w:lang w:val="fr-CA"/>
              </w:rPr>
              <w:t>[2016] 1 S.C.R. 25</w:t>
            </w:r>
          </w:p>
          <w:p w:rsidR="000C3D4B" w:rsidRPr="00481016" w:rsidRDefault="000C3D4B" w:rsidP="002C664B">
            <w:pPr>
              <w:rPr>
                <w:lang w:val="fr-CA"/>
              </w:rPr>
            </w:pPr>
          </w:p>
        </w:tc>
        <w:tc>
          <w:tcPr>
            <w:tcW w:w="4446" w:type="dxa"/>
          </w:tcPr>
          <w:p w:rsidR="000C3D4B" w:rsidRPr="006B210C" w:rsidRDefault="000C3D4B" w:rsidP="002C664B">
            <w:pPr>
              <w:ind w:left="32"/>
            </w:pPr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23, 2016</w:t>
            </w:r>
          </w:p>
          <w:p w:rsidR="000C3D4B" w:rsidRDefault="000C3D4B" w:rsidP="002C664B">
            <w:pPr>
              <w:ind w:left="32"/>
            </w:pPr>
            <w:r>
              <w:rPr>
                <w:b/>
                <w:smallCaps/>
              </w:rPr>
              <w:t>Judgment rendered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February 23</w:t>
            </w:r>
            <w:r w:rsidRPr="00991DB3">
              <w:t>, 2016</w:t>
            </w:r>
          </w:p>
          <w:p w:rsidR="000C3D4B" w:rsidRPr="006B210C" w:rsidRDefault="000C3D4B" w:rsidP="002C664B">
            <w:pPr>
              <w:ind w:left="32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36581</w:t>
            </w:r>
          </w:p>
        </w:tc>
      </w:tr>
    </w:tbl>
    <w:p w:rsidR="000C3D4B" w:rsidRDefault="000C3D4B" w:rsidP="000C3D4B"/>
    <w:p w:rsidR="007B2C6C" w:rsidRPr="006B210C" w:rsidRDefault="007B2C6C" w:rsidP="000C3D4B"/>
    <w:p w:rsidR="000C3D4B" w:rsidRDefault="000C3D4B" w:rsidP="000C3D4B">
      <w:pPr>
        <w:pStyle w:val="SCCLsocPrefix"/>
      </w:pPr>
      <w:r>
        <w:t>Between:</w:t>
      </w:r>
    </w:p>
    <w:p w:rsidR="000C3D4B" w:rsidRDefault="000C3D4B" w:rsidP="003F40A5">
      <w:pPr>
        <w:pStyle w:val="SCCLsocParty"/>
        <w:jc w:val="center"/>
      </w:pPr>
      <w:r>
        <w:t>Frédéric Gagnon</w:t>
      </w:r>
    </w:p>
    <w:p w:rsidR="000C3D4B" w:rsidRDefault="000C3D4B" w:rsidP="003F40A5">
      <w:pPr>
        <w:jc w:val="center"/>
      </w:pPr>
      <w:r>
        <w:t>Appellant</w:t>
      </w:r>
    </w:p>
    <w:p w:rsidR="003F40A5" w:rsidRPr="007167CF" w:rsidRDefault="003F40A5" w:rsidP="003F40A5">
      <w:pPr>
        <w:jc w:val="center"/>
      </w:pPr>
    </w:p>
    <w:p w:rsidR="000C3D4B" w:rsidRDefault="003F40A5" w:rsidP="003F40A5">
      <w:pPr>
        <w:pStyle w:val="SCCLsocVersus"/>
        <w:spacing w:after="0"/>
        <w:jc w:val="center"/>
        <w:rPr>
          <w:i w:val="0"/>
        </w:rPr>
      </w:pPr>
      <w:r>
        <w:rPr>
          <w:i w:val="0"/>
        </w:rPr>
        <w:t>a</w:t>
      </w:r>
      <w:r w:rsidR="000C3D4B" w:rsidRPr="000C3D4B">
        <w:rPr>
          <w:i w:val="0"/>
        </w:rPr>
        <w:t>nd</w:t>
      </w:r>
    </w:p>
    <w:p w:rsidR="003F40A5" w:rsidRPr="003F40A5" w:rsidRDefault="003F40A5" w:rsidP="003F40A5"/>
    <w:p w:rsidR="000C3D4B" w:rsidRDefault="000C3D4B" w:rsidP="003F40A5">
      <w:pPr>
        <w:pStyle w:val="SCCLsocParty"/>
        <w:jc w:val="center"/>
      </w:pPr>
      <w:r>
        <w:t>Her Majesty The Queen</w:t>
      </w:r>
    </w:p>
    <w:p w:rsidR="000C3D4B" w:rsidRDefault="000C3D4B" w:rsidP="003F40A5">
      <w:pPr>
        <w:jc w:val="center"/>
      </w:pPr>
      <w:r>
        <w:t>Respondent</w:t>
      </w:r>
    </w:p>
    <w:p w:rsidR="000C3D4B" w:rsidRDefault="000C3D4B" w:rsidP="000C3D4B"/>
    <w:p w:rsidR="007B2C6C" w:rsidRDefault="007B2C6C" w:rsidP="000C3D4B">
      <w:bookmarkStart w:id="0" w:name="_GoBack"/>
      <w:bookmarkEnd w:id="0"/>
    </w:p>
    <w:p w:rsidR="00031C0D" w:rsidRPr="00031C0D" w:rsidRDefault="00031C0D" w:rsidP="00031C0D">
      <w:pPr>
        <w:jc w:val="center"/>
        <w:rPr>
          <w:b/>
          <w:smallCaps/>
        </w:rPr>
      </w:pPr>
      <w:r w:rsidRPr="00031C0D">
        <w:rPr>
          <w:b/>
          <w:smallCaps/>
        </w:rPr>
        <w:t>Official English Translation</w:t>
      </w:r>
    </w:p>
    <w:p w:rsidR="000C3D4B" w:rsidRPr="00031C0D" w:rsidRDefault="000C3D4B" w:rsidP="000C3D4B">
      <w:pPr>
        <w:rPr>
          <w:b/>
        </w:rPr>
      </w:pPr>
    </w:p>
    <w:p w:rsidR="000C3D4B" w:rsidRPr="006B210C" w:rsidRDefault="000C3D4B" w:rsidP="000C3D4B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Cromwell, Wagner, Gascon, Côté and Brown JJ.</w:t>
      </w:r>
    </w:p>
    <w:p w:rsidR="000C3D4B" w:rsidRPr="006B210C" w:rsidRDefault="000C3D4B" w:rsidP="000C3D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C3D4B" w:rsidRPr="006B210C" w:rsidTr="002C664B">
        <w:trPr>
          <w:cantSplit/>
        </w:trPr>
        <w:tc>
          <w:tcPr>
            <w:tcW w:w="3618" w:type="dxa"/>
          </w:tcPr>
          <w:p w:rsidR="000C3D4B" w:rsidRDefault="000C3D4B" w:rsidP="002C664B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0C3D4B" w:rsidRPr="000406C6" w:rsidRDefault="000C3D4B" w:rsidP="002C664B">
            <w:r>
              <w:t>(para</w:t>
            </w:r>
            <w:r w:rsidRPr="000406C6">
              <w:t>. 1)</w:t>
            </w:r>
          </w:p>
        </w:tc>
        <w:tc>
          <w:tcPr>
            <w:tcW w:w="5958" w:type="dxa"/>
          </w:tcPr>
          <w:p w:rsidR="000C3D4B" w:rsidRPr="006B210C" w:rsidRDefault="000C3D4B" w:rsidP="002C664B">
            <w:r>
              <w:t>Cromwell J. (Wagner, Gascon, Côté and Brown JJ. concurring)</w:t>
            </w:r>
          </w:p>
        </w:tc>
      </w:tr>
    </w:tbl>
    <w:p w:rsidR="000C3D4B" w:rsidRDefault="000C3D4B" w:rsidP="000C3D4B"/>
    <w:p w:rsidR="000C3D4B" w:rsidRPr="006B210C" w:rsidRDefault="000C3D4B" w:rsidP="000C3D4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8B98" wp14:editId="41E2136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C0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0C3D4B" w:rsidRDefault="000C3D4B" w:rsidP="000C3D4B"/>
    <w:p w:rsidR="000C3D4B" w:rsidRPr="000C3D4B" w:rsidRDefault="000C3D4B" w:rsidP="000B72DF">
      <w:pPr>
        <w:spacing w:after="720"/>
        <w:jc w:val="both"/>
      </w:pPr>
    </w:p>
    <w:p w:rsidR="00766D14" w:rsidRPr="00D45733" w:rsidRDefault="00D45733" w:rsidP="000B72DF">
      <w:pPr>
        <w:spacing w:after="720"/>
        <w:jc w:val="both"/>
        <w:rPr>
          <w:lang w:val="fr-CA"/>
        </w:rPr>
      </w:pPr>
      <w:r>
        <w:rPr>
          <w:lang w:val="fr-CA"/>
        </w:rPr>
        <w:t>R</w:t>
      </w:r>
      <w:r w:rsidR="00571B5C" w:rsidRPr="00D45733">
        <w:rPr>
          <w:lang w:val="fr-CA"/>
        </w:rPr>
        <w:t xml:space="preserve">. </w:t>
      </w:r>
      <w:r w:rsidR="00571B5C" w:rsidRPr="00D45733">
        <w:rPr>
          <w:i/>
          <w:lang w:val="fr-CA"/>
        </w:rPr>
        <w:t>v.</w:t>
      </w:r>
      <w:r w:rsidR="00571B5C" w:rsidRPr="00D45733">
        <w:rPr>
          <w:lang w:val="fr-CA"/>
        </w:rPr>
        <w:t xml:space="preserve"> </w:t>
      </w:r>
      <w:r>
        <w:rPr>
          <w:lang w:val="fr-CA"/>
        </w:rPr>
        <w:t>G</w:t>
      </w:r>
      <w:r w:rsidR="00571B5C" w:rsidRPr="00D45733">
        <w:rPr>
          <w:lang w:val="fr-CA"/>
        </w:rPr>
        <w:t>agnon</w:t>
      </w:r>
      <w:r>
        <w:rPr>
          <w:lang w:val="fr-CA"/>
        </w:rPr>
        <w:t xml:space="preserve">, </w:t>
      </w:r>
      <w:r w:rsidRPr="00D45733">
        <w:rPr>
          <w:lang w:val="fr-CA"/>
        </w:rPr>
        <w:t>2016 SCC 6</w:t>
      </w:r>
      <w:r>
        <w:rPr>
          <w:lang w:val="fr-CA"/>
        </w:rPr>
        <w:t>, [2016] 1 S.C.R. 25</w:t>
      </w:r>
    </w:p>
    <w:p w:rsidR="003202B9" w:rsidRPr="000C3D4B" w:rsidRDefault="00CF0AF6" w:rsidP="000B72DF">
      <w:pPr>
        <w:pStyle w:val="SCCLsocLastPartyInRole"/>
        <w:rPr>
          <w:lang w:val="en-US"/>
        </w:rPr>
      </w:pPr>
      <w:r w:rsidRPr="000C3D4B">
        <w:rPr>
          <w:lang w:val="en-US"/>
        </w:rPr>
        <w:t>Frédéric Gagnon</w:t>
      </w:r>
      <w:r w:rsidRPr="000C3D4B">
        <w:rPr>
          <w:rStyle w:val="SCCLsocPartyRole"/>
          <w:lang w:val="en-US"/>
        </w:rPr>
        <w:tab/>
        <w:t>Appellant</w:t>
      </w:r>
    </w:p>
    <w:p w:rsidR="003202B9" w:rsidRPr="000C3D4B" w:rsidRDefault="00CF0AF6" w:rsidP="000B72DF">
      <w:pPr>
        <w:pStyle w:val="SCCLsocVersus"/>
        <w:rPr>
          <w:lang w:val="en-US"/>
        </w:rPr>
      </w:pPr>
      <w:r w:rsidRPr="000C3D4B">
        <w:rPr>
          <w:lang w:val="en-US"/>
        </w:rPr>
        <w:t>v.</w:t>
      </w:r>
    </w:p>
    <w:p w:rsidR="003202B9" w:rsidRPr="000C3D4B" w:rsidRDefault="004A718B" w:rsidP="000B72DF">
      <w:pPr>
        <w:pStyle w:val="SCCLsocLastPartyInRole"/>
        <w:rPr>
          <w:lang w:val="en-US"/>
        </w:rPr>
      </w:pPr>
      <w:r w:rsidRPr="000C3D4B">
        <w:rPr>
          <w:lang w:val="en-US"/>
        </w:rPr>
        <w:t>Her Majesty T</w:t>
      </w:r>
      <w:r w:rsidR="00CF0AF6" w:rsidRPr="000C3D4B">
        <w:rPr>
          <w:lang w:val="en-US"/>
        </w:rPr>
        <w:t>he Queen</w:t>
      </w:r>
      <w:r w:rsidR="00CF0AF6" w:rsidRPr="000C3D4B">
        <w:rPr>
          <w:rStyle w:val="SCCLsocPartyRole"/>
          <w:lang w:val="en-US"/>
        </w:rPr>
        <w:tab/>
        <w:t>Respondent</w:t>
      </w:r>
    </w:p>
    <w:p w:rsidR="00426659" w:rsidRPr="000C3D4B" w:rsidRDefault="00426659" w:rsidP="000B72DF">
      <w:pPr>
        <w:spacing w:after="720"/>
        <w:jc w:val="both"/>
        <w:rPr>
          <w:b/>
          <w:lang w:val="en-US"/>
        </w:rPr>
      </w:pPr>
      <w:r w:rsidRPr="000C3D4B">
        <w:rPr>
          <w:b/>
          <w:lang w:val="en-US"/>
        </w:rPr>
        <w:lastRenderedPageBreak/>
        <w:t xml:space="preserve">Indexed as:  </w:t>
      </w:r>
      <w:r w:rsidR="00AC371A" w:rsidRPr="000C3D4B">
        <w:rPr>
          <w:b/>
          <w:lang w:val="en-US"/>
        </w:rPr>
        <w:t xml:space="preserve">R. </w:t>
      </w:r>
      <w:r w:rsidR="00AC371A" w:rsidRPr="000C3D4B">
        <w:rPr>
          <w:b/>
          <w:i/>
          <w:lang w:val="en-US"/>
        </w:rPr>
        <w:t>v.</w:t>
      </w:r>
      <w:r w:rsidR="00AC371A" w:rsidRPr="000C3D4B">
        <w:rPr>
          <w:b/>
          <w:lang w:val="en-US"/>
        </w:rPr>
        <w:t xml:space="preserve"> </w:t>
      </w:r>
      <w:r w:rsidRPr="000C3D4B">
        <w:rPr>
          <w:rStyle w:val="SCCAppellantForIndexChar"/>
          <w:lang w:val="en-US"/>
        </w:rPr>
        <w:t>Gagnon</w:t>
      </w:r>
    </w:p>
    <w:p w:rsidR="00426659" w:rsidRPr="000C3D4B" w:rsidRDefault="00AE4535" w:rsidP="000B72DF">
      <w:pPr>
        <w:pStyle w:val="SCCSystemYear"/>
        <w:spacing w:after="720"/>
        <w:jc w:val="both"/>
        <w:rPr>
          <w:lang w:val="en-US"/>
        </w:rPr>
      </w:pPr>
      <w:r w:rsidRPr="000C3D4B">
        <w:rPr>
          <w:lang w:val="en-US"/>
        </w:rPr>
        <w:t>2016</w:t>
      </w:r>
      <w:r w:rsidR="003D0399" w:rsidRPr="000C3D4B">
        <w:rPr>
          <w:lang w:val="en-US"/>
        </w:rPr>
        <w:t xml:space="preserve"> </w:t>
      </w:r>
      <w:r w:rsidR="00426659" w:rsidRPr="000C3D4B">
        <w:rPr>
          <w:lang w:val="en-US"/>
        </w:rPr>
        <w:t>SCC </w:t>
      </w:r>
      <w:r w:rsidR="00BE011B" w:rsidRPr="000C3D4B">
        <w:rPr>
          <w:lang w:val="en-US"/>
        </w:rPr>
        <w:t>6</w:t>
      </w:r>
    </w:p>
    <w:p w:rsidR="008322BD" w:rsidRPr="000C3D4B" w:rsidRDefault="009B57B3" w:rsidP="000B72DF">
      <w:pPr>
        <w:spacing w:after="720"/>
        <w:jc w:val="both"/>
        <w:rPr>
          <w:lang w:val="en-US"/>
        </w:rPr>
      </w:pPr>
      <w:r w:rsidRPr="000C3D4B">
        <w:rPr>
          <w:lang w:val="en-US"/>
        </w:rPr>
        <w:t>File No.:  36581.</w:t>
      </w:r>
    </w:p>
    <w:p w:rsidR="008322BD" w:rsidRDefault="00AE4535" w:rsidP="000B72DF">
      <w:pPr>
        <w:spacing w:after="720"/>
        <w:jc w:val="both"/>
      </w:pPr>
      <w:r w:rsidRPr="000C3D4B">
        <w:rPr>
          <w:lang w:val="en-US"/>
        </w:rPr>
        <w:t>2016:  Feb</w:t>
      </w:r>
      <w:r>
        <w:t>ruary 23</w:t>
      </w:r>
      <w:r w:rsidR="009B57B3" w:rsidRPr="001426A9">
        <w:t>.</w:t>
      </w:r>
    </w:p>
    <w:p w:rsidR="008322BD" w:rsidRDefault="009B57B3" w:rsidP="000B72DF">
      <w:pPr>
        <w:spacing w:after="720"/>
        <w:jc w:val="both"/>
      </w:pPr>
      <w:r w:rsidRPr="001426A9">
        <w:t xml:space="preserve">Present:  </w:t>
      </w:r>
      <w:r>
        <w:t>Cromwell, Wagner, Gascon, Côté and Brown JJ.</w:t>
      </w:r>
    </w:p>
    <w:p w:rsidR="008322BD" w:rsidRPr="001C779F" w:rsidRDefault="00656313" w:rsidP="000B72DF">
      <w:pPr>
        <w:pStyle w:val="SCCLowerCourtNameLowercase"/>
        <w:spacing w:after="720" w:line="240" w:lineRule="auto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</w:t>
      </w:r>
      <w:r w:rsidR="00396DF4">
        <w:t>for</w:t>
      </w:r>
      <w:r w:rsidR="009B57B3">
        <w:t xml:space="preserve"> quebec </w:t>
      </w:r>
    </w:p>
    <w:p w:rsidR="00065E03" w:rsidRPr="00065E03" w:rsidRDefault="00065E03" w:rsidP="00065E03">
      <w:pPr>
        <w:pStyle w:val="SCCNormalDoubleSpacing"/>
        <w:rPr>
          <w:i/>
        </w:rPr>
      </w:pPr>
      <w:r w:rsidRPr="00065E03">
        <w:tab/>
      </w:r>
      <w:r w:rsidR="002D3946">
        <w:rPr>
          <w:i/>
        </w:rPr>
        <w:t>Constitutional law — Charter of Rights — Arbitrary detention — Remedy —</w:t>
      </w:r>
      <w:r w:rsidRPr="00065E03">
        <w:rPr>
          <w:i/>
        </w:rPr>
        <w:t xml:space="preserve"> Exclusion of evidence </w:t>
      </w:r>
      <w:r w:rsidR="002D3946">
        <w:rPr>
          <w:i/>
        </w:rPr>
        <w:t>—</w:t>
      </w:r>
      <w:r w:rsidR="00144831">
        <w:rPr>
          <w:i/>
        </w:rPr>
        <w:t xml:space="preserve"> D</w:t>
      </w:r>
      <w:r w:rsidRPr="00065E03">
        <w:rPr>
          <w:i/>
        </w:rPr>
        <w:t xml:space="preserve">etention of accused by police </w:t>
      </w:r>
      <w:r w:rsidR="00144831">
        <w:rPr>
          <w:i/>
        </w:rPr>
        <w:t>u</w:t>
      </w:r>
      <w:r w:rsidR="00144831" w:rsidRPr="00065E03">
        <w:rPr>
          <w:i/>
        </w:rPr>
        <w:t xml:space="preserve">nlawful </w:t>
      </w:r>
      <w:r w:rsidR="002D3946">
        <w:rPr>
          <w:i/>
        </w:rPr>
        <w:t>—</w:t>
      </w:r>
      <w:r w:rsidRPr="00065E03">
        <w:rPr>
          <w:i/>
        </w:rPr>
        <w:t xml:space="preserve"> </w:t>
      </w:r>
      <w:r w:rsidR="00024DD9">
        <w:rPr>
          <w:i/>
        </w:rPr>
        <w:t>Weighing</w:t>
      </w:r>
      <w:r w:rsidRPr="00065E03">
        <w:rPr>
          <w:i/>
        </w:rPr>
        <w:t xml:space="preserve"> of relevant factors not favouring </w:t>
      </w:r>
      <w:r w:rsidR="002D3946">
        <w:rPr>
          <w:i/>
        </w:rPr>
        <w:t>exclusion of evidence —</w:t>
      </w:r>
      <w:r w:rsidRPr="00065E03">
        <w:rPr>
          <w:i/>
        </w:rPr>
        <w:t xml:space="preserve"> Canadian Charter of Rights and Freedoms, ss. 9, 24(2).</w:t>
      </w:r>
    </w:p>
    <w:p w:rsidR="00A149DF" w:rsidRDefault="00A149DF" w:rsidP="00FC4EFB">
      <w:pPr>
        <w:pStyle w:val="SCCNormalDoubleSpacing"/>
        <w:spacing w:line="240" w:lineRule="auto"/>
        <w:ind w:left="540" w:hanging="540"/>
      </w:pPr>
    </w:p>
    <w:p w:rsidR="0074773F" w:rsidRDefault="009B57B3">
      <w:pPr>
        <w:pStyle w:val="SCCNormalDoubleSpacing"/>
      </w:pPr>
      <w:r w:rsidRPr="001426A9">
        <w:tab/>
        <w:t xml:space="preserve">APPEAL from a judgment of the </w:t>
      </w:r>
      <w:r w:rsidR="0074773F">
        <w:t xml:space="preserve">Quebec </w:t>
      </w:r>
      <w:r>
        <w:t xml:space="preserve">Court of Appeal </w:t>
      </w:r>
      <w:r w:rsidR="007711B4">
        <w:t>(Doyon, Kasirer and Vauclair JJ.</w:t>
      </w:r>
      <w:r w:rsidR="00396DF4">
        <w:t>A.</w:t>
      </w:r>
      <w:r w:rsidR="007711B4">
        <w:t>)</w:t>
      </w:r>
      <w:r w:rsidR="00CF11F6">
        <w:t xml:space="preserve">, 2015 QCCA 1138, </w:t>
      </w:r>
      <w:r w:rsidR="00A61B84">
        <w:t>[</w:t>
      </w:r>
      <w:r w:rsidR="00D60156">
        <w:t>2015</w:t>
      </w:r>
      <w:r w:rsidR="00A61B84">
        <w:t>] AZ-51</w:t>
      </w:r>
      <w:r w:rsidR="00D60156">
        <w:t>190659</w:t>
      </w:r>
      <w:r w:rsidR="00A61B84">
        <w:t xml:space="preserve">, </w:t>
      </w:r>
      <w:r w:rsidR="00CF11F6">
        <w:t xml:space="preserve">[2015] </w:t>
      </w:r>
      <w:r w:rsidR="0031109E">
        <w:t>J.Q. n</w:t>
      </w:r>
      <w:r w:rsidR="0031109E" w:rsidRPr="0031109E">
        <w:rPr>
          <w:vertAlign w:val="superscript"/>
        </w:rPr>
        <w:t>o</w:t>
      </w:r>
      <w:r w:rsidR="0031109E">
        <w:t xml:space="preserve"> 6206</w:t>
      </w:r>
      <w:r w:rsidR="00F15248">
        <w:t xml:space="preserve"> (QL)</w:t>
      </w:r>
      <w:r w:rsidR="0031109E">
        <w:t xml:space="preserve">, </w:t>
      </w:r>
      <w:r w:rsidR="0088583E">
        <w:t>2015 CarswellQue 6218</w:t>
      </w:r>
      <w:r w:rsidR="00F15248">
        <w:t xml:space="preserve"> (WL Can.)</w:t>
      </w:r>
      <w:r w:rsidR="0088583E">
        <w:t xml:space="preserve">, </w:t>
      </w:r>
      <w:r w:rsidR="007D4906">
        <w:t>a</w:t>
      </w:r>
      <w:r w:rsidR="00FD6148">
        <w:t xml:space="preserve">ffirming </w:t>
      </w:r>
      <w:r w:rsidR="007D4906">
        <w:t>the accused’s conviction.  A</w:t>
      </w:r>
      <w:r w:rsidR="007565BE">
        <w:t>ppeal dismissed</w:t>
      </w:r>
      <w:r w:rsidR="007D4906">
        <w:t>.</w:t>
      </w:r>
    </w:p>
    <w:p w:rsidR="0074773F" w:rsidRDefault="0074773F">
      <w:pPr>
        <w:pStyle w:val="SCCNormalDoubleSpacing"/>
      </w:pPr>
    </w:p>
    <w:p w:rsidR="003202B9" w:rsidRDefault="00CF0AF6">
      <w:pPr>
        <w:pStyle w:val="SCCNormalDoubleSpacing"/>
      </w:pPr>
      <w:r>
        <w:rPr>
          <w:rStyle w:val="SCCCounselNameChar"/>
        </w:rPr>
        <w:tab/>
        <w:t>Mélanie Martel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Denis Barrette</w:t>
      </w:r>
      <w:r>
        <w:rPr>
          <w:rStyle w:val="SCCCounselPartyRoleChar"/>
        </w:rPr>
        <w:t>, for the appellant.</w:t>
      </w:r>
    </w:p>
    <w:p w:rsidR="003202B9" w:rsidRDefault="003202B9">
      <w:pPr>
        <w:pStyle w:val="SCCNormalDoubleSpacing"/>
      </w:pPr>
    </w:p>
    <w:p w:rsidR="003202B9" w:rsidRDefault="00CF0AF6" w:rsidP="00766C52">
      <w:pPr>
        <w:pStyle w:val="SCCNormalDoubleSpacing"/>
        <w:spacing w:after="480"/>
        <w:rPr>
          <w:rStyle w:val="SCCCounselPartyRoleChar"/>
        </w:rPr>
      </w:pPr>
      <w:r>
        <w:rPr>
          <w:rStyle w:val="SCCCounselNameChar"/>
        </w:rPr>
        <w:tab/>
        <w:t>Simon Blais</w:t>
      </w:r>
      <w:r w:rsidR="00396DF4">
        <w:rPr>
          <w:rStyle w:val="SCCCounselPartyRoleChar"/>
        </w:rPr>
        <w:t xml:space="preserve"> and </w:t>
      </w:r>
      <w:r w:rsidR="00396DF4">
        <w:rPr>
          <w:rStyle w:val="SCCCounselPartyRoleChar"/>
          <w:i/>
        </w:rPr>
        <w:t>Benoît Lauzon</w:t>
      </w:r>
      <w:r w:rsidR="00396DF4">
        <w:rPr>
          <w:rStyle w:val="SCCCounselPartyRoleChar"/>
        </w:rPr>
        <w:t>,</w:t>
      </w:r>
      <w:r>
        <w:rPr>
          <w:rStyle w:val="SCCCounselPartyRoleChar"/>
        </w:rPr>
        <w:t xml:space="preserve"> for the </w:t>
      </w:r>
      <w:r w:rsidRPr="00766C52">
        <w:t>respondent</w:t>
      </w:r>
      <w:r>
        <w:rPr>
          <w:rStyle w:val="SCCCounselPartyRoleChar"/>
        </w:rPr>
        <w:t>.</w:t>
      </w:r>
    </w:p>
    <w:p w:rsidR="00766C52" w:rsidRDefault="00766C52">
      <w:pPr>
        <w:pStyle w:val="SCCNormalDoubleSpacing"/>
        <w:rPr>
          <w:rStyle w:val="SCCCounselPartyRoleChar"/>
        </w:rPr>
      </w:pPr>
      <w:r>
        <w:rPr>
          <w:rStyle w:val="SCCCounselPartyRoleChar"/>
        </w:rPr>
        <w:tab/>
        <w:t>English version of the judgment of the Court delivered orally by</w:t>
      </w:r>
    </w:p>
    <w:p w:rsidR="00E30457" w:rsidRDefault="00F7357B" w:rsidP="00E30457">
      <w:pPr>
        <w:pStyle w:val="ParaNoNdepar-AltN"/>
        <w:numPr>
          <w:ilvl w:val="0"/>
          <w:numId w:val="1"/>
        </w:numPr>
      </w:pPr>
      <w:r w:rsidRPr="00E30457">
        <w:rPr>
          <w:smallCaps/>
          <w:lang w:val="en-US"/>
        </w:rPr>
        <w:t>Cromwell</w:t>
      </w:r>
      <w:r w:rsidRPr="00E30457">
        <w:rPr>
          <w:smallCaps/>
        </w:rPr>
        <w:t xml:space="preserve"> J.</w:t>
      </w:r>
      <w:r w:rsidRPr="00777FEC">
        <w:t xml:space="preserve"> — </w:t>
      </w:r>
      <w:r w:rsidRPr="00E30457">
        <w:t>This</w:t>
      </w:r>
      <w:r w:rsidRPr="00777FEC">
        <w:t xml:space="preserve"> </w:t>
      </w:r>
      <w:r w:rsidRPr="00E30457">
        <w:rPr>
          <w:rFonts w:cs="Times New Roman"/>
        </w:rPr>
        <w:t>is</w:t>
      </w:r>
      <w:r w:rsidRPr="00777FEC">
        <w:t xml:space="preserve"> an appeal as of right. We all agree, essentially for the reasons given by Doyon J.A. of the Quebec Court of Appeal, that it should be dismissed. The appeal is dismissed</w:t>
      </w:r>
      <w:r w:rsidRPr="00777FEC">
        <w:rPr>
          <w:smallCaps/>
          <w:lang w:val="en-US"/>
        </w:rPr>
        <w:t>.</w:t>
      </w:r>
      <w:r w:rsidR="00E30457" w:rsidRPr="00777FEC">
        <w:t xml:space="preserve"> </w:t>
      </w:r>
    </w:p>
    <w:p w:rsidR="00D221E4" w:rsidRPr="00F40922" w:rsidRDefault="00D221E4" w:rsidP="00D221E4">
      <w:pPr>
        <w:pStyle w:val="ParaNoNdepar-AltN"/>
        <w:rPr>
          <w:i/>
          <w:lang w:val="fr-CA"/>
        </w:rPr>
      </w:pPr>
      <w:r>
        <w:tab/>
      </w:r>
      <w:r w:rsidRPr="00F40922">
        <w:rPr>
          <w:i/>
          <w:lang w:val="fr-CA"/>
        </w:rPr>
        <w:t>Judgment accordingly.</w:t>
      </w:r>
    </w:p>
    <w:p w:rsidR="003202B9" w:rsidRPr="003976E7" w:rsidRDefault="00CF0AF6">
      <w:pPr>
        <w:pStyle w:val="SCCLawFirm"/>
        <w:rPr>
          <w:lang w:val="fr-CA"/>
        </w:rPr>
      </w:pPr>
      <w:r w:rsidRPr="00F40922">
        <w:rPr>
          <w:lang w:val="fr-CA"/>
        </w:rPr>
        <w:tab/>
        <w:t>Solicitor</w:t>
      </w:r>
      <w:r w:rsidR="00396DF4">
        <w:rPr>
          <w:lang w:val="fr-CA"/>
        </w:rPr>
        <w:t>s</w:t>
      </w:r>
      <w:r w:rsidR="00A37112" w:rsidRPr="00F40922">
        <w:rPr>
          <w:lang w:val="fr-CA"/>
        </w:rPr>
        <w:t xml:space="preserve"> </w:t>
      </w:r>
      <w:r w:rsidRPr="00F40922">
        <w:rPr>
          <w:lang w:val="fr-CA"/>
        </w:rPr>
        <w:t>for th</w:t>
      </w:r>
      <w:r w:rsidRPr="003976E7">
        <w:rPr>
          <w:lang w:val="fr-CA"/>
        </w:rPr>
        <w:t>e appellant:  Mélanie Martel, Joliette</w:t>
      </w:r>
      <w:r w:rsidR="00396DF4">
        <w:rPr>
          <w:lang w:val="fr-CA"/>
        </w:rPr>
        <w:t>; Ouellet Nadon &amp; Associé</w:t>
      </w:r>
      <w:r w:rsidR="00960DDC">
        <w:rPr>
          <w:lang w:val="fr-CA"/>
        </w:rPr>
        <w:t>e</w:t>
      </w:r>
      <w:r w:rsidR="00396DF4">
        <w:rPr>
          <w:lang w:val="fr-CA"/>
        </w:rPr>
        <w:t>s, Montréal</w:t>
      </w:r>
      <w:r w:rsidRPr="003976E7">
        <w:rPr>
          <w:lang w:val="fr-CA"/>
        </w:rPr>
        <w:t>.</w:t>
      </w:r>
    </w:p>
    <w:p w:rsidR="003202B9" w:rsidRPr="003976E7" w:rsidRDefault="003202B9">
      <w:pPr>
        <w:pStyle w:val="SCCLawFirm"/>
        <w:rPr>
          <w:lang w:val="fr-CA"/>
        </w:rPr>
      </w:pPr>
    </w:p>
    <w:p w:rsidR="003202B9" w:rsidRPr="003976E7" w:rsidRDefault="00CF0AF6">
      <w:pPr>
        <w:pStyle w:val="SCCLawFirm"/>
        <w:rPr>
          <w:lang w:val="fr-CA"/>
        </w:rPr>
      </w:pPr>
      <w:r w:rsidRPr="003976E7">
        <w:rPr>
          <w:lang w:val="fr-CA"/>
        </w:rPr>
        <w:tab/>
        <w:t>Solicitor for the respondent:  Directeur des poursuites criminelles et pénales du Québec, Laval</w:t>
      </w:r>
      <w:r w:rsidR="00396DF4">
        <w:rPr>
          <w:lang w:val="fr-CA"/>
        </w:rPr>
        <w:t xml:space="preserve"> and Montréal</w:t>
      </w:r>
      <w:r w:rsidRPr="003976E7">
        <w:rPr>
          <w:lang w:val="fr-CA"/>
        </w:rPr>
        <w:t>.</w:t>
      </w:r>
    </w:p>
    <w:p w:rsidR="003202B9" w:rsidRPr="003976E7" w:rsidRDefault="003202B9">
      <w:pPr>
        <w:pStyle w:val="SCCLawFirm"/>
        <w:rPr>
          <w:lang w:val="fr-CA"/>
        </w:rPr>
      </w:pPr>
    </w:p>
    <w:sectPr w:rsidR="003202B9" w:rsidRPr="003976E7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4DD9"/>
    <w:rsid w:val="00025198"/>
    <w:rsid w:val="00031C0D"/>
    <w:rsid w:val="000578A3"/>
    <w:rsid w:val="000648CC"/>
    <w:rsid w:val="00065E03"/>
    <w:rsid w:val="000B72DF"/>
    <w:rsid w:val="000C3D4B"/>
    <w:rsid w:val="000C59B8"/>
    <w:rsid w:val="000C6AF0"/>
    <w:rsid w:val="00104F33"/>
    <w:rsid w:val="00111DE2"/>
    <w:rsid w:val="00116B38"/>
    <w:rsid w:val="00135406"/>
    <w:rsid w:val="00135972"/>
    <w:rsid w:val="001426A9"/>
    <w:rsid w:val="00144831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46"/>
    <w:rsid w:val="002D39A4"/>
    <w:rsid w:val="002E6705"/>
    <w:rsid w:val="00301D08"/>
    <w:rsid w:val="0030329A"/>
    <w:rsid w:val="0031086F"/>
    <w:rsid w:val="0031109E"/>
    <w:rsid w:val="0031414C"/>
    <w:rsid w:val="00314E01"/>
    <w:rsid w:val="003202B9"/>
    <w:rsid w:val="0032089D"/>
    <w:rsid w:val="003310DE"/>
    <w:rsid w:val="003323B0"/>
    <w:rsid w:val="0035169A"/>
    <w:rsid w:val="0035259D"/>
    <w:rsid w:val="00364B18"/>
    <w:rsid w:val="00396DF4"/>
    <w:rsid w:val="003976E7"/>
    <w:rsid w:val="003A125D"/>
    <w:rsid w:val="003A4C70"/>
    <w:rsid w:val="003B215F"/>
    <w:rsid w:val="003C799C"/>
    <w:rsid w:val="003D0399"/>
    <w:rsid w:val="003E1C71"/>
    <w:rsid w:val="003F327B"/>
    <w:rsid w:val="003F40A5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A718B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71B5C"/>
    <w:rsid w:val="00583EDE"/>
    <w:rsid w:val="00596405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C5B2A"/>
    <w:rsid w:val="006F30AF"/>
    <w:rsid w:val="00701759"/>
    <w:rsid w:val="00705C15"/>
    <w:rsid w:val="0071600E"/>
    <w:rsid w:val="007208D1"/>
    <w:rsid w:val="00747288"/>
    <w:rsid w:val="0074773F"/>
    <w:rsid w:val="00747DD3"/>
    <w:rsid w:val="007549C8"/>
    <w:rsid w:val="00754A0B"/>
    <w:rsid w:val="007565BE"/>
    <w:rsid w:val="00766C52"/>
    <w:rsid w:val="00766D14"/>
    <w:rsid w:val="00767A0F"/>
    <w:rsid w:val="007711B4"/>
    <w:rsid w:val="007A05F6"/>
    <w:rsid w:val="007B2C6C"/>
    <w:rsid w:val="007B6F4A"/>
    <w:rsid w:val="007D4906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8583E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0DDC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37112"/>
    <w:rsid w:val="00A41805"/>
    <w:rsid w:val="00A42DCD"/>
    <w:rsid w:val="00A52AFB"/>
    <w:rsid w:val="00A548CB"/>
    <w:rsid w:val="00A5521C"/>
    <w:rsid w:val="00A61B84"/>
    <w:rsid w:val="00A643E7"/>
    <w:rsid w:val="00A73672"/>
    <w:rsid w:val="00A73C38"/>
    <w:rsid w:val="00AB670D"/>
    <w:rsid w:val="00AC371A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BE011B"/>
    <w:rsid w:val="00C02092"/>
    <w:rsid w:val="00C06F6D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D062F"/>
    <w:rsid w:val="00CE161A"/>
    <w:rsid w:val="00CE3171"/>
    <w:rsid w:val="00CF0AF6"/>
    <w:rsid w:val="00CF11F6"/>
    <w:rsid w:val="00CF1601"/>
    <w:rsid w:val="00D0172F"/>
    <w:rsid w:val="00D068A7"/>
    <w:rsid w:val="00D17476"/>
    <w:rsid w:val="00D221E4"/>
    <w:rsid w:val="00D32086"/>
    <w:rsid w:val="00D37A3F"/>
    <w:rsid w:val="00D4431D"/>
    <w:rsid w:val="00D45733"/>
    <w:rsid w:val="00D4667A"/>
    <w:rsid w:val="00D60156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0457"/>
    <w:rsid w:val="00E35404"/>
    <w:rsid w:val="00E45109"/>
    <w:rsid w:val="00E47B7A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15248"/>
    <w:rsid w:val="00F36AB6"/>
    <w:rsid w:val="00F37A09"/>
    <w:rsid w:val="00F40922"/>
    <w:rsid w:val="00F409CE"/>
    <w:rsid w:val="00F4379D"/>
    <w:rsid w:val="00F50D2D"/>
    <w:rsid w:val="00F56C8B"/>
    <w:rsid w:val="00F66810"/>
    <w:rsid w:val="00F7357B"/>
    <w:rsid w:val="00F846D9"/>
    <w:rsid w:val="00F84DF4"/>
    <w:rsid w:val="00F85C97"/>
    <w:rsid w:val="00FB37D2"/>
    <w:rsid w:val="00FC4EFB"/>
    <w:rsid w:val="00FD068D"/>
    <w:rsid w:val="00FD4F28"/>
    <w:rsid w:val="00FD614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E30457"/>
    <w:pPr>
      <w:tabs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C3D4B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0C3D4B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0C3D4B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0C3D4B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2016-03-11T20:18:00Z</dcterms:created>
  <dcterms:modified xsi:type="dcterms:W3CDTF">2016-11-08T15:28:00Z</dcterms:modified>
</cp:coreProperties>
</file>