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20" w:rsidRDefault="00706720" w:rsidP="00706720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6" o:title=""/>
          </v:shape>
          <o:OLEObject Type="Embed" ProgID="Presentations.Drawing.13" ShapeID="_x0000_i1025" DrawAspect="Content" ObjectID="_1549362575" r:id="rId7"/>
        </w:object>
      </w:r>
      <w:r>
        <w:t xml:space="preserve"> </w:t>
      </w:r>
      <w:r>
        <w:ptab w:relativeTo="margin" w:alignment="right" w:leader="none"/>
      </w:r>
    </w:p>
    <w:p w:rsidR="00706720" w:rsidRDefault="00706720" w:rsidP="00706720">
      <w:pPr>
        <w:pStyle w:val="Header"/>
      </w:pPr>
    </w:p>
    <w:p w:rsidR="00706720" w:rsidRPr="006B210C" w:rsidRDefault="00706720" w:rsidP="00706720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706720" w:rsidRDefault="00706720" w:rsidP="00706720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4446"/>
      </w:tblGrid>
      <w:tr w:rsidR="00706720" w:rsidRPr="006B210C" w:rsidTr="00803C2E">
        <w:trPr>
          <w:cantSplit/>
        </w:trPr>
        <w:tc>
          <w:tcPr>
            <w:tcW w:w="5130" w:type="dxa"/>
          </w:tcPr>
          <w:p w:rsidR="00706720" w:rsidRPr="006B210C" w:rsidRDefault="00706720" w:rsidP="00803C2E">
            <w:r w:rsidRPr="006B210C">
              <w:rPr>
                <w:b/>
                <w:smallCaps/>
              </w:rPr>
              <w:t>Citation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 xml:space="preserve">R. </w:t>
            </w:r>
            <w:r w:rsidRPr="00F43563">
              <w:rPr>
                <w:i/>
              </w:rPr>
              <w:t>v.</w:t>
            </w:r>
            <w:r>
              <w:t xml:space="preserve"> Diamond, 2016 SCC 46, [2016] 2 S.C.R. 291</w:t>
            </w:r>
          </w:p>
        </w:tc>
        <w:tc>
          <w:tcPr>
            <w:tcW w:w="4446" w:type="dxa"/>
          </w:tcPr>
          <w:p w:rsidR="00706720" w:rsidRPr="006B210C" w:rsidRDefault="00706720" w:rsidP="00803C2E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October 12, 2016</w:t>
            </w:r>
          </w:p>
          <w:p w:rsidR="00706720" w:rsidRDefault="00706720" w:rsidP="00803C2E">
            <w:r>
              <w:rPr>
                <w:b/>
                <w:smallCaps/>
              </w:rPr>
              <w:t>Judgment rendered</w:t>
            </w:r>
            <w:r w:rsidRPr="0079323E">
              <w:rPr>
                <w:b/>
                <w:smallCaps/>
              </w:rPr>
              <w:t>:</w:t>
            </w:r>
            <w:r w:rsidRPr="0079323E">
              <w:t xml:space="preserve"> </w:t>
            </w:r>
            <w:r>
              <w:t>November 3</w:t>
            </w:r>
            <w:r w:rsidRPr="00991DB3">
              <w:t>, 2016</w:t>
            </w:r>
          </w:p>
          <w:p w:rsidR="00706720" w:rsidRPr="006B210C" w:rsidRDefault="00706720" w:rsidP="00803C2E"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36816</w:t>
            </w:r>
          </w:p>
        </w:tc>
      </w:tr>
    </w:tbl>
    <w:p w:rsidR="00706720" w:rsidRPr="006B210C" w:rsidRDefault="00706720" w:rsidP="00706720"/>
    <w:p w:rsidR="00706720" w:rsidRDefault="00706720" w:rsidP="00706720">
      <w:pPr>
        <w:pStyle w:val="SCCLsocPrefix"/>
      </w:pPr>
      <w:r>
        <w:t>Between:</w:t>
      </w:r>
    </w:p>
    <w:p w:rsidR="00706720" w:rsidRDefault="00706720" w:rsidP="00706720">
      <w:pPr>
        <w:pStyle w:val="SCCLsocParty"/>
        <w:jc w:val="center"/>
      </w:pPr>
      <w:r>
        <w:t>Scott Diamond</w:t>
      </w:r>
    </w:p>
    <w:p w:rsidR="00706720" w:rsidRDefault="00706720" w:rsidP="00706720">
      <w:pPr>
        <w:jc w:val="center"/>
      </w:pPr>
      <w:r>
        <w:t>Appellant</w:t>
      </w:r>
    </w:p>
    <w:p w:rsidR="00706720" w:rsidRPr="00F43563" w:rsidRDefault="00706720" w:rsidP="00706720">
      <w:pPr>
        <w:jc w:val="center"/>
      </w:pPr>
    </w:p>
    <w:p w:rsidR="00706720" w:rsidRPr="00706720" w:rsidRDefault="00706720" w:rsidP="00706720">
      <w:pPr>
        <w:pStyle w:val="SCCLsocVersus"/>
        <w:spacing w:after="0"/>
        <w:jc w:val="center"/>
        <w:rPr>
          <w:i w:val="0"/>
        </w:rPr>
      </w:pPr>
      <w:r w:rsidRPr="00706720">
        <w:rPr>
          <w:i w:val="0"/>
        </w:rPr>
        <w:t>and</w:t>
      </w:r>
    </w:p>
    <w:p w:rsidR="00706720" w:rsidRPr="00706720" w:rsidRDefault="00706720" w:rsidP="00706720">
      <w:pPr>
        <w:jc w:val="center"/>
      </w:pPr>
    </w:p>
    <w:p w:rsidR="00706720" w:rsidRDefault="00706720" w:rsidP="00706720">
      <w:pPr>
        <w:pStyle w:val="SCCLsocParty"/>
        <w:jc w:val="center"/>
      </w:pPr>
      <w:r>
        <w:t>Her Majesty The Queen in Right of Newfoundland and Labrador</w:t>
      </w:r>
    </w:p>
    <w:p w:rsidR="00706720" w:rsidRDefault="00706720" w:rsidP="00706720">
      <w:pPr>
        <w:pStyle w:val="SCCLsocParty"/>
        <w:jc w:val="center"/>
      </w:pPr>
      <w:r>
        <w:t>and Her Majesty The Queen in Right of Canada</w:t>
      </w:r>
    </w:p>
    <w:p w:rsidR="00706720" w:rsidRDefault="00706720" w:rsidP="00706720">
      <w:pPr>
        <w:jc w:val="center"/>
      </w:pPr>
      <w:r w:rsidRPr="00EA6E87">
        <w:t>Respondents</w:t>
      </w:r>
    </w:p>
    <w:p w:rsidR="00706720" w:rsidRDefault="00706720" w:rsidP="00706720"/>
    <w:p w:rsidR="00706720" w:rsidRPr="006B210C" w:rsidRDefault="00706720" w:rsidP="00706720">
      <w:bookmarkStart w:id="0" w:name="_GoBack"/>
      <w:bookmarkEnd w:id="0"/>
    </w:p>
    <w:p w:rsidR="00706720" w:rsidRPr="006B210C" w:rsidRDefault="00706720" w:rsidP="00706720"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proofErr w:type="spellStart"/>
      <w:r>
        <w:t>Karakatsanis</w:t>
      </w:r>
      <w:proofErr w:type="spellEnd"/>
      <w:r>
        <w:t xml:space="preserve">, Wagner, </w:t>
      </w:r>
      <w:proofErr w:type="spellStart"/>
      <w:r>
        <w:t>Gascon</w:t>
      </w:r>
      <w:proofErr w:type="spellEnd"/>
      <w:r>
        <w:t xml:space="preserve">, </w:t>
      </w:r>
      <w:proofErr w:type="spellStart"/>
      <w:r>
        <w:t>Côté</w:t>
      </w:r>
      <w:proofErr w:type="spellEnd"/>
      <w:r>
        <w:t xml:space="preserve"> and Brown JJ.</w:t>
      </w:r>
    </w:p>
    <w:p w:rsidR="00706720" w:rsidRPr="006B210C" w:rsidRDefault="00706720" w:rsidP="007067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706720" w:rsidRPr="006B210C" w:rsidTr="00803C2E">
        <w:trPr>
          <w:cantSplit/>
        </w:trPr>
        <w:tc>
          <w:tcPr>
            <w:tcW w:w="3618" w:type="dxa"/>
          </w:tcPr>
          <w:p w:rsidR="00706720" w:rsidRDefault="00706720" w:rsidP="00803C2E">
            <w:pPr>
              <w:ind w:left="-58"/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706720" w:rsidRPr="006B210C" w:rsidRDefault="00706720" w:rsidP="00803C2E">
            <w:pPr>
              <w:ind w:left="-58"/>
            </w:pPr>
            <w:r>
              <w:t>(paras. 1 to 2)</w:t>
            </w:r>
          </w:p>
        </w:tc>
        <w:tc>
          <w:tcPr>
            <w:tcW w:w="5958" w:type="dxa"/>
          </w:tcPr>
          <w:p w:rsidR="00706720" w:rsidRPr="006B210C" w:rsidRDefault="00706720" w:rsidP="00803C2E">
            <w:proofErr w:type="spellStart"/>
            <w:r>
              <w:t>Karakatsanis</w:t>
            </w:r>
            <w:proofErr w:type="spellEnd"/>
            <w:r>
              <w:t xml:space="preserve"> J. (Wagner and Brown JJ. concurring; </w:t>
            </w:r>
            <w:proofErr w:type="spellStart"/>
            <w:r>
              <w:t>Gascon</w:t>
            </w:r>
            <w:proofErr w:type="spellEnd"/>
            <w:r>
              <w:t xml:space="preserve"> and </w:t>
            </w:r>
            <w:proofErr w:type="spellStart"/>
            <w:r>
              <w:t>Côté</w:t>
            </w:r>
            <w:proofErr w:type="spellEnd"/>
            <w:r>
              <w:t xml:space="preserve"> JJ. dissenting)</w:t>
            </w:r>
          </w:p>
        </w:tc>
      </w:tr>
    </w:tbl>
    <w:p w:rsidR="00706720" w:rsidRDefault="00706720" w:rsidP="00706720"/>
    <w:p w:rsidR="00706720" w:rsidRPr="006B210C" w:rsidRDefault="00706720" w:rsidP="0070672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B6E20" wp14:editId="087CA1D6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429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706720" w:rsidRDefault="00706720" w:rsidP="000D7C24">
      <w:pPr>
        <w:widowControl w:val="0"/>
        <w:spacing w:line="480" w:lineRule="auto"/>
        <w:jc w:val="both"/>
        <w:rPr>
          <w:rStyle w:val="SCCAppellantForRunningHeadChar"/>
          <w:smallCaps w:val="0"/>
        </w:rPr>
      </w:pPr>
    </w:p>
    <w:p w:rsidR="008322BD" w:rsidRPr="00B94A61" w:rsidRDefault="00B94A61" w:rsidP="000D7C24">
      <w:pPr>
        <w:widowControl w:val="0"/>
        <w:spacing w:line="480" w:lineRule="auto"/>
        <w:jc w:val="both"/>
        <w:rPr>
          <w:smallCaps/>
        </w:rPr>
      </w:pPr>
      <w:r>
        <w:rPr>
          <w:rStyle w:val="SCCAppellantForRunningHeadChar"/>
          <w:smallCaps w:val="0"/>
        </w:rPr>
        <w:t>R</w:t>
      </w:r>
      <w:r w:rsidR="0089610B" w:rsidRPr="00B94A61">
        <w:rPr>
          <w:rStyle w:val="SCCAppellantForRunningHeadChar"/>
          <w:smallCaps w:val="0"/>
        </w:rPr>
        <w:t xml:space="preserve">. </w:t>
      </w:r>
      <w:r w:rsidR="0089610B" w:rsidRPr="00B94A61">
        <w:rPr>
          <w:i/>
        </w:rPr>
        <w:t>v.</w:t>
      </w:r>
      <w:r w:rsidR="0089610B" w:rsidRPr="00B94A61">
        <w:rPr>
          <w:smallCaps/>
        </w:rPr>
        <w:t xml:space="preserve"> </w:t>
      </w:r>
      <w:r>
        <w:rPr>
          <w:rStyle w:val="SCCAppellantForRunningHeadChar"/>
          <w:smallCaps w:val="0"/>
        </w:rPr>
        <w:t>D</w:t>
      </w:r>
      <w:r w:rsidR="008F78E9" w:rsidRPr="00B94A61">
        <w:rPr>
          <w:rStyle w:val="SCCAppellantForRunningHeadChar"/>
          <w:smallCaps w:val="0"/>
        </w:rPr>
        <w:t>iamond</w:t>
      </w:r>
      <w:r>
        <w:rPr>
          <w:rStyle w:val="SCCAppellantForRunningHeadChar"/>
          <w:smallCaps w:val="0"/>
        </w:rPr>
        <w:t xml:space="preserve">, </w:t>
      </w:r>
      <w:r w:rsidR="006C1E1D">
        <w:t>2016 SCC 46, [2016] 2</w:t>
      </w:r>
      <w:r>
        <w:t xml:space="preserve"> S.C.R. 291</w:t>
      </w:r>
    </w:p>
    <w:p w:rsidR="00766D14" w:rsidRDefault="00766D14" w:rsidP="000D7C24">
      <w:pPr>
        <w:widowControl w:val="0"/>
        <w:jc w:val="both"/>
      </w:pPr>
    </w:p>
    <w:p w:rsidR="00A149DF" w:rsidRDefault="00A149DF" w:rsidP="000D7C24">
      <w:pPr>
        <w:widowControl w:val="0"/>
        <w:jc w:val="both"/>
      </w:pPr>
    </w:p>
    <w:p w:rsidR="00A149DF" w:rsidRPr="001426A9" w:rsidRDefault="00A149DF" w:rsidP="000D7C24">
      <w:pPr>
        <w:widowControl w:val="0"/>
        <w:jc w:val="both"/>
      </w:pPr>
    </w:p>
    <w:p w:rsidR="00FD3850" w:rsidRDefault="00B432F4" w:rsidP="000D7C24">
      <w:pPr>
        <w:pStyle w:val="SCCLsocLastPartyInRole"/>
        <w:widowControl w:val="0"/>
      </w:pPr>
      <w:r>
        <w:t>Scott Diamond</w:t>
      </w:r>
      <w:r>
        <w:rPr>
          <w:rStyle w:val="SCCLsocPartyRole"/>
        </w:rPr>
        <w:tab/>
        <w:t>Appellant</w:t>
      </w:r>
    </w:p>
    <w:p w:rsidR="00FD3850" w:rsidRDefault="00B432F4" w:rsidP="000D7C24">
      <w:pPr>
        <w:pStyle w:val="SCCLsocVersus"/>
        <w:widowControl w:val="0"/>
      </w:pPr>
      <w:r>
        <w:t>v.</w:t>
      </w:r>
    </w:p>
    <w:p w:rsidR="0089610B" w:rsidRDefault="00B432F4" w:rsidP="000D7C24">
      <w:pPr>
        <w:pStyle w:val="SCCLsocParty"/>
        <w:widowControl w:val="0"/>
      </w:pPr>
      <w:r>
        <w:t xml:space="preserve">Her Majesty </w:t>
      </w:r>
      <w:r w:rsidR="0089610B">
        <w:t>T</w:t>
      </w:r>
      <w:r>
        <w:t>he Queen in Rig</w:t>
      </w:r>
      <w:r w:rsidR="0089610B">
        <w:t xml:space="preserve">ht of </w:t>
      </w:r>
    </w:p>
    <w:p w:rsidR="00FD3850" w:rsidRDefault="0089610B" w:rsidP="000D7C24">
      <w:pPr>
        <w:pStyle w:val="SCCLsocParty"/>
        <w:widowControl w:val="0"/>
      </w:pPr>
      <w:r>
        <w:t xml:space="preserve">Newfoundland and Labrador and </w:t>
      </w:r>
    </w:p>
    <w:p w:rsidR="00FD3850" w:rsidRDefault="00B432F4" w:rsidP="000D7C24">
      <w:pPr>
        <w:pStyle w:val="SCCLsocLastPartyInRole"/>
        <w:widowControl w:val="0"/>
      </w:pPr>
      <w:r>
        <w:t xml:space="preserve">Her Majesty </w:t>
      </w:r>
      <w:r w:rsidR="0089610B">
        <w:t>T</w:t>
      </w:r>
      <w:r>
        <w:t>he Queen in Right of Canada</w:t>
      </w:r>
      <w:r>
        <w:rPr>
          <w:rStyle w:val="SCCLsocPartyRole"/>
        </w:rPr>
        <w:tab/>
      </w:r>
      <w:r w:rsidRPr="00044FFC">
        <w:rPr>
          <w:rStyle w:val="SCCLsocPartyRole"/>
        </w:rPr>
        <w:t>Respondents</w:t>
      </w:r>
    </w:p>
    <w:p w:rsidR="00766D14" w:rsidRDefault="00766D14" w:rsidP="000D7C24">
      <w:pPr>
        <w:widowControl w:val="0"/>
        <w:jc w:val="both"/>
      </w:pPr>
    </w:p>
    <w:p w:rsidR="00426659" w:rsidRPr="00426659" w:rsidRDefault="00426659" w:rsidP="000D7C24">
      <w:pPr>
        <w:widowControl w:val="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89610B">
        <w:rPr>
          <w:b/>
        </w:rPr>
        <w:t xml:space="preserve">R. </w:t>
      </w:r>
      <w:r w:rsidR="0089610B" w:rsidRPr="0089610B">
        <w:rPr>
          <w:b/>
          <w:i/>
        </w:rPr>
        <w:t>v.</w:t>
      </w:r>
      <w:r w:rsidR="0089610B">
        <w:rPr>
          <w:b/>
        </w:rPr>
        <w:t xml:space="preserve"> </w:t>
      </w:r>
      <w:r>
        <w:rPr>
          <w:rStyle w:val="SCCAppellantForIndexChar"/>
        </w:rPr>
        <w:t>Diamond</w:t>
      </w:r>
    </w:p>
    <w:p w:rsidR="00426659" w:rsidRDefault="00426659" w:rsidP="000D7C24">
      <w:pPr>
        <w:widowControl w:val="0"/>
        <w:jc w:val="both"/>
      </w:pPr>
    </w:p>
    <w:p w:rsidR="00A149DF" w:rsidRDefault="00A149DF" w:rsidP="000D7C24">
      <w:pPr>
        <w:widowControl w:val="0"/>
        <w:jc w:val="both"/>
      </w:pPr>
    </w:p>
    <w:p w:rsidR="00A149DF" w:rsidRDefault="00A149DF" w:rsidP="000D7C24">
      <w:pPr>
        <w:widowControl w:val="0"/>
        <w:jc w:val="both"/>
      </w:pPr>
    </w:p>
    <w:p w:rsidR="00426659" w:rsidRPr="00C02092" w:rsidRDefault="00AE4535" w:rsidP="000D7C24">
      <w:pPr>
        <w:pStyle w:val="SCCSystemYear"/>
        <w:widowControl w:val="0"/>
        <w:jc w:val="both"/>
      </w:pPr>
      <w:r>
        <w:t>2016</w:t>
      </w:r>
      <w:r w:rsidR="003D0399">
        <w:t xml:space="preserve"> </w:t>
      </w:r>
      <w:r w:rsidR="007743D6">
        <w:t>SCC 46</w:t>
      </w:r>
    </w:p>
    <w:p w:rsidR="00426659" w:rsidRDefault="00426659" w:rsidP="000D7C24">
      <w:pPr>
        <w:widowControl w:val="0"/>
        <w:jc w:val="both"/>
      </w:pPr>
    </w:p>
    <w:p w:rsidR="00A149DF" w:rsidRDefault="00A149DF" w:rsidP="000D7C24">
      <w:pPr>
        <w:widowControl w:val="0"/>
        <w:jc w:val="both"/>
      </w:pPr>
    </w:p>
    <w:p w:rsidR="00A149DF" w:rsidRDefault="00A149DF" w:rsidP="000D7C24">
      <w:pPr>
        <w:widowControl w:val="0"/>
        <w:jc w:val="both"/>
      </w:pPr>
    </w:p>
    <w:p w:rsidR="008322BD" w:rsidRDefault="0089610B" w:rsidP="000D7C24">
      <w:pPr>
        <w:widowControl w:val="0"/>
        <w:jc w:val="both"/>
      </w:pPr>
      <w:r>
        <w:t xml:space="preserve">File No.: </w:t>
      </w:r>
      <w:r w:rsidR="009B57B3">
        <w:t>36816</w:t>
      </w:r>
      <w:r w:rsidR="009B57B3" w:rsidRPr="001426A9">
        <w:t>.</w:t>
      </w:r>
    </w:p>
    <w:p w:rsidR="00E97830" w:rsidRDefault="00E97830" w:rsidP="000D7C24">
      <w:pPr>
        <w:widowControl w:val="0"/>
        <w:jc w:val="both"/>
      </w:pPr>
    </w:p>
    <w:p w:rsidR="00A149DF" w:rsidRDefault="00A149DF" w:rsidP="000D7C24">
      <w:pPr>
        <w:widowControl w:val="0"/>
        <w:jc w:val="both"/>
      </w:pPr>
    </w:p>
    <w:p w:rsidR="00A149DF" w:rsidRDefault="00A149DF" w:rsidP="000D7C24">
      <w:pPr>
        <w:widowControl w:val="0"/>
        <w:jc w:val="both"/>
      </w:pPr>
    </w:p>
    <w:p w:rsidR="008322BD" w:rsidRDefault="0089610B" w:rsidP="000D7C24">
      <w:pPr>
        <w:widowControl w:val="0"/>
        <w:jc w:val="both"/>
      </w:pPr>
      <w:r>
        <w:t xml:space="preserve">2016: </w:t>
      </w:r>
      <w:r w:rsidR="00AE4535">
        <w:t>October 12</w:t>
      </w:r>
      <w:r w:rsidR="00823504">
        <w:t>; 2016: November 3</w:t>
      </w:r>
      <w:r w:rsidR="009B57B3" w:rsidRPr="001426A9">
        <w:t>.</w:t>
      </w:r>
    </w:p>
    <w:p w:rsidR="00E97830" w:rsidRDefault="00E97830" w:rsidP="000D7C24">
      <w:pPr>
        <w:widowControl w:val="0"/>
        <w:jc w:val="both"/>
      </w:pPr>
    </w:p>
    <w:p w:rsidR="00A149DF" w:rsidRDefault="00A149DF" w:rsidP="000D7C24">
      <w:pPr>
        <w:widowControl w:val="0"/>
        <w:jc w:val="both"/>
      </w:pPr>
    </w:p>
    <w:p w:rsidR="00A149DF" w:rsidRDefault="00A149DF" w:rsidP="000D7C24">
      <w:pPr>
        <w:widowControl w:val="0"/>
        <w:jc w:val="both"/>
      </w:pPr>
    </w:p>
    <w:p w:rsidR="008322BD" w:rsidRDefault="0089610B" w:rsidP="000D7C24">
      <w:pPr>
        <w:widowControl w:val="0"/>
        <w:jc w:val="both"/>
      </w:pPr>
      <w:r>
        <w:t xml:space="preserve">Present: </w:t>
      </w:r>
      <w:proofErr w:type="spellStart"/>
      <w:r w:rsidR="009B57B3">
        <w:t>Karakatsanis</w:t>
      </w:r>
      <w:proofErr w:type="spellEnd"/>
      <w:r w:rsidR="009B57B3">
        <w:t xml:space="preserve">, Wagner, </w:t>
      </w:r>
      <w:proofErr w:type="spellStart"/>
      <w:r w:rsidR="009B57B3">
        <w:t>Gascon</w:t>
      </w:r>
      <w:proofErr w:type="spellEnd"/>
      <w:r w:rsidR="009B57B3">
        <w:t xml:space="preserve">, </w:t>
      </w:r>
      <w:proofErr w:type="spellStart"/>
      <w:r w:rsidR="009B57B3">
        <w:t>Côté</w:t>
      </w:r>
      <w:proofErr w:type="spellEnd"/>
      <w:r w:rsidR="009B57B3">
        <w:t xml:space="preserve"> and Brown JJ.</w:t>
      </w:r>
    </w:p>
    <w:p w:rsidR="00E97830" w:rsidRDefault="00E97830" w:rsidP="000D7C24">
      <w:pPr>
        <w:widowControl w:val="0"/>
        <w:jc w:val="both"/>
      </w:pPr>
    </w:p>
    <w:p w:rsidR="006A1551" w:rsidRDefault="006A1551" w:rsidP="000D7C24">
      <w:pPr>
        <w:widowControl w:val="0"/>
        <w:jc w:val="both"/>
      </w:pPr>
    </w:p>
    <w:p w:rsidR="006A1551" w:rsidRDefault="006A1551" w:rsidP="000D7C24">
      <w:pPr>
        <w:widowControl w:val="0"/>
        <w:jc w:val="both"/>
      </w:pPr>
    </w:p>
    <w:p w:rsidR="008322BD" w:rsidRPr="001C779F" w:rsidRDefault="00656313" w:rsidP="000D7C24">
      <w:pPr>
        <w:pStyle w:val="SCCLowerCourtNameLowercase"/>
        <w:widowControl w:val="0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89610B">
        <w:t>co</w:t>
      </w:r>
      <w:r w:rsidR="009B57B3">
        <w:t xml:space="preserve">urt of </w:t>
      </w:r>
      <w:r w:rsidR="0089610B">
        <w:t xml:space="preserve">appeal for </w:t>
      </w:r>
      <w:r w:rsidR="009B57B3">
        <w:t xml:space="preserve">newfoundland and </w:t>
      </w:r>
      <w:proofErr w:type="spellStart"/>
      <w:r w:rsidR="009B57B3">
        <w:t>labrador</w:t>
      </w:r>
      <w:proofErr w:type="spellEnd"/>
    </w:p>
    <w:p w:rsidR="003A4C70" w:rsidRPr="001426A9" w:rsidRDefault="003A4C70" w:rsidP="000D7C24">
      <w:pPr>
        <w:pStyle w:val="SCCNormalDoubleSpacing"/>
        <w:widowControl w:val="0"/>
      </w:pPr>
    </w:p>
    <w:p w:rsidR="008322BD" w:rsidRPr="003561F8" w:rsidRDefault="003561F8" w:rsidP="000D7C24">
      <w:pPr>
        <w:pStyle w:val="SCCNormalDoubleSpacing"/>
        <w:widowControl w:val="0"/>
        <w:rPr>
          <w:i/>
        </w:rPr>
      </w:pPr>
      <w:r>
        <w:tab/>
      </w:r>
      <w:r>
        <w:rPr>
          <w:i/>
        </w:rPr>
        <w:t xml:space="preserve">Constitutional law </w:t>
      </w:r>
      <w:r w:rsidR="00742AFD">
        <w:rPr>
          <w:i/>
        </w:rPr>
        <w:t>—</w:t>
      </w:r>
      <w:r>
        <w:rPr>
          <w:i/>
        </w:rPr>
        <w:t xml:space="preserve"> Charter of Rights </w:t>
      </w:r>
      <w:r w:rsidR="00742AFD">
        <w:rPr>
          <w:i/>
        </w:rPr>
        <w:t>—</w:t>
      </w:r>
      <w:r>
        <w:rPr>
          <w:i/>
        </w:rPr>
        <w:t xml:space="preserve"> Search and seizure </w:t>
      </w:r>
      <w:r w:rsidR="00742AFD">
        <w:rPr>
          <w:i/>
        </w:rPr>
        <w:t>—</w:t>
      </w:r>
      <w:r>
        <w:rPr>
          <w:i/>
        </w:rPr>
        <w:t xml:space="preserve"> Arbitrary detention </w:t>
      </w:r>
      <w:r w:rsidR="00742AFD">
        <w:rPr>
          <w:i/>
        </w:rPr>
        <w:t>— Remedy —</w:t>
      </w:r>
      <w:r>
        <w:rPr>
          <w:i/>
        </w:rPr>
        <w:t xml:space="preserve"> Exclusion of evidence </w:t>
      </w:r>
      <w:r w:rsidR="00742AFD">
        <w:rPr>
          <w:i/>
        </w:rPr>
        <w:t>—</w:t>
      </w:r>
      <w:r>
        <w:rPr>
          <w:i/>
        </w:rPr>
        <w:t xml:space="preserve"> </w:t>
      </w:r>
      <w:r w:rsidR="00A56C2F">
        <w:rPr>
          <w:i/>
        </w:rPr>
        <w:t xml:space="preserve">Police officer noticing knife in accused’s truck </w:t>
      </w:r>
      <w:r w:rsidR="008148D1">
        <w:rPr>
          <w:i/>
        </w:rPr>
        <w:t>when conducting</w:t>
      </w:r>
      <w:r w:rsidR="00A56C2F">
        <w:rPr>
          <w:i/>
        </w:rPr>
        <w:t xml:space="preserve"> visual </w:t>
      </w:r>
      <w:r w:rsidR="00742AFD">
        <w:rPr>
          <w:i/>
        </w:rPr>
        <w:t>inspection during traffic stop —</w:t>
      </w:r>
      <w:r w:rsidR="00A56C2F">
        <w:rPr>
          <w:i/>
        </w:rPr>
        <w:t xml:space="preserve"> Accused arrested </w:t>
      </w:r>
      <w:r w:rsidR="008148D1">
        <w:rPr>
          <w:i/>
        </w:rPr>
        <w:t xml:space="preserve">for possession of weapon dangerous to public peace </w:t>
      </w:r>
      <w:r w:rsidR="00A56C2F">
        <w:rPr>
          <w:i/>
        </w:rPr>
        <w:t xml:space="preserve">and search incidental to </w:t>
      </w:r>
      <w:r w:rsidR="00742AFD">
        <w:rPr>
          <w:i/>
        </w:rPr>
        <w:t>arrest revealing cocaine —</w:t>
      </w:r>
      <w:r w:rsidR="00A56C2F">
        <w:rPr>
          <w:i/>
        </w:rPr>
        <w:t xml:space="preserve"> </w:t>
      </w:r>
      <w:r w:rsidR="00B42F35">
        <w:rPr>
          <w:i/>
        </w:rPr>
        <w:t>Majority of Court of Appeal finding that v</w:t>
      </w:r>
      <w:r w:rsidR="008148D1">
        <w:rPr>
          <w:i/>
        </w:rPr>
        <w:t>isual inspection by officer</w:t>
      </w:r>
      <w:r w:rsidR="00A56C2F">
        <w:rPr>
          <w:i/>
        </w:rPr>
        <w:t xml:space="preserve"> did not constitute search</w:t>
      </w:r>
      <w:r w:rsidR="00B42F35">
        <w:rPr>
          <w:i/>
        </w:rPr>
        <w:t>, that s</w:t>
      </w:r>
      <w:r w:rsidR="00A56C2F">
        <w:rPr>
          <w:i/>
        </w:rPr>
        <w:t>eizure of knife justified since in plain view and easily accessible to accused</w:t>
      </w:r>
      <w:r w:rsidR="00B42F35">
        <w:rPr>
          <w:i/>
        </w:rPr>
        <w:t>, that o</w:t>
      </w:r>
      <w:r w:rsidR="00A56C2F">
        <w:rPr>
          <w:i/>
        </w:rPr>
        <w:t xml:space="preserve">fficer had reasonable and probable grounds to arrest accused </w:t>
      </w:r>
      <w:r w:rsidR="00B42F35">
        <w:rPr>
          <w:i/>
        </w:rPr>
        <w:t>and that s</w:t>
      </w:r>
      <w:r w:rsidR="008148D1" w:rsidRPr="008148D1">
        <w:rPr>
          <w:i/>
        </w:rPr>
        <w:t>eizure of cocaine justifiable incidental to arrest</w:t>
      </w:r>
      <w:r w:rsidR="008148D1">
        <w:rPr>
          <w:i/>
        </w:rPr>
        <w:t xml:space="preserve"> </w:t>
      </w:r>
      <w:r w:rsidR="00742AFD">
        <w:rPr>
          <w:i/>
        </w:rPr>
        <w:t>—</w:t>
      </w:r>
      <w:r w:rsidR="000B263B">
        <w:rPr>
          <w:i/>
        </w:rPr>
        <w:t xml:space="preserve"> </w:t>
      </w:r>
      <w:r w:rsidR="00A56C2F">
        <w:rPr>
          <w:i/>
        </w:rPr>
        <w:t>Accused’s</w:t>
      </w:r>
      <w:r>
        <w:rPr>
          <w:i/>
        </w:rPr>
        <w:t xml:space="preserve"> convictions upheld.</w:t>
      </w:r>
    </w:p>
    <w:p w:rsidR="00A149DF" w:rsidRDefault="00A149DF" w:rsidP="000D7C24">
      <w:pPr>
        <w:pStyle w:val="SCCNormalDoubleSpacing"/>
        <w:widowControl w:val="0"/>
      </w:pPr>
    </w:p>
    <w:p w:rsidR="00656313" w:rsidRDefault="009B57B3" w:rsidP="000D7C24">
      <w:pPr>
        <w:pStyle w:val="SCCNormalDoubleSpacing"/>
        <w:widowControl w:val="0"/>
      </w:pPr>
      <w:r w:rsidRPr="001426A9">
        <w:tab/>
        <w:t xml:space="preserve">APPEAL from a judgment of the </w:t>
      </w:r>
      <w:r>
        <w:t xml:space="preserve">Newfoundland and Labrador Court of </w:t>
      </w:r>
      <w:r>
        <w:lastRenderedPageBreak/>
        <w:t>Appeal</w:t>
      </w:r>
      <w:r w:rsidR="0089610B">
        <w:t xml:space="preserve"> (Welsh, Harrington and White JJ.A.), </w:t>
      </w:r>
      <w:r w:rsidR="003F60C7" w:rsidRPr="003F60C7">
        <w:t xml:space="preserve">2015 NLCA 60, 371 Nfld. &amp; P.E.I.R. 200, </w:t>
      </w:r>
      <w:r w:rsidR="00EC1A98" w:rsidRPr="00EC1A98">
        <w:t xml:space="preserve">1156 A.P.R. 200, </w:t>
      </w:r>
      <w:r w:rsidR="003F60C7" w:rsidRPr="003F60C7">
        <w:t xml:space="preserve">333 C.C.C. (3d) 61, 25 C.R. (7th) 292, 347 C.R.R. (2d) 43, [2015] N.J. No. 443 (QL), 2015 </w:t>
      </w:r>
      <w:proofErr w:type="spellStart"/>
      <w:r w:rsidR="003F60C7" w:rsidRPr="003F60C7">
        <w:t>CarswellNfld</w:t>
      </w:r>
      <w:proofErr w:type="spellEnd"/>
      <w:r w:rsidR="003F60C7" w:rsidRPr="003F60C7">
        <w:t xml:space="preserve"> 518 (WL Can.)</w:t>
      </w:r>
      <w:r w:rsidR="0089610B">
        <w:t xml:space="preserve">, </w:t>
      </w:r>
      <w:r w:rsidR="000A7157">
        <w:t>affirming</w:t>
      </w:r>
      <w:r w:rsidR="000A7157" w:rsidRPr="000A7157">
        <w:t xml:space="preserve"> the accused</w:t>
      </w:r>
      <w:r w:rsidR="000A7157">
        <w:t>’</w:t>
      </w:r>
      <w:r w:rsidR="000A7157" w:rsidRPr="000A7157">
        <w:t>s conviction</w:t>
      </w:r>
      <w:r w:rsidR="000A7157">
        <w:t>s</w:t>
      </w:r>
      <w:r w:rsidR="000A7157" w:rsidRPr="000A7157">
        <w:t xml:space="preserve"> for </w:t>
      </w:r>
      <w:r w:rsidR="00EC1A98" w:rsidRPr="00EC1A98">
        <w:t xml:space="preserve">unlawful possession of </w:t>
      </w:r>
      <w:r w:rsidR="000A7157">
        <w:t xml:space="preserve">a </w:t>
      </w:r>
      <w:r w:rsidR="00EC1A98" w:rsidRPr="00EC1A98">
        <w:t>weapon dangerous to</w:t>
      </w:r>
      <w:r w:rsidR="000A7157">
        <w:t xml:space="preserve"> the </w:t>
      </w:r>
      <w:r w:rsidR="00EC1A98" w:rsidRPr="00EC1A98">
        <w:t xml:space="preserve">public peace and </w:t>
      </w:r>
      <w:r w:rsidR="000A7157">
        <w:t xml:space="preserve">for </w:t>
      </w:r>
      <w:r w:rsidR="00EC1A98" w:rsidRPr="00EC1A98">
        <w:t xml:space="preserve">possession of cocaine for </w:t>
      </w:r>
      <w:r w:rsidR="000A7157">
        <w:t xml:space="preserve">the </w:t>
      </w:r>
      <w:r w:rsidR="00EC1A98" w:rsidRPr="00EC1A98">
        <w:t>purpose of trafficking</w:t>
      </w:r>
      <w:r w:rsidR="00E67AB3">
        <w:t xml:space="preserve"> entered by </w:t>
      </w:r>
      <w:proofErr w:type="spellStart"/>
      <w:r w:rsidR="00E67AB3">
        <w:t>Hyslop</w:t>
      </w:r>
      <w:proofErr w:type="spellEnd"/>
      <w:r w:rsidR="00E67AB3">
        <w:t xml:space="preserve"> J</w:t>
      </w:r>
      <w:r w:rsidR="0089610B">
        <w:t xml:space="preserve">. Appeal </w:t>
      </w:r>
      <w:r w:rsidR="00823504">
        <w:t xml:space="preserve">dismissed, </w:t>
      </w:r>
      <w:proofErr w:type="spellStart"/>
      <w:r w:rsidR="00823504">
        <w:t>Gascon</w:t>
      </w:r>
      <w:proofErr w:type="spellEnd"/>
      <w:r w:rsidR="00823504">
        <w:t xml:space="preserve"> and </w:t>
      </w:r>
      <w:proofErr w:type="spellStart"/>
      <w:r w:rsidR="00823504">
        <w:t>Côté</w:t>
      </w:r>
      <w:proofErr w:type="spellEnd"/>
      <w:r w:rsidR="00823504">
        <w:t xml:space="preserve"> JJ.</w:t>
      </w:r>
      <w:r w:rsidR="00823504" w:rsidRPr="00823504">
        <w:t xml:space="preserve"> dissenting</w:t>
      </w:r>
      <w:r w:rsidR="0089610B">
        <w:t>.</w:t>
      </w:r>
    </w:p>
    <w:p w:rsidR="00656313" w:rsidRDefault="00656313" w:rsidP="000D7C24">
      <w:pPr>
        <w:pStyle w:val="SCCNormalDoubleSpacing"/>
        <w:widowControl w:val="0"/>
      </w:pPr>
    </w:p>
    <w:p w:rsidR="00FD3850" w:rsidRDefault="0089610B" w:rsidP="000D7C24">
      <w:pPr>
        <w:pStyle w:val="SCCNormalDoubleSpacing"/>
        <w:widowControl w:val="0"/>
      </w:pPr>
      <w:r>
        <w:rPr>
          <w:rStyle w:val="SCCCounselNameChar"/>
          <w:i w:val="0"/>
        </w:rPr>
        <w:tab/>
      </w:r>
      <w:r w:rsidR="00B432F4">
        <w:rPr>
          <w:rStyle w:val="SCCCounselNameChar"/>
        </w:rPr>
        <w:t>Jason Edwards</w:t>
      </w:r>
      <w:r w:rsidR="00B432F4">
        <w:rPr>
          <w:rStyle w:val="SCCCounselPartyRoleChar"/>
        </w:rPr>
        <w:t>, for the appellant.</w:t>
      </w:r>
    </w:p>
    <w:p w:rsidR="00FD3850" w:rsidRDefault="00FD3850" w:rsidP="000D7C24">
      <w:pPr>
        <w:pStyle w:val="SCCNormalDoubleSpacing"/>
        <w:widowControl w:val="0"/>
      </w:pPr>
    </w:p>
    <w:p w:rsidR="00FD3850" w:rsidRDefault="0089610B" w:rsidP="000D7C24">
      <w:pPr>
        <w:pStyle w:val="SCCNormalDoubleSpacing"/>
        <w:widowControl w:val="0"/>
      </w:pPr>
      <w:r>
        <w:rPr>
          <w:rStyle w:val="SCCCounselNameChar"/>
          <w:i w:val="0"/>
        </w:rPr>
        <w:tab/>
      </w:r>
      <w:r w:rsidR="00B432F4">
        <w:rPr>
          <w:rStyle w:val="SCCCounselNameChar"/>
        </w:rPr>
        <w:t>Lloyd</w:t>
      </w:r>
      <w:r>
        <w:rPr>
          <w:rStyle w:val="SCCCounselNameChar"/>
        </w:rPr>
        <w:t> </w:t>
      </w:r>
      <w:r w:rsidR="00B432F4">
        <w:rPr>
          <w:rStyle w:val="SCCCounselNameChar"/>
        </w:rPr>
        <w:t>M. Strickland</w:t>
      </w:r>
      <w:r w:rsidR="00B432F4">
        <w:rPr>
          <w:rStyle w:val="SCCCounselPartyRoleChar"/>
        </w:rPr>
        <w:t>, for the respondent</w:t>
      </w:r>
      <w:r>
        <w:rPr>
          <w:rStyle w:val="SCCCounselPartyRoleChar"/>
        </w:rPr>
        <w:t xml:space="preserve"> </w:t>
      </w:r>
      <w:r w:rsidRPr="0089610B">
        <w:rPr>
          <w:rStyle w:val="SCCCounselPartyRoleChar"/>
        </w:rPr>
        <w:t>Her Majesty The Queen in Right of Newfoundland and Labrador</w:t>
      </w:r>
      <w:r w:rsidR="00B432F4">
        <w:rPr>
          <w:rStyle w:val="SCCCounselPartyRoleChar"/>
        </w:rPr>
        <w:t>.</w:t>
      </w:r>
    </w:p>
    <w:p w:rsidR="00FD3850" w:rsidRDefault="00FD3850" w:rsidP="000D7C24">
      <w:pPr>
        <w:pStyle w:val="SCCNormalDoubleSpacing"/>
        <w:widowControl w:val="0"/>
      </w:pPr>
    </w:p>
    <w:p w:rsidR="00FD3850" w:rsidRDefault="0089610B" w:rsidP="000D7C24">
      <w:pPr>
        <w:pStyle w:val="SCCNormalDoubleSpacing"/>
        <w:widowControl w:val="0"/>
      </w:pPr>
      <w:r>
        <w:rPr>
          <w:rStyle w:val="SCCCounselNameChar"/>
          <w:i w:val="0"/>
        </w:rPr>
        <w:tab/>
      </w:r>
      <w:r w:rsidR="00B432F4">
        <w:rPr>
          <w:rStyle w:val="SCCCounselNameChar"/>
        </w:rPr>
        <w:t>Paul Adams</w:t>
      </w:r>
      <w:r w:rsidR="00B432F4">
        <w:rPr>
          <w:rStyle w:val="SCCCounselSeparatorChar"/>
        </w:rPr>
        <w:t xml:space="preserve"> and </w:t>
      </w:r>
      <w:r w:rsidR="00B432F4">
        <w:rPr>
          <w:rStyle w:val="SCCCounselNameChar"/>
        </w:rPr>
        <w:t>Robin Fowler</w:t>
      </w:r>
      <w:r w:rsidR="00B432F4">
        <w:rPr>
          <w:rStyle w:val="SCCCounselPartyRoleChar"/>
        </w:rPr>
        <w:t>, for the respondent</w:t>
      </w:r>
      <w:r>
        <w:rPr>
          <w:rStyle w:val="SCCCounselPartyRoleChar"/>
        </w:rPr>
        <w:t xml:space="preserve"> </w:t>
      </w:r>
      <w:r w:rsidRPr="0089610B">
        <w:rPr>
          <w:rStyle w:val="SCCCounselPartyRoleChar"/>
        </w:rPr>
        <w:t>Her Majesty The Queen in Right of Canada</w:t>
      </w:r>
      <w:r w:rsidR="00B432F4">
        <w:rPr>
          <w:rStyle w:val="SCCCounselPartyRoleChar"/>
        </w:rPr>
        <w:t>.</w:t>
      </w:r>
    </w:p>
    <w:p w:rsidR="00FD3850" w:rsidRDefault="00FD3850" w:rsidP="000D7C24">
      <w:pPr>
        <w:pStyle w:val="SCCNormalDoubleSpacing"/>
        <w:widowControl w:val="0"/>
      </w:pPr>
    </w:p>
    <w:p w:rsidR="00823504" w:rsidRDefault="00A16546" w:rsidP="000D7C24">
      <w:pPr>
        <w:pStyle w:val="SCCNormalDoubleSpacing"/>
        <w:widowControl w:val="0"/>
      </w:pPr>
      <w:r w:rsidRPr="00A16546">
        <w:tab/>
      </w:r>
      <w:r w:rsidRPr="008148D1">
        <w:t>The judgment of the Court was delivered by</w:t>
      </w:r>
    </w:p>
    <w:p w:rsidR="00823504" w:rsidRDefault="00823504" w:rsidP="000D7C24">
      <w:pPr>
        <w:pStyle w:val="SCCNormalDoubleSpacing"/>
        <w:widowControl w:val="0"/>
      </w:pPr>
    </w:p>
    <w:p w:rsidR="00823504" w:rsidRDefault="00A16546" w:rsidP="000D7C24">
      <w:pPr>
        <w:pStyle w:val="SCCNormalDoubleSpacing"/>
        <w:widowControl w:val="0"/>
        <w:spacing w:after="480"/>
      </w:pPr>
      <w:r>
        <w:t>[1]</w:t>
      </w:r>
      <w:r>
        <w:tab/>
      </w:r>
      <w:proofErr w:type="spellStart"/>
      <w:r w:rsidRPr="00A16546">
        <w:rPr>
          <w:smallCaps/>
        </w:rPr>
        <w:t>Karakatsanis</w:t>
      </w:r>
      <w:proofErr w:type="spellEnd"/>
      <w:r w:rsidRPr="00A16546">
        <w:rPr>
          <w:smallCaps/>
        </w:rPr>
        <w:t xml:space="preserve"> J.</w:t>
      </w:r>
      <w:r>
        <w:t xml:space="preserve"> — The majority of the Court is of the view that the appeal should be dismissed, substantially for the reasons of Harrington J.A</w:t>
      </w:r>
      <w:r w:rsidRPr="0012354B">
        <w:t xml:space="preserve">., 2015 NLCA 60, 371 Nfld. &amp; P.E.I.R. 200, at paras. 22-26. </w:t>
      </w:r>
      <w:proofErr w:type="spellStart"/>
      <w:r w:rsidRPr="0012354B">
        <w:t>Gascon</w:t>
      </w:r>
      <w:proofErr w:type="spellEnd"/>
      <w:r w:rsidRPr="0012354B">
        <w:t xml:space="preserve"> and C</w:t>
      </w:r>
      <w:proofErr w:type="spellStart"/>
      <w:r w:rsidRPr="0012354B">
        <w:rPr>
          <w:lang w:val="en-US"/>
        </w:rPr>
        <w:t>ôté</w:t>
      </w:r>
      <w:proofErr w:type="spellEnd"/>
      <w:r w:rsidRPr="0012354B">
        <w:rPr>
          <w:lang w:val="en-US"/>
        </w:rPr>
        <w:t xml:space="preserve"> JJ., dissenting, would have allowed the appeal, substantially for the reasons of White J.A., at paras. 44-48.</w:t>
      </w:r>
    </w:p>
    <w:p w:rsidR="00A16546" w:rsidRDefault="00A16546" w:rsidP="000D7C24">
      <w:pPr>
        <w:pStyle w:val="SCCNormalDoubleSpacing"/>
        <w:widowControl w:val="0"/>
        <w:spacing w:after="480"/>
      </w:pPr>
      <w:r>
        <w:lastRenderedPageBreak/>
        <w:t>[2]</w:t>
      </w:r>
      <w:r>
        <w:tab/>
      </w:r>
      <w:r>
        <w:rPr>
          <w:lang w:val="en-US"/>
        </w:rPr>
        <w:t>The appeal is accordingly dismissed.</w:t>
      </w:r>
    </w:p>
    <w:p w:rsidR="009B57B3" w:rsidRDefault="0089610B" w:rsidP="000D7C24">
      <w:pPr>
        <w:pStyle w:val="SCCNormalDoubleSpacing"/>
        <w:widowControl w:val="0"/>
      </w:pPr>
      <w:r>
        <w:tab/>
      </w:r>
      <w:r w:rsidR="00656313" w:rsidRPr="00583EDE">
        <w:rPr>
          <w:i/>
        </w:rPr>
        <w:t>Appeal</w:t>
      </w:r>
      <w:r>
        <w:rPr>
          <w:i/>
        </w:rPr>
        <w:t xml:space="preserve"> </w:t>
      </w:r>
      <w:r w:rsidR="00823504">
        <w:rPr>
          <w:i/>
        </w:rPr>
        <w:t xml:space="preserve">dismissed, </w:t>
      </w:r>
      <w:proofErr w:type="spellStart"/>
      <w:r w:rsidR="00823504" w:rsidRPr="00823504">
        <w:rPr>
          <w:smallCaps/>
        </w:rPr>
        <w:t>Gascon</w:t>
      </w:r>
      <w:proofErr w:type="spellEnd"/>
      <w:r w:rsidR="00823504" w:rsidRPr="00823504">
        <w:rPr>
          <w:i/>
        </w:rPr>
        <w:t xml:space="preserve"> and </w:t>
      </w:r>
      <w:proofErr w:type="spellStart"/>
      <w:r w:rsidR="00823504" w:rsidRPr="00823504">
        <w:rPr>
          <w:smallCaps/>
        </w:rPr>
        <w:t>Côté</w:t>
      </w:r>
      <w:proofErr w:type="spellEnd"/>
      <w:r w:rsidR="00823504" w:rsidRPr="00823504">
        <w:rPr>
          <w:smallCaps/>
        </w:rPr>
        <w:t xml:space="preserve"> JJ.</w:t>
      </w:r>
      <w:r w:rsidR="00823504" w:rsidRPr="00823504">
        <w:rPr>
          <w:i/>
        </w:rPr>
        <w:t xml:space="preserve"> dissenting</w:t>
      </w:r>
      <w:r>
        <w:rPr>
          <w:i/>
        </w:rPr>
        <w:t>.</w:t>
      </w:r>
    </w:p>
    <w:p w:rsidR="00A149DF" w:rsidRPr="001426A9" w:rsidRDefault="00A149DF" w:rsidP="000D7C24">
      <w:pPr>
        <w:pStyle w:val="SCCNormalDoubleSpacing"/>
        <w:widowControl w:val="0"/>
      </w:pPr>
    </w:p>
    <w:p w:rsidR="0089610B" w:rsidRDefault="0089610B" w:rsidP="000D7C24">
      <w:pPr>
        <w:pStyle w:val="SCCLawFirm"/>
        <w:widowControl w:val="0"/>
      </w:pPr>
      <w:r>
        <w:tab/>
        <w:t>Solicitor for the appellant: Newfoundland and Labrador Legal Aid Commission, St. John’s.</w:t>
      </w:r>
    </w:p>
    <w:p w:rsidR="0089610B" w:rsidRDefault="0089610B" w:rsidP="000D7C24">
      <w:pPr>
        <w:pStyle w:val="SCCLawFirm"/>
        <w:widowControl w:val="0"/>
      </w:pPr>
    </w:p>
    <w:p w:rsidR="0089610B" w:rsidRDefault="0089610B" w:rsidP="000D7C24">
      <w:pPr>
        <w:pStyle w:val="SCCLawFirm"/>
        <w:widowControl w:val="0"/>
      </w:pPr>
      <w:r>
        <w:tab/>
        <w:t xml:space="preserve">Solicitor for the respondent </w:t>
      </w:r>
      <w:r w:rsidRPr="0089610B">
        <w:rPr>
          <w:rStyle w:val="SCCCounselPartyRoleChar"/>
        </w:rPr>
        <w:t>Her Majesty The Queen in Right of Newfoundland and Labrador</w:t>
      </w:r>
      <w:r>
        <w:t>: Attorney General of Newfoundland and Labrador, St. John’s.</w:t>
      </w:r>
    </w:p>
    <w:p w:rsidR="0089610B" w:rsidRDefault="0089610B" w:rsidP="000D7C24">
      <w:pPr>
        <w:pStyle w:val="SCCLawFirm"/>
        <w:widowControl w:val="0"/>
      </w:pPr>
    </w:p>
    <w:p w:rsidR="009B57B3" w:rsidRPr="001426A9" w:rsidRDefault="0089610B" w:rsidP="000D7C24">
      <w:pPr>
        <w:pStyle w:val="SCCLawFirm"/>
        <w:widowControl w:val="0"/>
      </w:pPr>
      <w:r>
        <w:tab/>
        <w:t xml:space="preserve">Solicitor for the respondent </w:t>
      </w:r>
      <w:r w:rsidRPr="0089610B">
        <w:rPr>
          <w:rStyle w:val="SCCCounselPartyRoleChar"/>
        </w:rPr>
        <w:t>Her Majesty The Queen in Right of Canada</w:t>
      </w:r>
      <w:r>
        <w:t>: Public Prosecution Service of Canada, Halifax.</w:t>
      </w:r>
    </w:p>
    <w:sectPr w:rsidR="009B57B3" w:rsidRPr="001426A9" w:rsidSect="00114C41">
      <w:headerReference w:type="default" r:id="rId8"/>
      <w:pgSz w:w="12240" w:h="15840"/>
      <w:pgMar w:top="1267" w:right="2160" w:bottom="720" w:left="1800" w:header="180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3944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4C41" w:rsidRDefault="00114C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7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0352" w:rsidRPr="00450352" w:rsidRDefault="00450352" w:rsidP="00450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44FFC"/>
    <w:rsid w:val="000578A3"/>
    <w:rsid w:val="000648CC"/>
    <w:rsid w:val="000A7157"/>
    <w:rsid w:val="000B263B"/>
    <w:rsid w:val="000C59B8"/>
    <w:rsid w:val="000C6AF0"/>
    <w:rsid w:val="000D7C24"/>
    <w:rsid w:val="00104F33"/>
    <w:rsid w:val="00111DE2"/>
    <w:rsid w:val="00114C41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561F8"/>
    <w:rsid w:val="00364B18"/>
    <w:rsid w:val="003A125D"/>
    <w:rsid w:val="003A4C70"/>
    <w:rsid w:val="003B215F"/>
    <w:rsid w:val="003C799C"/>
    <w:rsid w:val="003D0399"/>
    <w:rsid w:val="003E1C71"/>
    <w:rsid w:val="003F327B"/>
    <w:rsid w:val="003F60C7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F36FF"/>
    <w:rsid w:val="005125A8"/>
    <w:rsid w:val="00521AE8"/>
    <w:rsid w:val="00527180"/>
    <w:rsid w:val="0054201E"/>
    <w:rsid w:val="00555291"/>
    <w:rsid w:val="00566AD1"/>
    <w:rsid w:val="00583EDE"/>
    <w:rsid w:val="005A6079"/>
    <w:rsid w:val="005E4698"/>
    <w:rsid w:val="00610539"/>
    <w:rsid w:val="00613969"/>
    <w:rsid w:val="00625C35"/>
    <w:rsid w:val="00656313"/>
    <w:rsid w:val="006565F4"/>
    <w:rsid w:val="00684EEA"/>
    <w:rsid w:val="0069689B"/>
    <w:rsid w:val="006A1551"/>
    <w:rsid w:val="006B5FF5"/>
    <w:rsid w:val="006C1E1D"/>
    <w:rsid w:val="006F30AF"/>
    <w:rsid w:val="00701759"/>
    <w:rsid w:val="00705C15"/>
    <w:rsid w:val="00706720"/>
    <w:rsid w:val="0071600E"/>
    <w:rsid w:val="007208D1"/>
    <w:rsid w:val="00742AFD"/>
    <w:rsid w:val="00747288"/>
    <w:rsid w:val="00747DD3"/>
    <w:rsid w:val="007549C8"/>
    <w:rsid w:val="00754A0B"/>
    <w:rsid w:val="00766D14"/>
    <w:rsid w:val="00767A0F"/>
    <w:rsid w:val="007743D6"/>
    <w:rsid w:val="007A05F6"/>
    <w:rsid w:val="007B6F4A"/>
    <w:rsid w:val="007E1C47"/>
    <w:rsid w:val="007E337A"/>
    <w:rsid w:val="007E5C70"/>
    <w:rsid w:val="007F2FF5"/>
    <w:rsid w:val="007F3F08"/>
    <w:rsid w:val="00804CC6"/>
    <w:rsid w:val="008148D1"/>
    <w:rsid w:val="00817190"/>
    <w:rsid w:val="00820EE5"/>
    <w:rsid w:val="00823504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9610B"/>
    <w:rsid w:val="008A3F29"/>
    <w:rsid w:val="008B660A"/>
    <w:rsid w:val="008C01DA"/>
    <w:rsid w:val="008F78E9"/>
    <w:rsid w:val="00911989"/>
    <w:rsid w:val="009179F9"/>
    <w:rsid w:val="009236DA"/>
    <w:rsid w:val="00933E5E"/>
    <w:rsid w:val="00935218"/>
    <w:rsid w:val="009403F3"/>
    <w:rsid w:val="009555B7"/>
    <w:rsid w:val="009567AA"/>
    <w:rsid w:val="00967374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6546"/>
    <w:rsid w:val="00A1755C"/>
    <w:rsid w:val="00A21B90"/>
    <w:rsid w:val="00A41805"/>
    <w:rsid w:val="00A42DCD"/>
    <w:rsid w:val="00A52AFB"/>
    <w:rsid w:val="00A548CB"/>
    <w:rsid w:val="00A5521C"/>
    <w:rsid w:val="00A56C2F"/>
    <w:rsid w:val="00A643E7"/>
    <w:rsid w:val="00A73C38"/>
    <w:rsid w:val="00AB670D"/>
    <w:rsid w:val="00AE4535"/>
    <w:rsid w:val="00AF03C5"/>
    <w:rsid w:val="00B000D8"/>
    <w:rsid w:val="00B00F75"/>
    <w:rsid w:val="00B145B6"/>
    <w:rsid w:val="00B279EB"/>
    <w:rsid w:val="00B42F35"/>
    <w:rsid w:val="00B432F4"/>
    <w:rsid w:val="00B50C81"/>
    <w:rsid w:val="00B557F8"/>
    <w:rsid w:val="00B815FC"/>
    <w:rsid w:val="00B93FBC"/>
    <w:rsid w:val="00B94A61"/>
    <w:rsid w:val="00BA7DA0"/>
    <w:rsid w:val="00BB2EE4"/>
    <w:rsid w:val="00BC2108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5AE4"/>
    <w:rsid w:val="00C86719"/>
    <w:rsid w:val="00C921DD"/>
    <w:rsid w:val="00CA6391"/>
    <w:rsid w:val="00CC34BD"/>
    <w:rsid w:val="00CD056A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56A77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67AB3"/>
    <w:rsid w:val="00E77932"/>
    <w:rsid w:val="00E97830"/>
    <w:rsid w:val="00EC1A98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B37D2"/>
    <w:rsid w:val="00FC4EFB"/>
    <w:rsid w:val="00FD068D"/>
    <w:rsid w:val="00FD3850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table" w:styleId="TableGrid">
    <w:name w:val="Table Grid"/>
    <w:basedOn w:val="TableNormal"/>
    <w:uiPriority w:val="59"/>
    <w:rsid w:val="00706720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706720"/>
    <w:rPr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706720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706720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2015-08-19T15:38:00Z</dcterms:created>
  <dcterms:modified xsi:type="dcterms:W3CDTF">2017-02-23T18:42:00Z</dcterms:modified>
</cp:coreProperties>
</file>