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E7F" w:rsidRDefault="00945E7F" w:rsidP="00945E7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50382103" r:id="rId9"/>
        </w:object>
      </w:r>
      <w:r>
        <w:t xml:space="preserve"> </w:t>
      </w:r>
      <w:r>
        <w:ptab w:relativeTo="margin" w:alignment="right" w:leader="none"/>
      </w:r>
    </w:p>
    <w:p w:rsidR="00945E7F" w:rsidRDefault="00945E7F" w:rsidP="00945E7F">
      <w:pPr>
        <w:pStyle w:val="Header"/>
      </w:pPr>
    </w:p>
    <w:p w:rsidR="00945E7F" w:rsidRPr="006B210C" w:rsidRDefault="00945E7F" w:rsidP="00945E7F">
      <w:pPr>
        <w:jc w:val="center"/>
        <w:rPr>
          <w:b/>
        </w:rPr>
      </w:pPr>
      <w:r w:rsidRPr="006B210C">
        <w:rPr>
          <w:b/>
        </w:rPr>
        <w:t>SUPREME COURT OF CANADA</w:t>
      </w:r>
    </w:p>
    <w:p w:rsidR="00945E7F" w:rsidRDefault="00945E7F" w:rsidP="00945E7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945E7F" w:rsidRPr="006B210C" w:rsidTr="008A4E85">
        <w:trPr>
          <w:cantSplit/>
        </w:trPr>
        <w:tc>
          <w:tcPr>
            <w:tcW w:w="5130" w:type="dxa"/>
          </w:tcPr>
          <w:p w:rsidR="00945E7F" w:rsidRPr="006B210C" w:rsidRDefault="00945E7F" w:rsidP="008A4E85">
            <w:r w:rsidRPr="006B210C">
              <w:rPr>
                <w:b/>
                <w:smallCaps/>
              </w:rPr>
              <w:t>Citation</w:t>
            </w:r>
            <w:r>
              <w:rPr>
                <w:b/>
                <w:smallCaps/>
              </w:rPr>
              <w:t>:</w:t>
            </w:r>
            <w:r w:rsidRPr="006B210C">
              <w:t xml:space="preserve"> </w:t>
            </w:r>
            <w:r w:rsidRPr="00315300">
              <w:t xml:space="preserve">Jean Coutu Group (PJC) Inc. </w:t>
            </w:r>
            <w:r w:rsidRPr="00315300">
              <w:rPr>
                <w:i/>
              </w:rPr>
              <w:t>v.</w:t>
            </w:r>
            <w:r w:rsidRPr="00315300">
              <w:t xml:space="preserve"> Canada (Attorney General)</w:t>
            </w:r>
            <w:r>
              <w:t>, 2016 SCC 55</w:t>
            </w:r>
            <w:r>
              <w:t xml:space="preserve">, </w:t>
            </w:r>
            <w:r>
              <w:t>[2016] 2 S.C.R. 670</w:t>
            </w:r>
            <w:bookmarkStart w:id="0" w:name="_GoBack"/>
            <w:bookmarkEnd w:id="0"/>
          </w:p>
        </w:tc>
        <w:tc>
          <w:tcPr>
            <w:tcW w:w="4446" w:type="dxa"/>
          </w:tcPr>
          <w:p w:rsidR="00945E7F" w:rsidRPr="006B210C" w:rsidRDefault="00945E7F" w:rsidP="008A4E85">
            <w:r>
              <w:rPr>
                <w:b/>
                <w:smallCaps/>
              </w:rPr>
              <w:t>Appeal heard:</w:t>
            </w:r>
            <w:r w:rsidRPr="006B210C">
              <w:t xml:space="preserve"> </w:t>
            </w:r>
            <w:r>
              <w:t>May 18, 2016</w:t>
            </w:r>
          </w:p>
          <w:p w:rsidR="00945E7F" w:rsidRPr="006B210C" w:rsidRDefault="00945E7F" w:rsidP="008A4E85">
            <w:r>
              <w:rPr>
                <w:b/>
                <w:smallCaps/>
              </w:rPr>
              <w:t>Judgment rendered</w:t>
            </w:r>
            <w:r w:rsidRPr="0079323E">
              <w:rPr>
                <w:b/>
                <w:smallCaps/>
              </w:rPr>
              <w:t>:</w:t>
            </w:r>
            <w:r w:rsidRPr="0079323E">
              <w:t xml:space="preserve"> </w:t>
            </w:r>
            <w:r>
              <w:t>December 9</w:t>
            </w:r>
            <w:r w:rsidRPr="00991DB3">
              <w:t>, 2016</w:t>
            </w:r>
          </w:p>
          <w:p w:rsidR="00945E7F" w:rsidRPr="006B210C" w:rsidRDefault="00945E7F" w:rsidP="008A4E85">
            <w:r w:rsidRPr="006B210C">
              <w:rPr>
                <w:b/>
                <w:smallCaps/>
              </w:rPr>
              <w:t>Docket</w:t>
            </w:r>
            <w:r>
              <w:rPr>
                <w:b/>
                <w:smallCaps/>
              </w:rPr>
              <w:t>:</w:t>
            </w:r>
            <w:r w:rsidRPr="006B210C">
              <w:t xml:space="preserve"> </w:t>
            </w:r>
            <w:r>
              <w:t>36505</w:t>
            </w:r>
          </w:p>
        </w:tc>
      </w:tr>
    </w:tbl>
    <w:p w:rsidR="00945E7F" w:rsidRPr="006B210C" w:rsidRDefault="00945E7F" w:rsidP="00945E7F"/>
    <w:p w:rsidR="00945E7F" w:rsidRDefault="00945E7F" w:rsidP="00945E7F">
      <w:pPr>
        <w:pStyle w:val="SCCLsocPrefix"/>
      </w:pPr>
      <w:r>
        <w:t>Between:</w:t>
      </w:r>
    </w:p>
    <w:p w:rsidR="00945E7F" w:rsidRDefault="00945E7F" w:rsidP="00945E7F">
      <w:pPr>
        <w:pStyle w:val="SCCLsocParty"/>
        <w:jc w:val="center"/>
      </w:pPr>
      <w:r>
        <w:t>The Jean Coutu Group (PJC) Inc.</w:t>
      </w:r>
    </w:p>
    <w:p w:rsidR="00945E7F" w:rsidRDefault="00945E7F" w:rsidP="00945E7F">
      <w:pPr>
        <w:jc w:val="center"/>
      </w:pPr>
      <w:r>
        <w:t>Appellant</w:t>
      </w:r>
    </w:p>
    <w:p w:rsidR="00945E7F" w:rsidRPr="00315300" w:rsidRDefault="00945E7F" w:rsidP="00945E7F">
      <w:pPr>
        <w:jc w:val="center"/>
      </w:pPr>
    </w:p>
    <w:p w:rsidR="00945E7F" w:rsidRPr="00945E7F" w:rsidRDefault="00945E7F" w:rsidP="00945E7F">
      <w:pPr>
        <w:pStyle w:val="SCCLsocVersus"/>
        <w:spacing w:after="0"/>
        <w:jc w:val="center"/>
        <w:rPr>
          <w:i w:val="0"/>
        </w:rPr>
      </w:pPr>
      <w:proofErr w:type="gramStart"/>
      <w:r w:rsidRPr="00945E7F">
        <w:rPr>
          <w:i w:val="0"/>
        </w:rPr>
        <w:t>and</w:t>
      </w:r>
      <w:proofErr w:type="gramEnd"/>
    </w:p>
    <w:p w:rsidR="00945E7F" w:rsidRPr="00315300" w:rsidRDefault="00945E7F" w:rsidP="00945E7F">
      <w:pPr>
        <w:jc w:val="center"/>
      </w:pPr>
    </w:p>
    <w:p w:rsidR="00945E7F" w:rsidRDefault="00945E7F" w:rsidP="00945E7F">
      <w:pPr>
        <w:pStyle w:val="SCCLsocParty"/>
        <w:jc w:val="center"/>
      </w:pPr>
      <w:r>
        <w:t>Attorney General of Canada</w:t>
      </w:r>
    </w:p>
    <w:p w:rsidR="00945E7F" w:rsidRDefault="00945E7F" w:rsidP="00945E7F">
      <w:pPr>
        <w:jc w:val="center"/>
      </w:pPr>
      <w:r>
        <w:t>Respondent</w:t>
      </w:r>
    </w:p>
    <w:p w:rsidR="00945E7F" w:rsidRPr="00315300" w:rsidRDefault="00945E7F" w:rsidP="00945E7F">
      <w:pPr>
        <w:jc w:val="center"/>
      </w:pPr>
    </w:p>
    <w:p w:rsidR="00945E7F" w:rsidRDefault="00945E7F" w:rsidP="00945E7F">
      <w:pPr>
        <w:pStyle w:val="SCCLsocOtherPartySeparator"/>
        <w:spacing w:after="0"/>
        <w:jc w:val="center"/>
      </w:pPr>
      <w:r>
        <w:t xml:space="preserve">- </w:t>
      </w:r>
      <w:proofErr w:type="gramStart"/>
      <w:r>
        <w:t>and</w:t>
      </w:r>
      <w:proofErr w:type="gramEnd"/>
      <w:r>
        <w:t xml:space="preserve"> -</w:t>
      </w:r>
    </w:p>
    <w:p w:rsidR="00945E7F" w:rsidRPr="00315300" w:rsidRDefault="00945E7F" w:rsidP="00945E7F">
      <w:pPr>
        <w:jc w:val="center"/>
      </w:pPr>
    </w:p>
    <w:p w:rsidR="00945E7F" w:rsidRDefault="00945E7F" w:rsidP="00945E7F">
      <w:pPr>
        <w:pStyle w:val="SCCLsocParty"/>
        <w:jc w:val="center"/>
      </w:pPr>
      <w:proofErr w:type="spellStart"/>
      <w:r>
        <w:t>Agence</w:t>
      </w:r>
      <w:proofErr w:type="spellEnd"/>
      <w:r>
        <w:t xml:space="preserve"> du </w:t>
      </w:r>
      <w:proofErr w:type="spellStart"/>
      <w:r>
        <w:t>revenu</w:t>
      </w:r>
      <w:proofErr w:type="spellEnd"/>
      <w:r>
        <w:t xml:space="preserve"> du Québec</w:t>
      </w:r>
    </w:p>
    <w:p w:rsidR="00945E7F" w:rsidRDefault="00945E7F" w:rsidP="00945E7F">
      <w:pPr>
        <w:jc w:val="center"/>
      </w:pPr>
      <w:r>
        <w:t>Intervener</w:t>
      </w:r>
    </w:p>
    <w:p w:rsidR="00945E7F" w:rsidRDefault="00945E7F" w:rsidP="00945E7F"/>
    <w:p w:rsidR="00945E7F" w:rsidRPr="006B210C" w:rsidRDefault="00945E7F" w:rsidP="00945E7F"/>
    <w:p w:rsidR="00945E7F" w:rsidRPr="006B210C" w:rsidRDefault="00945E7F" w:rsidP="00945E7F">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rsidRPr="00A4217C">
        <w:t>Moldaver</w:t>
      </w:r>
      <w:proofErr w:type="spellEnd"/>
      <w:r w:rsidRPr="00A4217C">
        <w:t xml:space="preserve">, </w:t>
      </w:r>
      <w:proofErr w:type="spellStart"/>
      <w:r w:rsidRPr="00A4217C">
        <w:t>Karakatsanis</w:t>
      </w:r>
      <w:proofErr w:type="spellEnd"/>
      <w:r w:rsidRPr="00A4217C">
        <w:t>,</w:t>
      </w:r>
      <w:r>
        <w:t xml:space="preserve"> Wagner, </w:t>
      </w:r>
      <w:proofErr w:type="spellStart"/>
      <w:r>
        <w:t>Gascon</w:t>
      </w:r>
      <w:proofErr w:type="spellEnd"/>
      <w:r>
        <w:t xml:space="preserve">, </w:t>
      </w:r>
      <w:proofErr w:type="spellStart"/>
      <w:r>
        <w:t>Côté</w:t>
      </w:r>
      <w:proofErr w:type="spellEnd"/>
      <w:r>
        <w:t xml:space="preserve"> and Brown JJ.</w:t>
      </w:r>
    </w:p>
    <w:p w:rsidR="00945E7F" w:rsidRPr="006B210C" w:rsidRDefault="00945E7F" w:rsidP="00945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45E7F" w:rsidRPr="00C2005F" w:rsidTr="008A4E85">
        <w:trPr>
          <w:cantSplit/>
        </w:trPr>
        <w:tc>
          <w:tcPr>
            <w:tcW w:w="3618" w:type="dxa"/>
          </w:tcPr>
          <w:p w:rsidR="00945E7F" w:rsidRDefault="00945E7F" w:rsidP="008A4E85">
            <w:pPr>
              <w:ind w:left="-58"/>
              <w:rPr>
                <w:b/>
                <w:smallCaps/>
              </w:rPr>
            </w:pPr>
            <w:r w:rsidRPr="006B210C">
              <w:rPr>
                <w:b/>
                <w:smallCaps/>
              </w:rPr>
              <w:t>Reasons for Judgment</w:t>
            </w:r>
            <w:r>
              <w:rPr>
                <w:b/>
                <w:smallCaps/>
              </w:rPr>
              <w:t>:</w:t>
            </w:r>
          </w:p>
          <w:p w:rsidR="00945E7F" w:rsidRPr="00C47E2C" w:rsidRDefault="00945E7F" w:rsidP="008A4E85">
            <w:pPr>
              <w:ind w:left="-58"/>
            </w:pPr>
            <w:r>
              <w:t>(paras. 1 to 53):</w:t>
            </w:r>
          </w:p>
          <w:p w:rsidR="00945E7F" w:rsidRPr="00C47E2C" w:rsidRDefault="00945E7F" w:rsidP="008A4E85">
            <w:pPr>
              <w:ind w:left="-58"/>
            </w:pPr>
          </w:p>
          <w:p w:rsidR="00945E7F" w:rsidRPr="00C47E2C" w:rsidRDefault="00945E7F" w:rsidP="008A4E85">
            <w:pPr>
              <w:ind w:left="-58"/>
              <w:rPr>
                <w:b/>
                <w:smallCaps/>
              </w:rPr>
            </w:pPr>
            <w:r w:rsidRPr="00C47E2C">
              <w:rPr>
                <w:b/>
                <w:smallCaps/>
              </w:rPr>
              <w:t>Dissenting Reasons:</w:t>
            </w:r>
          </w:p>
          <w:p w:rsidR="00945E7F" w:rsidRPr="006B210C" w:rsidRDefault="00945E7F" w:rsidP="008A4E85">
            <w:pPr>
              <w:ind w:left="-58"/>
            </w:pPr>
            <w:r>
              <w:t>(paras. 54 to 95):</w:t>
            </w:r>
          </w:p>
        </w:tc>
        <w:tc>
          <w:tcPr>
            <w:tcW w:w="5958" w:type="dxa"/>
          </w:tcPr>
          <w:p w:rsidR="00945E7F" w:rsidRDefault="00945E7F" w:rsidP="008A4E85">
            <w:r>
              <w:t>Wagner J. (</w:t>
            </w:r>
            <w:proofErr w:type="spellStart"/>
            <w:r>
              <w:t>McLachlin</w:t>
            </w:r>
            <w:proofErr w:type="spellEnd"/>
            <w:r>
              <w:t xml:space="preserve"> C.J. and Cromwell, </w:t>
            </w:r>
            <w:proofErr w:type="spellStart"/>
            <w:r>
              <w:t>Moldaver</w:t>
            </w:r>
            <w:proofErr w:type="spellEnd"/>
            <w:r>
              <w:t xml:space="preserve">, </w:t>
            </w:r>
            <w:proofErr w:type="spellStart"/>
            <w:r w:rsidRPr="00A4217C">
              <w:t>Karakatsanis</w:t>
            </w:r>
            <w:proofErr w:type="spellEnd"/>
            <w:r w:rsidRPr="00A4217C">
              <w:t>,</w:t>
            </w:r>
            <w:r>
              <w:t xml:space="preserve"> </w:t>
            </w:r>
            <w:proofErr w:type="spellStart"/>
            <w:r>
              <w:t>Gascon</w:t>
            </w:r>
            <w:proofErr w:type="spellEnd"/>
            <w:r>
              <w:t xml:space="preserve"> and Brown JJ. concurring)</w:t>
            </w:r>
          </w:p>
          <w:p w:rsidR="00945E7F" w:rsidRDefault="00945E7F" w:rsidP="008A4E85"/>
          <w:p w:rsidR="00945E7F" w:rsidRPr="00C2005F" w:rsidRDefault="00945E7F" w:rsidP="008A4E85">
            <w:pPr>
              <w:rPr>
                <w:lang w:val="fr-CA"/>
              </w:rPr>
            </w:pPr>
            <w:r w:rsidRPr="00C2005F">
              <w:rPr>
                <w:lang w:val="fr-CA"/>
              </w:rPr>
              <w:t xml:space="preserve">Côté J. (Abella J. </w:t>
            </w:r>
            <w:proofErr w:type="spellStart"/>
            <w:r w:rsidRPr="00C2005F">
              <w:rPr>
                <w:lang w:val="fr-CA"/>
              </w:rPr>
              <w:t>concurring</w:t>
            </w:r>
            <w:proofErr w:type="spellEnd"/>
            <w:r w:rsidRPr="00C2005F">
              <w:rPr>
                <w:lang w:val="fr-CA"/>
              </w:rPr>
              <w:t>)</w:t>
            </w:r>
          </w:p>
        </w:tc>
      </w:tr>
    </w:tbl>
    <w:p w:rsidR="00945E7F" w:rsidRPr="00C2005F" w:rsidRDefault="00945E7F" w:rsidP="00945E7F">
      <w:pPr>
        <w:rPr>
          <w:lang w:val="fr-CA"/>
        </w:rPr>
      </w:pPr>
    </w:p>
    <w:p w:rsidR="00945E7F" w:rsidRPr="006B210C" w:rsidRDefault="00945E7F" w:rsidP="00945E7F">
      <w:r>
        <w:rPr>
          <w:noProof/>
          <w:lang w:val="en-US"/>
        </w:rPr>
        <mc:AlternateContent>
          <mc:Choice Requires="wps">
            <w:drawing>
              <wp:anchor distT="0" distB="0" distL="114300" distR="114300" simplePos="0" relativeHeight="251659264" behindDoc="0" locked="0" layoutInCell="1" allowOverlap="1" wp14:anchorId="5888327C" wp14:editId="7C05A44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C736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45E7F" w:rsidRDefault="00945E7F" w:rsidP="00AD4E67">
      <w:pPr>
        <w:widowControl w:val="0"/>
        <w:spacing w:after="720"/>
        <w:jc w:val="both"/>
      </w:pPr>
    </w:p>
    <w:p w:rsidR="008322BD" w:rsidRPr="002E5A82" w:rsidRDefault="002E5A82" w:rsidP="00AD4E67">
      <w:pPr>
        <w:widowControl w:val="0"/>
        <w:spacing w:after="720"/>
        <w:jc w:val="both"/>
      </w:pPr>
      <w:r>
        <w:t>Jean Coutu G</w:t>
      </w:r>
      <w:r w:rsidR="008F78E9" w:rsidRPr="002E5A82">
        <w:t>roup</w:t>
      </w:r>
      <w:r>
        <w:t xml:space="preserve"> (PJC) Inc.</w:t>
      </w:r>
      <w:r w:rsidR="00480C90" w:rsidRPr="002E5A82">
        <w:t xml:space="preserve"> </w:t>
      </w:r>
      <w:r w:rsidR="009B57B3" w:rsidRPr="002E5A82">
        <w:rPr>
          <w:i/>
        </w:rPr>
        <w:t>v.</w:t>
      </w:r>
      <w:r w:rsidR="00B000D8" w:rsidRPr="002E5A82">
        <w:t xml:space="preserve"> </w:t>
      </w:r>
      <w:r>
        <w:t>C</w:t>
      </w:r>
      <w:r w:rsidR="008F78E9" w:rsidRPr="002E5A82">
        <w:t>anada</w:t>
      </w:r>
      <w:r>
        <w:t xml:space="preserve"> (Attorney G</w:t>
      </w:r>
      <w:r w:rsidR="00CD1571" w:rsidRPr="002E5A82">
        <w:t>eneral)</w:t>
      </w:r>
      <w:r>
        <w:t xml:space="preserve">, </w:t>
      </w:r>
      <w:r w:rsidRPr="0096599C">
        <w:t>2016 SCC 55</w:t>
      </w:r>
      <w:r>
        <w:t>, [2016] 2 S.C.R. 670</w:t>
      </w:r>
    </w:p>
    <w:p w:rsidR="007F3B36" w:rsidRPr="0096599C" w:rsidRDefault="004251C3" w:rsidP="00AD4E67">
      <w:pPr>
        <w:pStyle w:val="SCCLsocLastPartyInRole"/>
        <w:widowControl w:val="0"/>
        <w:rPr>
          <w:lang w:val="fr-CA"/>
        </w:rPr>
      </w:pPr>
      <w:r w:rsidRPr="0096599C">
        <w:rPr>
          <w:lang w:val="fr-CA"/>
        </w:rPr>
        <w:lastRenderedPageBreak/>
        <w:t xml:space="preserve">The </w:t>
      </w:r>
      <w:r w:rsidR="008D151F" w:rsidRPr="0096599C">
        <w:rPr>
          <w:lang w:val="fr-CA"/>
        </w:rPr>
        <w:t xml:space="preserve">Jean </w:t>
      </w:r>
      <w:proofErr w:type="spellStart"/>
      <w:r w:rsidR="008D151F" w:rsidRPr="0096599C">
        <w:rPr>
          <w:lang w:val="fr-CA"/>
        </w:rPr>
        <w:t>Coutu</w:t>
      </w:r>
      <w:proofErr w:type="spellEnd"/>
      <w:r w:rsidR="008D151F" w:rsidRPr="0096599C">
        <w:rPr>
          <w:lang w:val="fr-CA"/>
        </w:rPr>
        <w:t xml:space="preserve"> Group (PJC) Inc.</w:t>
      </w:r>
      <w:r w:rsidR="008D151F" w:rsidRPr="0096599C">
        <w:rPr>
          <w:rStyle w:val="SCCLsocPartyRole"/>
          <w:lang w:val="fr-CA"/>
        </w:rPr>
        <w:tab/>
        <w:t>Appellant</w:t>
      </w:r>
    </w:p>
    <w:p w:rsidR="007F3B36" w:rsidRPr="0096599C" w:rsidRDefault="008D151F" w:rsidP="00AD4E67">
      <w:pPr>
        <w:pStyle w:val="SCCLsocVersus"/>
        <w:widowControl w:val="0"/>
      </w:pPr>
      <w:r w:rsidRPr="0096599C">
        <w:t>v.</w:t>
      </w:r>
    </w:p>
    <w:p w:rsidR="007F3B36" w:rsidRPr="0096599C" w:rsidRDefault="008D151F" w:rsidP="00AD4E67">
      <w:pPr>
        <w:pStyle w:val="SCCLsocLastPartyInRole"/>
        <w:widowControl w:val="0"/>
      </w:pPr>
      <w:r w:rsidRPr="0096599C">
        <w:t>Attorney General of Canada</w:t>
      </w:r>
      <w:r w:rsidRPr="0096599C">
        <w:rPr>
          <w:rStyle w:val="SCCLsocPartyRole"/>
        </w:rPr>
        <w:tab/>
        <w:t>Respondent</w:t>
      </w:r>
    </w:p>
    <w:p w:rsidR="007F3B36" w:rsidRPr="0096599C" w:rsidRDefault="008D151F" w:rsidP="00AD4E67">
      <w:pPr>
        <w:pStyle w:val="SCCLsocOtherPartySeparator"/>
        <w:widowControl w:val="0"/>
        <w:rPr>
          <w:lang w:val="fr-CA"/>
        </w:rPr>
      </w:pPr>
      <w:r w:rsidRPr="0096599C">
        <w:rPr>
          <w:lang w:val="fr-CA"/>
        </w:rPr>
        <w:t>and</w:t>
      </w:r>
    </w:p>
    <w:p w:rsidR="007F3B36" w:rsidRPr="0096599C" w:rsidRDefault="008D151F" w:rsidP="00AD4E67">
      <w:pPr>
        <w:pStyle w:val="SCCLsocLastPartyInRole"/>
        <w:widowControl w:val="0"/>
        <w:rPr>
          <w:lang w:val="fr-CA"/>
        </w:rPr>
      </w:pPr>
      <w:r w:rsidRPr="0096599C">
        <w:rPr>
          <w:lang w:val="fr-CA"/>
        </w:rPr>
        <w:t>Agence du revenu du Québec</w:t>
      </w:r>
      <w:r w:rsidRPr="0096599C">
        <w:rPr>
          <w:rStyle w:val="SCCLsocPartyRole"/>
          <w:lang w:val="fr-CA"/>
        </w:rPr>
        <w:tab/>
        <w:t>Intervener</w:t>
      </w:r>
    </w:p>
    <w:p w:rsidR="00426659" w:rsidRPr="0096599C" w:rsidRDefault="00426659" w:rsidP="00AD4E67">
      <w:pPr>
        <w:widowControl w:val="0"/>
        <w:spacing w:after="720"/>
        <w:jc w:val="both"/>
        <w:rPr>
          <w:b/>
        </w:rPr>
      </w:pPr>
      <w:r w:rsidRPr="0096599C">
        <w:rPr>
          <w:b/>
        </w:rPr>
        <w:t xml:space="preserve">Indexed as: Jean Coutu Group (PJC) Inc. </w:t>
      </w:r>
      <w:r w:rsidRPr="0096599C">
        <w:rPr>
          <w:b/>
          <w:i/>
        </w:rPr>
        <w:t>v.</w:t>
      </w:r>
      <w:r w:rsidRPr="0096599C">
        <w:rPr>
          <w:b/>
        </w:rPr>
        <w:t xml:space="preserve"> </w:t>
      </w:r>
      <w:r w:rsidR="00CD1571" w:rsidRPr="0096599C">
        <w:rPr>
          <w:b/>
        </w:rPr>
        <w:t>Canada (</w:t>
      </w:r>
      <w:r w:rsidRPr="0096599C">
        <w:rPr>
          <w:b/>
        </w:rPr>
        <w:t>Attorney General</w:t>
      </w:r>
      <w:r w:rsidR="00CD1571" w:rsidRPr="0096599C">
        <w:rPr>
          <w:b/>
        </w:rPr>
        <w:t>)</w:t>
      </w:r>
    </w:p>
    <w:p w:rsidR="00426659" w:rsidRPr="0096599C" w:rsidRDefault="00AE4535" w:rsidP="00AD4E67">
      <w:pPr>
        <w:pStyle w:val="SCCSystemYear"/>
        <w:widowControl w:val="0"/>
        <w:spacing w:after="720"/>
        <w:jc w:val="both"/>
      </w:pPr>
      <w:r w:rsidRPr="0096599C">
        <w:t>2016</w:t>
      </w:r>
      <w:r w:rsidR="003D0399" w:rsidRPr="0096599C">
        <w:t xml:space="preserve"> </w:t>
      </w:r>
      <w:r w:rsidR="0048420B" w:rsidRPr="0096599C">
        <w:t>SCC 55</w:t>
      </w:r>
    </w:p>
    <w:p w:rsidR="008322BD" w:rsidRPr="0096599C" w:rsidRDefault="0048420B" w:rsidP="00AD4E67">
      <w:pPr>
        <w:widowControl w:val="0"/>
        <w:spacing w:after="720"/>
        <w:jc w:val="both"/>
      </w:pPr>
      <w:r w:rsidRPr="0096599C">
        <w:t>File No.: </w:t>
      </w:r>
      <w:r w:rsidR="009B57B3" w:rsidRPr="0096599C">
        <w:t>36505.</w:t>
      </w:r>
    </w:p>
    <w:p w:rsidR="008322BD" w:rsidRPr="0096599C" w:rsidRDefault="0048420B" w:rsidP="00AD4E67">
      <w:pPr>
        <w:widowControl w:val="0"/>
        <w:spacing w:after="720"/>
        <w:jc w:val="both"/>
      </w:pPr>
      <w:r w:rsidRPr="0096599C">
        <w:t>2016: May </w:t>
      </w:r>
      <w:r w:rsidR="00AE4535" w:rsidRPr="0096599C">
        <w:t>18</w:t>
      </w:r>
      <w:r w:rsidRPr="0096599C">
        <w:t>; 2016: December </w:t>
      </w:r>
      <w:r w:rsidR="00017DB9" w:rsidRPr="0096599C">
        <w:t>9</w:t>
      </w:r>
      <w:r w:rsidR="009B57B3" w:rsidRPr="0096599C">
        <w:t>.</w:t>
      </w:r>
    </w:p>
    <w:p w:rsidR="008322BD" w:rsidRPr="0096599C" w:rsidRDefault="00CD1571" w:rsidP="00AD4E67">
      <w:pPr>
        <w:widowControl w:val="0"/>
        <w:spacing w:after="720"/>
        <w:jc w:val="both"/>
      </w:pPr>
      <w:r w:rsidRPr="0096599C">
        <w:t xml:space="preserve">Present: </w:t>
      </w:r>
      <w:r w:rsidR="009B57B3" w:rsidRPr="0096599C">
        <w:t>McLachlin C.J. and Abella, Cromwell, Moldaver, Karakatsanis, Wagner, Gascon, Côté and Brown JJ.</w:t>
      </w:r>
    </w:p>
    <w:p w:rsidR="008322BD" w:rsidRPr="0096599C" w:rsidRDefault="00656313" w:rsidP="00AD4E67">
      <w:pPr>
        <w:pStyle w:val="SCCLowerCourtNameLowercase"/>
        <w:widowControl w:val="0"/>
        <w:spacing w:after="720" w:line="240" w:lineRule="auto"/>
      </w:pPr>
      <w:r w:rsidRPr="0096599C">
        <w:t>o</w:t>
      </w:r>
      <w:r w:rsidR="00170592" w:rsidRPr="0096599C">
        <w:t>n</w:t>
      </w:r>
      <w:r w:rsidR="00224FC0" w:rsidRPr="0096599C">
        <w:t xml:space="preserve"> </w:t>
      </w:r>
      <w:r w:rsidRPr="0096599C">
        <w:t>a</w:t>
      </w:r>
      <w:r w:rsidR="00170592" w:rsidRPr="0096599C">
        <w:t>ppeal</w:t>
      </w:r>
      <w:r w:rsidR="00224FC0" w:rsidRPr="0096599C">
        <w:t xml:space="preserve"> </w:t>
      </w:r>
      <w:r w:rsidR="00170592" w:rsidRPr="0096599C">
        <w:t>from</w:t>
      </w:r>
      <w:r w:rsidR="009567AA" w:rsidRPr="0096599C">
        <w:t xml:space="preserve"> the</w:t>
      </w:r>
      <w:r w:rsidR="00224FC0" w:rsidRPr="0096599C">
        <w:t xml:space="preserve"> </w:t>
      </w:r>
      <w:r w:rsidR="009B57B3" w:rsidRPr="0096599C">
        <w:t>court of appeal f</w:t>
      </w:r>
      <w:r w:rsidR="00CD1571" w:rsidRPr="0096599C">
        <w:t>or</w:t>
      </w:r>
      <w:r w:rsidR="009B57B3" w:rsidRPr="0096599C">
        <w:t xml:space="preserve"> quebec</w:t>
      </w:r>
    </w:p>
    <w:p w:rsidR="005D6CFA" w:rsidRPr="0096599C" w:rsidRDefault="009B57B3" w:rsidP="00AD4E67">
      <w:pPr>
        <w:pStyle w:val="SCCNormalDoubleSpacing"/>
        <w:widowControl w:val="0"/>
        <w:spacing w:before="480" w:after="480"/>
        <w:rPr>
          <w:i/>
        </w:rPr>
      </w:pPr>
      <w:r w:rsidRPr="0096599C">
        <w:tab/>
      </w:r>
      <w:r w:rsidR="005D6CFA" w:rsidRPr="0096599C">
        <w:rPr>
          <w:i/>
          <w:iCs/>
          <w:szCs w:val="24"/>
          <w:lang w:val="en"/>
        </w:rPr>
        <w:t>Contracts</w:t>
      </w:r>
      <w:r w:rsidR="005D6CFA" w:rsidRPr="0096599C">
        <w:rPr>
          <w:i/>
          <w:szCs w:val="24"/>
        </w:rPr>
        <w:t xml:space="preserve"> </w:t>
      </w:r>
      <w:r w:rsidR="007C02A5" w:rsidRPr="0096599C">
        <w:rPr>
          <w:i/>
          <w:szCs w:val="24"/>
        </w:rPr>
        <w:t>—</w:t>
      </w:r>
      <w:r w:rsidR="005D6CFA" w:rsidRPr="0096599C">
        <w:rPr>
          <w:i/>
          <w:szCs w:val="24"/>
        </w:rPr>
        <w:t xml:space="preserve"> </w:t>
      </w:r>
      <w:r w:rsidR="005D6CFA" w:rsidRPr="0096599C">
        <w:rPr>
          <w:i/>
          <w:iCs/>
          <w:szCs w:val="24"/>
          <w:lang w:val="en"/>
        </w:rPr>
        <w:t>Interpretation</w:t>
      </w:r>
      <w:r w:rsidR="005D6CFA" w:rsidRPr="0096599C">
        <w:rPr>
          <w:i/>
          <w:szCs w:val="24"/>
        </w:rPr>
        <w:t xml:space="preserve"> — Common i</w:t>
      </w:r>
      <w:r w:rsidR="005D6CFA" w:rsidRPr="0096599C">
        <w:rPr>
          <w:i/>
          <w:iCs/>
          <w:szCs w:val="24"/>
          <w:lang w:val="en"/>
        </w:rPr>
        <w:t>ntention of parties</w:t>
      </w:r>
      <w:r w:rsidR="005D6CFA" w:rsidRPr="0096599C">
        <w:rPr>
          <w:i/>
          <w:szCs w:val="24"/>
        </w:rPr>
        <w:t xml:space="preserve"> — Written instruments relating to transactional scheme not reflecting common intention of parties for tax-neutrality — </w:t>
      </w:r>
      <w:r w:rsidR="005D6CFA" w:rsidRPr="0096599C">
        <w:rPr>
          <w:i/>
          <w:iCs/>
          <w:szCs w:val="24"/>
          <w:lang w:val="en"/>
        </w:rPr>
        <w:t>Transactions having unintended tax consequences</w:t>
      </w:r>
      <w:r w:rsidR="005D6CFA" w:rsidRPr="0096599C">
        <w:rPr>
          <w:i/>
          <w:szCs w:val="24"/>
        </w:rPr>
        <w:t xml:space="preserve"> — Whether, </w:t>
      </w:r>
      <w:r w:rsidR="005D6CFA" w:rsidRPr="0096599C">
        <w:rPr>
          <w:i/>
          <w:szCs w:val="24"/>
        </w:rPr>
        <w:lastRenderedPageBreak/>
        <w:t>under Quebec civil law, general intention that execution of transactional scheme be tax-neutral sufficient to aut</w:t>
      </w:r>
      <w:r w:rsidR="00607757">
        <w:rPr>
          <w:i/>
          <w:szCs w:val="24"/>
        </w:rPr>
        <w:t>h</w:t>
      </w:r>
      <w:r w:rsidR="005D6CFA" w:rsidRPr="0096599C">
        <w:rPr>
          <w:i/>
          <w:szCs w:val="24"/>
        </w:rPr>
        <w:t xml:space="preserve">orize rectification of written instruments — </w:t>
      </w:r>
      <w:r w:rsidR="005D6CFA" w:rsidRPr="0096599C">
        <w:rPr>
          <w:i/>
          <w:iCs/>
          <w:szCs w:val="24"/>
          <w:lang w:val="en"/>
        </w:rPr>
        <w:t>Civil Code of Québec, art. 1425.</w:t>
      </w:r>
    </w:p>
    <w:p w:rsidR="005D6CFA" w:rsidRPr="0096599C" w:rsidRDefault="005D6CFA" w:rsidP="00AD4E67">
      <w:pPr>
        <w:pStyle w:val="SCCNormalDoubleSpacing"/>
        <w:widowControl w:val="0"/>
        <w:spacing w:before="480" w:after="480"/>
        <w:rPr>
          <w:i/>
        </w:rPr>
      </w:pPr>
      <w:r w:rsidRPr="0096599C">
        <w:rPr>
          <w:i/>
        </w:rPr>
        <w:tab/>
      </w:r>
      <w:r w:rsidRPr="0096599C">
        <w:rPr>
          <w:i/>
          <w:iCs/>
          <w:szCs w:val="24"/>
          <w:lang w:val="en"/>
        </w:rPr>
        <w:t>Commercial law</w:t>
      </w:r>
      <w:r w:rsidRPr="0096599C">
        <w:rPr>
          <w:i/>
          <w:szCs w:val="24"/>
        </w:rPr>
        <w:t xml:space="preserve"> — Corporations — Taxation — Whether rectification of written instrument amount to retroactive tax planning. </w:t>
      </w:r>
    </w:p>
    <w:p w:rsidR="005D6CFA" w:rsidRPr="0096599C" w:rsidRDefault="005D6CFA" w:rsidP="00AD4E67">
      <w:pPr>
        <w:pStyle w:val="SCCNormalDoubleSpacing"/>
        <w:widowControl w:val="0"/>
        <w:spacing w:before="480" w:after="480"/>
        <w:rPr>
          <w:lang w:val="en-US"/>
        </w:rPr>
      </w:pPr>
      <w:r w:rsidRPr="0096599C">
        <w:tab/>
      </w:r>
      <w:r w:rsidR="00CE6827">
        <w:t xml:space="preserve">The </w:t>
      </w:r>
      <w:r w:rsidRPr="00CE6827">
        <w:rPr>
          <w:lang w:val="en-US"/>
        </w:rPr>
        <w:t xml:space="preserve">Jean Coutu Group (PJC) Inc. </w:t>
      </w:r>
      <w:r w:rsidRPr="0096599C">
        <w:rPr>
          <w:lang w:val="en-US"/>
        </w:rPr>
        <w:t xml:space="preserve">(“PJC Canada”), is </w:t>
      </w:r>
      <w:r w:rsidRPr="0096599C">
        <w:t>a Quebec corporation</w:t>
      </w:r>
      <w:r w:rsidR="00042232" w:rsidRPr="0096599C">
        <w:t xml:space="preserve">. </w:t>
      </w:r>
      <w:r w:rsidRPr="0096599C">
        <w:t>I</w:t>
      </w:r>
      <w:r w:rsidR="00042232" w:rsidRPr="0096599C">
        <w:t xml:space="preserve">n 2004, </w:t>
      </w:r>
      <w:r w:rsidRPr="0096599C">
        <w:rPr>
          <w:lang w:val="en-US"/>
        </w:rPr>
        <w:t>its subsidiary, PJC USA</w:t>
      </w:r>
      <w:r w:rsidR="00042232" w:rsidRPr="0096599C">
        <w:rPr>
          <w:lang w:val="en-US"/>
        </w:rPr>
        <w:t xml:space="preserve"> invested in</w:t>
      </w:r>
      <w:r w:rsidRPr="0096599C">
        <w:rPr>
          <w:lang w:val="en-US"/>
        </w:rPr>
        <w:t xml:space="preserve"> a chain of pharmacies in the United States</w:t>
      </w:r>
      <w:r w:rsidR="00042232" w:rsidRPr="0096599C">
        <w:rPr>
          <w:lang w:val="en-US"/>
        </w:rPr>
        <w:t xml:space="preserve">. </w:t>
      </w:r>
      <w:r w:rsidRPr="0096599C">
        <w:rPr>
          <w:lang w:val="en-US"/>
        </w:rPr>
        <w:t>T</w:t>
      </w:r>
      <w:r w:rsidR="00042232" w:rsidRPr="0096599C">
        <w:rPr>
          <w:lang w:val="en-US"/>
        </w:rPr>
        <w:t xml:space="preserve">o avoid the negative </w:t>
      </w:r>
      <w:r w:rsidRPr="0096599C">
        <w:rPr>
          <w:lang w:val="en-US"/>
        </w:rPr>
        <w:t>perceptions of PJC Canada’s investors</w:t>
      </w:r>
      <w:r w:rsidR="00042232" w:rsidRPr="0096599C">
        <w:rPr>
          <w:lang w:val="en-US"/>
        </w:rPr>
        <w:t xml:space="preserve"> of the variation in this investment’s</w:t>
      </w:r>
      <w:r w:rsidRPr="0096599C">
        <w:rPr>
          <w:lang w:val="en-US"/>
        </w:rPr>
        <w:t xml:space="preserve"> value due to fluctuations in U.S. to Canadian dollar exchange rates, PJC Canada consulted professional advisors to find ways to </w:t>
      </w:r>
      <w:r w:rsidR="00042232" w:rsidRPr="0096599C">
        <w:rPr>
          <w:lang w:val="en-US"/>
        </w:rPr>
        <w:t>neutralize them</w:t>
      </w:r>
      <w:r w:rsidRPr="0096599C">
        <w:rPr>
          <w:lang w:val="en-US"/>
        </w:rPr>
        <w:t xml:space="preserve"> without adverse tax consequences</w:t>
      </w:r>
      <w:r w:rsidR="00042232" w:rsidRPr="0096599C">
        <w:rPr>
          <w:lang w:val="en-US"/>
        </w:rPr>
        <w:t xml:space="preserve">. </w:t>
      </w:r>
      <w:r w:rsidRPr="0096599C">
        <w:rPr>
          <w:lang w:val="en-US"/>
        </w:rPr>
        <w:t xml:space="preserve">Although the </w:t>
      </w:r>
      <w:r w:rsidR="00042232" w:rsidRPr="0096599C">
        <w:rPr>
          <w:lang w:val="en-US"/>
        </w:rPr>
        <w:t xml:space="preserve">chosen set of transactions </w:t>
      </w:r>
      <w:r w:rsidRPr="0096599C">
        <w:t xml:space="preserve">succeeded in </w:t>
      </w:r>
      <w:r w:rsidRPr="0096599C">
        <w:rPr>
          <w:lang w:val="en-US"/>
        </w:rPr>
        <w:t xml:space="preserve">neutralizing the effect of the exchange rate fluctuations, </w:t>
      </w:r>
      <w:r w:rsidR="00042232" w:rsidRPr="0096599C">
        <w:rPr>
          <w:lang w:val="en-US"/>
        </w:rPr>
        <w:t xml:space="preserve">they </w:t>
      </w:r>
      <w:r w:rsidRPr="0096599C">
        <w:rPr>
          <w:lang w:val="en-US"/>
        </w:rPr>
        <w:t xml:space="preserve">did not succeed in avoiding tax consequences. In 2010, the Canada Revenue Agency (“CRA”) </w:t>
      </w:r>
      <w:r w:rsidR="00042232" w:rsidRPr="0096599C">
        <w:rPr>
          <w:lang w:val="en-US"/>
        </w:rPr>
        <w:t>assessed PJC Canada</w:t>
      </w:r>
      <w:r w:rsidRPr="0096599C">
        <w:rPr>
          <w:lang w:val="en-US"/>
        </w:rPr>
        <w:t xml:space="preserve"> for CAN$2.2 million of unpaid income tax for the years 2005, 2006 and 2007. The CRA concluded that because PJC USA was a controlled foreign affiliate of PJC Canada the interest it had earned during those years on the US$70 million loan </w:t>
      </w:r>
      <w:r w:rsidRPr="0096599C">
        <w:rPr>
          <w:szCs w:val="24"/>
          <w:lang w:val="en-US"/>
        </w:rPr>
        <w:t>constituted foreign accrual property income (“FAPI”)</w:t>
      </w:r>
      <w:r w:rsidR="00042232" w:rsidRPr="0096599C">
        <w:rPr>
          <w:lang w:val="en-US"/>
        </w:rPr>
        <w:t xml:space="preserve"> under</w:t>
      </w:r>
      <w:r w:rsidRPr="0096599C">
        <w:rPr>
          <w:lang w:val="en-US"/>
        </w:rPr>
        <w:t xml:space="preserve"> </w:t>
      </w:r>
      <w:r w:rsidRPr="0096599C">
        <w:rPr>
          <w:szCs w:val="24"/>
          <w:lang w:val="en-US"/>
        </w:rPr>
        <w:t xml:space="preserve">the </w:t>
      </w:r>
      <w:r w:rsidRPr="0096599C">
        <w:rPr>
          <w:i/>
          <w:iCs/>
          <w:szCs w:val="24"/>
          <w:lang w:val="en-US"/>
        </w:rPr>
        <w:t>Income Tax Act</w:t>
      </w:r>
      <w:r w:rsidRPr="0096599C">
        <w:rPr>
          <w:lang w:val="en-US"/>
        </w:rPr>
        <w:t xml:space="preserve"> </w:t>
      </w:r>
      <w:r w:rsidRPr="0096599C">
        <w:rPr>
          <w:szCs w:val="24"/>
          <w:lang w:val="en-US"/>
        </w:rPr>
        <w:t>and was taxable as income of PJC Canada.</w:t>
      </w:r>
    </w:p>
    <w:p w:rsidR="005D6CFA" w:rsidRPr="0096599C" w:rsidRDefault="005D6CFA" w:rsidP="00AD4E67">
      <w:pPr>
        <w:pStyle w:val="SCCNormalDoubleSpacing"/>
        <w:widowControl w:val="0"/>
        <w:spacing w:before="480" w:after="480"/>
      </w:pPr>
      <w:r w:rsidRPr="0096599C">
        <w:rPr>
          <w:lang w:val="en-US"/>
        </w:rPr>
        <w:tab/>
        <w:t>After the CRA audit, PJC Canada brought a motion for rectification of the documents related to the agreement and fo</w:t>
      </w:r>
      <w:r w:rsidR="007C02A5" w:rsidRPr="0096599C">
        <w:rPr>
          <w:lang w:val="en-US"/>
        </w:rPr>
        <w:t>r declaratory relief under art. </w:t>
      </w:r>
      <w:r w:rsidRPr="0096599C">
        <w:rPr>
          <w:lang w:val="en-US"/>
        </w:rPr>
        <w:t xml:space="preserve">1425 of the </w:t>
      </w:r>
      <w:r w:rsidRPr="0096599C">
        <w:rPr>
          <w:i/>
          <w:szCs w:val="24"/>
        </w:rPr>
        <w:t>Civil Code of Québec</w:t>
      </w:r>
      <w:r w:rsidRPr="0096599C">
        <w:rPr>
          <w:szCs w:val="24"/>
        </w:rPr>
        <w:t xml:space="preserve"> (“</w:t>
      </w:r>
      <w:r w:rsidRPr="0096599C">
        <w:rPr>
          <w:i/>
          <w:szCs w:val="24"/>
        </w:rPr>
        <w:t>C.C.Q</w:t>
      </w:r>
      <w:r w:rsidRPr="0096599C">
        <w:rPr>
          <w:szCs w:val="24"/>
        </w:rPr>
        <w:t>.”)</w:t>
      </w:r>
      <w:r w:rsidRPr="0096599C">
        <w:rPr>
          <w:lang w:val="en-US"/>
        </w:rPr>
        <w:t xml:space="preserve">. </w:t>
      </w:r>
      <w:r w:rsidRPr="0096599C">
        <w:t>The application</w:t>
      </w:r>
      <w:r w:rsidR="00042232" w:rsidRPr="0096599C">
        <w:t xml:space="preserve"> judge granted the</w:t>
      </w:r>
      <w:r w:rsidRPr="0096599C">
        <w:t xml:space="preserve"> motion.</w:t>
      </w:r>
      <w:r w:rsidRPr="0096599C">
        <w:rPr>
          <w:lang w:val="en-US"/>
        </w:rPr>
        <w:t xml:space="preserve"> </w:t>
      </w:r>
      <w:r w:rsidR="00042232" w:rsidRPr="0096599C">
        <w:t xml:space="preserve">Because </w:t>
      </w:r>
      <w:r w:rsidR="00042232" w:rsidRPr="0096599C">
        <w:lastRenderedPageBreak/>
        <w:t>of the adverse tax consequences</w:t>
      </w:r>
      <w:r w:rsidRPr="0096599C">
        <w:t>, he held that there was a disparity between the common intention of</w:t>
      </w:r>
      <w:r w:rsidR="00042232" w:rsidRPr="0096599C">
        <w:t xml:space="preserve"> the parties</w:t>
      </w:r>
      <w:r w:rsidRPr="0096599C">
        <w:t xml:space="preserve"> and the documents drawn up to </w:t>
      </w:r>
      <w:r w:rsidR="00042232" w:rsidRPr="0096599C">
        <w:t>give effect to that intention. Therefore,</w:t>
      </w:r>
      <w:r w:rsidRPr="0096599C">
        <w:t xml:space="preserve"> PJC Canada</w:t>
      </w:r>
      <w:r w:rsidR="00042232" w:rsidRPr="0096599C">
        <w:rPr>
          <w:lang w:val="en-US"/>
        </w:rPr>
        <w:t xml:space="preserve"> was allowed to amend</w:t>
      </w:r>
      <w:r w:rsidRPr="0096599C">
        <w:rPr>
          <w:lang w:val="en-US"/>
        </w:rPr>
        <w:t xml:space="preserve"> the documents by inserting new transactions, such that the interest payable by PJC Canada to PJC USA would be offset by interest payable by PJC USA to PJC Canada, reducing FAPI to zero. The Court of Appeal allowed the appeal, </w:t>
      </w:r>
      <w:r w:rsidR="00042232" w:rsidRPr="0096599C">
        <w:rPr>
          <w:lang w:val="en-US"/>
        </w:rPr>
        <w:t>holding that the general intention of PJC Canada that the agreement</w:t>
      </w:r>
      <w:r w:rsidRPr="0096599C">
        <w:rPr>
          <w:lang w:val="en-US"/>
        </w:rPr>
        <w:t xml:space="preserve"> be tax-neutral was insufficiently determinate to serve as the basis of a modified agreement.</w:t>
      </w:r>
      <w:r w:rsidRPr="0096599C">
        <w:t xml:space="preserve"> </w:t>
      </w:r>
    </w:p>
    <w:p w:rsidR="005D6CFA" w:rsidRPr="0096599C" w:rsidRDefault="005D6CFA" w:rsidP="00AD4E67">
      <w:pPr>
        <w:pStyle w:val="SCCNormalDoubleSpacing"/>
        <w:widowControl w:val="0"/>
        <w:spacing w:before="480" w:after="480"/>
      </w:pPr>
      <w:r w:rsidRPr="0096599C">
        <w:tab/>
      </w:r>
      <w:r w:rsidRPr="0096599C">
        <w:rPr>
          <w:i/>
        </w:rPr>
        <w:t>Held</w:t>
      </w:r>
      <w:r w:rsidR="007C02A5" w:rsidRPr="0096599C">
        <w:rPr>
          <w:i/>
        </w:rPr>
        <w:t xml:space="preserve"> </w:t>
      </w:r>
      <w:r w:rsidR="007C02A5" w:rsidRPr="00607757">
        <w:t>(Abella and Côté </w:t>
      </w:r>
      <w:r w:rsidRPr="00607757">
        <w:t>JJ. dissenting):</w:t>
      </w:r>
      <w:r w:rsidRPr="0096599C">
        <w:t xml:space="preserve"> The appeal should be dismissed</w:t>
      </w:r>
      <w:r w:rsidR="00F00E3D" w:rsidRPr="0096599C">
        <w:t>.</w:t>
      </w:r>
    </w:p>
    <w:p w:rsidR="005D6CFA" w:rsidRPr="0096599C" w:rsidRDefault="005D6CFA" w:rsidP="00AD4E67">
      <w:pPr>
        <w:pStyle w:val="SCCNormalDoubleSpacing"/>
        <w:widowControl w:val="0"/>
        <w:spacing w:before="480" w:after="480"/>
        <w:rPr>
          <w:rFonts w:eastAsia="Calibri"/>
          <w:lang w:val="en-US"/>
        </w:rPr>
      </w:pPr>
      <w:r w:rsidRPr="0096599C">
        <w:tab/>
      </w:r>
      <w:r w:rsidRPr="0096599C">
        <w:rPr>
          <w:i/>
        </w:rPr>
        <w:t>Per</w:t>
      </w:r>
      <w:r w:rsidRPr="0096599C">
        <w:t xml:space="preserve"> McLachlin C.J. and Cromwell, Moldaver, Karakatsanis, </w:t>
      </w:r>
      <w:r w:rsidRPr="00607757">
        <w:t>Wagner</w:t>
      </w:r>
      <w:r w:rsidRPr="0096599C">
        <w:t xml:space="preserve">, Gascon and Brown JJ.: </w:t>
      </w:r>
      <w:r w:rsidR="00042232" w:rsidRPr="0096599C">
        <w:t>A</w:t>
      </w:r>
      <w:r w:rsidRPr="0096599C">
        <w:rPr>
          <w:rFonts w:eastAsia="Calibri"/>
          <w:lang w:val="en-US"/>
        </w:rPr>
        <w:t xml:space="preserve"> general intention of tax neutrality, in the absence of a precise juridical operation and a determinate or determinable prestation or prestat</w:t>
      </w:r>
      <w:r w:rsidR="007C02A5" w:rsidRPr="0096599C">
        <w:rPr>
          <w:rFonts w:eastAsia="Calibri"/>
          <w:lang w:val="en-US"/>
        </w:rPr>
        <w:t>ions within the meaning of art. </w:t>
      </w:r>
      <w:r w:rsidRPr="0096599C">
        <w:rPr>
          <w:rFonts w:eastAsia="Calibri"/>
          <w:lang w:val="en-US"/>
        </w:rPr>
        <w:t xml:space="preserve">1373 </w:t>
      </w:r>
      <w:r w:rsidRPr="0096599C">
        <w:rPr>
          <w:rFonts w:eastAsia="Calibri"/>
          <w:i/>
          <w:lang w:val="en-US"/>
        </w:rPr>
        <w:t>C.C.Q.</w:t>
      </w:r>
      <w:r w:rsidRPr="0096599C">
        <w:rPr>
          <w:rFonts w:eastAsia="Calibri"/>
          <w:lang w:val="en-US"/>
        </w:rPr>
        <w:t>, cannot give rise to a common intention that would form part of the original agreement and serve as a basis for modifying the written documents expressing that agreement under</w:t>
      </w:r>
      <w:r w:rsidR="00042232" w:rsidRPr="0096599C">
        <w:rPr>
          <w:rFonts w:eastAsia="Calibri"/>
          <w:lang w:val="en-US"/>
        </w:rPr>
        <w:t xml:space="preserve"> </w:t>
      </w:r>
      <w:r w:rsidRPr="0096599C">
        <w:rPr>
          <w:lang w:val="en"/>
        </w:rPr>
        <w:t xml:space="preserve">art. 1425 </w:t>
      </w:r>
      <w:r w:rsidRPr="0096599C">
        <w:rPr>
          <w:i/>
          <w:szCs w:val="24"/>
        </w:rPr>
        <w:t>C.C.Q</w:t>
      </w:r>
      <w:r w:rsidRPr="0096599C">
        <w:rPr>
          <w:szCs w:val="24"/>
        </w:rPr>
        <w:t>.</w:t>
      </w:r>
      <w:r w:rsidRPr="0096599C">
        <w:rPr>
          <w:lang w:val="en"/>
        </w:rPr>
        <w:t xml:space="preserve"> </w:t>
      </w:r>
      <w:r w:rsidRPr="0096599C">
        <w:rPr>
          <w:rFonts w:eastAsia="Calibri"/>
          <w:lang w:val="en-US"/>
        </w:rPr>
        <w:t>Contractual int</w:t>
      </w:r>
      <w:r w:rsidR="00042232" w:rsidRPr="0096599C">
        <w:rPr>
          <w:rFonts w:eastAsia="Calibri"/>
          <w:lang w:val="en-US"/>
        </w:rPr>
        <w:t>erpretation focuses on what the</w:t>
      </w:r>
      <w:r w:rsidRPr="0096599C">
        <w:rPr>
          <w:rFonts w:eastAsia="Calibri"/>
          <w:lang w:val="en-US"/>
        </w:rPr>
        <w:t xml:space="preserve"> parties actually agreed to do, not on what their motivations were in entering into an agreement or the consequences they intended it to have. </w:t>
      </w:r>
      <w:r w:rsidR="00042232" w:rsidRPr="0096599C">
        <w:rPr>
          <w:rFonts w:eastAsia="Calibri"/>
          <w:lang w:val="en-US"/>
        </w:rPr>
        <w:t>Therefore,</w:t>
      </w:r>
      <w:r w:rsidRPr="0096599C">
        <w:rPr>
          <w:rFonts w:eastAsia="Calibri"/>
          <w:lang w:val="en-US"/>
        </w:rPr>
        <w:t xml:space="preserve"> when unintended tax consequences result from a contract whose desired consequences, whether in whole or in part, are tax avoidance, deferral or minimization, amendments to the expression of the agreement can be available only under two conditions. First, if the unintended tax consequences were originally and specifically to be avoided, </w:t>
      </w:r>
      <w:r w:rsidRPr="0096599C">
        <w:rPr>
          <w:rFonts w:eastAsia="Calibri"/>
          <w:lang w:val="en-US"/>
        </w:rPr>
        <w:lastRenderedPageBreak/>
        <w:t>through sufficiently precise obligations which objects, the prestations to execute, are determinate or determinable; and second, when the obligations, if properly expressed and the corresponding prestations, if properly executed, would have succeeded in doing so.</w:t>
      </w:r>
    </w:p>
    <w:p w:rsidR="005D6CFA" w:rsidRPr="0096599C" w:rsidRDefault="005D6CFA" w:rsidP="00AD4E67">
      <w:pPr>
        <w:pStyle w:val="SCCNormalDoubleSpacing"/>
        <w:widowControl w:val="0"/>
        <w:spacing w:before="480" w:after="480"/>
        <w:rPr>
          <w:rFonts w:eastAsia="Calibri"/>
          <w:lang w:val="en-US"/>
        </w:rPr>
      </w:pPr>
      <w:r w:rsidRPr="0096599C">
        <w:rPr>
          <w:rFonts w:eastAsia="Calibri"/>
          <w:lang w:val="en-US"/>
        </w:rPr>
        <w:tab/>
      </w:r>
      <w:r w:rsidR="00042232" w:rsidRPr="0096599C">
        <w:rPr>
          <w:rFonts w:eastAsia="Calibri"/>
          <w:lang w:val="en-US"/>
        </w:rPr>
        <w:t>In this case,</w:t>
      </w:r>
      <w:r w:rsidRPr="0096599C">
        <w:rPr>
          <w:rFonts w:eastAsia="Calibri"/>
          <w:lang w:val="en-US"/>
        </w:rPr>
        <w:t xml:space="preserve"> PJC Canada and PJC USA agreed on the precise </w:t>
      </w:r>
      <w:r w:rsidR="000D0CD9" w:rsidRPr="0096599C">
        <w:rPr>
          <w:rFonts w:eastAsia="Calibri"/>
          <w:lang w:val="en-US"/>
        </w:rPr>
        <w:t>set of prestations</w:t>
      </w:r>
      <w:r w:rsidRPr="0096599C">
        <w:rPr>
          <w:rFonts w:eastAsia="Calibri"/>
          <w:lang w:val="en-US"/>
        </w:rPr>
        <w:t xml:space="preserve"> they wanted to execute, and there was no error in the way their agreement was expressed or executed. It simply resulted in unforeseen and undesirable tax consequences for PJC Canada.</w:t>
      </w:r>
      <w:r w:rsidR="00042232" w:rsidRPr="0096599C">
        <w:rPr>
          <w:rFonts w:eastAsia="Calibri"/>
          <w:lang w:val="en-US"/>
        </w:rPr>
        <w:t xml:space="preserve"> T</w:t>
      </w:r>
      <w:r w:rsidRPr="0096599C">
        <w:rPr>
          <w:rFonts w:eastAsia="Calibri"/>
          <w:lang w:val="en-US"/>
        </w:rPr>
        <w:t xml:space="preserve">here was a mistake in the transactions agreed to, not in the way they were expressed. </w:t>
      </w:r>
      <w:r w:rsidR="00042232" w:rsidRPr="0096599C">
        <w:rPr>
          <w:rFonts w:eastAsia="Calibri"/>
        </w:rPr>
        <w:t>I</w:t>
      </w:r>
      <w:r w:rsidRPr="0096599C">
        <w:rPr>
          <w:rFonts w:eastAsia="Calibri"/>
          <w:lang w:val="en-US"/>
        </w:rPr>
        <w:t>f t</w:t>
      </w:r>
      <w:r w:rsidR="00042232" w:rsidRPr="0096599C">
        <w:rPr>
          <w:rFonts w:eastAsia="Calibri"/>
          <w:lang w:val="en-US"/>
        </w:rPr>
        <w:t>hey</w:t>
      </w:r>
      <w:r w:rsidRPr="0096599C">
        <w:rPr>
          <w:rFonts w:eastAsia="Calibri"/>
          <w:lang w:val="en-US"/>
        </w:rPr>
        <w:t xml:space="preserve"> had turned their minds to FAPI and had agreed to a transactional scheme that, if recorded and implemented properly, would have accomplished the goal of neutralizing currency fluctuations while also preventing the generation of FAPI, it would be appropriate to permit the written documents related to the transactions to be amended if that common intention was improperly transcribed in them. </w:t>
      </w:r>
      <w:r w:rsidR="00042232" w:rsidRPr="0096599C">
        <w:rPr>
          <w:lang w:val="en-US"/>
        </w:rPr>
        <w:t>A</w:t>
      </w:r>
      <w:r w:rsidRPr="0096599C">
        <w:rPr>
          <w:lang w:val="en-US"/>
        </w:rPr>
        <w:t>llowing the ame</w:t>
      </w:r>
      <w:r w:rsidR="00042232" w:rsidRPr="0096599C">
        <w:rPr>
          <w:lang w:val="en-US"/>
        </w:rPr>
        <w:t>ndment of the written document would not only</w:t>
      </w:r>
      <w:r w:rsidRPr="0096599C">
        <w:rPr>
          <w:lang w:val="en-US"/>
        </w:rPr>
        <w:t xml:space="preserve"> amou</w:t>
      </w:r>
      <w:r w:rsidR="00042232" w:rsidRPr="0096599C">
        <w:rPr>
          <w:lang w:val="en-US"/>
        </w:rPr>
        <w:t>nt to retroactive tax planning but</w:t>
      </w:r>
      <w:r w:rsidRPr="0096599C">
        <w:rPr>
          <w:lang w:val="en-US"/>
        </w:rPr>
        <w:t xml:space="preserve"> </w:t>
      </w:r>
      <w:r w:rsidRPr="0096599C">
        <w:rPr>
          <w:rFonts w:eastAsia="Calibri"/>
          <w:lang w:val="en-US"/>
        </w:rPr>
        <w:t>would set an undesirable</w:t>
      </w:r>
      <w:r w:rsidR="00042232" w:rsidRPr="0096599C">
        <w:rPr>
          <w:rFonts w:eastAsia="Calibri"/>
          <w:lang w:val="en-US"/>
        </w:rPr>
        <w:t xml:space="preserve"> precedent.</w:t>
      </w:r>
      <w:r w:rsidRPr="0096599C">
        <w:rPr>
          <w:rFonts w:eastAsia="Calibri"/>
          <w:lang w:val="en-US"/>
        </w:rPr>
        <w:t xml:space="preserve"> </w:t>
      </w:r>
      <w:r w:rsidR="00042232" w:rsidRPr="0096599C">
        <w:rPr>
          <w:rFonts w:eastAsia="Calibri"/>
          <w:lang w:val="en-US"/>
        </w:rPr>
        <w:t>T</w:t>
      </w:r>
      <w:r w:rsidRPr="0096599C">
        <w:rPr>
          <w:rFonts w:eastAsia="Calibri"/>
          <w:lang w:val="en-US"/>
        </w:rPr>
        <w:t>axpayers could immunize themselves from unforeseen tax consequ</w:t>
      </w:r>
      <w:r w:rsidR="00042232" w:rsidRPr="0096599C">
        <w:rPr>
          <w:rFonts w:eastAsia="Calibri"/>
          <w:lang w:val="en-US"/>
        </w:rPr>
        <w:t>ences as well as from</w:t>
      </w:r>
      <w:r w:rsidRPr="0096599C">
        <w:rPr>
          <w:rFonts w:eastAsia="Calibri"/>
          <w:lang w:val="en-US"/>
        </w:rPr>
        <w:t xml:space="preserve"> their inadvertence or mistakes, or for those of their tax advisors, in planning transactions.</w:t>
      </w:r>
      <w:r w:rsidRPr="0096599C">
        <w:rPr>
          <w:lang w:val="en-US"/>
        </w:rPr>
        <w:t xml:space="preserve">   </w:t>
      </w:r>
    </w:p>
    <w:p w:rsidR="005D6CFA" w:rsidRPr="0096599C" w:rsidRDefault="005D6CFA" w:rsidP="00AD4E67">
      <w:pPr>
        <w:pStyle w:val="SCCNormalDoubleSpacing"/>
        <w:widowControl w:val="0"/>
        <w:spacing w:before="480" w:after="480"/>
        <w:rPr>
          <w:szCs w:val="24"/>
        </w:rPr>
      </w:pPr>
      <w:r w:rsidRPr="0096599C">
        <w:rPr>
          <w:lang w:val="en-US"/>
        </w:rPr>
        <w:tab/>
      </w:r>
      <w:r w:rsidR="00042232" w:rsidRPr="0096599C">
        <w:rPr>
          <w:lang w:val="en-US"/>
        </w:rPr>
        <w:t xml:space="preserve">Although </w:t>
      </w:r>
      <w:r w:rsidRPr="0096599C">
        <w:rPr>
          <w:lang w:val="en-US"/>
        </w:rPr>
        <w:t>rectification under Quebec</w:t>
      </w:r>
      <w:r w:rsidR="00042232" w:rsidRPr="0096599C">
        <w:rPr>
          <w:lang w:val="en-US"/>
        </w:rPr>
        <w:t xml:space="preserve"> civil law and in equity</w:t>
      </w:r>
      <w:r w:rsidRPr="0096599C">
        <w:rPr>
          <w:lang w:val="en-US"/>
        </w:rPr>
        <w:t xml:space="preserve"> stems from different legal sources, </w:t>
      </w:r>
      <w:r w:rsidRPr="0096599C">
        <w:t>they share similar principles and lead to similar results. Such similar results are particularly welcome in the tax context, where the same federal tax legislation applies throughout the country.</w:t>
      </w:r>
      <w:r w:rsidRPr="0096599C">
        <w:rPr>
          <w:lang w:val="en-US"/>
        </w:rPr>
        <w:t xml:space="preserve"> </w:t>
      </w:r>
      <w:r w:rsidR="00042232" w:rsidRPr="0096599C">
        <w:t>B</w:t>
      </w:r>
      <w:r w:rsidRPr="0096599C">
        <w:t xml:space="preserve">oth have the same purpose: to ascertain </w:t>
      </w:r>
      <w:r w:rsidRPr="0096599C">
        <w:lastRenderedPageBreak/>
        <w:t xml:space="preserve">that the true agreement between the contracting parties is accurately expressed in the written instruments reflecting either the terms of the agreement or the execution of the obligations themselves. </w:t>
      </w:r>
      <w:r w:rsidR="00042232" w:rsidRPr="0096599C">
        <w:t>Both</w:t>
      </w:r>
      <w:r w:rsidRPr="0096599C">
        <w:t xml:space="preserve"> are strict</w:t>
      </w:r>
      <w:r w:rsidR="00042232" w:rsidRPr="0096599C">
        <w:t xml:space="preserve">: </w:t>
      </w:r>
      <w:r w:rsidRPr="0096599C">
        <w:t xml:space="preserve">only the expression </w:t>
      </w:r>
      <w:r w:rsidR="00042232" w:rsidRPr="0096599C">
        <w:t>or transcription of the contract</w:t>
      </w:r>
      <w:r w:rsidRPr="0096599C">
        <w:t xml:space="preserve"> can b</w:t>
      </w:r>
      <w:r w:rsidR="00042232" w:rsidRPr="0096599C">
        <w:t xml:space="preserve">e amended; </w:t>
      </w:r>
      <w:r w:rsidRPr="0096599C">
        <w:t>the contract</w:t>
      </w:r>
      <w:r w:rsidR="00042232" w:rsidRPr="0096599C">
        <w:t xml:space="preserve"> itself</w:t>
      </w:r>
      <w:r w:rsidRPr="0096599C">
        <w:t xml:space="preserve"> cannot be</w:t>
      </w:r>
      <w:r w:rsidR="00042232" w:rsidRPr="0096599C">
        <w:t>. Further, in both legal systems</w:t>
      </w:r>
      <w:r w:rsidRPr="0096599C">
        <w:t>, the true agreement is paramount, not its in</w:t>
      </w:r>
      <w:r w:rsidR="00042232" w:rsidRPr="0096599C">
        <w:t xml:space="preserve">tended consequences or effects. </w:t>
      </w:r>
      <w:r w:rsidRPr="0096599C">
        <w:t>A</w:t>
      </w:r>
      <w:r w:rsidR="00042232" w:rsidRPr="0096599C">
        <w:t>lthough they</w:t>
      </w:r>
      <w:r w:rsidRPr="0096599C">
        <w:t xml:space="preserve"> </w:t>
      </w:r>
      <w:r w:rsidR="00042232" w:rsidRPr="0096599C">
        <w:rPr>
          <w:szCs w:val="24"/>
        </w:rPr>
        <w:t xml:space="preserve">will not </w:t>
      </w:r>
      <w:r w:rsidRPr="0096599C">
        <w:rPr>
          <w:szCs w:val="24"/>
        </w:rPr>
        <w:t>al</w:t>
      </w:r>
      <w:r w:rsidR="00042232" w:rsidRPr="0096599C">
        <w:rPr>
          <w:szCs w:val="24"/>
        </w:rPr>
        <w:t xml:space="preserve">ways lead to the same result </w:t>
      </w:r>
      <w:r w:rsidRPr="0096599C">
        <w:rPr>
          <w:szCs w:val="24"/>
        </w:rPr>
        <w:t>because of differences</w:t>
      </w:r>
      <w:r w:rsidR="00042232" w:rsidRPr="0096599C">
        <w:rPr>
          <w:szCs w:val="24"/>
        </w:rPr>
        <w:t xml:space="preserve"> </w:t>
      </w:r>
      <w:r w:rsidRPr="0096599C">
        <w:rPr>
          <w:szCs w:val="24"/>
        </w:rPr>
        <w:t xml:space="preserve">between the two </w:t>
      </w:r>
      <w:r w:rsidR="00042232" w:rsidRPr="0096599C">
        <w:rPr>
          <w:szCs w:val="24"/>
        </w:rPr>
        <w:t>legal systems in contract law, they</w:t>
      </w:r>
      <w:r w:rsidRPr="0096599C">
        <w:rPr>
          <w:szCs w:val="24"/>
        </w:rPr>
        <w:t xml:space="preserve"> would in this case. </w:t>
      </w:r>
      <w:r w:rsidRPr="0096599C">
        <w:t xml:space="preserve">Even in equity, </w:t>
      </w:r>
      <w:r w:rsidR="00042232" w:rsidRPr="0096599C">
        <w:rPr>
          <w:lang w:val="en-US"/>
        </w:rPr>
        <w:t>PJC Canada’s</w:t>
      </w:r>
      <w:r w:rsidRPr="0096599C">
        <w:rPr>
          <w:lang w:val="en-US"/>
        </w:rPr>
        <w:t xml:space="preserve"> </w:t>
      </w:r>
      <w:r w:rsidR="00042232" w:rsidRPr="0096599C">
        <w:rPr>
          <w:lang w:val="en-US"/>
        </w:rPr>
        <w:t>requested amendments would not be permissible: t</w:t>
      </w:r>
      <w:r w:rsidRPr="0096599C">
        <w:rPr>
          <w:lang w:val="en-US"/>
        </w:rPr>
        <w:t>he contracting parties did not reach a prior agreement with definite and ascertainable terms</w:t>
      </w:r>
      <w:r w:rsidR="00042232" w:rsidRPr="0096599C">
        <w:rPr>
          <w:lang w:val="en-US"/>
        </w:rPr>
        <w:t xml:space="preserve"> that included the new</w:t>
      </w:r>
      <w:r w:rsidRPr="0096599C">
        <w:rPr>
          <w:lang w:val="en-US"/>
        </w:rPr>
        <w:t xml:space="preserve"> transactions that PJC Canada now wish to</w:t>
      </w:r>
      <w:r w:rsidR="00042232" w:rsidRPr="0096599C">
        <w:rPr>
          <w:lang w:val="en-US"/>
        </w:rPr>
        <w:t xml:space="preserve"> insert in the original agreement</w:t>
      </w:r>
      <w:r w:rsidRPr="0096599C">
        <w:rPr>
          <w:lang w:val="en-US"/>
        </w:rPr>
        <w:t xml:space="preserve">. </w:t>
      </w:r>
    </w:p>
    <w:p w:rsidR="005D6CFA" w:rsidRPr="0096599C" w:rsidRDefault="005D6CFA" w:rsidP="00AD4E67">
      <w:pPr>
        <w:pStyle w:val="SCCNormalDoubleSpacing"/>
        <w:widowControl w:val="0"/>
        <w:spacing w:before="480" w:after="480"/>
      </w:pPr>
      <w:r w:rsidRPr="0096599C">
        <w:rPr>
          <w:i/>
        </w:rPr>
        <w:tab/>
        <w:t>Per</w:t>
      </w:r>
      <w:r w:rsidRPr="0096599C">
        <w:t xml:space="preserve"> </w:t>
      </w:r>
      <w:proofErr w:type="spellStart"/>
      <w:r w:rsidRPr="0096599C">
        <w:t>Abella</w:t>
      </w:r>
      <w:proofErr w:type="spellEnd"/>
      <w:r w:rsidRPr="0096599C">
        <w:t xml:space="preserve"> and </w:t>
      </w:r>
      <w:proofErr w:type="spellStart"/>
      <w:r w:rsidRPr="00607757">
        <w:t>Côté</w:t>
      </w:r>
      <w:proofErr w:type="spellEnd"/>
      <w:r w:rsidR="007C02A5" w:rsidRPr="0096599C">
        <w:t> </w:t>
      </w:r>
      <w:r w:rsidRPr="0096599C">
        <w:t>JJ.</w:t>
      </w:r>
      <w:r w:rsidR="00E87680">
        <w:t xml:space="preserve"> (dissenting)</w:t>
      </w:r>
      <w:r w:rsidRPr="0096599C">
        <w:t xml:space="preserve">: </w:t>
      </w:r>
      <w:r w:rsidR="00042232" w:rsidRPr="0096599C">
        <w:t>T</w:t>
      </w:r>
      <w:r w:rsidRPr="0096599C">
        <w:t>he liberal and generous approach to rectification applied in</w:t>
      </w:r>
      <w:r w:rsidRPr="0096599C">
        <w:rPr>
          <w:i/>
        </w:rPr>
        <w:t xml:space="preserve"> Quebec (Agence du revenu) </w:t>
      </w:r>
      <w:r w:rsidRPr="0096599C">
        <w:rPr>
          <w:i/>
          <w:iCs/>
        </w:rPr>
        <w:t>v.</w:t>
      </w:r>
      <w:r w:rsidRPr="0096599C">
        <w:rPr>
          <w:i/>
        </w:rPr>
        <w:t xml:space="preserve"> Services Environnementaux AES inc.</w:t>
      </w:r>
      <w:r w:rsidRPr="0096599C">
        <w:t xml:space="preserve">, 2013 SCC 65, </w:t>
      </w:r>
      <w:r w:rsidRPr="0096599C">
        <w:rPr>
          <w:rStyle w:val="sccrespondentforindexchar1"/>
          <w:b w:val="0"/>
          <w:szCs w:val="24"/>
        </w:rPr>
        <w:t>[2013] 3 S.C.R. 838</w:t>
      </w:r>
      <w:r w:rsidRPr="0096599C">
        <w:rPr>
          <w:rStyle w:val="sccrespondentforindexchar1"/>
          <w:rFonts w:eastAsiaTheme="majorEastAsia"/>
          <w:b w:val="0"/>
          <w:szCs w:val="24"/>
        </w:rPr>
        <w:t xml:space="preserve"> (“</w:t>
      </w:r>
      <w:r w:rsidRPr="0096599C">
        <w:rPr>
          <w:rStyle w:val="sccrespondentforindexchar1"/>
          <w:rFonts w:eastAsiaTheme="majorEastAsia"/>
          <w:b w:val="0"/>
          <w:i/>
          <w:szCs w:val="24"/>
        </w:rPr>
        <w:t>AES</w:t>
      </w:r>
      <w:r w:rsidRPr="0096599C">
        <w:rPr>
          <w:rStyle w:val="sccrespondentforindexchar1"/>
          <w:rFonts w:eastAsiaTheme="majorEastAsia"/>
          <w:b w:val="0"/>
          <w:szCs w:val="24"/>
        </w:rPr>
        <w:t>”)</w:t>
      </w:r>
      <w:r w:rsidR="00607757">
        <w:rPr>
          <w:rStyle w:val="sccrespondentforindexchar1"/>
          <w:rFonts w:eastAsiaTheme="majorEastAsia"/>
          <w:b w:val="0"/>
          <w:szCs w:val="24"/>
        </w:rPr>
        <w:t>,</w:t>
      </w:r>
      <w:r w:rsidRPr="0096599C">
        <w:rPr>
          <w:rStyle w:val="sccrespondentforindexchar1"/>
          <w:rFonts w:eastAsiaTheme="majorEastAsia"/>
          <w:b w:val="0"/>
          <w:szCs w:val="24"/>
        </w:rPr>
        <w:t xml:space="preserve"> </w:t>
      </w:r>
      <w:r w:rsidRPr="0096599C">
        <w:t xml:space="preserve">should be followed. Departing from this approach limits the availability of an important recourse for taxpayers in the presence of an error made in good faith by them or their tax advisors </w:t>
      </w:r>
      <w:r w:rsidR="00042232" w:rsidRPr="0096599C">
        <w:t>and</w:t>
      </w:r>
      <w:r w:rsidRPr="0096599C">
        <w:t xml:space="preserve"> is incongruous with the</w:t>
      </w:r>
      <w:r w:rsidR="00042232" w:rsidRPr="0096599C">
        <w:t xml:space="preserve"> realities of modern commerce. However, a</w:t>
      </w:r>
      <w:r w:rsidRPr="0096599C">
        <w:t xml:space="preserve"> mere intention to avoid taxation can never suffice to ground a</w:t>
      </w:r>
      <w:r w:rsidR="00042232" w:rsidRPr="0096599C">
        <w:t xml:space="preserve"> </w:t>
      </w:r>
      <w:r w:rsidRPr="0096599C">
        <w:t>request</w:t>
      </w:r>
      <w:r w:rsidR="00042232" w:rsidRPr="0096599C">
        <w:t xml:space="preserve"> for rectification</w:t>
      </w:r>
      <w:r w:rsidR="00E252E1" w:rsidRPr="0096599C">
        <w:t xml:space="preserve"> under art. </w:t>
      </w:r>
      <w:r w:rsidRPr="0096599C">
        <w:t xml:space="preserve">1425 </w:t>
      </w:r>
      <w:r w:rsidRPr="0096599C">
        <w:rPr>
          <w:i/>
        </w:rPr>
        <w:t>C.C.Q.</w:t>
      </w:r>
      <w:r w:rsidRPr="0096599C">
        <w:t xml:space="preserve"> </w:t>
      </w:r>
      <w:r w:rsidR="00042232" w:rsidRPr="0096599C">
        <w:t>Although</w:t>
      </w:r>
      <w:r w:rsidRPr="0096599C">
        <w:t xml:space="preserve"> convergence between Quebec civil law and the common law of the other provinces is desirable from a tax policy perspective, retreating </w:t>
      </w:r>
      <w:r w:rsidR="00E252E1" w:rsidRPr="0096599C">
        <w:t>from the interpretation of art. </w:t>
      </w:r>
      <w:r w:rsidRPr="0096599C">
        <w:t xml:space="preserve">1425 </w:t>
      </w:r>
      <w:r w:rsidRPr="0096599C">
        <w:rPr>
          <w:i/>
        </w:rPr>
        <w:t>C.C.Q.</w:t>
      </w:r>
      <w:r w:rsidRPr="0096599C">
        <w:t xml:space="preserve"> adopted in </w:t>
      </w:r>
      <w:r w:rsidRPr="0096599C">
        <w:rPr>
          <w:i/>
        </w:rPr>
        <w:t>AES</w:t>
      </w:r>
      <w:r w:rsidRPr="0096599C">
        <w:t xml:space="preserve"> in order to achieve harmony with rectification in equity as considered by the majority in </w:t>
      </w:r>
      <w:r w:rsidR="000D0CD9" w:rsidRPr="0096599C">
        <w:rPr>
          <w:i/>
        </w:rPr>
        <w:t>Canada (Attorney General) v. Fairmont Hotels Inc.</w:t>
      </w:r>
      <w:r w:rsidR="002D67F6" w:rsidRPr="0096599C">
        <w:t>, 2016</w:t>
      </w:r>
      <w:r w:rsidR="007C02A5" w:rsidRPr="0096599C">
        <w:t> </w:t>
      </w:r>
      <w:r w:rsidR="002D67F6" w:rsidRPr="0096599C">
        <w:t>SCC 56</w:t>
      </w:r>
      <w:r w:rsidR="00404BC4" w:rsidRPr="0096599C">
        <w:t>,</w:t>
      </w:r>
      <w:r w:rsidRPr="0096599C">
        <w:t xml:space="preserve"> </w:t>
      </w:r>
      <w:r w:rsidR="007327D4">
        <w:t xml:space="preserve">[2016] 2 S.C.R. </w:t>
      </w:r>
      <w:r w:rsidR="00090AA9">
        <w:t>720</w:t>
      </w:r>
      <w:r w:rsidR="007327D4">
        <w:t xml:space="preserve">, </w:t>
      </w:r>
      <w:r w:rsidRPr="0096599C">
        <w:t xml:space="preserve">is inconsistent with the law of contract in Quebec. </w:t>
      </w:r>
    </w:p>
    <w:p w:rsidR="005D6CFA" w:rsidRPr="0096599C" w:rsidRDefault="00042232" w:rsidP="00AD4E67">
      <w:pPr>
        <w:pStyle w:val="SCCNormalDoubleSpacing"/>
        <w:widowControl w:val="0"/>
        <w:spacing w:before="480" w:after="480"/>
        <w:rPr>
          <w:iCs/>
          <w:lang w:bidi="en-US"/>
        </w:rPr>
      </w:pPr>
      <w:r w:rsidRPr="0096599C">
        <w:lastRenderedPageBreak/>
        <w:tab/>
      </w:r>
      <w:r w:rsidR="005D6CFA" w:rsidRPr="0096599C">
        <w:t xml:space="preserve">PJC Canada’s motion for rectification is both necessary and legitimate. </w:t>
      </w:r>
      <w:r w:rsidRPr="0096599C">
        <w:t>T</w:t>
      </w:r>
      <w:r w:rsidR="005D6CFA" w:rsidRPr="0096599C">
        <w:t>here was clearly a gap between the common and continuing intention of the parties and the operations implemented to carry out that intention</w:t>
      </w:r>
      <w:r w:rsidRPr="0096599C">
        <w:t>. The evidence shows that t</w:t>
      </w:r>
      <w:r w:rsidR="005D6CFA" w:rsidRPr="0096599C">
        <w:t xml:space="preserve">ax neutrality was a </w:t>
      </w:r>
      <w:r w:rsidR="005D6CFA" w:rsidRPr="0096599C">
        <w:rPr>
          <w:i/>
        </w:rPr>
        <w:t>sine qua non</w:t>
      </w:r>
      <w:r w:rsidR="005D6CFA" w:rsidRPr="0096599C">
        <w:t xml:space="preserve"> of the parties’ envisaged transactional scheme. The object of the agreement consisted in tax-neutral reciprocal loans creating net liabilities in U.S. dollars. Failing to consider that the loans had to be tax-neutral in order for the agreement to make commercial sense is inimical </w:t>
      </w:r>
      <w:r w:rsidRPr="0096599C">
        <w:t xml:space="preserve">to the </w:t>
      </w:r>
      <w:r w:rsidRPr="0096599C">
        <w:rPr>
          <w:iCs/>
          <w:lang w:bidi="en-US"/>
        </w:rPr>
        <w:t>overall scheme</w:t>
      </w:r>
      <w:r w:rsidR="005D6CFA" w:rsidRPr="0096599C">
        <w:rPr>
          <w:iCs/>
          <w:lang w:bidi="en-US"/>
        </w:rPr>
        <w:t xml:space="preserve"> of the agreement. Tax neutrality was at its very core. </w:t>
      </w:r>
    </w:p>
    <w:p w:rsidR="005D6CFA" w:rsidRPr="0096599C" w:rsidRDefault="005D6CFA" w:rsidP="00AD4E67">
      <w:pPr>
        <w:pStyle w:val="SCCNormalDoubleSpacing"/>
        <w:widowControl w:val="0"/>
        <w:spacing w:before="480" w:after="480"/>
      </w:pPr>
      <w:r w:rsidRPr="0096599C">
        <w:rPr>
          <w:iCs/>
          <w:lang w:bidi="en-US"/>
        </w:rPr>
        <w:tab/>
      </w:r>
      <w:r w:rsidRPr="0096599C">
        <w:t>T</w:t>
      </w:r>
      <w:r w:rsidR="00042232" w:rsidRPr="0096599C">
        <w:rPr>
          <w:lang w:bidi="en-US"/>
        </w:rPr>
        <w:t xml:space="preserve">he object of the contract </w:t>
      </w:r>
      <w:r w:rsidR="007C02A5" w:rsidRPr="0096599C">
        <w:rPr>
          <w:lang w:bidi="en-US"/>
        </w:rPr>
        <w:t>as defined in art. </w:t>
      </w:r>
      <w:r w:rsidRPr="0096599C">
        <w:rPr>
          <w:lang w:bidi="en-US"/>
        </w:rPr>
        <w:t xml:space="preserve">1412 </w:t>
      </w:r>
      <w:r w:rsidRPr="0096599C">
        <w:rPr>
          <w:i/>
        </w:rPr>
        <w:t>C.C.Q.</w:t>
      </w:r>
      <w:r w:rsidRPr="0096599C">
        <w:rPr>
          <w:lang w:bidi="en-US"/>
        </w:rPr>
        <w:t xml:space="preserve"> transcends the particular pres</w:t>
      </w:r>
      <w:r w:rsidR="00042232" w:rsidRPr="0096599C">
        <w:rPr>
          <w:lang w:bidi="en-US"/>
        </w:rPr>
        <w:t>tations of the agreement. As such,</w:t>
      </w:r>
      <w:r w:rsidRPr="0096599C">
        <w:rPr>
          <w:lang w:bidi="en-US"/>
        </w:rPr>
        <w:t xml:space="preserve"> </w:t>
      </w:r>
      <w:r w:rsidR="00042232" w:rsidRPr="0096599C">
        <w:t>rectification cannot be</w:t>
      </w:r>
      <w:r w:rsidRPr="0096599C">
        <w:t xml:space="preserve"> available only where</w:t>
      </w:r>
      <w:r w:rsidR="00042232" w:rsidRPr="0096599C">
        <w:t xml:space="preserve"> the prestation, as expressed</w:t>
      </w:r>
      <w:r w:rsidRPr="0096599C">
        <w:t xml:space="preserve"> in the written document, was specifically envisaged by the parties from the outset.</w:t>
      </w:r>
      <w:r w:rsidR="00042232" w:rsidRPr="0096599C">
        <w:rPr>
          <w:lang w:bidi="en-US"/>
        </w:rPr>
        <w:t xml:space="preserve"> </w:t>
      </w:r>
      <w:r w:rsidRPr="0096599C">
        <w:rPr>
          <w:lang w:bidi="en-US"/>
        </w:rPr>
        <w:t xml:space="preserve">In </w:t>
      </w:r>
      <w:r w:rsidRPr="0096599C">
        <w:rPr>
          <w:i/>
          <w:lang w:bidi="en-US"/>
        </w:rPr>
        <w:t>AES</w:t>
      </w:r>
      <w:r w:rsidRPr="0096599C">
        <w:rPr>
          <w:lang w:bidi="en-US"/>
        </w:rPr>
        <w:t xml:space="preserve">, this Court recognized </w:t>
      </w:r>
      <w:r w:rsidRPr="0096599C">
        <w:t>that even an oral declaration of the parties’ will can depart from their common in</w:t>
      </w:r>
      <w:r w:rsidR="00042232" w:rsidRPr="0096599C">
        <w:t xml:space="preserve">tention and that rectification is not limited to the correction of clerical errors. </w:t>
      </w:r>
      <w:r w:rsidRPr="0096599C">
        <w:t>Further,</w:t>
      </w:r>
      <w:r w:rsidR="00042232" w:rsidRPr="0096599C">
        <w:t xml:space="preserve"> t</w:t>
      </w:r>
      <w:r w:rsidRPr="0096599C">
        <w:t xml:space="preserve">hat the tax advisors’ error in this case was one of omission, insofar as they neglected to consider FAPI, as opposed to one of commission (like miscalculating the ACB of shares), is not a principled ground on which to distinguish this case from </w:t>
      </w:r>
      <w:r w:rsidRPr="0096599C">
        <w:rPr>
          <w:i/>
        </w:rPr>
        <w:t>AES</w:t>
      </w:r>
      <w:r w:rsidR="00042232" w:rsidRPr="0096599C">
        <w:t>. This distinction is</w:t>
      </w:r>
      <w:r w:rsidRPr="0096599C">
        <w:t xml:space="preserve"> at </w:t>
      </w:r>
      <w:r w:rsidR="00042232" w:rsidRPr="0096599C">
        <w:t>odds with</w:t>
      </w:r>
      <w:r w:rsidRPr="0096599C">
        <w:t xml:space="preserve"> the proposition that, if an expression of common intention contains an error, particularly one that can, as here, be attributed to the taxpayer’s professional advisor, the court must, once the error is pro</w:t>
      </w:r>
      <w:r w:rsidR="00042232" w:rsidRPr="0096599C">
        <w:t>ved</w:t>
      </w:r>
      <w:r w:rsidR="00E6732F">
        <w:t>,</w:t>
      </w:r>
      <w:r w:rsidR="00042232" w:rsidRPr="0096599C">
        <w:t xml:space="preserve"> ensure that it is remedied. It</w:t>
      </w:r>
      <w:r w:rsidRPr="0096599C">
        <w:t xml:space="preserve"> is also at odd with the recognition in </w:t>
      </w:r>
      <w:r w:rsidRPr="0096599C">
        <w:rPr>
          <w:i/>
        </w:rPr>
        <w:t xml:space="preserve">AES </w:t>
      </w:r>
      <w:r w:rsidRPr="0096599C">
        <w:t xml:space="preserve">of a court’s power to fill gaps in the text in interpreting the parties’ common intention. </w:t>
      </w:r>
    </w:p>
    <w:p w:rsidR="005D6CFA" w:rsidRPr="0096599C" w:rsidRDefault="005D6CFA" w:rsidP="00AD4E67">
      <w:pPr>
        <w:pStyle w:val="SCCNormalDoubleSpacing"/>
        <w:widowControl w:val="0"/>
        <w:spacing w:before="480" w:after="480"/>
      </w:pPr>
      <w:r w:rsidRPr="0096599C">
        <w:lastRenderedPageBreak/>
        <w:tab/>
      </w:r>
      <w:r w:rsidR="00042232" w:rsidRPr="0096599C">
        <w:t>T</w:t>
      </w:r>
      <w:r w:rsidRPr="0096599C">
        <w:t xml:space="preserve">he additional transactions or prestations envisioned by the parties were sufficiently determinable within the meaning of art. 1373 </w:t>
      </w:r>
      <w:r w:rsidRPr="0096599C">
        <w:rPr>
          <w:i/>
        </w:rPr>
        <w:t>C.C.Q.</w:t>
      </w:r>
      <w:r w:rsidRPr="0096599C">
        <w:t xml:space="preserve">, as understood by this Court in </w:t>
      </w:r>
      <w:r w:rsidRPr="0096599C">
        <w:rPr>
          <w:i/>
        </w:rPr>
        <w:t>AES.</w:t>
      </w:r>
      <w:r w:rsidRPr="0096599C">
        <w:t xml:space="preserve"> Indeed, </w:t>
      </w:r>
      <w:r w:rsidR="007C02A5" w:rsidRPr="0096599C">
        <w:t>under the terms of the February </w:t>
      </w:r>
      <w:r w:rsidRPr="0096599C">
        <w:t>7, 2005 loan agreement between PJC Canada and PJC USA, the principal could be repaid only by mutual consent of the parties. The insertion of intermediate steps involving the repayment of a demand loan therefore amounts to little more than judicial recognition of a partial discharge of an obligation that was determinable even on the terms of the parties’ original instrument. The prestations here entailed the provision of reciprocal debt financing, on the one hand, and partial repayment of that debt, on — and only on — mutual agreement of the parties. The prestations were therefore determinate and the corresponding obligation to repay was determinable.</w:t>
      </w:r>
    </w:p>
    <w:p w:rsidR="005D6CFA" w:rsidRPr="0096599C" w:rsidRDefault="005D6CFA" w:rsidP="00AD4E67">
      <w:pPr>
        <w:pStyle w:val="SCCNormalDoubleSpacing"/>
        <w:widowControl w:val="0"/>
        <w:rPr>
          <w:lang w:val="en-US" w:bidi="en-US"/>
        </w:rPr>
      </w:pPr>
      <w:r w:rsidRPr="0096599C">
        <w:tab/>
        <w:t>PJC Canada’s request for rectification is not intended to rewrite the tax history of the transactions, but rather to fill in the gaps by adding two intermediate steps</w:t>
      </w:r>
      <w:r w:rsidR="00042232" w:rsidRPr="0096599C">
        <w:t xml:space="preserve"> which maintain tax neutrality. </w:t>
      </w:r>
      <w:r w:rsidRPr="0096599C">
        <w:t xml:space="preserve">The desired changes </w:t>
      </w:r>
      <w:r w:rsidR="00042232" w:rsidRPr="0096599C">
        <w:t>do not alter the nature of the original</w:t>
      </w:r>
      <w:r w:rsidRPr="0096599C">
        <w:t xml:space="preserve"> structur</w:t>
      </w:r>
      <w:r w:rsidR="00042232" w:rsidRPr="0096599C">
        <w:t>e of the operation</w:t>
      </w:r>
      <w:r w:rsidRPr="0096599C">
        <w:t xml:space="preserve"> con</w:t>
      </w:r>
      <w:r w:rsidR="00042232" w:rsidRPr="0096599C">
        <w:t>templated at the outset. T</w:t>
      </w:r>
      <w:r w:rsidRPr="0096599C">
        <w:t xml:space="preserve">he agreement was not a </w:t>
      </w:r>
      <w:r w:rsidR="00042232" w:rsidRPr="0096599C">
        <w:t>tax planning transaction. T</w:t>
      </w:r>
      <w:r w:rsidRPr="0096599C">
        <w:t xml:space="preserve">here is nothing here to suggest bad faith or an abuse of right on </w:t>
      </w:r>
      <w:r w:rsidR="00042232" w:rsidRPr="0096599C">
        <w:t>the part of PJC Canada</w:t>
      </w:r>
      <w:r w:rsidRPr="0096599C">
        <w:t xml:space="preserve">. </w:t>
      </w:r>
      <w:r w:rsidRPr="0096599C">
        <w:rPr>
          <w:lang w:val="en-US" w:bidi="en-US"/>
        </w:rPr>
        <w:t>The tax advisors’ fault of omission was committed in good faith following the exercise of reasonable diligence by PJC Canada.</w:t>
      </w:r>
    </w:p>
    <w:p w:rsidR="005D6CFA" w:rsidRPr="0096599C" w:rsidRDefault="005D6CFA" w:rsidP="00AD4E67">
      <w:pPr>
        <w:pStyle w:val="SCCNormalDoubleSpacing"/>
        <w:widowControl w:val="0"/>
        <w:tabs>
          <w:tab w:val="clear" w:pos="1168"/>
          <w:tab w:val="left" w:pos="1170"/>
        </w:tabs>
        <w:spacing w:before="480" w:after="480"/>
        <w:rPr>
          <w:szCs w:val="24"/>
        </w:rPr>
      </w:pPr>
      <w:r w:rsidRPr="0096599C">
        <w:rPr>
          <w:szCs w:val="24"/>
        </w:rPr>
        <w:tab/>
        <w:t xml:space="preserve">Nothing in PJC Canada’s request engaged the rights of third parties and there was no offense to the rules of evidence involved. In the absence of third party reliance, granting PJC Canada’s request promotes, rather than undermines, commercial </w:t>
      </w:r>
      <w:r w:rsidRPr="0096599C">
        <w:rPr>
          <w:szCs w:val="24"/>
        </w:rPr>
        <w:lastRenderedPageBreak/>
        <w:t>certainty because it advances the contractual expectations of the parties. Since PJC Canada and PJC USA are in agreement</w:t>
      </w:r>
      <w:r w:rsidR="00042232" w:rsidRPr="0096599C">
        <w:rPr>
          <w:szCs w:val="24"/>
        </w:rPr>
        <w:t xml:space="preserve"> as to their common intention, the concern</w:t>
      </w:r>
      <w:r w:rsidRPr="0096599C">
        <w:rPr>
          <w:szCs w:val="24"/>
        </w:rPr>
        <w:t xml:space="preserve"> for an illegitimate </w:t>
      </w:r>
      <w:r w:rsidRPr="0096599C">
        <w:rPr>
          <w:i/>
          <w:szCs w:val="24"/>
        </w:rPr>
        <w:t xml:space="preserve">ex post </w:t>
      </w:r>
      <w:r w:rsidRPr="0096599C">
        <w:rPr>
          <w:szCs w:val="24"/>
        </w:rPr>
        <w:t>rewriting of the initial bargain is absent here</w:t>
      </w:r>
      <w:r w:rsidR="00042232" w:rsidRPr="0096599C">
        <w:rPr>
          <w:szCs w:val="24"/>
        </w:rPr>
        <w:t>. Further,</w:t>
      </w:r>
      <w:r w:rsidRPr="0096599C">
        <w:rPr>
          <w:szCs w:val="24"/>
        </w:rPr>
        <w:t xml:space="preserve"> rectifying the agreement, in line with the innocent party’s duty to mitigate under art. 1479 </w:t>
      </w:r>
      <w:r w:rsidRPr="0096599C">
        <w:rPr>
          <w:i/>
          <w:szCs w:val="24"/>
        </w:rPr>
        <w:t>C.C.Q.</w:t>
      </w:r>
      <w:r w:rsidRPr="0096599C">
        <w:rPr>
          <w:szCs w:val="24"/>
        </w:rPr>
        <w:t xml:space="preserve">, is preferable to the promotion of claims against that party’s advisors. </w:t>
      </w:r>
    </w:p>
    <w:p w:rsidR="007E1C47" w:rsidRPr="0096599C" w:rsidRDefault="002E6705" w:rsidP="00AD4E67">
      <w:pPr>
        <w:pStyle w:val="SCCNormalDoubleSpacing"/>
        <w:widowControl w:val="0"/>
        <w:spacing w:before="480" w:after="480"/>
      </w:pPr>
      <w:r w:rsidRPr="0096599C">
        <w:rPr>
          <w:b/>
        </w:rPr>
        <w:t>Cases Cited</w:t>
      </w:r>
    </w:p>
    <w:p w:rsidR="00A149DF" w:rsidRPr="0096599C" w:rsidRDefault="00BE1139" w:rsidP="00AD4E67">
      <w:pPr>
        <w:pStyle w:val="SCCNormalDoubleSpacing"/>
        <w:widowControl w:val="0"/>
        <w:spacing w:after="720" w:line="240" w:lineRule="auto"/>
      </w:pPr>
      <w:r w:rsidRPr="0096599C">
        <w:t>By Wagner</w:t>
      </w:r>
      <w:r w:rsidR="009576DA" w:rsidRPr="0096599C">
        <w:t> </w:t>
      </w:r>
      <w:r w:rsidRPr="0096599C">
        <w:t>J.</w:t>
      </w:r>
    </w:p>
    <w:p w:rsidR="004E2C26" w:rsidRPr="0096599C" w:rsidRDefault="002E6705" w:rsidP="00AD4E67">
      <w:pPr>
        <w:pStyle w:val="SCCNormalDoubleSpacing"/>
        <w:widowControl w:val="0"/>
        <w:spacing w:before="480" w:after="480"/>
      </w:pPr>
      <w:r w:rsidRPr="0096599C">
        <w:tab/>
      </w:r>
      <w:r w:rsidR="007D63C0" w:rsidRPr="0096599C">
        <w:rPr>
          <w:b/>
        </w:rPr>
        <w:t>Applied:</w:t>
      </w:r>
      <w:r w:rsidR="007D63C0" w:rsidRPr="0096599C">
        <w:t xml:space="preserve"> </w:t>
      </w:r>
      <w:r w:rsidR="007D63C0" w:rsidRPr="0096599C">
        <w:rPr>
          <w:i/>
        </w:rPr>
        <w:t>Quebec (Agence du revenu) v. Services Environnementaux AES inc.</w:t>
      </w:r>
      <w:r w:rsidR="007D63C0" w:rsidRPr="0096599C">
        <w:t xml:space="preserve">, 2013 SCC 65, [2013] 3 S.C.R. 838; </w:t>
      </w:r>
      <w:r w:rsidR="007D63C0" w:rsidRPr="0096599C">
        <w:rPr>
          <w:b/>
        </w:rPr>
        <w:t>r</w:t>
      </w:r>
      <w:r w:rsidRPr="0096599C">
        <w:rPr>
          <w:b/>
        </w:rPr>
        <w:t>eferred to:</w:t>
      </w:r>
      <w:r w:rsidR="00BD0E9E" w:rsidRPr="0096599C">
        <w:t xml:space="preserve"> </w:t>
      </w:r>
      <w:r w:rsidR="0078625C" w:rsidRPr="0096599C">
        <w:rPr>
          <w:i/>
        </w:rPr>
        <w:t>Canada (Attorney General) v. Fairmont Hotels Inc.</w:t>
      </w:r>
      <w:r w:rsidR="0078625C" w:rsidRPr="0096599C">
        <w:t xml:space="preserve">, 2016 SCC </w:t>
      </w:r>
      <w:r w:rsidR="00311B84" w:rsidRPr="0096599C">
        <w:t>56</w:t>
      </w:r>
      <w:r w:rsidR="008B1A28">
        <w:t xml:space="preserve">, [2016] 2 S.C.R. </w:t>
      </w:r>
      <w:r w:rsidR="00C150BA">
        <w:t>720</w:t>
      </w:r>
      <w:r w:rsidR="0078625C" w:rsidRPr="0096599C">
        <w:t xml:space="preserve">; </w:t>
      </w:r>
      <w:r w:rsidR="0078625C" w:rsidRPr="0096599C">
        <w:rPr>
          <w:i/>
        </w:rPr>
        <w:t xml:space="preserve">Commissioners </w:t>
      </w:r>
      <w:r w:rsidR="00BE1139" w:rsidRPr="0096599C">
        <w:rPr>
          <w:i/>
        </w:rPr>
        <w:t xml:space="preserve">of Inland Revenue </w:t>
      </w:r>
      <w:r w:rsidR="0078625C" w:rsidRPr="0096599C">
        <w:rPr>
          <w:i/>
        </w:rPr>
        <w:t>v. Duke of Westminster</w:t>
      </w:r>
      <w:r w:rsidR="0078625C" w:rsidRPr="0096599C">
        <w:t xml:space="preserve">, [1936] A.C. 1; </w:t>
      </w:r>
      <w:r w:rsidR="0078625C" w:rsidRPr="0096599C">
        <w:rPr>
          <w:i/>
        </w:rPr>
        <w:t>Shell Canada Ltd. v. Canada</w:t>
      </w:r>
      <w:r w:rsidR="0078625C" w:rsidRPr="0096599C">
        <w:t xml:space="preserve">, [1999] 3 S.C.R. 622; </w:t>
      </w:r>
      <w:r w:rsidR="0078625C" w:rsidRPr="0096599C">
        <w:rPr>
          <w:i/>
        </w:rPr>
        <w:t>Stubart Investments Ltd. v. The Queen</w:t>
      </w:r>
      <w:r w:rsidR="0078625C" w:rsidRPr="0096599C">
        <w:t xml:space="preserve">, [1984] 1 S.C.R. 536; </w:t>
      </w:r>
      <w:r w:rsidR="0078625C" w:rsidRPr="0096599C">
        <w:rPr>
          <w:i/>
        </w:rPr>
        <w:t>Duha Printers (Western) Ltd. v. Canada</w:t>
      </w:r>
      <w:r w:rsidR="0078625C" w:rsidRPr="0096599C">
        <w:t xml:space="preserve">, [1998] 1 S.C.R. 795; </w:t>
      </w:r>
      <w:r w:rsidR="0078625C" w:rsidRPr="0096599C">
        <w:rPr>
          <w:i/>
        </w:rPr>
        <w:t>Guindon v. Canada</w:t>
      </w:r>
      <w:r w:rsidR="0078625C" w:rsidRPr="0096599C">
        <w:t xml:space="preserve">, 2015 SCC 41, [2015] 3 S.C.R. 3; </w:t>
      </w:r>
      <w:r w:rsidR="0078625C" w:rsidRPr="0096599C">
        <w:rPr>
          <w:i/>
        </w:rPr>
        <w:t>Mackenzie v. Coulson</w:t>
      </w:r>
      <w:r w:rsidR="0078625C" w:rsidRPr="0096599C">
        <w:t xml:space="preserve"> (1869), L.R. 8 Eq. 36</w:t>
      </w:r>
      <w:r w:rsidR="00BE1139" w:rsidRPr="0096599C">
        <w:t>8</w:t>
      </w:r>
      <w:r w:rsidR="0078625C" w:rsidRPr="0096599C">
        <w:t>.</w:t>
      </w:r>
    </w:p>
    <w:p w:rsidR="00BE1139" w:rsidRPr="0096599C" w:rsidRDefault="00BE1139" w:rsidP="00AD4E67">
      <w:pPr>
        <w:pStyle w:val="SCCNormalDoubleSpacing"/>
        <w:widowControl w:val="0"/>
        <w:spacing w:after="720" w:line="240" w:lineRule="auto"/>
      </w:pPr>
      <w:r w:rsidRPr="0096599C">
        <w:t>By Côté</w:t>
      </w:r>
      <w:r w:rsidR="009576DA" w:rsidRPr="0096599C">
        <w:t> </w:t>
      </w:r>
      <w:r w:rsidRPr="0096599C">
        <w:t>J.</w:t>
      </w:r>
      <w:r w:rsidR="00B00645" w:rsidRPr="0096599C">
        <w:t xml:space="preserve"> (dissenting)</w:t>
      </w:r>
    </w:p>
    <w:p w:rsidR="00BE1139" w:rsidRPr="0096599C" w:rsidRDefault="00B00645" w:rsidP="00AD4E67">
      <w:pPr>
        <w:pStyle w:val="SCCNormalDoubleSpacing"/>
        <w:widowControl w:val="0"/>
        <w:spacing w:before="480" w:after="480"/>
      </w:pPr>
      <w:r w:rsidRPr="0096599C">
        <w:tab/>
      </w:r>
      <w:r w:rsidRPr="0096599C">
        <w:rPr>
          <w:i/>
        </w:rPr>
        <w:t xml:space="preserve">Quebec (Agence du </w:t>
      </w:r>
      <w:r w:rsidR="00EF5F9C" w:rsidRPr="0096599C">
        <w:rPr>
          <w:i/>
        </w:rPr>
        <w:t>r</w:t>
      </w:r>
      <w:r w:rsidRPr="0096599C">
        <w:rPr>
          <w:i/>
        </w:rPr>
        <w:t>evenu) v. Services Environnementaux AES inc.</w:t>
      </w:r>
      <w:r w:rsidRPr="0096599C">
        <w:t>, 2013 SCC 65, [2013] 3 S.C.R. 838</w:t>
      </w:r>
      <w:r w:rsidR="00482412" w:rsidRPr="0096599C">
        <w:t xml:space="preserve">, </w:t>
      </w:r>
      <w:proofErr w:type="spellStart"/>
      <w:r w:rsidR="00482412" w:rsidRPr="0096599C">
        <w:t>aff’g</w:t>
      </w:r>
      <w:proofErr w:type="spellEnd"/>
      <w:r w:rsidR="00482412" w:rsidRPr="0096599C">
        <w:t xml:space="preserve"> 2011 QCCA 394</w:t>
      </w:r>
      <w:r w:rsidRPr="0096599C">
        <w:t xml:space="preserve">; </w:t>
      </w:r>
      <w:r w:rsidR="00EE571C" w:rsidRPr="0096599C">
        <w:rPr>
          <w:i/>
        </w:rPr>
        <w:t>Canada (Attorney General) v. Fairmont Hotels Inc.</w:t>
      </w:r>
      <w:r w:rsidR="00EE571C" w:rsidRPr="0096599C">
        <w:t xml:space="preserve">, 2016 SCC </w:t>
      </w:r>
      <w:r w:rsidR="00311B84" w:rsidRPr="0096599C">
        <w:t>56</w:t>
      </w:r>
      <w:r w:rsidR="004D3298">
        <w:t xml:space="preserve">, [2016] 2 S.C.R. </w:t>
      </w:r>
      <w:r w:rsidR="00C150BA">
        <w:t>720</w:t>
      </w:r>
      <w:r w:rsidR="00EE571C" w:rsidRPr="0096599C">
        <w:t xml:space="preserve">; </w:t>
      </w:r>
      <w:proofErr w:type="spellStart"/>
      <w:r w:rsidRPr="0096599C">
        <w:rPr>
          <w:i/>
        </w:rPr>
        <w:t>Housen</w:t>
      </w:r>
      <w:proofErr w:type="spellEnd"/>
      <w:r w:rsidRPr="0096599C">
        <w:rPr>
          <w:i/>
        </w:rPr>
        <w:t xml:space="preserve"> v. Nikolaisen</w:t>
      </w:r>
      <w:r w:rsidRPr="0096599C">
        <w:t xml:space="preserve">, </w:t>
      </w:r>
      <w:r w:rsidR="00482412" w:rsidRPr="0096599C">
        <w:t xml:space="preserve">2002 SCC 33, </w:t>
      </w:r>
      <w:r w:rsidRPr="0096599C">
        <w:t xml:space="preserve">[2002] 2 S.C.R. 235; </w:t>
      </w:r>
      <w:r w:rsidRPr="0096599C">
        <w:rPr>
          <w:i/>
        </w:rPr>
        <w:t>Walls v. Canada</w:t>
      </w:r>
      <w:r w:rsidRPr="0096599C">
        <w:t xml:space="preserve">, </w:t>
      </w:r>
      <w:r w:rsidR="00482412" w:rsidRPr="0096599C">
        <w:t xml:space="preserve">2002 SCC 47, </w:t>
      </w:r>
      <w:r w:rsidRPr="0096599C">
        <w:t xml:space="preserve">[2002] 2 S.C.R. 684; </w:t>
      </w:r>
      <w:r w:rsidRPr="0096599C">
        <w:rPr>
          <w:i/>
        </w:rPr>
        <w:lastRenderedPageBreak/>
        <w:t>Backman v. Canada</w:t>
      </w:r>
      <w:r w:rsidRPr="0096599C">
        <w:t xml:space="preserve">, </w:t>
      </w:r>
      <w:r w:rsidR="00482412" w:rsidRPr="0096599C">
        <w:t xml:space="preserve">2001 SCC 10, </w:t>
      </w:r>
      <w:r w:rsidRPr="0096599C">
        <w:t xml:space="preserve">[2001] 1 S.C.R. 367; </w:t>
      </w:r>
      <w:r w:rsidR="00482412" w:rsidRPr="0096599C">
        <w:rPr>
          <w:i/>
        </w:rPr>
        <w:t>Pallen Trust, Re</w:t>
      </w:r>
      <w:r w:rsidR="00482412" w:rsidRPr="0096599C">
        <w:t xml:space="preserve">, 2015 BCCA 222, 385 D.L.R. (4th) 499; </w:t>
      </w:r>
      <w:r w:rsidRPr="0096599C">
        <w:rPr>
          <w:i/>
        </w:rPr>
        <w:t xml:space="preserve">Lemair </w:t>
      </w:r>
      <w:r w:rsidR="00D84841" w:rsidRPr="0096599C">
        <w:rPr>
          <w:i/>
        </w:rPr>
        <w:t>v</w:t>
      </w:r>
      <w:r w:rsidRPr="0096599C">
        <w:rPr>
          <w:i/>
        </w:rPr>
        <w:t>. Canada (Procureur général)</w:t>
      </w:r>
      <w:r w:rsidRPr="0096599C">
        <w:t xml:space="preserve">, 2015 QCCS 1142; </w:t>
      </w:r>
      <w:r w:rsidRPr="0096599C">
        <w:rPr>
          <w:i/>
        </w:rPr>
        <w:t>Canada (Attorney General) v. Brogan Family Trust</w:t>
      </w:r>
      <w:r w:rsidRPr="0096599C">
        <w:t>, 2014 ONSC 6354</w:t>
      </w:r>
      <w:r w:rsidR="00D84841" w:rsidRPr="0096599C">
        <w:t>, 2015 D.T.C. 5008</w:t>
      </w:r>
      <w:r w:rsidRPr="0096599C">
        <w:t xml:space="preserve">; </w:t>
      </w:r>
      <w:r w:rsidRPr="0096599C">
        <w:rPr>
          <w:i/>
        </w:rPr>
        <w:t>Philippe Trépanier inc. et Deloitte, s.e.n.c.r.l.</w:t>
      </w:r>
      <w:r w:rsidRPr="0096599C">
        <w:t xml:space="preserve">, 2014 QCCS 2615; </w:t>
      </w:r>
      <w:r w:rsidRPr="0096599C">
        <w:rPr>
          <w:i/>
        </w:rPr>
        <w:t>Shafron v. KRG Insurance Brokers (Western) Inc.</w:t>
      </w:r>
      <w:r w:rsidRPr="0096599C">
        <w:t xml:space="preserve">, </w:t>
      </w:r>
      <w:r w:rsidR="00482412" w:rsidRPr="0096599C">
        <w:t xml:space="preserve">2009 SCC 6, </w:t>
      </w:r>
      <w:r w:rsidRPr="0096599C">
        <w:t xml:space="preserve">[2009] 1 S.C.R. 157; </w:t>
      </w:r>
      <w:r w:rsidR="00482412" w:rsidRPr="0096599C">
        <w:rPr>
          <w:i/>
        </w:rPr>
        <w:t>Commissioners of Inland Revenue v. Duke of Westminster</w:t>
      </w:r>
      <w:r w:rsidR="00482412" w:rsidRPr="0096599C">
        <w:t xml:space="preserve">, [1936] A.C. 1; </w:t>
      </w:r>
      <w:r w:rsidR="00482412" w:rsidRPr="0096599C">
        <w:rPr>
          <w:i/>
        </w:rPr>
        <w:t>Shell Canada Ltd. v. Canada</w:t>
      </w:r>
      <w:r w:rsidR="00482412" w:rsidRPr="0096599C">
        <w:t>, [1999] 3 S.C.R. 622</w:t>
      </w:r>
      <w:r w:rsidRPr="0096599C">
        <w:t xml:space="preserve">; </w:t>
      </w:r>
      <w:r w:rsidR="00482412" w:rsidRPr="0096599C">
        <w:rPr>
          <w:i/>
        </w:rPr>
        <w:t>Doré v. Verdun (City)</w:t>
      </w:r>
      <w:r w:rsidR="00482412" w:rsidRPr="0096599C">
        <w:t xml:space="preserve">, [1997] 2 S.C.R. 862; </w:t>
      </w:r>
      <w:r w:rsidR="00482412" w:rsidRPr="0096599C">
        <w:rPr>
          <w:i/>
        </w:rPr>
        <w:t>Guindon v. Canada</w:t>
      </w:r>
      <w:r w:rsidR="00482412" w:rsidRPr="0096599C">
        <w:t>, 2015 SCC 41, [2015] 3 S.C.R. 3.</w:t>
      </w:r>
    </w:p>
    <w:p w:rsidR="003B215F" w:rsidRPr="0096599C" w:rsidRDefault="002E6705" w:rsidP="00AD4E67">
      <w:pPr>
        <w:pStyle w:val="SCCNormalDoubleSpacing"/>
        <w:widowControl w:val="0"/>
        <w:spacing w:after="720" w:line="240" w:lineRule="auto"/>
      </w:pPr>
      <w:r w:rsidRPr="0096599C">
        <w:rPr>
          <w:b/>
        </w:rPr>
        <w:t>Statutes and Regulations Cite</w:t>
      </w:r>
      <w:r w:rsidR="00A41805" w:rsidRPr="0096599C">
        <w:rPr>
          <w:b/>
        </w:rPr>
        <w:t>d</w:t>
      </w:r>
    </w:p>
    <w:p w:rsidR="00B00645" w:rsidRPr="0096599C" w:rsidRDefault="00B00645" w:rsidP="00AD4E67">
      <w:pPr>
        <w:pStyle w:val="SCCNormalDoubleSpacing"/>
        <w:widowControl w:val="0"/>
        <w:spacing w:after="240" w:line="240" w:lineRule="auto"/>
        <w:ind w:left="547" w:hanging="547"/>
      </w:pPr>
      <w:r w:rsidRPr="0096599C">
        <w:rPr>
          <w:i/>
        </w:rPr>
        <w:t>Business Corporations Act</w:t>
      </w:r>
      <w:r w:rsidRPr="0096599C">
        <w:t>, CQLR</w:t>
      </w:r>
      <w:r w:rsidR="00A350E1" w:rsidRPr="0096599C">
        <w:t>, c. </w:t>
      </w:r>
      <w:r w:rsidRPr="0096599C">
        <w:t>S</w:t>
      </w:r>
      <w:r w:rsidR="009576DA" w:rsidRPr="0096599C">
        <w:noBreakHyphen/>
      </w:r>
      <w:r w:rsidRPr="0096599C">
        <w:t xml:space="preserve">31.1, </w:t>
      </w:r>
      <w:r w:rsidR="009576DA" w:rsidRPr="0096599C">
        <w:t>ss. </w:t>
      </w:r>
      <w:r w:rsidRPr="0096599C">
        <w:t>458, 459.</w:t>
      </w:r>
    </w:p>
    <w:p w:rsidR="0078625C" w:rsidRPr="0096599C" w:rsidRDefault="0078625C" w:rsidP="00AD4E67">
      <w:pPr>
        <w:pStyle w:val="SCCNormalDoubleSpacing"/>
        <w:widowControl w:val="0"/>
        <w:spacing w:after="240" w:line="240" w:lineRule="auto"/>
        <w:ind w:left="547" w:hanging="547"/>
      </w:pPr>
      <w:r w:rsidRPr="0096599C">
        <w:rPr>
          <w:i/>
        </w:rPr>
        <w:t>Civil Code of Lower Canada</w:t>
      </w:r>
      <w:r w:rsidRPr="0096599C">
        <w:t>,</w:t>
      </w:r>
      <w:r w:rsidR="00FD4578" w:rsidRPr="0096599C">
        <w:t xml:space="preserve"> </w:t>
      </w:r>
      <w:r w:rsidR="009576DA" w:rsidRPr="0096599C">
        <w:t>art. </w:t>
      </w:r>
      <w:r w:rsidRPr="0096599C">
        <w:t>1013.</w:t>
      </w:r>
    </w:p>
    <w:p w:rsidR="0078625C" w:rsidRPr="0096599C" w:rsidRDefault="0078625C" w:rsidP="00AD4E67">
      <w:pPr>
        <w:pStyle w:val="SCCNormalDoubleSpacing"/>
        <w:widowControl w:val="0"/>
        <w:spacing w:after="240" w:line="240" w:lineRule="auto"/>
        <w:ind w:left="547" w:hanging="547"/>
      </w:pPr>
      <w:r w:rsidRPr="0096599C">
        <w:rPr>
          <w:i/>
        </w:rPr>
        <w:t>Civil Code of Québec</w:t>
      </w:r>
      <w:r w:rsidR="00FD4578" w:rsidRPr="0096599C">
        <w:t>, arts. </w:t>
      </w:r>
      <w:r w:rsidR="00B00645" w:rsidRPr="0096599C">
        <w:t xml:space="preserve">6, 7, </w:t>
      </w:r>
      <w:r w:rsidR="00701355" w:rsidRPr="0096599C">
        <w:t xml:space="preserve">1371, </w:t>
      </w:r>
      <w:r w:rsidRPr="0096599C">
        <w:t xml:space="preserve">1373, 1374, </w:t>
      </w:r>
      <w:r w:rsidR="00F60B50" w:rsidRPr="0096599C">
        <w:t xml:space="preserve">1375, </w:t>
      </w:r>
      <w:r w:rsidRPr="0096599C">
        <w:t xml:space="preserve">1378, </w:t>
      </w:r>
      <w:r w:rsidR="00B00645" w:rsidRPr="0096599C">
        <w:t xml:space="preserve">1385, </w:t>
      </w:r>
      <w:r w:rsidRPr="0096599C">
        <w:t>1410, 1412, 1425</w:t>
      </w:r>
      <w:r w:rsidR="00482412" w:rsidRPr="0096599C">
        <w:t>, 1479</w:t>
      </w:r>
      <w:r w:rsidRPr="0096599C">
        <w:t>.</w:t>
      </w:r>
    </w:p>
    <w:p w:rsidR="009731CA" w:rsidRPr="0096599C" w:rsidRDefault="009731CA" w:rsidP="00AD4E67">
      <w:pPr>
        <w:pStyle w:val="SCCNormalDoubleSpacing"/>
        <w:widowControl w:val="0"/>
        <w:spacing w:after="240" w:line="240" w:lineRule="auto"/>
        <w:ind w:left="547" w:hanging="547"/>
      </w:pPr>
      <w:r w:rsidRPr="0096599C">
        <w:rPr>
          <w:i/>
        </w:rPr>
        <w:t>Code Napoléon</w:t>
      </w:r>
      <w:r w:rsidR="00FD4578" w:rsidRPr="0096599C">
        <w:t xml:space="preserve">, </w:t>
      </w:r>
      <w:r w:rsidR="009576DA" w:rsidRPr="0096599C">
        <w:t>art. </w:t>
      </w:r>
      <w:r w:rsidRPr="0096599C">
        <w:t>1156.</w:t>
      </w:r>
    </w:p>
    <w:p w:rsidR="0078625C" w:rsidRPr="0096599C" w:rsidRDefault="0078625C" w:rsidP="00AD4E67">
      <w:pPr>
        <w:pStyle w:val="SCCNormalDoubleSpacing"/>
        <w:widowControl w:val="0"/>
        <w:spacing w:after="240" w:line="240" w:lineRule="auto"/>
        <w:ind w:left="547" w:hanging="547"/>
      </w:pPr>
      <w:r w:rsidRPr="0096599C">
        <w:rPr>
          <w:i/>
        </w:rPr>
        <w:t>Income Tax Act</w:t>
      </w:r>
      <w:r w:rsidR="00FD4578" w:rsidRPr="0096599C">
        <w:t>, R.S.C. 1985, c. 1 (5th </w:t>
      </w:r>
      <w:r w:rsidRPr="0096599C">
        <w:t>Supp.),</w:t>
      </w:r>
      <w:r w:rsidR="00FD4578" w:rsidRPr="0096599C">
        <w:t xml:space="preserve"> </w:t>
      </w:r>
      <w:r w:rsidR="009576DA" w:rsidRPr="0096599C">
        <w:t>ss. </w:t>
      </w:r>
      <w:r w:rsidR="00B00645" w:rsidRPr="0096599C">
        <w:t xml:space="preserve">86, </w:t>
      </w:r>
      <w:r w:rsidRPr="0096599C">
        <w:t>91(1), 95</w:t>
      </w:r>
      <w:r w:rsidR="00B54359" w:rsidRPr="0096599C">
        <w:t>(1)</w:t>
      </w:r>
      <w:r w:rsidR="009924C8" w:rsidRPr="0096599C">
        <w:t xml:space="preserve"> “foreign accrual property income”</w:t>
      </w:r>
      <w:r w:rsidRPr="0096599C">
        <w:t>.</w:t>
      </w:r>
    </w:p>
    <w:p w:rsidR="00B00645" w:rsidRPr="0096599C" w:rsidRDefault="00B00645" w:rsidP="00AD4E67">
      <w:pPr>
        <w:pStyle w:val="SCCNormalDoubleSpacing"/>
        <w:widowControl w:val="0"/>
        <w:spacing w:after="720" w:line="240" w:lineRule="auto"/>
        <w:ind w:left="547" w:hanging="547"/>
      </w:pPr>
      <w:r w:rsidRPr="0096599C">
        <w:rPr>
          <w:i/>
        </w:rPr>
        <w:t>Taxation Act</w:t>
      </w:r>
      <w:r w:rsidRPr="0096599C">
        <w:t>, R.S.Q., c.</w:t>
      </w:r>
      <w:r w:rsidR="00A350E1" w:rsidRPr="0096599C">
        <w:t> </w:t>
      </w:r>
      <w:r w:rsidRPr="0096599C">
        <w:t>I</w:t>
      </w:r>
      <w:r w:rsidR="009576DA" w:rsidRPr="0096599C">
        <w:noBreakHyphen/>
      </w:r>
      <w:r w:rsidRPr="0096599C">
        <w:t>3</w:t>
      </w:r>
      <w:r w:rsidR="00904212" w:rsidRPr="0096599C">
        <w:t>, ss. 541 to 543</w:t>
      </w:r>
      <w:r w:rsidRPr="0096599C">
        <w:t>.</w:t>
      </w:r>
    </w:p>
    <w:p w:rsidR="002E6705" w:rsidRPr="0096599C" w:rsidRDefault="002E6705" w:rsidP="00AD4E67">
      <w:pPr>
        <w:pStyle w:val="SCCNormalDoubleSpacing"/>
        <w:widowControl w:val="0"/>
        <w:spacing w:after="720" w:line="240" w:lineRule="auto"/>
        <w:rPr>
          <w:lang w:val="fr-CA"/>
        </w:rPr>
      </w:pPr>
      <w:r w:rsidRPr="0096599C">
        <w:rPr>
          <w:b/>
          <w:lang w:val="fr-CA"/>
        </w:rPr>
        <w:t>Authors Cited</w:t>
      </w:r>
    </w:p>
    <w:p w:rsidR="0078625C" w:rsidRPr="0096599C" w:rsidRDefault="0078625C" w:rsidP="00AD4E67">
      <w:pPr>
        <w:pStyle w:val="SCCNormalDoubleSpacing"/>
        <w:widowControl w:val="0"/>
        <w:spacing w:before="240" w:after="240" w:line="240" w:lineRule="auto"/>
        <w:ind w:left="547" w:hanging="547"/>
      </w:pPr>
      <w:r w:rsidRPr="0096599C">
        <w:rPr>
          <w:lang w:val="fr-CA"/>
        </w:rPr>
        <w:t>Baudouin</w:t>
      </w:r>
      <w:r w:rsidR="00FD4578" w:rsidRPr="0096599C">
        <w:rPr>
          <w:lang w:val="fr-CA"/>
        </w:rPr>
        <w:t>,</w:t>
      </w:r>
      <w:r w:rsidRPr="0096599C">
        <w:rPr>
          <w:lang w:val="fr-CA"/>
        </w:rPr>
        <w:t xml:space="preserve"> </w:t>
      </w:r>
      <w:r w:rsidR="00FD4578" w:rsidRPr="0096599C">
        <w:rPr>
          <w:lang w:val="fr-CA"/>
        </w:rPr>
        <w:t>Jean</w:t>
      </w:r>
      <w:r w:rsidR="009576DA" w:rsidRPr="0096599C">
        <w:rPr>
          <w:lang w:val="fr-CA"/>
        </w:rPr>
        <w:noBreakHyphen/>
      </w:r>
      <w:r w:rsidR="00FD4578" w:rsidRPr="0096599C">
        <w:rPr>
          <w:lang w:val="fr-CA"/>
        </w:rPr>
        <w:t>Louis, et</w:t>
      </w:r>
      <w:r w:rsidRPr="0096599C">
        <w:rPr>
          <w:lang w:val="fr-CA"/>
        </w:rPr>
        <w:t xml:space="preserve"> Pierre</w:t>
      </w:r>
      <w:r w:rsidR="009576DA" w:rsidRPr="0096599C">
        <w:rPr>
          <w:lang w:val="fr-CA"/>
        </w:rPr>
        <w:noBreakHyphen/>
      </w:r>
      <w:r w:rsidRPr="0096599C">
        <w:rPr>
          <w:lang w:val="fr-CA"/>
        </w:rPr>
        <w:t>Gabriel Jobin</w:t>
      </w:r>
      <w:r w:rsidR="00FD4578" w:rsidRPr="0096599C">
        <w:rPr>
          <w:lang w:val="fr-CA"/>
        </w:rPr>
        <w:t>.</w:t>
      </w:r>
      <w:r w:rsidRPr="0096599C">
        <w:rPr>
          <w:lang w:val="fr-CA"/>
        </w:rPr>
        <w:t xml:space="preserve"> </w:t>
      </w:r>
      <w:r w:rsidRPr="0096599C">
        <w:rPr>
          <w:i/>
          <w:lang w:val="fr-CA"/>
        </w:rPr>
        <w:t>Les obligations</w:t>
      </w:r>
      <w:r w:rsidRPr="0096599C">
        <w:rPr>
          <w:lang w:val="fr-CA"/>
        </w:rPr>
        <w:t>, 7</w:t>
      </w:r>
      <w:r w:rsidR="00FD4578" w:rsidRPr="0096599C">
        <w:rPr>
          <w:vertAlign w:val="superscript"/>
          <w:lang w:val="fr-CA"/>
        </w:rPr>
        <w:t>e</w:t>
      </w:r>
      <w:r w:rsidR="00667774" w:rsidRPr="0096599C">
        <w:rPr>
          <w:lang w:val="fr-CA"/>
        </w:rPr>
        <w:t> </w:t>
      </w:r>
      <w:r w:rsidR="00FD4578" w:rsidRPr="0096599C">
        <w:rPr>
          <w:lang w:val="fr-CA"/>
        </w:rPr>
        <w:t>é</w:t>
      </w:r>
      <w:r w:rsidRPr="0096599C">
        <w:rPr>
          <w:lang w:val="fr-CA"/>
        </w:rPr>
        <w:t xml:space="preserve">d., </w:t>
      </w:r>
      <w:r w:rsidR="00FD4578" w:rsidRPr="0096599C">
        <w:rPr>
          <w:lang w:val="fr-CA"/>
        </w:rPr>
        <w:t xml:space="preserve">par </w:t>
      </w:r>
      <w:r w:rsidRPr="0096599C">
        <w:rPr>
          <w:lang w:val="fr-CA"/>
        </w:rPr>
        <w:t>Pierre</w:t>
      </w:r>
      <w:r w:rsidR="009576DA" w:rsidRPr="0096599C">
        <w:rPr>
          <w:lang w:val="fr-CA"/>
        </w:rPr>
        <w:noBreakHyphen/>
      </w:r>
      <w:r w:rsidRPr="0096599C">
        <w:rPr>
          <w:lang w:val="fr-CA"/>
        </w:rPr>
        <w:t xml:space="preserve">Gabriel Jobin </w:t>
      </w:r>
      <w:r w:rsidR="00FD4578" w:rsidRPr="0096599C">
        <w:rPr>
          <w:lang w:val="fr-CA"/>
        </w:rPr>
        <w:t>et</w:t>
      </w:r>
      <w:r w:rsidRPr="0096599C">
        <w:rPr>
          <w:lang w:val="fr-CA"/>
        </w:rPr>
        <w:t xml:space="preserve"> Nathalie Vézina. </w:t>
      </w:r>
      <w:r w:rsidRPr="0096599C">
        <w:t>Cowansville</w:t>
      </w:r>
      <w:r w:rsidR="00493CDB" w:rsidRPr="0096599C">
        <w:t>, Qué.</w:t>
      </w:r>
      <w:r w:rsidRPr="0096599C">
        <w:t>: Yvon Blais, 2013.</w:t>
      </w:r>
    </w:p>
    <w:p w:rsidR="0078625C" w:rsidRPr="0096599C" w:rsidRDefault="0078625C" w:rsidP="00AD4E67">
      <w:pPr>
        <w:pStyle w:val="SCCNormalDoubleSpacing"/>
        <w:widowControl w:val="0"/>
        <w:spacing w:before="240" w:after="240" w:line="240" w:lineRule="auto"/>
        <w:ind w:left="547" w:hanging="547"/>
      </w:pPr>
      <w:r w:rsidRPr="0096599C">
        <w:rPr>
          <w:i/>
        </w:rPr>
        <w:t xml:space="preserve">Hanbury </w:t>
      </w:r>
      <w:r w:rsidR="00493CDB" w:rsidRPr="0096599C">
        <w:rPr>
          <w:i/>
        </w:rPr>
        <w:t>and</w:t>
      </w:r>
      <w:r w:rsidRPr="0096599C">
        <w:rPr>
          <w:i/>
        </w:rPr>
        <w:t xml:space="preserve"> Martin</w:t>
      </w:r>
      <w:r w:rsidR="00493CDB" w:rsidRPr="0096599C">
        <w:rPr>
          <w:i/>
        </w:rPr>
        <w:t xml:space="preserve"> Modern Equity</w:t>
      </w:r>
      <w:r w:rsidR="00493CDB" w:rsidRPr="0096599C">
        <w:t>, 20</w:t>
      </w:r>
      <w:r w:rsidR="00667774" w:rsidRPr="0096599C">
        <w:t>th </w:t>
      </w:r>
      <w:r w:rsidRPr="0096599C">
        <w:t xml:space="preserve">ed., </w:t>
      </w:r>
      <w:r w:rsidR="00493CDB" w:rsidRPr="0096599C">
        <w:t>by Jamie Glister and James Lee. London: Sweet &amp; Maxwell, 2015</w:t>
      </w:r>
      <w:r w:rsidRPr="0096599C">
        <w:t>.</w:t>
      </w:r>
    </w:p>
    <w:p w:rsidR="0078625C" w:rsidRPr="0096599C" w:rsidRDefault="0078625C" w:rsidP="00AD4E67">
      <w:pPr>
        <w:pStyle w:val="SCCNormalDoubleSpacing"/>
        <w:widowControl w:val="0"/>
        <w:spacing w:before="240" w:after="240" w:line="240" w:lineRule="auto"/>
        <w:ind w:left="547" w:hanging="547"/>
      </w:pPr>
      <w:r w:rsidRPr="0096599C">
        <w:lastRenderedPageBreak/>
        <w:t xml:space="preserve">Hogg, </w:t>
      </w:r>
      <w:r w:rsidR="00493CDB" w:rsidRPr="0096599C">
        <w:t>Peter </w:t>
      </w:r>
      <w:r w:rsidR="00FD4578" w:rsidRPr="0096599C">
        <w:t xml:space="preserve">W., </w:t>
      </w:r>
      <w:r w:rsidR="00493CDB" w:rsidRPr="0096599C">
        <w:t>Joanne </w:t>
      </w:r>
      <w:r w:rsidRPr="0096599C">
        <w:t xml:space="preserve">E. Magee </w:t>
      </w:r>
      <w:r w:rsidR="00FD4578" w:rsidRPr="0096599C">
        <w:t>and</w:t>
      </w:r>
      <w:r w:rsidR="00667774" w:rsidRPr="0096599C">
        <w:t xml:space="preserve"> Jinyan </w:t>
      </w:r>
      <w:r w:rsidRPr="0096599C">
        <w:t>L</w:t>
      </w:r>
      <w:r w:rsidR="00493CDB" w:rsidRPr="0096599C">
        <w:t>i</w:t>
      </w:r>
      <w:r w:rsidR="00FD4578" w:rsidRPr="0096599C">
        <w:t>.</w:t>
      </w:r>
      <w:r w:rsidRPr="0096599C">
        <w:t xml:space="preserve"> </w:t>
      </w:r>
      <w:r w:rsidRPr="0096599C">
        <w:rPr>
          <w:i/>
        </w:rPr>
        <w:t>Principl</w:t>
      </w:r>
      <w:r w:rsidR="00493CDB" w:rsidRPr="0096599C">
        <w:rPr>
          <w:i/>
        </w:rPr>
        <w:t>es of Canadian Income Tax Law</w:t>
      </w:r>
      <w:r w:rsidR="00493CDB" w:rsidRPr="0096599C">
        <w:t xml:space="preserve">, </w:t>
      </w:r>
      <w:r w:rsidR="009C1147" w:rsidRPr="0096599C">
        <w:t>7</w:t>
      </w:r>
      <w:r w:rsidR="00493CDB" w:rsidRPr="0096599C">
        <w:t>th ed. Toronto: Carswell, 201</w:t>
      </w:r>
      <w:r w:rsidR="009C1147" w:rsidRPr="0096599C">
        <w:t>0</w:t>
      </w:r>
      <w:r w:rsidRPr="0096599C">
        <w:t>.</w:t>
      </w:r>
    </w:p>
    <w:p w:rsidR="0078625C" w:rsidRPr="0096599C" w:rsidRDefault="0078625C" w:rsidP="00AD4E67">
      <w:pPr>
        <w:pStyle w:val="SCCNormalDoubleSpacing"/>
        <w:widowControl w:val="0"/>
        <w:spacing w:before="240" w:after="240" w:line="240" w:lineRule="auto"/>
        <w:ind w:left="547" w:hanging="547"/>
      </w:pPr>
      <w:r w:rsidRPr="0096599C">
        <w:t xml:space="preserve">Krishna, </w:t>
      </w:r>
      <w:r w:rsidR="00493CDB" w:rsidRPr="0096599C">
        <w:t xml:space="preserve">Vern. </w:t>
      </w:r>
      <w:r w:rsidRPr="0096599C">
        <w:rPr>
          <w:i/>
        </w:rPr>
        <w:t>Income Tax Law</w:t>
      </w:r>
      <w:r w:rsidRPr="0096599C">
        <w:t>, 2</w:t>
      </w:r>
      <w:r w:rsidR="00493CDB" w:rsidRPr="0096599C">
        <w:t>n</w:t>
      </w:r>
      <w:r w:rsidR="00667774" w:rsidRPr="0096599C">
        <w:t>d </w:t>
      </w:r>
      <w:r w:rsidRPr="0096599C">
        <w:t xml:space="preserve">ed. </w:t>
      </w:r>
      <w:r w:rsidR="00493CDB" w:rsidRPr="0096599C">
        <w:t>Toronto: Irwin Law, 2012</w:t>
      </w:r>
      <w:r w:rsidRPr="0096599C">
        <w:t>.</w:t>
      </w:r>
    </w:p>
    <w:p w:rsidR="0078625C" w:rsidRPr="0096599C" w:rsidRDefault="0078625C" w:rsidP="00AD4E67">
      <w:pPr>
        <w:pStyle w:val="SCCNormalDoubleSpacing"/>
        <w:widowControl w:val="0"/>
        <w:spacing w:before="240" w:after="240" w:line="240" w:lineRule="auto"/>
        <w:ind w:left="547" w:hanging="547"/>
        <w:rPr>
          <w:lang w:val="fr-CA"/>
        </w:rPr>
      </w:pPr>
      <w:r w:rsidRPr="0096599C">
        <w:rPr>
          <w:lang w:val="fr-CA"/>
        </w:rPr>
        <w:t>Lluelles</w:t>
      </w:r>
      <w:r w:rsidR="000578FE" w:rsidRPr="0096599C">
        <w:rPr>
          <w:lang w:val="fr-CA"/>
        </w:rPr>
        <w:t>, Didier, et</w:t>
      </w:r>
      <w:r w:rsidRPr="0096599C">
        <w:rPr>
          <w:lang w:val="fr-CA"/>
        </w:rPr>
        <w:t xml:space="preserve"> B</w:t>
      </w:r>
      <w:r w:rsidR="000578FE" w:rsidRPr="0096599C">
        <w:rPr>
          <w:lang w:val="fr-CA"/>
        </w:rPr>
        <w:t>enoît</w:t>
      </w:r>
      <w:r w:rsidRPr="0096599C">
        <w:rPr>
          <w:lang w:val="fr-CA"/>
        </w:rPr>
        <w:t xml:space="preserve"> Moore</w:t>
      </w:r>
      <w:r w:rsidR="000578FE" w:rsidRPr="0096599C">
        <w:rPr>
          <w:lang w:val="fr-CA"/>
        </w:rPr>
        <w:t>.</w:t>
      </w:r>
      <w:r w:rsidRPr="0096599C">
        <w:rPr>
          <w:lang w:val="fr-CA"/>
        </w:rPr>
        <w:t xml:space="preserve"> </w:t>
      </w:r>
      <w:r w:rsidRPr="0096599C">
        <w:rPr>
          <w:i/>
          <w:lang w:val="fr-CA"/>
        </w:rPr>
        <w:t>Droit des obligations</w:t>
      </w:r>
      <w:r w:rsidR="000578FE" w:rsidRPr="0096599C">
        <w:rPr>
          <w:lang w:val="fr-CA"/>
        </w:rPr>
        <w:t>,</w:t>
      </w:r>
      <w:r w:rsidRPr="0096599C">
        <w:rPr>
          <w:lang w:val="fr-CA"/>
        </w:rPr>
        <w:t xml:space="preserve"> 2</w:t>
      </w:r>
      <w:r w:rsidR="000578FE" w:rsidRPr="0096599C">
        <w:rPr>
          <w:vertAlign w:val="superscript"/>
          <w:lang w:val="fr-CA"/>
        </w:rPr>
        <w:t>e</w:t>
      </w:r>
      <w:r w:rsidR="00667774" w:rsidRPr="0096599C">
        <w:rPr>
          <w:lang w:val="fr-CA"/>
        </w:rPr>
        <w:t> </w:t>
      </w:r>
      <w:r w:rsidR="000578FE" w:rsidRPr="0096599C">
        <w:rPr>
          <w:lang w:val="fr-CA"/>
        </w:rPr>
        <w:t>é</w:t>
      </w:r>
      <w:r w:rsidRPr="0096599C">
        <w:rPr>
          <w:lang w:val="fr-CA"/>
        </w:rPr>
        <w:t xml:space="preserve">d. </w:t>
      </w:r>
      <w:r w:rsidR="000578FE" w:rsidRPr="0096599C">
        <w:rPr>
          <w:lang w:val="fr-CA"/>
        </w:rPr>
        <w:t xml:space="preserve">Montréal: Thémis, </w:t>
      </w:r>
      <w:r w:rsidRPr="0096599C">
        <w:rPr>
          <w:lang w:val="fr-CA"/>
        </w:rPr>
        <w:t>2012.</w:t>
      </w:r>
    </w:p>
    <w:p w:rsidR="00A149DF" w:rsidRPr="0096599C" w:rsidRDefault="000578FE" w:rsidP="00AD4E67">
      <w:pPr>
        <w:pStyle w:val="SCCNormalDoubleSpacing"/>
        <w:widowControl w:val="0"/>
        <w:spacing w:before="240" w:after="240" w:line="240" w:lineRule="auto"/>
        <w:ind w:left="547" w:hanging="547"/>
      </w:pPr>
      <w:r w:rsidRPr="0096599C">
        <w:rPr>
          <w:lang w:val="fr-CA"/>
        </w:rPr>
        <w:t>Pineau, Jean, Danielle Burman et Serge Gaudet.</w:t>
      </w:r>
      <w:r w:rsidR="0078625C" w:rsidRPr="0096599C">
        <w:rPr>
          <w:lang w:val="fr-CA"/>
        </w:rPr>
        <w:t xml:space="preserve"> </w:t>
      </w:r>
      <w:r w:rsidR="0078625C" w:rsidRPr="0096599C">
        <w:rPr>
          <w:i/>
          <w:lang w:val="fr-CA"/>
        </w:rPr>
        <w:t>Théorie des obligations</w:t>
      </w:r>
      <w:r w:rsidR="0078625C" w:rsidRPr="0096599C">
        <w:rPr>
          <w:lang w:val="fr-CA"/>
        </w:rPr>
        <w:t>, 4</w:t>
      </w:r>
      <w:r w:rsidRPr="0096599C">
        <w:rPr>
          <w:vertAlign w:val="superscript"/>
          <w:lang w:val="fr-CA"/>
        </w:rPr>
        <w:t>e</w:t>
      </w:r>
      <w:r w:rsidR="00667774" w:rsidRPr="0096599C">
        <w:rPr>
          <w:lang w:val="fr-CA"/>
        </w:rPr>
        <w:t> </w:t>
      </w:r>
      <w:r w:rsidRPr="0096599C">
        <w:rPr>
          <w:lang w:val="fr-CA"/>
        </w:rPr>
        <w:t>é</w:t>
      </w:r>
      <w:r w:rsidR="0078625C" w:rsidRPr="0096599C">
        <w:rPr>
          <w:lang w:val="fr-CA"/>
        </w:rPr>
        <w:t>d.</w:t>
      </w:r>
      <w:r w:rsidRPr="0096599C">
        <w:rPr>
          <w:lang w:val="fr-CA"/>
        </w:rPr>
        <w:t>,</w:t>
      </w:r>
      <w:r w:rsidR="0078625C" w:rsidRPr="0096599C">
        <w:rPr>
          <w:lang w:val="fr-CA"/>
        </w:rPr>
        <w:t xml:space="preserve"> </w:t>
      </w:r>
      <w:r w:rsidRPr="0096599C">
        <w:rPr>
          <w:lang w:val="fr-CA"/>
        </w:rPr>
        <w:t xml:space="preserve">par Jean Pineau et Serge Gaudet. </w:t>
      </w:r>
      <w:r w:rsidR="0078625C" w:rsidRPr="0096599C">
        <w:t>Montr</w:t>
      </w:r>
      <w:r w:rsidRPr="0096599C">
        <w:t>é</w:t>
      </w:r>
      <w:r w:rsidR="0078625C" w:rsidRPr="0096599C">
        <w:t>al: Thémis, 2001.</w:t>
      </w:r>
    </w:p>
    <w:p w:rsidR="00F8699F" w:rsidRPr="0096599C" w:rsidRDefault="00F8699F" w:rsidP="00AD4E67">
      <w:pPr>
        <w:pStyle w:val="SCCNormalDoubleSpacing"/>
        <w:widowControl w:val="0"/>
        <w:spacing w:before="240" w:after="240" w:line="240" w:lineRule="auto"/>
        <w:ind w:left="547" w:hanging="547"/>
      </w:pPr>
      <w:r w:rsidRPr="0096599C">
        <w:rPr>
          <w:i/>
        </w:rPr>
        <w:t>Snell’s Equity</w:t>
      </w:r>
      <w:r w:rsidRPr="0096599C">
        <w:t>, 31st ed., by John McGhee, ed. London: Sweet &amp; Maxwell, 2005.</w:t>
      </w:r>
    </w:p>
    <w:p w:rsidR="0078625C" w:rsidRPr="0096599C" w:rsidRDefault="0078625C" w:rsidP="00AD4E67">
      <w:pPr>
        <w:pStyle w:val="SCCNormalDoubleSpacing"/>
        <w:widowControl w:val="0"/>
        <w:spacing w:before="240" w:after="240" w:line="240" w:lineRule="auto"/>
        <w:ind w:left="547" w:hanging="547"/>
      </w:pPr>
      <w:r w:rsidRPr="0096599C">
        <w:rPr>
          <w:i/>
        </w:rPr>
        <w:t>Snell’s Equity</w:t>
      </w:r>
      <w:r w:rsidRPr="0096599C">
        <w:t>, 3</w:t>
      </w:r>
      <w:r w:rsidR="000578FE" w:rsidRPr="0096599C">
        <w:t>3rd</w:t>
      </w:r>
      <w:r w:rsidRPr="0096599C">
        <w:t xml:space="preserve"> ed., </w:t>
      </w:r>
      <w:r w:rsidR="000578FE" w:rsidRPr="0096599C">
        <w:t xml:space="preserve">by John </w:t>
      </w:r>
      <w:r w:rsidRPr="0096599C">
        <w:t>McG</w:t>
      </w:r>
      <w:r w:rsidR="004326D3" w:rsidRPr="0096599C">
        <w:t>h</w:t>
      </w:r>
      <w:r w:rsidRPr="0096599C">
        <w:t xml:space="preserve">ee. </w:t>
      </w:r>
      <w:r w:rsidR="000578FE" w:rsidRPr="0096599C">
        <w:t xml:space="preserve">London: Sweet &amp; Maxwell, </w:t>
      </w:r>
      <w:r w:rsidRPr="0096599C">
        <w:t>20</w:t>
      </w:r>
      <w:r w:rsidR="000578FE" w:rsidRPr="0096599C">
        <w:t>1</w:t>
      </w:r>
      <w:r w:rsidRPr="0096599C">
        <w:t>5.</w:t>
      </w:r>
    </w:p>
    <w:p w:rsidR="0078625C" w:rsidRPr="0096599C" w:rsidRDefault="0078625C" w:rsidP="00AD4E67">
      <w:pPr>
        <w:pStyle w:val="SCCNormalDoubleSpacing"/>
        <w:widowControl w:val="0"/>
        <w:spacing w:after="720" w:line="240" w:lineRule="auto"/>
        <w:ind w:left="547" w:hanging="547"/>
      </w:pPr>
      <w:r w:rsidRPr="0096599C">
        <w:t xml:space="preserve">Spry, </w:t>
      </w:r>
      <w:r w:rsidR="004326D3" w:rsidRPr="0096599C">
        <w:t xml:space="preserve">I. C. F. </w:t>
      </w:r>
      <w:r w:rsidR="004326D3" w:rsidRPr="0096599C">
        <w:rPr>
          <w:i/>
        </w:rPr>
        <w:t xml:space="preserve">The Principles of </w:t>
      </w:r>
      <w:r w:rsidRPr="0096599C">
        <w:rPr>
          <w:i/>
        </w:rPr>
        <w:t>Equitable Remedies</w:t>
      </w:r>
      <w:r w:rsidR="004326D3" w:rsidRPr="0096599C">
        <w:rPr>
          <w:i/>
        </w:rPr>
        <w:t>: Specific Performance, Injunctions</w:t>
      </w:r>
      <w:r w:rsidRPr="0096599C">
        <w:rPr>
          <w:i/>
        </w:rPr>
        <w:t xml:space="preserve">, </w:t>
      </w:r>
      <w:r w:rsidR="004326D3" w:rsidRPr="0096599C">
        <w:rPr>
          <w:i/>
        </w:rPr>
        <w:t>Rectification and Equitable Damages</w:t>
      </w:r>
      <w:r w:rsidR="004326D3" w:rsidRPr="0096599C">
        <w:t>, 9</w:t>
      </w:r>
      <w:r w:rsidR="00667774" w:rsidRPr="0096599C">
        <w:t>th </w:t>
      </w:r>
      <w:r w:rsidRPr="0096599C">
        <w:t xml:space="preserve">ed. </w:t>
      </w:r>
      <w:r w:rsidR="004326D3" w:rsidRPr="0096599C">
        <w:t>Pyrmont, N.S.W.:</w:t>
      </w:r>
      <w:r w:rsidRPr="0096599C">
        <w:t xml:space="preserve"> Lawbook Co., 2014.</w:t>
      </w:r>
    </w:p>
    <w:p w:rsidR="00656313" w:rsidRPr="0096599C" w:rsidRDefault="00CD1571" w:rsidP="00AD4E67">
      <w:pPr>
        <w:pStyle w:val="SCCNormalDoubleSpacing"/>
        <w:widowControl w:val="0"/>
        <w:spacing w:before="480" w:after="480"/>
      </w:pPr>
      <w:r w:rsidRPr="0096599C">
        <w:tab/>
      </w:r>
      <w:r w:rsidR="009B57B3" w:rsidRPr="0096599C">
        <w:t xml:space="preserve">APPEAL from a judgment of the </w:t>
      </w:r>
      <w:r w:rsidRPr="0096599C">
        <w:t xml:space="preserve">Quebec </w:t>
      </w:r>
      <w:r w:rsidR="009B57B3" w:rsidRPr="0096599C">
        <w:t>Court of Appeal</w:t>
      </w:r>
      <w:r w:rsidR="00236A65" w:rsidRPr="0096599C">
        <w:t xml:space="preserve"> (C</w:t>
      </w:r>
      <w:r w:rsidR="008E1829" w:rsidRPr="0096599C">
        <w:t>hamberland, Giroux and Schrager </w:t>
      </w:r>
      <w:r w:rsidR="00236A65" w:rsidRPr="0096599C">
        <w:t xml:space="preserve">JJ.A.), 2015 QCCA 838, [2015] 4 C.T.C. 82, </w:t>
      </w:r>
      <w:r w:rsidR="00642FCF" w:rsidRPr="0096599C">
        <w:t>[2015] AZ</w:t>
      </w:r>
      <w:r w:rsidR="00642FCF" w:rsidRPr="0096599C">
        <w:noBreakHyphen/>
        <w:t xml:space="preserve">51175618, </w:t>
      </w:r>
      <w:r w:rsidR="00236A65" w:rsidRPr="0096599C">
        <w:t xml:space="preserve">[2015] Q.J. </w:t>
      </w:r>
      <w:r w:rsidR="009576DA" w:rsidRPr="0096599C">
        <w:t>No. </w:t>
      </w:r>
      <w:r w:rsidR="00236A65" w:rsidRPr="0096599C">
        <w:t xml:space="preserve">4127 (QL), </w:t>
      </w:r>
      <w:r w:rsidR="008D151F" w:rsidRPr="0096599C">
        <w:t xml:space="preserve">2015 CarswellQue 3542 (WL Can.), </w:t>
      </w:r>
      <w:r w:rsidR="00236A65" w:rsidRPr="0096599C">
        <w:t>set</w:t>
      </w:r>
      <w:r w:rsidR="008E1829" w:rsidRPr="0096599C">
        <w:t>ting aside a decision of Chabot </w:t>
      </w:r>
      <w:r w:rsidR="00236A65" w:rsidRPr="0096599C">
        <w:t>J., 2012 QCCS 6917</w:t>
      </w:r>
      <w:r w:rsidR="008D151F" w:rsidRPr="0096599C">
        <w:t xml:space="preserve">, </w:t>
      </w:r>
      <w:r w:rsidR="00642FCF" w:rsidRPr="0096599C">
        <w:t>[2012] AZ</w:t>
      </w:r>
      <w:r w:rsidR="00642FCF" w:rsidRPr="0096599C">
        <w:noBreakHyphen/>
        <w:t xml:space="preserve">50931255, </w:t>
      </w:r>
      <w:r w:rsidR="008D151F" w:rsidRPr="0096599C">
        <w:t>[2012] J.Q. n</w:t>
      </w:r>
      <w:r w:rsidR="008D151F" w:rsidRPr="0096599C">
        <w:rPr>
          <w:vertAlign w:val="superscript"/>
        </w:rPr>
        <w:t>o</w:t>
      </w:r>
      <w:r w:rsidR="008E1829" w:rsidRPr="0096599C">
        <w:t> </w:t>
      </w:r>
      <w:r w:rsidR="008D151F" w:rsidRPr="0096599C">
        <w:t>19046 (QL), 2012 CarswellQue 14611 (WL Can.)</w:t>
      </w:r>
      <w:r w:rsidRPr="0096599C">
        <w:t xml:space="preserve">. Appeal </w:t>
      </w:r>
      <w:r w:rsidR="0006568C" w:rsidRPr="0096599C">
        <w:t>dismissed</w:t>
      </w:r>
      <w:r w:rsidR="0052152C" w:rsidRPr="0096599C">
        <w:t>, Abella and Côté </w:t>
      </w:r>
      <w:r w:rsidR="003F0A8F" w:rsidRPr="0096599C">
        <w:t>JJ. dissenting</w:t>
      </w:r>
      <w:r w:rsidRPr="0096599C">
        <w:t>.</w:t>
      </w:r>
    </w:p>
    <w:p w:rsidR="007F3B36" w:rsidRPr="0096599C" w:rsidRDefault="00CD1571" w:rsidP="00AD4E67">
      <w:pPr>
        <w:pStyle w:val="SCCNormalDoubleSpacing"/>
        <w:widowControl w:val="0"/>
        <w:spacing w:before="480" w:after="480"/>
      </w:pPr>
      <w:r w:rsidRPr="0096599C">
        <w:rPr>
          <w:i/>
        </w:rPr>
        <w:tab/>
      </w:r>
      <w:r w:rsidR="008D151F" w:rsidRPr="0096599C">
        <w:rPr>
          <w:i/>
        </w:rPr>
        <w:t>Dominic Belley</w:t>
      </w:r>
      <w:r w:rsidR="008D151F" w:rsidRPr="0096599C">
        <w:t xml:space="preserve"> and </w:t>
      </w:r>
      <w:r w:rsidR="008D151F" w:rsidRPr="0096599C">
        <w:rPr>
          <w:i/>
        </w:rPr>
        <w:t>Jonathan Lafrance</w:t>
      </w:r>
      <w:r w:rsidR="008D151F" w:rsidRPr="0096599C">
        <w:t>, for the appellant</w:t>
      </w:r>
      <w:r w:rsidRPr="0096599C">
        <w:t>.</w:t>
      </w:r>
    </w:p>
    <w:p w:rsidR="007F3B36" w:rsidRPr="0096599C" w:rsidRDefault="00CD1571" w:rsidP="00AD4E67">
      <w:pPr>
        <w:pStyle w:val="SCCNormalDoubleSpacing"/>
        <w:widowControl w:val="0"/>
        <w:spacing w:before="480" w:after="480"/>
      </w:pPr>
      <w:r w:rsidRPr="0096599C">
        <w:rPr>
          <w:i/>
        </w:rPr>
        <w:tab/>
      </w:r>
      <w:r w:rsidR="008D151F" w:rsidRPr="0096599C">
        <w:rPr>
          <w:i/>
        </w:rPr>
        <w:t>Daniel Bourgeois</w:t>
      </w:r>
      <w:r w:rsidR="008D151F" w:rsidRPr="0096599C">
        <w:t xml:space="preserve"> </w:t>
      </w:r>
      <w:r w:rsidRPr="0096599C">
        <w:t xml:space="preserve">and </w:t>
      </w:r>
      <w:r w:rsidR="008D151F" w:rsidRPr="0096599C">
        <w:rPr>
          <w:i/>
        </w:rPr>
        <w:t>Eric Noble</w:t>
      </w:r>
      <w:r w:rsidR="008D151F" w:rsidRPr="0096599C">
        <w:t>, for the respondent.</w:t>
      </w:r>
    </w:p>
    <w:p w:rsidR="007F3B36" w:rsidRDefault="00CD1571" w:rsidP="00AD4E67">
      <w:pPr>
        <w:pStyle w:val="SCCNormalDoubleSpacing"/>
        <w:widowControl w:val="0"/>
        <w:spacing w:before="480" w:after="480"/>
      </w:pPr>
      <w:r w:rsidRPr="0096599C">
        <w:rPr>
          <w:i/>
        </w:rPr>
        <w:tab/>
      </w:r>
      <w:r w:rsidR="008D151F" w:rsidRPr="0096599C">
        <w:rPr>
          <w:i/>
        </w:rPr>
        <w:t>Pierre Zemaitis</w:t>
      </w:r>
      <w:r w:rsidR="008D151F" w:rsidRPr="0096599C">
        <w:t xml:space="preserve"> and </w:t>
      </w:r>
      <w:r w:rsidR="008D151F" w:rsidRPr="0096599C">
        <w:rPr>
          <w:i/>
        </w:rPr>
        <w:t>Christian Boutin</w:t>
      </w:r>
      <w:r w:rsidR="008D151F" w:rsidRPr="0096599C">
        <w:t>, for the intervener.</w:t>
      </w:r>
    </w:p>
    <w:p w:rsidR="00A55D5F" w:rsidRPr="0047726F" w:rsidRDefault="00A55D5F" w:rsidP="00AD4E67">
      <w:pPr>
        <w:pStyle w:val="JudgeJuge"/>
        <w:widowControl w:val="0"/>
        <w:tabs>
          <w:tab w:val="clear" w:pos="1260"/>
          <w:tab w:val="left" w:pos="1170"/>
        </w:tabs>
        <w:rPr>
          <w:smallCaps w:val="0"/>
        </w:rPr>
      </w:pPr>
      <w:r w:rsidRPr="00E2779D">
        <w:tab/>
      </w:r>
      <w:r w:rsidR="0047726F" w:rsidRPr="0047726F">
        <w:rPr>
          <w:smallCaps w:val="0"/>
        </w:rPr>
        <w:t xml:space="preserve">The </w:t>
      </w:r>
      <w:r w:rsidR="0047726F">
        <w:rPr>
          <w:smallCaps w:val="0"/>
        </w:rPr>
        <w:t xml:space="preserve">judgment of McLachlin C.J. and Cromwell, </w:t>
      </w:r>
      <w:proofErr w:type="spellStart"/>
      <w:r w:rsidR="0047726F">
        <w:rPr>
          <w:smallCaps w:val="0"/>
        </w:rPr>
        <w:t>Moldaver</w:t>
      </w:r>
      <w:proofErr w:type="spellEnd"/>
      <w:r w:rsidR="0047726F">
        <w:rPr>
          <w:smallCaps w:val="0"/>
        </w:rPr>
        <w:t xml:space="preserve">, </w:t>
      </w:r>
      <w:proofErr w:type="spellStart"/>
      <w:r w:rsidR="0047726F">
        <w:rPr>
          <w:smallCaps w:val="0"/>
        </w:rPr>
        <w:t>Karakatsanis</w:t>
      </w:r>
      <w:proofErr w:type="spellEnd"/>
      <w:r w:rsidR="0047726F">
        <w:rPr>
          <w:smallCaps w:val="0"/>
        </w:rPr>
        <w:t xml:space="preserve">, </w:t>
      </w:r>
      <w:r w:rsidR="0047726F">
        <w:rPr>
          <w:smallCaps w:val="0"/>
        </w:rPr>
        <w:lastRenderedPageBreak/>
        <w:t xml:space="preserve">Wagner, </w:t>
      </w:r>
      <w:proofErr w:type="spellStart"/>
      <w:r w:rsidR="0047726F">
        <w:rPr>
          <w:smallCaps w:val="0"/>
        </w:rPr>
        <w:t>Gascon</w:t>
      </w:r>
      <w:proofErr w:type="spellEnd"/>
      <w:r w:rsidR="0047726F">
        <w:rPr>
          <w:smallCaps w:val="0"/>
        </w:rPr>
        <w:t xml:space="preserve"> and Brown JJ. </w:t>
      </w:r>
      <w:proofErr w:type="gramStart"/>
      <w:r w:rsidR="0047726F">
        <w:rPr>
          <w:smallCaps w:val="0"/>
        </w:rPr>
        <w:t>was</w:t>
      </w:r>
      <w:proofErr w:type="gramEnd"/>
      <w:r w:rsidR="0047726F">
        <w:rPr>
          <w:smallCaps w:val="0"/>
        </w:rPr>
        <w:t xml:space="preserve"> delivered by</w:t>
      </w:r>
    </w:p>
    <w:p w:rsidR="00A55D5F" w:rsidRPr="00E2779D" w:rsidRDefault="0047726F" w:rsidP="00AD4E67">
      <w:pPr>
        <w:pStyle w:val="ParaNoNdepar-AltN"/>
        <w:widowControl w:val="0"/>
        <w:numPr>
          <w:ilvl w:val="0"/>
          <w:numId w:val="4"/>
        </w:numPr>
        <w:tabs>
          <w:tab w:val="clear" w:pos="1152"/>
          <w:tab w:val="left" w:pos="1166"/>
        </w:tabs>
        <w:rPr>
          <w:rFonts w:cs="Times New Roman"/>
          <w:lang w:val="en-US"/>
        </w:rPr>
      </w:pPr>
      <w:r w:rsidRPr="0047726F">
        <w:rPr>
          <w:smallCaps/>
        </w:rPr>
        <w:t>Wagner J.</w:t>
      </w:r>
      <w:r w:rsidRPr="00E2779D">
        <w:t xml:space="preserve"> — </w:t>
      </w:r>
      <w:proofErr w:type="gramStart"/>
      <w:r w:rsidR="00A55D5F" w:rsidRPr="00E2779D">
        <w:rPr>
          <w:rFonts w:cs="Times New Roman"/>
        </w:rPr>
        <w:t>This</w:t>
      </w:r>
      <w:proofErr w:type="gramEnd"/>
      <w:r w:rsidR="00A55D5F" w:rsidRPr="00E2779D">
        <w:rPr>
          <w:rFonts w:cs="Times New Roman"/>
        </w:rPr>
        <w:t xml:space="preserve"> is one of two companion appeals dealing with requests to modify written contracts, documents or instruments after they generated unintended tax consequences. At issue in this appeal is whether, under Quebec civil law, the general intention of contracting parties that an agreement be tax-neutral is sufficient to authorize the modification of the written documents underlying the agreement so they reflect that intention. </w:t>
      </w:r>
    </w:p>
    <w:p w:rsidR="00A55D5F" w:rsidRPr="00E2779D" w:rsidRDefault="00A55D5F" w:rsidP="00AD4E67">
      <w:pPr>
        <w:pStyle w:val="ParaNoNdepar-AltN"/>
        <w:widowControl w:val="0"/>
        <w:numPr>
          <w:ilvl w:val="0"/>
          <w:numId w:val="4"/>
        </w:numPr>
        <w:tabs>
          <w:tab w:val="clear" w:pos="1152"/>
          <w:tab w:val="left" w:pos="1166"/>
        </w:tabs>
        <w:rPr>
          <w:rFonts w:cs="Times New Roman"/>
          <w:lang w:val="en-US"/>
        </w:rPr>
      </w:pPr>
      <w:r w:rsidRPr="00E2779D">
        <w:rPr>
          <w:rFonts w:cs="Times New Roman"/>
        </w:rPr>
        <w:t xml:space="preserve">The appellant, a Quebec corporation, </w:t>
      </w:r>
      <w:r w:rsidRPr="00E2779D">
        <w:rPr>
          <w:rFonts w:cs="Times New Roman"/>
          <w:lang w:val="en-US"/>
        </w:rPr>
        <w:t xml:space="preserve">wanted to resolve an accounting issue without creating adverse tax consequences. To that end, the appellant and its subsidiary executed a transactional scheme recommended by its professional advisors. The transactions, however, triggered a particular tax consequence </w:t>
      </w:r>
      <w:r w:rsidRPr="00E2779D">
        <w:rPr>
          <w:rFonts w:cs="Times New Roman"/>
        </w:rPr>
        <w:t>that the parties and their advisors had not foreseen, increasing the amount the appellant should have included in its income for tax purposes. Years later,</w:t>
      </w:r>
      <w:r w:rsidRPr="00E2779D">
        <w:rPr>
          <w:rFonts w:cs="Times New Roman"/>
          <w:lang w:val="en-US"/>
        </w:rPr>
        <w:t xml:space="preserve"> when faced with an assessment for unpaid income tax after an audit by federal tax authorities, the appellant filed a motion to institute proceedings (“motion”) in the Quebec Superior Court for “rectification” of the documents relating to the transactions, in accordance with art. 1425 of the </w:t>
      </w:r>
      <w:r w:rsidRPr="00E2779D">
        <w:rPr>
          <w:rFonts w:cs="Times New Roman"/>
          <w:i/>
          <w:lang w:val="en-US"/>
        </w:rPr>
        <w:t>Civil Code of Québec</w:t>
      </w:r>
      <w:r w:rsidRPr="00E2779D">
        <w:rPr>
          <w:rFonts w:cs="Times New Roman"/>
          <w:lang w:val="en-US"/>
        </w:rPr>
        <w:t xml:space="preserve"> (“</w:t>
      </w:r>
      <w:r w:rsidRPr="00E2779D">
        <w:rPr>
          <w:rFonts w:cs="Times New Roman"/>
          <w:i/>
          <w:lang w:val="en-US"/>
        </w:rPr>
        <w:t>C.C.Q.</w:t>
      </w:r>
      <w:r w:rsidRPr="00E2779D">
        <w:rPr>
          <w:rFonts w:cs="Times New Roman"/>
          <w:lang w:val="en-US"/>
        </w:rPr>
        <w:t xml:space="preserve">”). That article provides that contractual interpretation is most concerned with the common intention of the contracting parties, as opposed to the literal expression of that intention. </w:t>
      </w:r>
    </w:p>
    <w:p w:rsidR="00A55D5F" w:rsidRPr="00E2779D" w:rsidRDefault="00A55D5F" w:rsidP="00AD4E67">
      <w:pPr>
        <w:pStyle w:val="ParaNoNdepar-AltN"/>
        <w:widowControl w:val="0"/>
        <w:rPr>
          <w:rFonts w:cs="Times New Roman"/>
        </w:rPr>
      </w:pPr>
      <w:r w:rsidRPr="00E2779D">
        <w:rPr>
          <w:rFonts w:cs="Times New Roman"/>
        </w:rPr>
        <w:t xml:space="preserve">The Quebec Superior Court granted the appellant’s motion, but the Quebec Court of Appeal overturned this decision. It saw the appellant’s request as an attempt </w:t>
      </w:r>
      <w:r w:rsidRPr="00E2779D">
        <w:rPr>
          <w:rFonts w:cs="Times New Roman"/>
        </w:rPr>
        <w:lastRenderedPageBreak/>
        <w:t>to rewrite the tax history of the agreement. It held that the appellant’s intention that the transactions have no adverse tax consequences was insufficiently determinate to serve as the basis for modifying the documents to avoid the unintended and unforeseen tax consequence they had produced.</w:t>
      </w:r>
    </w:p>
    <w:p w:rsidR="00A55D5F" w:rsidRPr="00E2779D" w:rsidRDefault="00A55D5F" w:rsidP="00AD4E67">
      <w:pPr>
        <w:pStyle w:val="ParaNoNdepar-AltN"/>
        <w:widowControl w:val="0"/>
        <w:rPr>
          <w:rFonts w:cs="Times New Roman"/>
        </w:rPr>
      </w:pPr>
      <w:r w:rsidRPr="00E2779D">
        <w:rPr>
          <w:rFonts w:cs="Times New Roman"/>
        </w:rPr>
        <w:t xml:space="preserve">I would dismiss the appeal. I agree with the Court of Appeal that a taxpayer’s intention that the agreement be tax-neutral which is not clearly defined and not related to obligations whose objects are sufficiently determinate or determinable cannot permit the documents recording and implementing the transactions to be amended to give effect to that intention, in accordance with art. 1425 </w:t>
      </w:r>
      <w:r w:rsidRPr="00E2779D">
        <w:rPr>
          <w:rFonts w:cs="Times New Roman"/>
          <w:i/>
        </w:rPr>
        <w:t>C.C.Q.</w:t>
      </w:r>
      <w:r w:rsidRPr="00E2779D">
        <w:rPr>
          <w:rFonts w:cs="Times New Roman"/>
        </w:rPr>
        <w:t xml:space="preserve"> The written or oral expression of a contract can be amended if there is a discrepancy between it and the contracting parties’ true agreement. It cannot be amended where there is no such discrepancy but that true agreement merely produces unintended or unanticipated consequences. Amendments must align the written documents with the true agreement they are meant to record and implement, not with the contracting parties’ motivations for entering into the agreement or their expectations as to its consequences. </w:t>
      </w:r>
    </w:p>
    <w:p w:rsidR="00A55D5F" w:rsidRPr="00E2779D" w:rsidRDefault="00A55D5F" w:rsidP="00AD4E67">
      <w:pPr>
        <w:pStyle w:val="ParaNoNdepar-AltN"/>
        <w:widowControl w:val="0"/>
        <w:rPr>
          <w:rFonts w:cs="Times New Roman"/>
        </w:rPr>
      </w:pPr>
      <w:r w:rsidRPr="00E2779D">
        <w:rPr>
          <w:rFonts w:cs="Times New Roman"/>
        </w:rPr>
        <w:t xml:space="preserve">The result in this appeal is bolstered by important policy considerations regarding the modification of written documents in the tax context. It also aligns with the result that would be reached in the common law provinces under the equitable remedy of rectification, which is the focus of the companion appeal, </w:t>
      </w:r>
      <w:r w:rsidRPr="00E2779D">
        <w:rPr>
          <w:rFonts w:cs="Times New Roman"/>
          <w:i/>
        </w:rPr>
        <w:t>Canada (Attorney General) v. Fairmont Hotels Inc.</w:t>
      </w:r>
      <w:r w:rsidRPr="00E2779D">
        <w:rPr>
          <w:rFonts w:cs="Times New Roman"/>
        </w:rPr>
        <w:t>, 2016 SCC 5</w:t>
      </w:r>
      <w:r>
        <w:rPr>
          <w:rFonts w:cs="Times New Roman"/>
        </w:rPr>
        <w:t>6</w:t>
      </w:r>
      <w:r w:rsidR="00D75210">
        <w:rPr>
          <w:rFonts w:cs="Times New Roman"/>
        </w:rPr>
        <w:t xml:space="preserve">, [2016] 2 S.C.R. </w:t>
      </w:r>
      <w:r w:rsidR="008C185D">
        <w:rPr>
          <w:rFonts w:cs="Times New Roman"/>
        </w:rPr>
        <w:t>720</w:t>
      </w:r>
      <w:r w:rsidRPr="00E2779D">
        <w:rPr>
          <w:rFonts w:cs="Times New Roman"/>
        </w:rPr>
        <w:t xml:space="preserve"> (“</w:t>
      </w:r>
      <w:r w:rsidRPr="00E2779D">
        <w:rPr>
          <w:rFonts w:cs="Times New Roman"/>
          <w:i/>
        </w:rPr>
        <w:t>Fairmont</w:t>
      </w:r>
      <w:r w:rsidRPr="00E2779D">
        <w:rPr>
          <w:rFonts w:cs="Times New Roman"/>
        </w:rPr>
        <w:t xml:space="preserve">”). </w:t>
      </w:r>
      <w:r w:rsidRPr="00E2779D">
        <w:rPr>
          <w:rFonts w:cs="Times New Roman"/>
        </w:rPr>
        <w:lastRenderedPageBreak/>
        <w:t xml:space="preserve">Although the equitable remedy and art. 1425 </w:t>
      </w:r>
      <w:r w:rsidRPr="00E2779D">
        <w:rPr>
          <w:rFonts w:cs="Times New Roman"/>
          <w:i/>
        </w:rPr>
        <w:t>C.C.Q.</w:t>
      </w:r>
      <w:r w:rsidRPr="00E2779D">
        <w:rPr>
          <w:rFonts w:cs="Times New Roman"/>
        </w:rPr>
        <w:t xml:space="preserve"> stem from different legal sources, they share similar principles and lead to similar results. Such similar results are particularly welcome in the tax context, where the same federal tax legislation applies throughout the country.</w:t>
      </w:r>
    </w:p>
    <w:p w:rsidR="00A55D5F" w:rsidRPr="00E2779D" w:rsidRDefault="00A55D5F" w:rsidP="00AD4E67">
      <w:pPr>
        <w:pStyle w:val="Title1LevelTitre1Niveau-AltL"/>
        <w:widowControl w:val="0"/>
        <w:numPr>
          <w:ilvl w:val="0"/>
          <w:numId w:val="3"/>
        </w:numPr>
        <w:rPr>
          <w:rFonts w:cs="Times New Roman"/>
        </w:rPr>
      </w:pPr>
      <w:r w:rsidRPr="00E2779D">
        <w:rPr>
          <w:rFonts w:cs="Times New Roman"/>
        </w:rPr>
        <w:t>Facts</w:t>
      </w:r>
    </w:p>
    <w:p w:rsidR="00A55D5F" w:rsidRPr="00E2779D" w:rsidRDefault="00A55D5F" w:rsidP="00AD4E67">
      <w:pPr>
        <w:pStyle w:val="ParaNoNdepar-AltN"/>
        <w:widowControl w:val="0"/>
        <w:rPr>
          <w:rFonts w:cs="Times New Roman"/>
        </w:rPr>
      </w:pPr>
      <w:r w:rsidRPr="00E2779D">
        <w:rPr>
          <w:rFonts w:cs="Times New Roman"/>
          <w:lang w:val="fr-CA"/>
        </w:rPr>
        <w:t xml:space="preserve">The appellant, Jean Coutu Group (PJC) Inc. </w:t>
      </w:r>
      <w:r w:rsidRPr="00E2779D">
        <w:rPr>
          <w:rFonts w:cs="Times New Roman"/>
          <w:lang w:val="en-US"/>
        </w:rPr>
        <w:t>(“PJC Canada”), is incorporated and headquartered in Quebec. At the time of the agreement in question, it was the sole shareholder of Jean Coutu Group (PJC) USA Inc. (“PJC USA”), which is incorporated under the laws of Delaware.</w:t>
      </w:r>
    </w:p>
    <w:p w:rsidR="00A55D5F" w:rsidRPr="00E2779D" w:rsidRDefault="00A55D5F" w:rsidP="00AD4E67">
      <w:pPr>
        <w:pStyle w:val="ParaNoNdepar-AltN"/>
        <w:widowControl w:val="0"/>
        <w:rPr>
          <w:rFonts w:cs="Times New Roman"/>
        </w:rPr>
      </w:pPr>
      <w:r w:rsidRPr="00E2779D">
        <w:rPr>
          <w:rFonts w:cs="Times New Roman"/>
          <w:lang w:val="en-US"/>
        </w:rPr>
        <w:t>In 2004, PJC USA acquired a chain of pharmacies in the United States as an investment. The value of this investment, as recorded on PJC Canada’s balance sheets, varied from quarter to quarter due to fluctuations in U.S. dollar to Canadian dollar exchange rates until the acquisition is completed. Although these value fluctuations had no tax consequences until that time, they had to be recorded as gains or losses and they thus negatively affected the perceptions of PJC Canada’s investors. PJC Canada consulted professional advisors to find ways to neutralize this effect on perceptions without adverse tax consequences. Its advisors recommended two possible scenarios, one of which PJC Canada selected and executed in 2005:</w:t>
      </w:r>
    </w:p>
    <w:p w:rsidR="00A55D5F" w:rsidRPr="00E2779D" w:rsidRDefault="00B34F32" w:rsidP="00AD4E67">
      <w:pPr>
        <w:pStyle w:val="Citation-AltC"/>
        <w:widowControl w:val="0"/>
        <w:tabs>
          <w:tab w:val="left" w:pos="540"/>
        </w:tabs>
        <w:spacing w:line="480" w:lineRule="auto"/>
        <w:ind w:left="540" w:hanging="540"/>
        <w:rPr>
          <w:b/>
          <w:lang w:val="en-US"/>
        </w:rPr>
      </w:pPr>
      <w:r>
        <w:rPr>
          <w:lang w:val="en-US"/>
        </w:rPr>
        <w:t>(i)</w:t>
      </w:r>
      <w:r>
        <w:rPr>
          <w:lang w:val="en-US"/>
        </w:rPr>
        <w:tab/>
      </w:r>
      <w:r w:rsidR="00A55D5F" w:rsidRPr="00E2779D">
        <w:rPr>
          <w:lang w:val="en-US"/>
        </w:rPr>
        <w:t>Feb. 7, 2005: PJC Canada loans US$120 million to PJC USA, with interest at London Interbank Offered Rate (“LIBOR”) plus 2.5 percent.</w:t>
      </w:r>
    </w:p>
    <w:p w:rsidR="00A55D5F" w:rsidRPr="00E2779D" w:rsidRDefault="00A55D5F" w:rsidP="00AD4E67">
      <w:pPr>
        <w:pStyle w:val="Citation-AltC"/>
        <w:widowControl w:val="0"/>
        <w:spacing w:line="480" w:lineRule="auto"/>
        <w:rPr>
          <w:lang w:val="en-US"/>
        </w:rPr>
      </w:pPr>
    </w:p>
    <w:p w:rsidR="00A55D5F" w:rsidRPr="00E2779D" w:rsidRDefault="0026479D" w:rsidP="00AD4E67">
      <w:pPr>
        <w:pStyle w:val="Citation-AltC"/>
        <w:widowControl w:val="0"/>
        <w:tabs>
          <w:tab w:val="left" w:pos="540"/>
        </w:tabs>
        <w:spacing w:line="480" w:lineRule="auto"/>
        <w:ind w:left="540" w:hanging="540"/>
        <w:rPr>
          <w:b/>
          <w:lang w:val="en-US"/>
        </w:rPr>
      </w:pPr>
      <w:r>
        <w:rPr>
          <w:lang w:val="en-US"/>
        </w:rPr>
        <w:t>(ii)</w:t>
      </w:r>
      <w:r>
        <w:rPr>
          <w:lang w:val="en-US"/>
        </w:rPr>
        <w:tab/>
      </w:r>
      <w:r w:rsidR="00A55D5F" w:rsidRPr="00E2779D">
        <w:rPr>
          <w:lang w:val="en-US"/>
        </w:rPr>
        <w:t>Feb. 25, 2005: PJC Canada purchases an additional 10 common shares of PJC USA for US$70 million.</w:t>
      </w:r>
    </w:p>
    <w:p w:rsidR="00A55D5F" w:rsidRPr="00E2779D" w:rsidRDefault="00A55D5F" w:rsidP="00AD4E67">
      <w:pPr>
        <w:pStyle w:val="Citation-AltC"/>
        <w:widowControl w:val="0"/>
        <w:spacing w:line="480" w:lineRule="auto"/>
        <w:rPr>
          <w:lang w:val="en-US"/>
        </w:rPr>
      </w:pPr>
    </w:p>
    <w:p w:rsidR="00A55D5F" w:rsidRPr="00E2779D" w:rsidRDefault="0026479D" w:rsidP="00AD4E67">
      <w:pPr>
        <w:pStyle w:val="Citation-AltC"/>
        <w:widowControl w:val="0"/>
        <w:tabs>
          <w:tab w:val="left" w:pos="540"/>
        </w:tabs>
        <w:spacing w:line="480" w:lineRule="auto"/>
        <w:ind w:left="540" w:hanging="540"/>
        <w:rPr>
          <w:b/>
          <w:lang w:val="en-US"/>
        </w:rPr>
      </w:pPr>
      <w:r>
        <w:rPr>
          <w:lang w:val="en-US"/>
        </w:rPr>
        <w:t>(iii)</w:t>
      </w:r>
      <w:r>
        <w:rPr>
          <w:lang w:val="en-US"/>
        </w:rPr>
        <w:tab/>
      </w:r>
      <w:r w:rsidR="00A55D5F" w:rsidRPr="00E2779D">
        <w:rPr>
          <w:lang w:val="en-US"/>
        </w:rPr>
        <w:t>Feb. 25, 2005: PJC USA loans US$70 million to PJC Canada, with interest at LIBOR plus 2.5 percent.</w:t>
      </w:r>
    </w:p>
    <w:p w:rsidR="00A55D5F" w:rsidRPr="00E2779D" w:rsidRDefault="00A55D5F" w:rsidP="00AD4E67">
      <w:pPr>
        <w:pStyle w:val="ParaNoNdepar-AltN"/>
        <w:widowControl w:val="0"/>
        <w:rPr>
          <w:rFonts w:cs="Times New Roman"/>
        </w:rPr>
      </w:pPr>
      <w:r w:rsidRPr="00E2779D">
        <w:rPr>
          <w:rFonts w:cs="Times New Roman"/>
        </w:rPr>
        <w:t xml:space="preserve">The above transactional scheme succeeded in </w:t>
      </w:r>
      <w:r w:rsidRPr="00E2779D">
        <w:rPr>
          <w:rFonts w:cs="Times New Roman"/>
          <w:lang w:val="en-US"/>
        </w:rPr>
        <w:t xml:space="preserve">neutralizing the effect of the exchange rate fluctuations, but they did not succeed in avoiding tax consequences. In 2010, the Canada Revenue Agency (“CRA”) audited PJC Canada and assessed it for CAN$2.2 million of unpaid income tax for the years 2005, 2006 and 2007. The CRA concluded that because PJC USA was a controlled foreign affiliate of PJC Canada the interest it had earned during those years on the US$70 million loan it had advanced to PJC Canada </w:t>
      </w:r>
      <w:r w:rsidRPr="00E2779D">
        <w:rPr>
          <w:rFonts w:cs="Times New Roman"/>
          <w:szCs w:val="24"/>
          <w:lang w:val="en-US"/>
        </w:rPr>
        <w:t xml:space="preserve">constituted foreign accrual property income (“FAPI”), as defined by s. 95(1) of the </w:t>
      </w:r>
      <w:r w:rsidRPr="00E2779D">
        <w:rPr>
          <w:rFonts w:cs="Times New Roman"/>
          <w:i/>
          <w:iCs/>
          <w:szCs w:val="24"/>
          <w:lang w:val="en-US"/>
        </w:rPr>
        <w:t>Income Tax Act</w:t>
      </w:r>
      <w:r w:rsidRPr="00E2779D">
        <w:rPr>
          <w:rFonts w:cs="Times New Roman"/>
          <w:iCs/>
          <w:szCs w:val="24"/>
          <w:lang w:val="en-US"/>
        </w:rPr>
        <w:t>,</w:t>
      </w:r>
      <w:r w:rsidRPr="00E2779D">
        <w:rPr>
          <w:rFonts w:cs="Times New Roman"/>
          <w:i/>
          <w:iCs/>
          <w:szCs w:val="24"/>
          <w:lang w:val="en-US"/>
        </w:rPr>
        <w:t xml:space="preserve"> </w:t>
      </w:r>
      <w:r w:rsidRPr="00E2779D">
        <w:rPr>
          <w:rFonts w:cs="Times New Roman"/>
          <w:szCs w:val="24"/>
          <w:lang w:val="en-US"/>
        </w:rPr>
        <w:t>R.S.C. 1985, c. 1 (5th Supp.), and was taxable as income of PJC Canada pursuant to s. 91(1) of that Act.</w:t>
      </w:r>
      <w:r w:rsidRPr="00E2779D">
        <w:rPr>
          <w:rFonts w:cs="Times New Roman"/>
          <w:lang w:val="en-US"/>
        </w:rPr>
        <w:t xml:space="preserve"> PJC Canada’s advisors had neither foreseen nor raised the FAPI problem.</w:t>
      </w:r>
    </w:p>
    <w:p w:rsidR="00A55D5F" w:rsidRPr="00E2779D" w:rsidRDefault="00A55D5F" w:rsidP="00AD4E67">
      <w:pPr>
        <w:pStyle w:val="Title1LevelTitre1Niveau-AltL"/>
        <w:widowControl w:val="0"/>
        <w:numPr>
          <w:ilvl w:val="0"/>
          <w:numId w:val="3"/>
        </w:numPr>
        <w:rPr>
          <w:rFonts w:cs="Times New Roman"/>
        </w:rPr>
      </w:pPr>
      <w:r w:rsidRPr="00E2779D">
        <w:rPr>
          <w:rFonts w:cs="Times New Roman"/>
        </w:rPr>
        <w:t>Judicial History</w:t>
      </w:r>
    </w:p>
    <w:p w:rsidR="00A55D5F" w:rsidRPr="00E2779D" w:rsidRDefault="00A55D5F" w:rsidP="00AD4E67">
      <w:pPr>
        <w:pStyle w:val="Title2LevelTitre2Niveau"/>
        <w:widowControl w:val="0"/>
        <w:numPr>
          <w:ilvl w:val="1"/>
          <w:numId w:val="3"/>
        </w:numPr>
        <w:rPr>
          <w:rFonts w:cs="Times New Roman"/>
          <w:szCs w:val="24"/>
        </w:rPr>
      </w:pPr>
      <w:r w:rsidRPr="00E2779D">
        <w:rPr>
          <w:rFonts w:cs="Times New Roman"/>
          <w:szCs w:val="24"/>
        </w:rPr>
        <w:t>Quebec Superior Court (Chabot J.), 2012 QCCS 6917</w:t>
      </w:r>
    </w:p>
    <w:p w:rsidR="00A55D5F" w:rsidRPr="00E2779D" w:rsidRDefault="00A55D5F" w:rsidP="00AD4E67">
      <w:pPr>
        <w:pStyle w:val="ParaNoNdepar-AltN"/>
        <w:widowControl w:val="0"/>
        <w:rPr>
          <w:rFonts w:cs="Times New Roman"/>
        </w:rPr>
      </w:pPr>
      <w:r w:rsidRPr="00E2779D">
        <w:rPr>
          <w:rFonts w:cs="Times New Roman"/>
          <w:lang w:val="en-US"/>
        </w:rPr>
        <w:t xml:space="preserve">After the CRA audit, PJC Canada brought a motion in the Quebec Superior </w:t>
      </w:r>
      <w:r w:rsidRPr="00E2779D">
        <w:rPr>
          <w:rFonts w:cs="Times New Roman"/>
          <w:lang w:val="en-US"/>
        </w:rPr>
        <w:lastRenderedPageBreak/>
        <w:t xml:space="preserve">Court for rectification of the documents related to the agreement and for declaratory relief, contending that its intention that the agreement be tax-neutral was not reflected in the documents. </w:t>
      </w:r>
      <w:r w:rsidRPr="00E2779D">
        <w:rPr>
          <w:rFonts w:cs="Times New Roman"/>
        </w:rPr>
        <w:t xml:space="preserve">Although the term is perhaps a useful shorthand, rectification is an equitable remedy under the common law, not a Quebec civil law remedy. The parties and the courts below in fact used the term to refer to the correction of an inconsistency between the contracting parties’ common original intention and the expression of that intention in written or oral form, by way of contractual interpretation in accordance with art. 1425 </w:t>
      </w:r>
      <w:r w:rsidRPr="00E2779D">
        <w:rPr>
          <w:rFonts w:cs="Times New Roman"/>
          <w:i/>
        </w:rPr>
        <w:t>C.C.Q.</w:t>
      </w:r>
      <w:r w:rsidRPr="00E2779D">
        <w:rPr>
          <w:rFonts w:cs="Times New Roman"/>
        </w:rPr>
        <w:t xml:space="preserve"> </w:t>
      </w:r>
      <w:r w:rsidRPr="00E2779D">
        <w:rPr>
          <w:rFonts w:cs="Times New Roman"/>
          <w:lang w:val="en-US"/>
        </w:rPr>
        <w:t xml:space="preserve">Relying on </w:t>
      </w:r>
      <w:r w:rsidRPr="00E2779D">
        <w:rPr>
          <w:rFonts w:cs="Times New Roman"/>
        </w:rPr>
        <w:t>that article, PJC Canada</w:t>
      </w:r>
      <w:r w:rsidRPr="00E2779D">
        <w:rPr>
          <w:rFonts w:cs="Times New Roman"/>
          <w:lang w:val="en-US"/>
        </w:rPr>
        <w:t xml:space="preserve"> sought to correct the documents recording and implementing the transactional scheme outlined above by inserting new transactions (iii) and (iv) below, such that the interest payable by PJC Canada to PJC USA would be offset by interest payable by PJC USA to PJC Canada, reducing FAPI to zero:</w:t>
      </w:r>
    </w:p>
    <w:p w:rsidR="00A55D5F" w:rsidRPr="00E2779D" w:rsidRDefault="00E879D7" w:rsidP="00AD4E67">
      <w:pPr>
        <w:pStyle w:val="Citation-AltC"/>
        <w:widowControl w:val="0"/>
        <w:tabs>
          <w:tab w:val="left" w:pos="540"/>
        </w:tabs>
        <w:spacing w:line="480" w:lineRule="auto"/>
        <w:ind w:left="540" w:hanging="540"/>
        <w:rPr>
          <w:lang w:val="en-US"/>
        </w:rPr>
      </w:pPr>
      <w:r>
        <w:rPr>
          <w:lang w:val="en-US"/>
        </w:rPr>
        <w:t>(</w:t>
      </w:r>
      <w:proofErr w:type="spellStart"/>
      <w:r>
        <w:rPr>
          <w:lang w:val="en-US"/>
        </w:rPr>
        <w:t>i</w:t>
      </w:r>
      <w:proofErr w:type="spellEnd"/>
      <w:r>
        <w:rPr>
          <w:lang w:val="en-US"/>
        </w:rPr>
        <w:t>)</w:t>
      </w:r>
      <w:r w:rsidR="008A1770">
        <w:rPr>
          <w:lang w:val="en-US"/>
        </w:rPr>
        <w:tab/>
      </w:r>
      <w:r w:rsidR="00A55D5F" w:rsidRPr="00E2779D">
        <w:rPr>
          <w:lang w:val="en-US"/>
        </w:rPr>
        <w:t>Feb. 7, 2005: PJC Canada loans US$120 million to PJC USA, with interest at LIBOR plus 2.5 percent. (unchanged)</w:t>
      </w:r>
    </w:p>
    <w:p w:rsidR="00A55D5F" w:rsidRPr="00E2779D" w:rsidRDefault="00A55D5F" w:rsidP="00AD4E67">
      <w:pPr>
        <w:pStyle w:val="Citation-AltC"/>
        <w:widowControl w:val="0"/>
        <w:spacing w:line="480" w:lineRule="auto"/>
        <w:rPr>
          <w:lang w:val="en-US"/>
        </w:rPr>
      </w:pPr>
    </w:p>
    <w:p w:rsidR="00A55D5F" w:rsidRPr="00E2779D" w:rsidRDefault="00E879D7" w:rsidP="00AD4E67">
      <w:pPr>
        <w:pStyle w:val="Citation-AltC"/>
        <w:widowControl w:val="0"/>
        <w:tabs>
          <w:tab w:val="left" w:pos="540"/>
        </w:tabs>
        <w:spacing w:line="480" w:lineRule="auto"/>
        <w:ind w:left="540" w:hanging="540"/>
        <w:rPr>
          <w:lang w:val="en-US"/>
        </w:rPr>
      </w:pPr>
      <w:r>
        <w:rPr>
          <w:lang w:val="en-US"/>
        </w:rPr>
        <w:t>(ii)</w:t>
      </w:r>
      <w:r w:rsidR="00973626">
        <w:rPr>
          <w:lang w:val="en-US"/>
        </w:rPr>
        <w:tab/>
      </w:r>
      <w:r w:rsidR="00A55D5F" w:rsidRPr="00E2779D">
        <w:rPr>
          <w:lang w:val="en-US"/>
        </w:rPr>
        <w:t>Feb. 25, 2005: PJC Canada purchases an additional 10 common shares of PJC USA for US$70 million. (unchanged)</w:t>
      </w:r>
    </w:p>
    <w:p w:rsidR="00A55D5F" w:rsidRPr="00E2779D" w:rsidRDefault="00A55D5F" w:rsidP="00AD4E67">
      <w:pPr>
        <w:pStyle w:val="Citation-AltC"/>
        <w:widowControl w:val="0"/>
        <w:spacing w:line="480" w:lineRule="auto"/>
        <w:rPr>
          <w:lang w:val="en-US"/>
        </w:rPr>
      </w:pPr>
    </w:p>
    <w:p w:rsidR="00A55D5F" w:rsidRPr="00E2779D" w:rsidRDefault="00A55D5F" w:rsidP="00AD4E67">
      <w:pPr>
        <w:pStyle w:val="Citation-AltC"/>
        <w:widowControl w:val="0"/>
        <w:tabs>
          <w:tab w:val="left" w:pos="540"/>
        </w:tabs>
        <w:spacing w:line="480" w:lineRule="auto"/>
        <w:ind w:left="540" w:hanging="540"/>
        <w:rPr>
          <w:lang w:val="en-US"/>
        </w:rPr>
      </w:pPr>
      <w:r w:rsidRPr="00E2779D">
        <w:rPr>
          <w:lang w:val="en-US"/>
        </w:rPr>
        <w:t>(iii)</w:t>
      </w:r>
      <w:r w:rsidR="00973626">
        <w:rPr>
          <w:lang w:val="en-US"/>
        </w:rPr>
        <w:tab/>
      </w:r>
      <w:r w:rsidRPr="00E2779D">
        <w:rPr>
          <w:lang w:val="en-US"/>
        </w:rPr>
        <w:t>Feb. 25, 2005: PJC USA pays back US$70 million of the US$120 million loan referred to above. (</w:t>
      </w:r>
      <w:proofErr w:type="gramStart"/>
      <w:r w:rsidRPr="00E2779D">
        <w:rPr>
          <w:i/>
          <w:lang w:val="en-US"/>
        </w:rPr>
        <w:t>new</w:t>
      </w:r>
      <w:proofErr w:type="gramEnd"/>
      <w:r w:rsidRPr="00E2779D">
        <w:rPr>
          <w:lang w:val="en-US"/>
        </w:rPr>
        <w:t>)</w:t>
      </w:r>
    </w:p>
    <w:p w:rsidR="00A55D5F" w:rsidRPr="00E2779D" w:rsidRDefault="00A55D5F" w:rsidP="00AD4E67">
      <w:pPr>
        <w:pStyle w:val="Citation-AltC"/>
        <w:widowControl w:val="0"/>
        <w:spacing w:line="480" w:lineRule="auto"/>
        <w:rPr>
          <w:lang w:val="en-US"/>
        </w:rPr>
      </w:pPr>
    </w:p>
    <w:p w:rsidR="00A55D5F" w:rsidRPr="00E2779D" w:rsidRDefault="003B0FEE" w:rsidP="00AD4E67">
      <w:pPr>
        <w:pStyle w:val="Citation-AltC"/>
        <w:widowControl w:val="0"/>
        <w:tabs>
          <w:tab w:val="left" w:pos="540"/>
        </w:tabs>
        <w:spacing w:line="480" w:lineRule="auto"/>
        <w:ind w:left="540" w:hanging="540"/>
        <w:rPr>
          <w:lang w:val="en-US"/>
        </w:rPr>
      </w:pPr>
      <w:r>
        <w:rPr>
          <w:lang w:val="en-US"/>
        </w:rPr>
        <w:t>(iv)</w:t>
      </w:r>
      <w:r>
        <w:rPr>
          <w:lang w:val="en-US"/>
        </w:rPr>
        <w:tab/>
      </w:r>
      <w:r w:rsidR="00A55D5F" w:rsidRPr="00E2779D">
        <w:rPr>
          <w:lang w:val="en-US"/>
        </w:rPr>
        <w:t>Feb. 25, 2005: PJC Canada loans US$70 million to PJC USA. (</w:t>
      </w:r>
      <w:r w:rsidR="00A55D5F" w:rsidRPr="00E2779D">
        <w:rPr>
          <w:i/>
          <w:lang w:val="en-US"/>
        </w:rPr>
        <w:t>new</w:t>
      </w:r>
      <w:r w:rsidR="00A55D5F" w:rsidRPr="00E2779D">
        <w:rPr>
          <w:lang w:val="en-US"/>
        </w:rPr>
        <w:t>)</w:t>
      </w:r>
    </w:p>
    <w:p w:rsidR="00A55D5F" w:rsidRPr="00E2779D" w:rsidRDefault="00A55D5F" w:rsidP="00AD4E67">
      <w:pPr>
        <w:pStyle w:val="Citation-AltC"/>
        <w:widowControl w:val="0"/>
        <w:spacing w:line="480" w:lineRule="auto"/>
        <w:rPr>
          <w:lang w:val="en-US"/>
        </w:rPr>
      </w:pPr>
    </w:p>
    <w:p w:rsidR="00A55D5F" w:rsidRPr="00E2779D" w:rsidRDefault="003B0FEE" w:rsidP="00AD4E67">
      <w:pPr>
        <w:pStyle w:val="Citation-AltC"/>
        <w:widowControl w:val="0"/>
        <w:tabs>
          <w:tab w:val="left" w:pos="540"/>
        </w:tabs>
        <w:spacing w:line="480" w:lineRule="auto"/>
        <w:ind w:left="540" w:hanging="540"/>
        <w:rPr>
          <w:lang w:val="en-US"/>
        </w:rPr>
      </w:pPr>
      <w:r>
        <w:rPr>
          <w:lang w:val="en-US"/>
        </w:rPr>
        <w:t>(v)</w:t>
      </w:r>
      <w:r>
        <w:rPr>
          <w:lang w:val="en-US"/>
        </w:rPr>
        <w:tab/>
      </w:r>
      <w:r w:rsidR="00A55D5F" w:rsidRPr="00E2779D">
        <w:rPr>
          <w:lang w:val="en-US"/>
        </w:rPr>
        <w:t>Feb. 25, 2005: PJC USA loans US$70 million to PJC Canada, with interest at LIBOR plus 2.5 percent. (unchanged)</w:t>
      </w:r>
    </w:p>
    <w:p w:rsidR="00A55D5F" w:rsidRPr="00E2779D" w:rsidRDefault="00A55D5F" w:rsidP="00AD4E67">
      <w:pPr>
        <w:pStyle w:val="ParaNoNdepar-AltN"/>
        <w:widowControl w:val="0"/>
        <w:rPr>
          <w:rFonts w:cs="Times New Roman"/>
        </w:rPr>
      </w:pPr>
      <w:r w:rsidRPr="00E2779D">
        <w:rPr>
          <w:rFonts w:cs="Times New Roman"/>
        </w:rPr>
        <w:t>The application judge granted PJC Canada’s motion. He found that the evidence demonstrated that the clear intention of the parties was to fix the exchange rate fluctuation problem without generating adverse tax consequences. Because such consequences had been generated in the form of FAPI, he held that there was a disparity between the common intention of the parties (</w:t>
      </w:r>
      <w:r w:rsidRPr="00E2779D">
        <w:rPr>
          <w:rFonts w:cs="Times New Roman"/>
          <w:i/>
        </w:rPr>
        <w:t>negotium</w:t>
      </w:r>
      <w:r w:rsidRPr="00E2779D">
        <w:rPr>
          <w:rFonts w:cs="Times New Roman"/>
        </w:rPr>
        <w:t>) and the legal documents drawn up to give effect to that intention (</w:t>
      </w:r>
      <w:r w:rsidRPr="00E2779D">
        <w:rPr>
          <w:rFonts w:cs="Times New Roman"/>
          <w:i/>
        </w:rPr>
        <w:t>instrumentum</w:t>
      </w:r>
      <w:r w:rsidRPr="00E2779D">
        <w:rPr>
          <w:rFonts w:cs="Times New Roman"/>
        </w:rPr>
        <w:t xml:space="preserve">). He held that he could therefore correct the series of documents to reflect the parties’ initial common intention, even if the parties had never originally contemplated the requested corrections. Furthermore, he noted that PJC Canada’s failure to consider FAPI was not due to negligence or lack of diligence. He also determined that PJC Canada’s request </w:t>
      </w:r>
      <w:r w:rsidRPr="00E2779D">
        <w:rPr>
          <w:rFonts w:cs="Times New Roman"/>
          <w:szCs w:val="24"/>
        </w:rPr>
        <w:t>did not constitute an attempt to rewrite the tax history of the agreement, but rather served to correct unforeseen and unwarranted tax consequences. As such, in his opinion, the CRA’s rights were not affected by granting the request.</w:t>
      </w:r>
    </w:p>
    <w:p w:rsidR="00A55D5F" w:rsidRPr="00E2779D" w:rsidRDefault="00A55D5F" w:rsidP="00AD4E67">
      <w:pPr>
        <w:pStyle w:val="ParaNoNdepar-AltN"/>
        <w:widowControl w:val="0"/>
        <w:rPr>
          <w:rFonts w:cs="Times New Roman"/>
        </w:rPr>
      </w:pPr>
      <w:r w:rsidRPr="00E2779D">
        <w:rPr>
          <w:rFonts w:cs="Times New Roman"/>
        </w:rPr>
        <w:t xml:space="preserve">In coming to the above determinations, </w:t>
      </w:r>
      <w:r w:rsidRPr="00E2779D">
        <w:rPr>
          <w:rFonts w:cs="Times New Roman"/>
          <w:szCs w:val="24"/>
        </w:rPr>
        <w:t xml:space="preserve">the application judge did not have the benefit of this Court’s reasons in the companion appeals of </w:t>
      </w:r>
      <w:r w:rsidRPr="00E2779D">
        <w:rPr>
          <w:rFonts w:cs="Times New Roman"/>
          <w:i/>
          <w:lang w:val="en-US"/>
        </w:rPr>
        <w:t>AES</w:t>
      </w:r>
      <w:r w:rsidRPr="00E2779D">
        <w:rPr>
          <w:rFonts w:cs="Times New Roman"/>
          <w:lang w:val="en-US"/>
        </w:rPr>
        <w:t xml:space="preserve"> and </w:t>
      </w:r>
      <w:r w:rsidRPr="00E2779D">
        <w:rPr>
          <w:rFonts w:cs="Times New Roman"/>
          <w:i/>
          <w:lang w:val="en-US"/>
        </w:rPr>
        <w:t>Riopel</w:t>
      </w:r>
      <w:r w:rsidRPr="00E2779D">
        <w:rPr>
          <w:rFonts w:cs="Times New Roman"/>
          <w:lang w:val="en-US"/>
        </w:rPr>
        <w:t>, which were heard together and disposed of in one judgment:</w:t>
      </w:r>
      <w:r w:rsidRPr="00E2779D">
        <w:rPr>
          <w:rFonts w:cs="Times New Roman"/>
          <w:i/>
          <w:sz w:val="20"/>
          <w:szCs w:val="20"/>
          <w:lang w:val="en-US"/>
        </w:rPr>
        <w:t xml:space="preserve"> </w:t>
      </w:r>
      <w:r w:rsidRPr="00E2779D">
        <w:rPr>
          <w:rFonts w:cs="Times New Roman"/>
          <w:i/>
        </w:rPr>
        <w:t xml:space="preserve">Quebec (Agence du revenu) </w:t>
      </w:r>
      <w:r w:rsidRPr="00E2779D">
        <w:rPr>
          <w:rFonts w:cs="Times New Roman"/>
          <w:i/>
          <w:iCs/>
        </w:rPr>
        <w:t>v.</w:t>
      </w:r>
      <w:r w:rsidRPr="00E2779D">
        <w:rPr>
          <w:rFonts w:cs="Times New Roman"/>
          <w:i/>
        </w:rPr>
        <w:t xml:space="preserve"> Services Environnementaux AES inc.</w:t>
      </w:r>
      <w:r w:rsidRPr="00E2779D">
        <w:rPr>
          <w:rFonts w:cs="Times New Roman"/>
        </w:rPr>
        <w:t xml:space="preserve">, 2013 SCC 65, </w:t>
      </w:r>
      <w:r w:rsidRPr="0072097A">
        <w:rPr>
          <w:rStyle w:val="sccrespondentforindexchar1"/>
          <w:rFonts w:cs="Times New Roman"/>
          <w:b w:val="0"/>
        </w:rPr>
        <w:t>[2013] 3 S.C.R. 838</w:t>
      </w:r>
      <w:r w:rsidRPr="00E2779D">
        <w:rPr>
          <w:rFonts w:cs="Times New Roman"/>
          <w:lang w:val="en-US"/>
        </w:rPr>
        <w:t>. Therefore, no deference is owed to the application judge on his findings.</w:t>
      </w:r>
    </w:p>
    <w:p w:rsidR="00A55D5F" w:rsidRPr="00E2779D" w:rsidRDefault="00A55D5F" w:rsidP="00AD4E67">
      <w:pPr>
        <w:pStyle w:val="Title2LevelTitre2Niveau"/>
        <w:widowControl w:val="0"/>
        <w:numPr>
          <w:ilvl w:val="1"/>
          <w:numId w:val="3"/>
        </w:numPr>
        <w:rPr>
          <w:rFonts w:cs="Times New Roman"/>
        </w:rPr>
      </w:pPr>
      <w:r w:rsidRPr="00E2779D">
        <w:rPr>
          <w:rFonts w:cs="Times New Roman"/>
        </w:rPr>
        <w:lastRenderedPageBreak/>
        <w:t>Quebec Court of Appeal (Chamberland, Giroux and Schrager JJ.A.), 2015 QCCA 838, [2015] 4 C.T.C. 82</w:t>
      </w:r>
    </w:p>
    <w:p w:rsidR="00A55D5F" w:rsidRPr="00E2779D" w:rsidRDefault="00A55D5F" w:rsidP="00AD4E67">
      <w:pPr>
        <w:pStyle w:val="ParaNoNdepar-AltN"/>
        <w:widowControl w:val="0"/>
        <w:rPr>
          <w:rFonts w:cs="Times New Roman"/>
          <w:lang w:val="en-US"/>
        </w:rPr>
      </w:pPr>
      <w:r w:rsidRPr="00E2779D">
        <w:rPr>
          <w:rFonts w:cs="Times New Roman"/>
          <w:lang w:val="en-US"/>
        </w:rPr>
        <w:t xml:space="preserve">The Court of Appeal allowed the appeal, holding that the application judge had committed a palpable and overriding error in finding that the parties were not seeking to rewrite the tax history of the agreement. </w:t>
      </w:r>
    </w:p>
    <w:p w:rsidR="00A55D5F" w:rsidRPr="00E2779D" w:rsidRDefault="00A55D5F" w:rsidP="00AD4E67">
      <w:pPr>
        <w:pStyle w:val="ParaNoNdepar-AltN"/>
        <w:widowControl w:val="0"/>
        <w:rPr>
          <w:rFonts w:cs="Times New Roman"/>
          <w:lang w:val="en-US"/>
        </w:rPr>
      </w:pPr>
      <w:r w:rsidRPr="00E2779D">
        <w:rPr>
          <w:rFonts w:cs="Times New Roman"/>
          <w:lang w:val="en-US"/>
        </w:rPr>
        <w:t xml:space="preserve">Unlike the application judge, the Court of Appeal was able to benefit from the reasons of this Court in </w:t>
      </w:r>
      <w:r w:rsidRPr="00E2779D">
        <w:rPr>
          <w:rFonts w:cs="Times New Roman"/>
          <w:i/>
          <w:lang w:val="en-US"/>
        </w:rPr>
        <w:t>AES</w:t>
      </w:r>
      <w:r w:rsidRPr="00E2779D">
        <w:rPr>
          <w:rFonts w:cs="Times New Roman"/>
          <w:lang w:val="en-US"/>
        </w:rPr>
        <w:t>. According to the Court of Appeal, this Court’s judgment in those cases did not overturn all the previous case law in tax matters, which indicates that parties cannot rewrite the history of their agreement and change the transactional scheme because of unintended tax consequences. Rather, the Court of Appeal determined that it is authority for the proposition that parties who choose to carry out a legitimate corporate transaction for the purpose of avoiding, deferring or minimizing tax and who make an error in giving effect to that transaction may correct that error to achieve the tax consequence originally and specifically intended and agreed upon. Parties can restore their agreement to what it should have been where they made a mistake in expressing the transaction in writing, not where they made a mistake in the transaction itself. The Court of Appeal held that the general intent of PJC Canada that the transactional scheme it undertook be tax-neutral was insufficiently determinate to serve as the basis of a modified agreement that a court should recognize with retroactive effect to cancel unintended tax consequences.</w:t>
      </w:r>
    </w:p>
    <w:p w:rsidR="00A55D5F" w:rsidRPr="00E2779D" w:rsidRDefault="00A55D5F" w:rsidP="00AD4E67">
      <w:pPr>
        <w:pStyle w:val="Title1LevelTitre1Niveau-AltL"/>
        <w:widowControl w:val="0"/>
        <w:numPr>
          <w:ilvl w:val="0"/>
          <w:numId w:val="3"/>
        </w:numPr>
        <w:rPr>
          <w:rFonts w:cs="Times New Roman"/>
          <w:lang w:val="en-US"/>
        </w:rPr>
      </w:pPr>
      <w:r w:rsidRPr="00E2779D">
        <w:rPr>
          <w:rFonts w:cs="Times New Roman"/>
          <w:lang w:val="en-US"/>
        </w:rPr>
        <w:t>Issue and Positions of the Parties</w:t>
      </w:r>
    </w:p>
    <w:p w:rsidR="00A55D5F" w:rsidRPr="00E2779D" w:rsidRDefault="00A55D5F" w:rsidP="00AD4E67">
      <w:pPr>
        <w:pStyle w:val="ParaNoNdepar-AltN"/>
        <w:widowControl w:val="0"/>
        <w:rPr>
          <w:rFonts w:cs="Times New Roman"/>
          <w:lang w:val="en-US"/>
        </w:rPr>
      </w:pPr>
      <w:r w:rsidRPr="00E2779D">
        <w:rPr>
          <w:rFonts w:cs="Times New Roman"/>
          <w:lang w:val="en-US"/>
        </w:rPr>
        <w:lastRenderedPageBreak/>
        <w:t xml:space="preserve">This appeal raises the following key issue: Where parties agree to undertake one or several transactions with a general intention that tax consequences thereof be neutral, but where unintended and unforeseen tax consequences result, does art. 1425 </w:t>
      </w:r>
      <w:r w:rsidRPr="00E2779D">
        <w:rPr>
          <w:rFonts w:cs="Times New Roman"/>
          <w:i/>
          <w:lang w:val="en-US"/>
        </w:rPr>
        <w:t>C.C.Q.</w:t>
      </w:r>
      <w:r w:rsidRPr="00E2779D">
        <w:rPr>
          <w:rFonts w:cs="Times New Roman"/>
          <w:lang w:val="en-US"/>
        </w:rPr>
        <w:t xml:space="preserve"> allow the written documents recording and implementing their agreement to be amended with retroactive effect to make them consistent with that intention of tax neutrality?</w:t>
      </w:r>
    </w:p>
    <w:p w:rsidR="00A55D5F" w:rsidRPr="00E2779D" w:rsidRDefault="00A55D5F" w:rsidP="00AD4E67">
      <w:pPr>
        <w:pStyle w:val="ParaNoNdepar-AltN"/>
        <w:widowControl w:val="0"/>
        <w:rPr>
          <w:rFonts w:cs="Times New Roman"/>
          <w:lang w:val="en-US"/>
        </w:rPr>
      </w:pPr>
      <w:r w:rsidRPr="00E2779D">
        <w:rPr>
          <w:rFonts w:cs="Times New Roman"/>
          <w:lang w:val="en-US"/>
        </w:rPr>
        <w:t xml:space="preserve">PJC Canada asserts that the answer to the above question is yes. It makes three main arguments in support of its position that the court’s decision to grant its motion should be restored. First, it argues that, in line with contract law principles as explained in </w:t>
      </w:r>
      <w:r w:rsidRPr="00E2779D">
        <w:rPr>
          <w:rFonts w:cs="Times New Roman"/>
          <w:i/>
          <w:lang w:val="en-US"/>
        </w:rPr>
        <w:t>AES</w:t>
      </w:r>
      <w:r w:rsidRPr="00E2779D">
        <w:rPr>
          <w:rFonts w:cs="Times New Roman"/>
          <w:lang w:val="en-US"/>
        </w:rPr>
        <w:t xml:space="preserve">, rectification was warranted. It claims that the common intention that it and PJC USA had was precise and unequivocal, as recognized by the application judge: to neutralize the effect of exchange rate fluctuations without generating adverse tax consequences. It says that this intention was erroneously expressed in the documents underlying the transactions executed in 2005, and should thus be corrected by inserting the two proposed transactions with retroactive effect. According to PJC Canada, the fact that it did not conceptualize these transactions at the time of contract formation does not bar rectification. Second, PJC Canada argues that the Court of Appeal’s conclusion that the motion was an attempt to rewrite the tax history of the agreement is fatally flawed because it is based on a factual error. Finally, PJC Canada asks this Court to adopt certain guiding principles that it proposes should govern rectification requests under art. 1425 </w:t>
      </w:r>
      <w:r w:rsidRPr="00E2779D">
        <w:rPr>
          <w:rFonts w:cs="Times New Roman"/>
          <w:i/>
          <w:lang w:val="en-US"/>
        </w:rPr>
        <w:t>C.C.Q.</w:t>
      </w:r>
      <w:r w:rsidRPr="00E2779D">
        <w:rPr>
          <w:rFonts w:cs="Times New Roman"/>
          <w:lang w:val="en-US"/>
        </w:rPr>
        <w:t>, adding that its own request conforms to these principles.</w:t>
      </w:r>
    </w:p>
    <w:p w:rsidR="00A55D5F" w:rsidRPr="00E2779D" w:rsidRDefault="00A55D5F" w:rsidP="00AD4E67">
      <w:pPr>
        <w:pStyle w:val="ParaNoNdepar-AltN"/>
        <w:widowControl w:val="0"/>
        <w:rPr>
          <w:rFonts w:cs="Times New Roman"/>
          <w:lang w:val="en-US"/>
        </w:rPr>
      </w:pPr>
      <w:r w:rsidRPr="00E2779D">
        <w:rPr>
          <w:rFonts w:cs="Times New Roman"/>
          <w:lang w:val="en-US"/>
        </w:rPr>
        <w:lastRenderedPageBreak/>
        <w:t>The respondent, the Attorney General of Canada, counters that rectification is not available in the instant appeal, for two reasons based on evidence. First, the respondent argues that there is no evidence demonstrating that PJC Canada and PJC USA reached an oral agreement before accepting the written documents relating to the transactions, which means that the written documents are the manifestation of their exchange of consents and thus an accurate reflection of the juridical operation envisaged and agreed on by them. Second, and in the alternative, the respondent asserts that even if there was an oral agreement, there was no error in the written documents transcribing it that would allow for rectification, because the documents reflected exactly what the parties had agreed. The respondent says that rectification does not allow parties to add further transactions they never initially considered, and that PJC Canada is confusing the parties’ objectives in entering into the contract ― neutralizing the exchange rate problem without generating adverse tax consequences ― with common intention, which pertains to the transactions on which they agreed. However, the respondent acknowledges that the Court of Appeal made the factual error identified by PJC Canada but submits that it is immaterial. Finally, the respondent argues that there is no need for this Court to adopt the guiding principles PJC Canada proposes, as the current jurisprudence offers sufficient guidance.</w:t>
      </w:r>
    </w:p>
    <w:p w:rsidR="00A55D5F" w:rsidRPr="00E2779D" w:rsidRDefault="00A55D5F" w:rsidP="00AD4E67">
      <w:pPr>
        <w:pStyle w:val="Title1LevelTitre1Niveau-AltL"/>
        <w:widowControl w:val="0"/>
        <w:numPr>
          <w:ilvl w:val="0"/>
          <w:numId w:val="3"/>
        </w:numPr>
        <w:rPr>
          <w:rFonts w:cs="Times New Roman"/>
          <w:lang w:val="en-US"/>
        </w:rPr>
      </w:pPr>
      <w:r w:rsidRPr="00E2779D">
        <w:rPr>
          <w:rFonts w:cs="Times New Roman"/>
          <w:lang w:val="en-US"/>
        </w:rPr>
        <w:t>Analysis</w:t>
      </w:r>
    </w:p>
    <w:p w:rsidR="00A55D5F" w:rsidRPr="00E2779D" w:rsidRDefault="00A55D5F" w:rsidP="00AD4E67">
      <w:pPr>
        <w:pStyle w:val="Title2LevelTitre2Niveau"/>
        <w:widowControl w:val="0"/>
        <w:numPr>
          <w:ilvl w:val="1"/>
          <w:numId w:val="3"/>
        </w:numPr>
        <w:rPr>
          <w:rFonts w:cs="Times New Roman"/>
          <w:szCs w:val="24"/>
        </w:rPr>
      </w:pPr>
      <w:r w:rsidRPr="00E2779D">
        <w:rPr>
          <w:rFonts w:cs="Times New Roman"/>
          <w:szCs w:val="24"/>
        </w:rPr>
        <w:t>A General Intention of Tax Neutrality Related to Obligations Whose Objects Are Not Determinate or Determinable Does Not Permit the Modification of Written Instruments in Accordance With Article 1425 C.C.Q.</w:t>
      </w:r>
    </w:p>
    <w:p w:rsidR="00A55D5F" w:rsidRPr="00E2779D" w:rsidRDefault="00A55D5F" w:rsidP="00AD4E67">
      <w:pPr>
        <w:pStyle w:val="Title3LevelTitre3Niveau"/>
        <w:widowControl w:val="0"/>
        <w:numPr>
          <w:ilvl w:val="2"/>
          <w:numId w:val="3"/>
        </w:numPr>
        <w:rPr>
          <w:rFonts w:cs="Times New Roman"/>
        </w:rPr>
      </w:pPr>
      <w:r w:rsidRPr="00E2779D">
        <w:rPr>
          <w:rFonts w:cs="Times New Roman"/>
        </w:rPr>
        <w:lastRenderedPageBreak/>
        <w:t>Contracts Under Quebec Civil Law</w:t>
      </w:r>
    </w:p>
    <w:p w:rsidR="00A55D5F" w:rsidRPr="00E2779D" w:rsidRDefault="00A55D5F" w:rsidP="00AD4E67">
      <w:pPr>
        <w:pStyle w:val="ParaNoNdepar-AltN"/>
        <w:widowControl w:val="0"/>
        <w:rPr>
          <w:rFonts w:cs="Times New Roman"/>
        </w:rPr>
      </w:pPr>
      <w:r w:rsidRPr="00E2779D">
        <w:rPr>
          <w:rFonts w:cs="Times New Roman"/>
        </w:rPr>
        <w:t xml:space="preserve">In this Court’s recent decision in </w:t>
      </w:r>
      <w:r w:rsidRPr="00E2779D">
        <w:rPr>
          <w:rFonts w:cs="Times New Roman"/>
          <w:i/>
        </w:rPr>
        <w:t>AES</w:t>
      </w:r>
      <w:r w:rsidRPr="00E2779D">
        <w:rPr>
          <w:rFonts w:cs="Times New Roman"/>
        </w:rPr>
        <w:t xml:space="preserve">, LeBel J. thoroughly canvassed the principles of contract formation under Quebec civil law, and he did so in a similar context, in which taxpayers were asking the courts to authorize and recognize amendments to written documents in accordance with art. 1425 </w:t>
      </w:r>
      <w:r w:rsidRPr="00E2779D">
        <w:rPr>
          <w:rFonts w:cs="Times New Roman"/>
          <w:i/>
        </w:rPr>
        <w:t>C.C.Q.</w:t>
      </w:r>
      <w:r w:rsidRPr="00E2779D">
        <w:rPr>
          <w:rFonts w:cs="Times New Roman"/>
        </w:rPr>
        <w:t xml:space="preserve"> after transactions implemented by those documents triggered unintended tax results. LeBel J.’s reasons are thus highly instructive in the instant appeal. </w:t>
      </w:r>
      <w:r w:rsidRPr="00E2779D">
        <w:rPr>
          <w:rFonts w:cs="Times New Roman"/>
          <w:szCs w:val="24"/>
        </w:rPr>
        <w:t>Article 1425</w:t>
      </w:r>
      <w:r w:rsidRPr="00E2779D">
        <w:rPr>
          <w:rFonts w:cs="Times New Roman"/>
          <w:i/>
          <w:szCs w:val="24"/>
        </w:rPr>
        <w:t xml:space="preserve"> C.C.Q. </w:t>
      </w:r>
      <w:r w:rsidRPr="00E2779D">
        <w:rPr>
          <w:rFonts w:cs="Times New Roman"/>
          <w:szCs w:val="24"/>
        </w:rPr>
        <w:t>reads: “The common intention of the parties rather than adherence to the literal meaning of the words shall be sought in interpreting a contract.”</w:t>
      </w:r>
    </w:p>
    <w:p w:rsidR="00A55D5F" w:rsidRPr="00E2779D" w:rsidRDefault="00A55D5F" w:rsidP="00AD4E67">
      <w:pPr>
        <w:pStyle w:val="ParaNoNdepar-AltN"/>
        <w:widowControl w:val="0"/>
        <w:rPr>
          <w:rFonts w:cs="Times New Roman"/>
          <w:lang w:val="en-US"/>
        </w:rPr>
      </w:pPr>
      <w:r w:rsidRPr="00E2779D">
        <w:rPr>
          <w:rFonts w:cs="Times New Roman"/>
        </w:rPr>
        <w:t xml:space="preserve">Under Quebec civil law, a contract is an agreement of wills that is formed by the exchange of consents. The agreement or contract lies in the common intention of the parties, not in the oral or written declaration of that intention, which is their declared will. See </w:t>
      </w:r>
      <w:r w:rsidRPr="00E2779D">
        <w:rPr>
          <w:rFonts w:cs="Times New Roman"/>
          <w:i/>
        </w:rPr>
        <w:t>AES</w:t>
      </w:r>
      <w:r w:rsidRPr="00E2779D">
        <w:rPr>
          <w:rFonts w:cs="Times New Roman"/>
        </w:rPr>
        <w:t xml:space="preserve">, at paras. 32 and 48; J. Pineau, D. Burman and S. Gaudet, </w:t>
      </w:r>
      <w:r w:rsidRPr="00E2779D">
        <w:rPr>
          <w:rFonts w:cs="Times New Roman"/>
          <w:i/>
        </w:rPr>
        <w:t>Théorie des obligations</w:t>
      </w:r>
      <w:r w:rsidRPr="00E2779D">
        <w:rPr>
          <w:rFonts w:cs="Times New Roman"/>
        </w:rPr>
        <w:t xml:space="preserve"> (4th ed. 2001), by J. Pineau and S. Gaudet, at p. 400; J.-L. Baudouin and P.-G. Jobin, </w:t>
      </w:r>
      <w:r w:rsidRPr="00E2779D">
        <w:rPr>
          <w:rFonts w:cs="Times New Roman"/>
          <w:i/>
          <w:iCs/>
        </w:rPr>
        <w:t>Les obligations</w:t>
      </w:r>
      <w:r w:rsidRPr="00E2779D">
        <w:rPr>
          <w:rFonts w:cs="Times New Roman"/>
        </w:rPr>
        <w:t xml:space="preserve"> (7th ed. 2013), by P.-G. Jobin and N. Vézina, at p. 82; D. Lluelles and B. Moore, </w:t>
      </w:r>
      <w:r w:rsidRPr="00E2779D">
        <w:rPr>
          <w:rFonts w:cs="Times New Roman"/>
          <w:i/>
          <w:iCs/>
        </w:rPr>
        <w:t xml:space="preserve">Droit des obligations </w:t>
      </w:r>
      <w:r w:rsidRPr="00E2779D">
        <w:rPr>
          <w:rFonts w:cs="Times New Roman"/>
        </w:rPr>
        <w:t>(2nd ed. 2012), at para. </w:t>
      </w:r>
      <w:r w:rsidRPr="00E2779D">
        <w:rPr>
          <w:rFonts w:cs="Times New Roman"/>
          <w:lang w:val="en-US"/>
        </w:rPr>
        <w:t>1</w:t>
      </w:r>
      <w:r w:rsidRPr="00E2779D">
        <w:rPr>
          <w:rFonts w:cs="Times New Roman"/>
          <w:lang w:val="en"/>
        </w:rPr>
        <w:t>73.</w:t>
      </w:r>
      <w:r w:rsidRPr="00E2779D">
        <w:rPr>
          <w:rFonts w:cs="Times New Roman"/>
          <w:lang w:val="en-US"/>
        </w:rPr>
        <w:t xml:space="preserve"> Written documents can thus be amended with retroactive effect to make them consistent with the true contract or agreement between the parties (</w:t>
      </w:r>
      <w:r w:rsidRPr="00E2779D">
        <w:rPr>
          <w:rFonts w:cs="Times New Roman"/>
          <w:i/>
          <w:lang w:val="en-US"/>
        </w:rPr>
        <w:t>AES</w:t>
      </w:r>
      <w:r w:rsidRPr="00E2779D">
        <w:rPr>
          <w:rFonts w:cs="Times New Roman"/>
          <w:lang w:val="en-US"/>
        </w:rPr>
        <w:t xml:space="preserve">; Lluelles and Moore, at para. 1574) as was the case in </w:t>
      </w:r>
      <w:r w:rsidRPr="00E2779D">
        <w:rPr>
          <w:rFonts w:cs="Times New Roman"/>
          <w:i/>
          <w:lang w:val="en-US"/>
        </w:rPr>
        <w:t>AES</w:t>
      </w:r>
      <w:r w:rsidRPr="00E2779D">
        <w:rPr>
          <w:rFonts w:cs="Times New Roman"/>
          <w:lang w:val="en-US"/>
        </w:rPr>
        <w:t xml:space="preserve">. There are, however, certain principles surrounding obligations and the formation of contracts which must be kept in mind when parties rely on art. 1425 </w:t>
      </w:r>
      <w:r w:rsidRPr="00E2779D">
        <w:rPr>
          <w:rFonts w:cs="Times New Roman"/>
          <w:i/>
          <w:lang w:val="en-US"/>
        </w:rPr>
        <w:t>C.C.Q.</w:t>
      </w:r>
      <w:r w:rsidRPr="00E2779D">
        <w:rPr>
          <w:rFonts w:cs="Times New Roman"/>
          <w:lang w:val="en-US"/>
        </w:rPr>
        <w:t xml:space="preserve"> and ask courts to modify the documents </w:t>
      </w:r>
      <w:r w:rsidRPr="00E2779D">
        <w:rPr>
          <w:rFonts w:cs="Times New Roman"/>
          <w:lang w:val="en-US"/>
        </w:rPr>
        <w:lastRenderedPageBreak/>
        <w:t>expressing their common intention. I will review them below.</w:t>
      </w:r>
    </w:p>
    <w:p w:rsidR="00A55D5F" w:rsidRPr="00E2779D" w:rsidRDefault="00A55D5F" w:rsidP="00AD4E67">
      <w:pPr>
        <w:pStyle w:val="ParaNoNdepar-AltN"/>
        <w:widowControl w:val="0"/>
        <w:rPr>
          <w:rFonts w:cs="Times New Roman"/>
          <w:lang w:val="en-US"/>
        </w:rPr>
      </w:pPr>
      <w:r w:rsidRPr="00E2779D">
        <w:rPr>
          <w:rFonts w:eastAsia="Calibri" w:cs="Times New Roman"/>
          <w:lang w:val="en-US"/>
        </w:rPr>
        <w:t xml:space="preserve">According to art. 1371 </w:t>
      </w:r>
      <w:r w:rsidRPr="00E2779D">
        <w:rPr>
          <w:rFonts w:eastAsia="Calibri" w:cs="Times New Roman"/>
          <w:i/>
          <w:lang w:val="en-US"/>
        </w:rPr>
        <w:t>C.C.Q.</w:t>
      </w:r>
      <w:r w:rsidRPr="00E2779D">
        <w:rPr>
          <w:rFonts w:eastAsia="Calibri" w:cs="Times New Roman"/>
          <w:lang w:val="en-US"/>
        </w:rPr>
        <w:t xml:space="preserve">, “[i]t is of the essence of an obligation that there be persons between whom it exists, a prestation which forms its object, and, in the case of an obligation arising out of a juridical act, a cause which justifies its existence.” The object of an obligation is the prestation that the debtor is bound to render to the creditor and which consists in doing or not doing something under art. 1373 </w:t>
      </w:r>
      <w:r w:rsidRPr="00E2779D">
        <w:rPr>
          <w:rFonts w:eastAsia="Calibri" w:cs="Times New Roman"/>
          <w:i/>
          <w:lang w:val="en-US"/>
        </w:rPr>
        <w:t>C.C.Q.</w:t>
      </w:r>
      <w:r w:rsidRPr="00E2779D">
        <w:rPr>
          <w:rFonts w:eastAsia="Calibri" w:cs="Times New Roman"/>
          <w:lang w:val="en-US"/>
        </w:rPr>
        <w:t xml:space="preserve"> The object of the prestation is the thing t</w:t>
      </w:r>
      <w:r w:rsidR="003B0FEE">
        <w:rPr>
          <w:rFonts w:eastAsia="Calibri" w:cs="Times New Roman"/>
          <w:lang w:val="en-US"/>
        </w:rPr>
        <w:t xml:space="preserve">hat the prestation relates to. </w:t>
      </w:r>
      <w:r w:rsidRPr="00E2779D">
        <w:rPr>
          <w:rFonts w:eastAsia="Calibri" w:cs="Times New Roman"/>
          <w:lang w:val="en-US"/>
        </w:rPr>
        <w:t xml:space="preserve">See </w:t>
      </w:r>
      <w:proofErr w:type="spellStart"/>
      <w:r w:rsidRPr="00E2779D">
        <w:rPr>
          <w:rFonts w:eastAsia="Calibri" w:cs="Times New Roman"/>
          <w:lang w:val="en-US"/>
        </w:rPr>
        <w:t>Ll</w:t>
      </w:r>
      <w:r w:rsidR="003B0FEE">
        <w:rPr>
          <w:rFonts w:eastAsia="Calibri" w:cs="Times New Roman"/>
          <w:lang w:val="en-US"/>
        </w:rPr>
        <w:t>uelles</w:t>
      </w:r>
      <w:proofErr w:type="spellEnd"/>
      <w:r w:rsidR="003B0FEE">
        <w:rPr>
          <w:rFonts w:eastAsia="Calibri" w:cs="Times New Roman"/>
          <w:lang w:val="en-US"/>
        </w:rPr>
        <w:t xml:space="preserve"> and Moore, at para. 1049</w:t>
      </w:r>
      <w:r w:rsidRPr="00E2779D">
        <w:rPr>
          <w:rFonts w:eastAsia="Calibri" w:cs="Times New Roman"/>
          <w:lang w:val="en-US"/>
        </w:rPr>
        <w:t xml:space="preserve">. Further, art. 1373 provides that the prestation has to be “possible and determinate or determinable” and “neither forbidden by law nor contrary to public order”, whereas art. </w:t>
      </w:r>
      <w:r w:rsidRPr="00E2779D">
        <w:rPr>
          <w:rFonts w:cs="Times New Roman"/>
        </w:rPr>
        <w:t xml:space="preserve">1374 </w:t>
      </w:r>
      <w:r w:rsidRPr="00E2779D">
        <w:rPr>
          <w:rFonts w:cs="Times New Roman"/>
          <w:i/>
        </w:rPr>
        <w:t>C.C.Q.</w:t>
      </w:r>
      <w:r w:rsidRPr="00E2779D">
        <w:rPr>
          <w:rFonts w:cs="Times New Roman"/>
        </w:rPr>
        <w:t xml:space="preserve"> reads that “[t]</w:t>
      </w:r>
      <w:r w:rsidRPr="00E2779D">
        <w:rPr>
          <w:rStyle w:val="texte-courant1"/>
          <w:rFonts w:cs="Times New Roman"/>
          <w:lang w:val="en"/>
        </w:rPr>
        <w:t xml:space="preserve">he prestation may relate to any property, even future property, provided that the property is determinate as to kind and determinable as to quantity.” See </w:t>
      </w:r>
      <w:r w:rsidRPr="00E2779D">
        <w:rPr>
          <w:rFonts w:cs="Times New Roman"/>
          <w:lang w:val="en"/>
        </w:rPr>
        <w:t>Baudouin and Jobin, at pp. 34</w:t>
      </w:r>
      <w:r w:rsidRPr="00E2779D">
        <w:rPr>
          <w:rFonts w:cs="Times New Roman"/>
          <w:lang w:val="en"/>
        </w:rPr>
        <w:noBreakHyphen/>
        <w:t>35; Lluelles and Moore, at para. 1049.3.</w:t>
      </w:r>
      <w:r w:rsidRPr="00E2779D">
        <w:rPr>
          <w:rFonts w:eastAsia="Calibri" w:cs="Times New Roman"/>
          <w:lang w:val="en-US"/>
        </w:rPr>
        <w:t xml:space="preserve"> Such a </w:t>
      </w:r>
      <w:r w:rsidRPr="00E2779D">
        <w:rPr>
          <w:rFonts w:cs="Times New Roman"/>
          <w:lang w:val="en-US"/>
        </w:rPr>
        <w:t>requirement about the nature of the prestation, whether it relates to property or not, is necessary because parties must know the extent of their rights and obligations under the contract.</w:t>
      </w:r>
    </w:p>
    <w:p w:rsidR="00A55D5F" w:rsidRPr="00E2779D" w:rsidRDefault="00A55D5F" w:rsidP="00AD4E67">
      <w:pPr>
        <w:pStyle w:val="ParaNoNdepar-AltN"/>
        <w:widowControl w:val="0"/>
        <w:rPr>
          <w:rFonts w:cs="Times New Roman"/>
          <w:lang w:val="en-US"/>
        </w:rPr>
      </w:pPr>
      <w:r w:rsidRPr="00E2779D">
        <w:rPr>
          <w:rFonts w:eastAsia="Calibri" w:cs="Times New Roman"/>
        </w:rPr>
        <w:t xml:space="preserve">Article 1378 para. 1 </w:t>
      </w:r>
      <w:r w:rsidRPr="00E2779D">
        <w:rPr>
          <w:rFonts w:eastAsia="Calibri" w:cs="Times New Roman"/>
          <w:i/>
        </w:rPr>
        <w:t>C.C.Q.</w:t>
      </w:r>
      <w:r w:rsidRPr="00E2779D">
        <w:rPr>
          <w:rFonts w:eastAsia="Calibri" w:cs="Times New Roman"/>
        </w:rPr>
        <w:t xml:space="preserve"> defines a contract as “an agreement of wills by which one or several persons obligate themselves to one or several other persons to perform a prestation”. A contract has a cause, which art. 1410 </w:t>
      </w:r>
      <w:r w:rsidRPr="00E2779D">
        <w:rPr>
          <w:rFonts w:eastAsia="Calibri" w:cs="Times New Roman"/>
          <w:i/>
        </w:rPr>
        <w:t>C.C.Q.</w:t>
      </w:r>
      <w:r w:rsidRPr="00E2779D">
        <w:rPr>
          <w:rFonts w:eastAsia="Calibri" w:cs="Times New Roman"/>
        </w:rPr>
        <w:t xml:space="preserve"> defines as </w:t>
      </w:r>
      <w:r w:rsidRPr="00E2779D">
        <w:rPr>
          <w:rFonts w:eastAsia="Calibri" w:cs="Times New Roman"/>
          <w:lang w:val="en-US"/>
        </w:rPr>
        <w:t>“the reason that determines each of the parties to enter into the contract”. It also has an object upon which the parties must agree</w:t>
      </w:r>
      <w:r w:rsidRPr="00E2779D">
        <w:rPr>
          <w:rFonts w:cs="Times New Roman"/>
        </w:rPr>
        <w:t xml:space="preserve">, which art. 1412 </w:t>
      </w:r>
      <w:r w:rsidRPr="00E2779D">
        <w:rPr>
          <w:rFonts w:cs="Times New Roman"/>
          <w:i/>
        </w:rPr>
        <w:t>C.C.Q.</w:t>
      </w:r>
      <w:r w:rsidRPr="00E2779D">
        <w:rPr>
          <w:rFonts w:cs="Times New Roman"/>
        </w:rPr>
        <w:t xml:space="preserve"> defines as “the juridical operation envisaged by the parties at the time of its formation, as it emerges </w:t>
      </w:r>
      <w:r w:rsidRPr="00E2779D">
        <w:rPr>
          <w:rFonts w:cs="Times New Roman"/>
        </w:rPr>
        <w:lastRenderedPageBreak/>
        <w:t xml:space="preserve">from all the rights and obligations created by the contract”. See also </w:t>
      </w:r>
      <w:r w:rsidRPr="00E2779D">
        <w:rPr>
          <w:rFonts w:cs="Times New Roman"/>
          <w:i/>
        </w:rPr>
        <w:t>AES</w:t>
      </w:r>
      <w:r w:rsidRPr="00E2779D">
        <w:rPr>
          <w:rFonts w:cs="Times New Roman"/>
        </w:rPr>
        <w:t xml:space="preserve">, at para. 30; Pineau, Burman and Gaudet, at p. 272; Lluelles and Moore, at paras. 1049 and 1051. In other words, the underlying purpose or motivation behind the parties entering into the contract is the cause of the contract, not to be confused with its </w:t>
      </w:r>
      <w:r w:rsidRPr="00E2779D">
        <w:rPr>
          <w:rFonts w:eastAsia="Calibri" w:cs="Times New Roman"/>
        </w:rPr>
        <w:t xml:space="preserve">object, which is the juridical operation they agree on: </w:t>
      </w:r>
      <w:r w:rsidRPr="00E2779D">
        <w:rPr>
          <w:rFonts w:cs="Times New Roman"/>
        </w:rPr>
        <w:t>Pineau, Burman and Gaudet, at pp. 285-90; Lluelles and Moore, at paras. 1061 and 1061.2.</w:t>
      </w:r>
    </w:p>
    <w:p w:rsidR="00A55D5F" w:rsidRPr="00E2779D" w:rsidRDefault="00A55D5F" w:rsidP="00AD4E67">
      <w:pPr>
        <w:pStyle w:val="ParaNoNdepar-AltN"/>
        <w:widowControl w:val="0"/>
        <w:rPr>
          <w:rFonts w:cs="Times New Roman"/>
          <w:lang w:val="en-US"/>
        </w:rPr>
      </w:pPr>
      <w:r w:rsidRPr="00E2779D">
        <w:rPr>
          <w:rFonts w:cs="Times New Roman"/>
          <w:lang w:val="en-US"/>
        </w:rPr>
        <w:t xml:space="preserve">As the above discussion shows, “for a contract to exist and become a legal reality, the parties’ undertakings must be sufficiently precise to establish the details of the contemplated operation”: </w:t>
      </w:r>
      <w:r w:rsidRPr="00E2779D">
        <w:rPr>
          <w:rFonts w:cs="Times New Roman"/>
          <w:i/>
          <w:lang w:val="en-US"/>
        </w:rPr>
        <w:t>AES</w:t>
      </w:r>
      <w:r w:rsidRPr="00E2779D">
        <w:rPr>
          <w:rFonts w:cs="Times New Roman"/>
          <w:lang w:val="en-US"/>
        </w:rPr>
        <w:t xml:space="preserve">, at para. 31. Importantly, LeBel J. explained that, because </w:t>
      </w:r>
      <w:r w:rsidRPr="00E2779D">
        <w:rPr>
          <w:rFonts w:eastAsia="Calibri" w:cs="Times New Roman"/>
          <w:lang w:val="en-US"/>
        </w:rPr>
        <w:t>an intention of tax minimization can be neither the object of a contract nor the object of an obligation under a contract, it cannot serve as a basis for modifying the written documents or instruments expressing the contract:</w:t>
      </w:r>
    </w:p>
    <w:p w:rsidR="00A55D5F" w:rsidRPr="00E2779D" w:rsidRDefault="00A55D5F" w:rsidP="00AD4E67">
      <w:pPr>
        <w:pStyle w:val="Citation-AltC"/>
        <w:widowControl w:val="0"/>
        <w:rPr>
          <w:lang w:val="en-US"/>
        </w:rPr>
      </w:pPr>
      <w:r w:rsidRPr="00E2779D">
        <w:rPr>
          <w:lang w:val="en"/>
        </w:rPr>
        <w:t xml:space="preserve">Taxpayers should not view this recognition of the primacy of the parties’ internal will — or common intention — as an invitation to engage in bold tax planning on the assumption that it will always be possible for them to redo their contracts retroactively should that planning fail.  </w:t>
      </w:r>
      <w:r w:rsidRPr="00E2779D">
        <w:rPr>
          <w:u w:val="single"/>
          <w:lang w:val="en"/>
        </w:rPr>
        <w:t xml:space="preserve">A taxpayer’s intention to reduce his or her tax liability would not on its own constitute the object of an obligation within the meaning of art. 1373 </w:t>
      </w:r>
      <w:r w:rsidRPr="00E2779D">
        <w:rPr>
          <w:i/>
          <w:iCs/>
          <w:u w:val="single"/>
          <w:lang w:val="en"/>
        </w:rPr>
        <w:t>C.C.Q.</w:t>
      </w:r>
      <w:r w:rsidRPr="00E2779D">
        <w:rPr>
          <w:u w:val="single"/>
          <w:lang w:val="en"/>
        </w:rPr>
        <w:t xml:space="preserve">, since it would not be sufficiently determinate or determinable.  Nor would it even constitute the object of a contract within the meaning of art. 1412 </w:t>
      </w:r>
      <w:r w:rsidRPr="00E2779D">
        <w:rPr>
          <w:i/>
          <w:iCs/>
          <w:u w:val="single"/>
          <w:lang w:val="en"/>
        </w:rPr>
        <w:t>C.C.Q.</w:t>
      </w:r>
      <w:r w:rsidRPr="00E2779D">
        <w:rPr>
          <w:u w:val="single"/>
          <w:lang w:val="en"/>
        </w:rPr>
        <w:t>  Absent a more precise and more clearly defined object, no contract would be formed.  In such a case, art. 1425 could not be relied on to justify seeking the common intention of the parties in order to give effect to that intention despite the words of the writings prepared to record it.</w:t>
      </w:r>
      <w:r w:rsidRPr="00E2779D">
        <w:rPr>
          <w:lang w:val="en"/>
        </w:rPr>
        <w:t xml:space="preserve"> As I mentioned above, the agreements between the parties in both appeals were validly formed in that, according to evidence that the [Agence du revenu du Québec] did not contradict, they provided for obligations whose objects were sufficiently determinable. These agreements provided, for the corporations in question, for the establishment of determinate structures that would, had they been drawn up properly, have made it possible to meet </w:t>
      </w:r>
      <w:r w:rsidRPr="00E2779D">
        <w:rPr>
          <w:lang w:val="en"/>
        </w:rPr>
        <w:lastRenderedPageBreak/>
        <w:t xml:space="preserve">the objectives being pursued by the parties. The subsequent amendments did not alter the nature of the structures contemplated at the outset.  </w:t>
      </w:r>
      <w:r w:rsidRPr="00E2779D">
        <w:rPr>
          <w:u w:val="single"/>
          <w:lang w:val="en"/>
        </w:rPr>
        <w:t>All they did was amend writings that were supposed to give effect to the common intention, an intention that had been clearly defined and that related to obligations whose objects were determinate or determinable.</w:t>
      </w:r>
      <w:r w:rsidRPr="00E2779D">
        <w:rPr>
          <w:lang w:val="en"/>
        </w:rPr>
        <w:t xml:space="preserve"> [Emphasis added; para. 54.]</w:t>
      </w:r>
    </w:p>
    <w:p w:rsidR="00A55D5F" w:rsidRPr="00E2779D" w:rsidRDefault="00A55D5F" w:rsidP="00AD4E67">
      <w:pPr>
        <w:pStyle w:val="ParaNoNdepar-AltN"/>
        <w:widowControl w:val="0"/>
        <w:rPr>
          <w:rFonts w:cs="Times New Roman"/>
          <w:lang w:val="en-US"/>
        </w:rPr>
      </w:pPr>
      <w:r w:rsidRPr="00E2779D">
        <w:rPr>
          <w:rFonts w:cs="Times New Roman"/>
          <w:lang w:val="en-US"/>
        </w:rPr>
        <w:t>Although LeBel J. spoke of reducing tax liability, in my view his comments apply equally to the general intention of contracting parties to achieve tax neutrality. By general intention, I mean that contracting parties have no specific tax consequence in mind (beyond a broad intention that no adverse tax consequences result) and have not agreed on a particular prestation or set of prestations that would, if expressed correctly, yield the intended consequence.</w:t>
      </w:r>
    </w:p>
    <w:p w:rsidR="00A55D5F" w:rsidRPr="00E2779D" w:rsidRDefault="00A55D5F" w:rsidP="00AD4E67">
      <w:pPr>
        <w:pStyle w:val="ParaNoNdepar-AltN"/>
        <w:widowControl w:val="0"/>
        <w:rPr>
          <w:rFonts w:cs="Times New Roman"/>
          <w:lang w:val="en-US"/>
        </w:rPr>
      </w:pPr>
      <w:r w:rsidRPr="00E2779D">
        <w:rPr>
          <w:rFonts w:cs="Times New Roman"/>
          <w:lang w:val="en-US"/>
        </w:rPr>
        <w:t xml:space="preserve">A taxpayer’s general intention of tax neutrality cannot form the object of a contract within the meaning of art. 1412 </w:t>
      </w:r>
      <w:r w:rsidRPr="00E2779D">
        <w:rPr>
          <w:rFonts w:cs="Times New Roman"/>
          <w:i/>
          <w:lang w:val="en-US"/>
        </w:rPr>
        <w:t>C.C.Q.</w:t>
      </w:r>
      <w:r w:rsidRPr="00E2779D">
        <w:rPr>
          <w:rFonts w:cs="Times New Roman"/>
          <w:lang w:val="en-US"/>
        </w:rPr>
        <w:t xml:space="preserve">, because it is insufficiently precise. It entails no sufficiently precise agreed-on juridical operation. Nor can such a general intention in itself relate to prestations that are determinate or determinable within the meaning of art. 1373 </w:t>
      </w:r>
      <w:r w:rsidRPr="00E2779D">
        <w:rPr>
          <w:rFonts w:cs="Times New Roman"/>
          <w:i/>
          <w:lang w:val="en-US"/>
        </w:rPr>
        <w:t>C.C.Q.</w:t>
      </w:r>
      <w:r w:rsidRPr="00E2779D">
        <w:rPr>
          <w:rFonts w:cs="Times New Roman"/>
          <w:lang w:val="en-US"/>
        </w:rPr>
        <w:t xml:space="preserve"> It says nothing about what one party is bound to do or not do for the benefit of the other. Therefore, </w:t>
      </w:r>
      <w:r w:rsidRPr="00E2779D">
        <w:rPr>
          <w:rFonts w:eastAsia="Calibri" w:cs="Times New Roman"/>
          <w:lang w:val="en-US"/>
        </w:rPr>
        <w:t>a general intention of tax neutrality, in the absence of a precise juridical operation and a determinate or determinable prestation or prestations, cannot give rise to a common intention that would form part of the original agreement (</w:t>
      </w:r>
      <w:r w:rsidRPr="00E2779D">
        <w:rPr>
          <w:rFonts w:eastAsia="Calibri" w:cs="Times New Roman"/>
          <w:i/>
          <w:lang w:val="en-US"/>
        </w:rPr>
        <w:t>negotium</w:t>
      </w:r>
      <w:r w:rsidRPr="00E2779D">
        <w:rPr>
          <w:rFonts w:eastAsia="Calibri" w:cs="Times New Roman"/>
          <w:lang w:val="en-US"/>
        </w:rPr>
        <w:t>) and serve as a basis for modifying the written documents expressing that agreement (</w:t>
      </w:r>
      <w:r w:rsidRPr="00E2779D">
        <w:rPr>
          <w:rFonts w:eastAsia="Calibri" w:cs="Times New Roman"/>
          <w:i/>
          <w:lang w:val="en-US"/>
        </w:rPr>
        <w:t>instrumentum</w:t>
      </w:r>
      <w:r w:rsidRPr="00E2779D">
        <w:rPr>
          <w:rFonts w:eastAsia="Calibri" w:cs="Times New Roman"/>
          <w:lang w:val="en-US"/>
        </w:rPr>
        <w:t>).</w:t>
      </w:r>
      <w:r w:rsidRPr="00E2779D">
        <w:rPr>
          <w:rFonts w:cs="Times New Roman"/>
          <w:lang w:val="en"/>
        </w:rPr>
        <w:t xml:space="preserve"> As a result, art. 1425 </w:t>
      </w:r>
      <w:r w:rsidRPr="00E2779D">
        <w:rPr>
          <w:rFonts w:cs="Times New Roman"/>
          <w:i/>
          <w:lang w:val="en"/>
        </w:rPr>
        <w:t>C.C.Q.</w:t>
      </w:r>
      <w:r w:rsidRPr="00E2779D">
        <w:rPr>
          <w:rFonts w:cs="Times New Roman"/>
          <w:lang w:val="en"/>
        </w:rPr>
        <w:t xml:space="preserve"> cannot be relied on to give effect to a general intention of tax neutrality where the writings recording the contracting parties’ common intention produce unintended and </w:t>
      </w:r>
      <w:r w:rsidRPr="00E2779D">
        <w:rPr>
          <w:rFonts w:cs="Times New Roman"/>
          <w:lang w:val="en"/>
        </w:rPr>
        <w:lastRenderedPageBreak/>
        <w:t>unforeseen tax consequences.</w:t>
      </w:r>
    </w:p>
    <w:p w:rsidR="00A55D5F" w:rsidRPr="00E2779D" w:rsidRDefault="00A55D5F" w:rsidP="00AD4E67">
      <w:pPr>
        <w:pStyle w:val="ParaNoNdepar-AltN"/>
        <w:widowControl w:val="0"/>
        <w:rPr>
          <w:rFonts w:cs="Times New Roman"/>
          <w:lang w:val="en-US"/>
        </w:rPr>
      </w:pPr>
      <w:r w:rsidRPr="00E2779D">
        <w:rPr>
          <w:rFonts w:eastAsia="Calibri" w:cs="Times New Roman"/>
          <w:lang w:val="en-US"/>
        </w:rPr>
        <w:t xml:space="preserve">In my opinion, when unintended tax consequences result from a contract whose desired consequences, whether in whole or in part, are tax avoidance, deferral or minimization, amendments to the expression of the agreement in accordance with art. 1425 </w:t>
      </w:r>
      <w:r w:rsidRPr="00E2779D">
        <w:rPr>
          <w:rFonts w:eastAsia="Calibri" w:cs="Times New Roman"/>
          <w:i/>
          <w:lang w:val="en-US"/>
        </w:rPr>
        <w:t>C.C.Q.</w:t>
      </w:r>
      <w:r w:rsidRPr="00E2779D">
        <w:rPr>
          <w:rFonts w:eastAsia="Calibri" w:cs="Times New Roman"/>
          <w:lang w:val="en-US"/>
        </w:rPr>
        <w:t xml:space="preserve"> can be available only under two conditions. First, if the unintended tax consequences were originally and specifically sought to be avoided, through sufficiently precise obligations which objects, the prestations to execute, are determinate or determinable; and second, when the obligations, if properly expressed and the corresponding prestations, if properly executed, would have succeeded in doing so. This is because contractual interpretation focuses on what the contracting parties actually agreed to do, not on what their motivations were in entering into an agreement or the consequences they intended it to have.</w:t>
      </w:r>
    </w:p>
    <w:p w:rsidR="00A55D5F" w:rsidRPr="00E2779D" w:rsidRDefault="00A55D5F" w:rsidP="00AD4E67">
      <w:pPr>
        <w:pStyle w:val="ParaNoNdepar-AltN"/>
        <w:widowControl w:val="0"/>
        <w:rPr>
          <w:rFonts w:cs="Times New Roman"/>
        </w:rPr>
      </w:pPr>
      <w:r w:rsidRPr="00E2779D">
        <w:rPr>
          <w:rFonts w:cs="Times New Roman"/>
        </w:rPr>
        <w:t xml:space="preserve">Such a reading of arts. 1412 and 1373 </w:t>
      </w:r>
      <w:r w:rsidRPr="00E2779D">
        <w:rPr>
          <w:rFonts w:cs="Times New Roman"/>
          <w:i/>
        </w:rPr>
        <w:t>C.C.Q.</w:t>
      </w:r>
      <w:r w:rsidRPr="00E2779D">
        <w:rPr>
          <w:rFonts w:cs="Times New Roman"/>
        </w:rPr>
        <w:t xml:space="preserve"> doesn’t mean that </w:t>
      </w:r>
      <w:r w:rsidRPr="00E2779D">
        <w:rPr>
          <w:rFonts w:eastAsia="Calibri" w:cs="Times New Roman"/>
        </w:rPr>
        <w:t xml:space="preserve">amendments to the expression of the agreement in accordance with art. 1425 </w:t>
      </w:r>
      <w:r w:rsidRPr="00E2779D">
        <w:rPr>
          <w:rFonts w:eastAsia="Calibri" w:cs="Times New Roman"/>
          <w:i/>
        </w:rPr>
        <w:t>C.C.Q.</w:t>
      </w:r>
      <w:r w:rsidRPr="00E2779D">
        <w:rPr>
          <w:rFonts w:eastAsia="Calibri" w:cs="Times New Roman"/>
        </w:rPr>
        <w:t xml:space="preserve"> can be available only to correct clerical errors. It upholds, however, the requirements stipulated in the </w:t>
      </w:r>
      <w:r w:rsidRPr="00E2779D">
        <w:rPr>
          <w:rFonts w:eastAsia="Calibri" w:cs="Times New Roman"/>
          <w:i/>
        </w:rPr>
        <w:t>C.C.Q.</w:t>
      </w:r>
      <w:r w:rsidRPr="00E2779D">
        <w:rPr>
          <w:rFonts w:eastAsia="Calibri" w:cs="Times New Roman"/>
        </w:rPr>
        <w:t xml:space="preserve"> according to which </w:t>
      </w:r>
      <w:r w:rsidRPr="00E2779D">
        <w:rPr>
          <w:rFonts w:eastAsia="Calibri" w:cs="Times New Roman"/>
          <w:lang w:val="en-US"/>
        </w:rPr>
        <w:t>the object of a contract needs to be precise and the object of an obligation sufficiently determinate or determinable</w:t>
      </w:r>
      <w:r w:rsidRPr="00E2779D">
        <w:rPr>
          <w:rFonts w:eastAsia="Calibri" w:cs="Times New Roman"/>
        </w:rPr>
        <w:t xml:space="preserve"> to be recognized as the common intention of the parties to be sought when interpreting a contract.</w:t>
      </w:r>
    </w:p>
    <w:p w:rsidR="00A55D5F" w:rsidRPr="00E2779D" w:rsidRDefault="00A55D5F" w:rsidP="00AD4E67">
      <w:pPr>
        <w:pStyle w:val="Title3LevelTitre3Niveau"/>
        <w:widowControl w:val="0"/>
        <w:numPr>
          <w:ilvl w:val="2"/>
          <w:numId w:val="3"/>
        </w:numPr>
        <w:rPr>
          <w:rFonts w:cs="Times New Roman"/>
          <w:lang w:val="en-US"/>
        </w:rPr>
      </w:pPr>
      <w:r w:rsidRPr="00E2779D">
        <w:rPr>
          <w:rFonts w:cs="Times New Roman"/>
          <w:lang w:val="en-US"/>
        </w:rPr>
        <w:t>Application of the Above Principles to the Instant Appeal</w:t>
      </w:r>
    </w:p>
    <w:p w:rsidR="00A55D5F" w:rsidRPr="00E2779D" w:rsidRDefault="00A55D5F" w:rsidP="00AD4E67">
      <w:pPr>
        <w:pStyle w:val="Title4LevelTitre4Niveau"/>
        <w:widowControl w:val="0"/>
        <w:numPr>
          <w:ilvl w:val="3"/>
          <w:numId w:val="3"/>
        </w:numPr>
        <w:rPr>
          <w:rFonts w:cs="Times New Roman"/>
          <w:lang w:val="en-US"/>
        </w:rPr>
      </w:pPr>
      <w:r w:rsidRPr="00E2779D">
        <w:rPr>
          <w:rFonts w:cs="Times New Roman"/>
          <w:lang w:val="en-US"/>
        </w:rPr>
        <w:lastRenderedPageBreak/>
        <w:t>The Appellant’s Motion Should Not Have Been Granted</w:t>
      </w:r>
    </w:p>
    <w:p w:rsidR="00A55D5F" w:rsidRPr="00E2779D" w:rsidRDefault="00A55D5F" w:rsidP="00AD4E67">
      <w:pPr>
        <w:pStyle w:val="ParaNoNdepar-AltN"/>
        <w:widowControl w:val="0"/>
        <w:rPr>
          <w:rFonts w:cs="Times New Roman"/>
          <w:lang w:val="en-US"/>
        </w:rPr>
      </w:pPr>
      <w:r w:rsidRPr="00E2779D">
        <w:rPr>
          <w:rFonts w:cs="Times New Roman"/>
          <w:szCs w:val="24"/>
        </w:rPr>
        <w:t xml:space="preserve">In my view, the Court of Appeal was right to allow the appeal. </w:t>
      </w:r>
      <w:r w:rsidRPr="00E2779D">
        <w:rPr>
          <w:rFonts w:eastAsia="Calibri" w:cs="Times New Roman"/>
          <w:lang w:val="en-US"/>
        </w:rPr>
        <w:t xml:space="preserve">Article 1425 </w:t>
      </w:r>
      <w:r w:rsidRPr="00E2779D">
        <w:rPr>
          <w:rFonts w:eastAsia="Calibri" w:cs="Times New Roman"/>
          <w:i/>
          <w:lang w:val="en-US"/>
        </w:rPr>
        <w:t>C.C.Q.</w:t>
      </w:r>
      <w:r w:rsidRPr="00E2779D">
        <w:rPr>
          <w:rFonts w:eastAsia="Calibri" w:cs="Times New Roman"/>
          <w:lang w:val="en-US"/>
        </w:rPr>
        <w:t xml:space="preserve"> does not allow PJC Canada and PJC USA to retroactively amend the documents recording and implementing their agreement in the circumstances of this case. There was no error in the way their agreement was expressed. Moreover, they did not turn their minds to FAPI or a particular means of avoiding it, but merely had a general intention that their agreement be tax-neutral.</w:t>
      </w:r>
    </w:p>
    <w:p w:rsidR="00A55D5F" w:rsidRPr="00E2779D" w:rsidRDefault="00A55D5F" w:rsidP="00AD4E67">
      <w:pPr>
        <w:pStyle w:val="ParaNoNdepar-AltN"/>
        <w:widowControl w:val="0"/>
        <w:rPr>
          <w:rFonts w:cs="Times New Roman"/>
          <w:lang w:val="en-US"/>
        </w:rPr>
      </w:pPr>
      <w:r w:rsidRPr="00E2779D">
        <w:rPr>
          <w:rFonts w:cs="Times New Roman"/>
          <w:lang w:val="en-US"/>
        </w:rPr>
        <w:t xml:space="preserve">PJC Canada </w:t>
      </w:r>
      <w:r w:rsidRPr="00E2779D">
        <w:rPr>
          <w:rFonts w:eastAsia="Calibri" w:cs="Times New Roman"/>
          <w:lang w:val="en-US"/>
        </w:rPr>
        <w:t xml:space="preserve">emphasizes the application judge’s finding that it and PJC USA had the common intention of both neutralizing the effect of exchange rate fluctuations and generating no tax consequences. It accordingly </w:t>
      </w:r>
      <w:r w:rsidRPr="00E2779D">
        <w:rPr>
          <w:rFonts w:cs="Times New Roman"/>
          <w:lang w:val="en-US"/>
        </w:rPr>
        <w:t xml:space="preserve">argues that it did not need to conceptualize the precise set of prestations or transactions required to give effect to its intention of tax neutrality. </w:t>
      </w:r>
      <w:r w:rsidRPr="00E2779D">
        <w:rPr>
          <w:rFonts w:eastAsia="Calibri" w:cs="Times New Roman"/>
          <w:lang w:val="en-US"/>
        </w:rPr>
        <w:t>I disagree.</w:t>
      </w:r>
    </w:p>
    <w:p w:rsidR="00A55D5F" w:rsidRPr="00E2779D" w:rsidRDefault="00A55D5F" w:rsidP="00AD4E67">
      <w:pPr>
        <w:pStyle w:val="ParaNoNdepar-AltN"/>
        <w:widowControl w:val="0"/>
        <w:rPr>
          <w:rFonts w:cs="Times New Roman"/>
        </w:rPr>
      </w:pPr>
      <w:r w:rsidRPr="00E2779D">
        <w:rPr>
          <w:rFonts w:eastAsia="Calibri" w:cs="Times New Roman"/>
        </w:rPr>
        <w:t xml:space="preserve">As outlined above, a general intention of tax neutrality, </w:t>
      </w:r>
      <w:r w:rsidRPr="00E2779D">
        <w:rPr>
          <w:rFonts w:eastAsia="Calibri" w:cs="Times New Roman"/>
          <w:lang w:val="en-US"/>
        </w:rPr>
        <w:t xml:space="preserve">not related to obligations whose objects are determinate or determinable, </w:t>
      </w:r>
      <w:r w:rsidRPr="00E2779D">
        <w:rPr>
          <w:rFonts w:eastAsia="Calibri" w:cs="Times New Roman"/>
        </w:rPr>
        <w:t xml:space="preserve">cannot, on its own, give rise to a common intention that would form part of the original contract and permit the requested modifications. One should not confuse the notion of a contract, which is an agreement of wills for the purpose of carrying out juridical operation, with its consequences: </w:t>
      </w:r>
      <w:r w:rsidRPr="00E2779D">
        <w:rPr>
          <w:rFonts w:eastAsia="Calibri" w:cs="Times New Roman"/>
          <w:i/>
        </w:rPr>
        <w:t>AES</w:t>
      </w:r>
      <w:r w:rsidRPr="00E2779D">
        <w:rPr>
          <w:rFonts w:eastAsia="Calibri" w:cs="Times New Roman"/>
        </w:rPr>
        <w:t xml:space="preserve">, at para. 28; Pineau, Burman and Gaudet, at p. 271-72. As Professors Lluelles and Moore put it: </w:t>
      </w:r>
    </w:p>
    <w:p w:rsidR="00A55D5F" w:rsidRPr="00E2779D" w:rsidRDefault="00A55D5F" w:rsidP="00AD4E67">
      <w:pPr>
        <w:pStyle w:val="Citation-AltC"/>
        <w:widowControl w:val="0"/>
      </w:pPr>
      <w:r w:rsidRPr="00E2779D">
        <w:t>[</w:t>
      </w:r>
      <w:r w:rsidRPr="00E2779D">
        <w:rPr>
          <w:smallCaps/>
        </w:rPr>
        <w:t>translation</w:t>
      </w:r>
      <w:r w:rsidRPr="00E2779D">
        <w:t xml:space="preserve">] The object of a contract must not be confused with its </w:t>
      </w:r>
      <w:r w:rsidRPr="00E2779D">
        <w:lastRenderedPageBreak/>
        <w:t xml:space="preserve">effect. . . . Unlike the former Code — and most other civil law legislation — the </w:t>
      </w:r>
      <w:r w:rsidRPr="00E2779D">
        <w:rPr>
          <w:i/>
        </w:rPr>
        <w:t>Civil Code of Québec</w:t>
      </w:r>
      <w:r w:rsidRPr="00E2779D">
        <w:t xml:space="preserve"> makes a clear distinction between the object of a contract (art. 1412), the object of an obligation (art. 1373) and the effect of a contract (art. 1433). [para. 1050]</w:t>
      </w:r>
    </w:p>
    <w:p w:rsidR="00A55D5F" w:rsidRPr="00E2779D" w:rsidRDefault="00A55D5F" w:rsidP="00AD4E67">
      <w:pPr>
        <w:pStyle w:val="ContinueParaSuitedupar-AltP"/>
        <w:widowControl w:val="0"/>
        <w:rPr>
          <w:rFonts w:cs="Times New Roman"/>
          <w:lang w:val="en-US"/>
        </w:rPr>
      </w:pPr>
      <w:r w:rsidRPr="00E2779D">
        <w:rPr>
          <w:rFonts w:cs="Times New Roman"/>
        </w:rPr>
        <w:t xml:space="preserve">The intention that no adverse tax consequences result from a contract is more accurately described as the intended consequence </w:t>
      </w:r>
      <w:r w:rsidRPr="00E2779D">
        <w:rPr>
          <w:rFonts w:cs="Times New Roman"/>
          <w:lang w:val="en-US"/>
        </w:rPr>
        <w:t xml:space="preserve">of the contract, while the intention of neutralizing the effect of exchange rate fluctuations is more accurately described as the cause of the contract: art. 1410 </w:t>
      </w:r>
      <w:r w:rsidRPr="00E2779D">
        <w:rPr>
          <w:rFonts w:cs="Times New Roman"/>
          <w:i/>
          <w:lang w:val="en-US"/>
        </w:rPr>
        <w:t>C.C.Q.</w:t>
      </w:r>
      <w:r w:rsidRPr="00E2779D">
        <w:rPr>
          <w:rFonts w:cs="Times New Roman"/>
          <w:lang w:val="en-US"/>
        </w:rPr>
        <w:t xml:space="preserve"> Neither constitutes a contract, the object of a contract or the object of an obligation, and neither can ground the retroactive modification of documents that accurately record and implement what both parties actually agreed to do.</w:t>
      </w:r>
    </w:p>
    <w:p w:rsidR="00A55D5F" w:rsidRPr="00E2779D" w:rsidRDefault="00A55D5F" w:rsidP="00AD4E67">
      <w:pPr>
        <w:pStyle w:val="ParaNoNdepar-AltN"/>
        <w:widowControl w:val="0"/>
        <w:rPr>
          <w:rFonts w:cs="Times New Roman"/>
          <w:lang w:val="en-US"/>
        </w:rPr>
      </w:pPr>
      <w:r w:rsidRPr="00E2779D">
        <w:rPr>
          <w:rFonts w:eastAsia="Calibri" w:cs="Times New Roman"/>
          <w:lang w:val="en-US"/>
        </w:rPr>
        <w:t xml:space="preserve">Written documents can be modified in accordance with art. 1425 </w:t>
      </w:r>
      <w:r w:rsidRPr="00E2779D">
        <w:rPr>
          <w:rFonts w:eastAsia="Calibri" w:cs="Times New Roman"/>
          <w:i/>
          <w:lang w:val="en-US"/>
        </w:rPr>
        <w:t>C.C.Q.</w:t>
      </w:r>
      <w:r w:rsidRPr="00E2779D">
        <w:rPr>
          <w:rFonts w:eastAsia="Calibri" w:cs="Times New Roman"/>
          <w:lang w:val="en-US"/>
        </w:rPr>
        <w:t xml:space="preserve"> so that they accurately reflect the true agreement between the parties. The agreement itself cannot be modified to achieve whatever results the parties may have desired or expected in entering into it. PJC Canada and PJC USA agreed on the precise set of prestations they wanted to execute, and there was no error in the way their agreement was expressed or executed. It simply resulted in unforeseen and undesirable tax consequences for PJC Canada. In the words of the respondent, there was a mistake in the transactions agreed to, not in the way they were expressed.</w:t>
      </w:r>
    </w:p>
    <w:p w:rsidR="00A55D5F" w:rsidRPr="00E2779D" w:rsidRDefault="00A55D5F" w:rsidP="00AD4E67">
      <w:pPr>
        <w:pStyle w:val="ParaNoNdepar-AltN"/>
        <w:widowControl w:val="0"/>
        <w:rPr>
          <w:rFonts w:cs="Times New Roman"/>
          <w:szCs w:val="24"/>
        </w:rPr>
      </w:pPr>
      <w:r w:rsidRPr="00E2779D">
        <w:rPr>
          <w:rFonts w:cs="Times New Roman"/>
          <w:i/>
          <w:lang w:val="en-US"/>
        </w:rPr>
        <w:t xml:space="preserve">AES </w:t>
      </w:r>
      <w:r w:rsidRPr="00E2779D">
        <w:rPr>
          <w:rFonts w:cs="Times New Roman"/>
          <w:lang w:val="en-US"/>
        </w:rPr>
        <w:t xml:space="preserve">and </w:t>
      </w:r>
      <w:r w:rsidRPr="00E2779D">
        <w:rPr>
          <w:rFonts w:cs="Times New Roman"/>
          <w:i/>
          <w:lang w:val="en-US"/>
        </w:rPr>
        <w:t>Riopel</w:t>
      </w:r>
      <w:r w:rsidRPr="00E2779D">
        <w:rPr>
          <w:rFonts w:cs="Times New Roman"/>
          <w:lang w:val="en-US"/>
        </w:rPr>
        <w:t xml:space="preserve"> provide a useful contrast and illustrate the importance of agreeing on precise transactional scheme to achieve a certain tax result. </w:t>
      </w:r>
      <w:r w:rsidRPr="00E2779D">
        <w:rPr>
          <w:rFonts w:cs="Times New Roman"/>
          <w:lang w:val="en"/>
        </w:rPr>
        <w:t xml:space="preserve">In those cases, the contracting parties had agreed on a particular set of prestations to defer tax payable. </w:t>
      </w:r>
      <w:r w:rsidRPr="00E2779D">
        <w:rPr>
          <w:rFonts w:eastAsia="Calibri" w:cs="Times New Roman"/>
          <w:lang w:val="en-US"/>
        </w:rPr>
        <w:lastRenderedPageBreak/>
        <w:t xml:space="preserve">The “agreements provided . . . for the establishment of determinate structures that would, </w:t>
      </w:r>
      <w:r w:rsidRPr="00E2779D">
        <w:rPr>
          <w:rFonts w:eastAsia="Calibri" w:cs="Times New Roman"/>
          <w:u w:val="single"/>
          <w:lang w:val="en-US"/>
        </w:rPr>
        <w:t>had they been drawn up properly</w:t>
      </w:r>
      <w:r w:rsidRPr="00E2779D">
        <w:rPr>
          <w:rFonts w:eastAsia="Calibri" w:cs="Times New Roman"/>
          <w:lang w:val="en-US"/>
        </w:rPr>
        <w:t>, have made it possible to meet the objectives being pursued by the parties”, namely tax deferral on a share exchange using rollover provisions in the tax legislation (</w:t>
      </w:r>
      <w:r w:rsidRPr="00E2779D">
        <w:rPr>
          <w:rFonts w:eastAsia="Calibri" w:cs="Times New Roman"/>
          <w:i/>
          <w:lang w:val="en-US"/>
        </w:rPr>
        <w:t>AES</w:t>
      </w:r>
      <w:r w:rsidRPr="00E2779D">
        <w:rPr>
          <w:rFonts w:eastAsia="Calibri" w:cs="Times New Roman"/>
          <w:lang w:val="en-US"/>
        </w:rPr>
        <w:t>) and tax deferral on a corporate amalgamation as part of a detailed tax plan, again under particular tax provisions (</w:t>
      </w:r>
      <w:r w:rsidRPr="00E2779D">
        <w:rPr>
          <w:rFonts w:eastAsia="Calibri" w:cs="Times New Roman"/>
          <w:i/>
          <w:lang w:val="en-US"/>
        </w:rPr>
        <w:t>Riopel</w:t>
      </w:r>
      <w:r w:rsidRPr="00E2779D">
        <w:rPr>
          <w:rFonts w:eastAsia="Calibri" w:cs="Times New Roman"/>
          <w:lang w:val="en-US"/>
        </w:rPr>
        <w:t xml:space="preserve">): </w:t>
      </w:r>
      <w:r w:rsidRPr="00E2779D">
        <w:rPr>
          <w:rFonts w:eastAsia="Calibri" w:cs="Times New Roman"/>
          <w:i/>
          <w:lang w:val="en-US"/>
        </w:rPr>
        <w:t>AES</w:t>
      </w:r>
      <w:r w:rsidRPr="00E2779D">
        <w:rPr>
          <w:rFonts w:eastAsia="Calibri" w:cs="Times New Roman"/>
          <w:lang w:val="en-US"/>
        </w:rPr>
        <w:t xml:space="preserve">, at para. 54 (emphasis added). </w:t>
      </w:r>
      <w:r w:rsidRPr="00E2779D">
        <w:rPr>
          <w:rFonts w:cs="Times New Roman"/>
          <w:lang w:val="en"/>
        </w:rPr>
        <w:t xml:space="preserve">Because of mistakes in the documents recording and implementing the contracting parties’ agreements, tax was not deferred. In the </w:t>
      </w:r>
      <w:r w:rsidRPr="00E2779D">
        <w:rPr>
          <w:rFonts w:cs="Times New Roman"/>
          <w:i/>
          <w:lang w:val="en"/>
        </w:rPr>
        <w:t xml:space="preserve">AES </w:t>
      </w:r>
      <w:r w:rsidRPr="00E2779D">
        <w:rPr>
          <w:rFonts w:cs="Times New Roman"/>
          <w:lang w:val="en"/>
        </w:rPr>
        <w:t>case, the mistake consisted of a miscalculation in the adjusted cost base (“ACB”) of the transferred shares ―</w:t>
      </w:r>
      <w:r w:rsidRPr="00E2779D">
        <w:rPr>
          <w:rFonts w:cs="Times New Roman"/>
          <w:szCs w:val="24"/>
        </w:rPr>
        <w:t xml:space="preserve"> </w:t>
      </w:r>
      <w:r w:rsidRPr="00E2779D">
        <w:rPr>
          <w:rFonts w:cs="Times New Roman"/>
          <w:lang w:val="en"/>
        </w:rPr>
        <w:t xml:space="preserve">the procedure agreed to by the parties required the issuance and delivery of a note for an amount precisely equal to the shares’ ACB. In the </w:t>
      </w:r>
      <w:r w:rsidRPr="00E2779D">
        <w:rPr>
          <w:rFonts w:cs="Times New Roman"/>
          <w:i/>
          <w:iCs/>
          <w:lang w:val="en"/>
        </w:rPr>
        <w:t>Riopel</w:t>
      </w:r>
      <w:r w:rsidRPr="00E2779D">
        <w:rPr>
          <w:rFonts w:cs="Times New Roman"/>
          <w:lang w:val="en"/>
        </w:rPr>
        <w:t xml:space="preserve"> case, the mistake was that the parties’ tax advisors reversed the order of certain transactions, contrary to the detailed tax plan to which the parties had verbally agreed. </w:t>
      </w:r>
    </w:p>
    <w:p w:rsidR="00A55D5F" w:rsidRPr="00E2779D" w:rsidRDefault="00A55D5F" w:rsidP="00AD4E67">
      <w:pPr>
        <w:pStyle w:val="ParaNoNdepar-AltN"/>
        <w:widowControl w:val="0"/>
        <w:rPr>
          <w:rFonts w:cs="Times New Roman"/>
          <w:szCs w:val="24"/>
        </w:rPr>
      </w:pPr>
      <w:r w:rsidRPr="00E2779D">
        <w:rPr>
          <w:rFonts w:eastAsia="Calibri" w:cs="Times New Roman"/>
        </w:rPr>
        <w:t xml:space="preserve">In contrast, in the appeal here, the parties to the contract did not originally and specifically agree upon a juridical operation for the purpose of turning their general intention to neutralize tax consequences into a series of specific obligations and prestations. This general intention of the parties was not sufficiently precise to establish the details of a contemplated operation: </w:t>
      </w:r>
      <w:r w:rsidRPr="00E2779D">
        <w:rPr>
          <w:rFonts w:eastAsia="Calibri" w:cs="Times New Roman"/>
          <w:i/>
        </w:rPr>
        <w:t>AES</w:t>
      </w:r>
      <w:r w:rsidRPr="00E2779D">
        <w:rPr>
          <w:rFonts w:eastAsia="Calibri" w:cs="Times New Roman"/>
        </w:rPr>
        <w:t>,</w:t>
      </w:r>
      <w:r w:rsidRPr="00E2779D">
        <w:rPr>
          <w:rFonts w:eastAsia="Calibri" w:cs="Times New Roman"/>
          <w:i/>
        </w:rPr>
        <w:t xml:space="preserve"> </w:t>
      </w:r>
      <w:r w:rsidRPr="00E2779D">
        <w:rPr>
          <w:rFonts w:eastAsia="Calibri" w:cs="Times New Roman"/>
        </w:rPr>
        <w:t xml:space="preserve">at para. 31. The parties did not agree to carry out, for example, a detailed tax plan: </w:t>
      </w:r>
      <w:r w:rsidRPr="00E2779D">
        <w:rPr>
          <w:rFonts w:eastAsia="Calibri" w:cs="Times New Roman"/>
          <w:i/>
        </w:rPr>
        <w:t>AES</w:t>
      </w:r>
      <w:r w:rsidRPr="00E2779D">
        <w:rPr>
          <w:rFonts w:eastAsia="Calibri" w:cs="Times New Roman"/>
        </w:rPr>
        <w:t>,</w:t>
      </w:r>
      <w:r w:rsidRPr="00E2779D">
        <w:rPr>
          <w:rFonts w:eastAsia="Calibri" w:cs="Times New Roman"/>
          <w:i/>
        </w:rPr>
        <w:t xml:space="preserve"> </w:t>
      </w:r>
      <w:r w:rsidRPr="00E2779D">
        <w:rPr>
          <w:rFonts w:eastAsia="Calibri" w:cs="Times New Roman"/>
        </w:rPr>
        <w:t xml:space="preserve">at para. 36. There is no defective act that expressed incorrectly what they would have specifically agreed to: </w:t>
      </w:r>
      <w:r w:rsidRPr="00E2779D">
        <w:rPr>
          <w:rFonts w:eastAsia="Calibri" w:cs="Times New Roman"/>
          <w:i/>
        </w:rPr>
        <w:t>AES</w:t>
      </w:r>
      <w:r w:rsidRPr="00E2779D">
        <w:rPr>
          <w:rFonts w:eastAsia="Calibri" w:cs="Times New Roman"/>
        </w:rPr>
        <w:t>,</w:t>
      </w:r>
      <w:r w:rsidRPr="00E2779D">
        <w:rPr>
          <w:rFonts w:eastAsia="Calibri" w:cs="Times New Roman"/>
          <w:i/>
        </w:rPr>
        <w:t xml:space="preserve"> </w:t>
      </w:r>
      <w:r w:rsidRPr="00E2779D">
        <w:rPr>
          <w:rFonts w:eastAsia="Calibri" w:cs="Times New Roman"/>
        </w:rPr>
        <w:t xml:space="preserve">at para. 38. There is no gap to fill in the text in order to give effect to the parties’ common intention, as such intention was never </w:t>
      </w:r>
      <w:r w:rsidRPr="00E2779D">
        <w:rPr>
          <w:rFonts w:eastAsia="Calibri" w:cs="Times New Roman"/>
          <w:lang w:val="en-US"/>
        </w:rPr>
        <w:t>clearly defined and related to obligations whose objects, the prestations, are determinate or determinable</w:t>
      </w:r>
      <w:r w:rsidRPr="00E2779D">
        <w:rPr>
          <w:rFonts w:eastAsia="Calibri" w:cs="Times New Roman"/>
        </w:rPr>
        <w:t xml:space="preserve">: </w:t>
      </w:r>
      <w:r w:rsidRPr="00E2779D">
        <w:rPr>
          <w:rFonts w:eastAsia="Calibri" w:cs="Times New Roman"/>
          <w:i/>
        </w:rPr>
        <w:t>AES</w:t>
      </w:r>
      <w:r w:rsidRPr="00E2779D">
        <w:rPr>
          <w:rFonts w:eastAsia="Calibri" w:cs="Times New Roman"/>
        </w:rPr>
        <w:t>,</w:t>
      </w:r>
      <w:r w:rsidRPr="00E2779D">
        <w:rPr>
          <w:rFonts w:eastAsia="Calibri" w:cs="Times New Roman"/>
          <w:i/>
        </w:rPr>
        <w:t xml:space="preserve"> </w:t>
      </w:r>
      <w:r w:rsidRPr="00E2779D">
        <w:rPr>
          <w:rFonts w:eastAsia="Calibri" w:cs="Times New Roman"/>
        </w:rPr>
        <w:t xml:space="preserve">at paras. 48, 52 and 54. </w:t>
      </w:r>
      <w:r w:rsidRPr="00E2779D">
        <w:rPr>
          <w:rFonts w:eastAsia="Calibri" w:cs="Times New Roman"/>
        </w:rPr>
        <w:lastRenderedPageBreak/>
        <w:t xml:space="preserve">There is no agreement of will not implemented properly: </w:t>
      </w:r>
      <w:r w:rsidRPr="00E2779D">
        <w:rPr>
          <w:rFonts w:eastAsia="Calibri" w:cs="Times New Roman"/>
          <w:i/>
        </w:rPr>
        <w:t>AES</w:t>
      </w:r>
      <w:r w:rsidRPr="00E2779D">
        <w:rPr>
          <w:rFonts w:eastAsia="Calibri" w:cs="Times New Roman"/>
        </w:rPr>
        <w:t>,</w:t>
      </w:r>
      <w:r w:rsidRPr="00E2779D">
        <w:rPr>
          <w:rFonts w:eastAsia="Calibri" w:cs="Times New Roman"/>
          <w:i/>
        </w:rPr>
        <w:t xml:space="preserve"> </w:t>
      </w:r>
      <w:r w:rsidRPr="00E2779D">
        <w:rPr>
          <w:rFonts w:eastAsia="Calibri" w:cs="Times New Roman"/>
        </w:rPr>
        <w:t xml:space="preserve">at para. 37. The determinate scenario agreed on by PJC Canada and PJC USA was drawn up properly, but because it was drawn up properly, it produced unintended and unforeseen tax consequences. </w:t>
      </w:r>
    </w:p>
    <w:p w:rsidR="00A55D5F" w:rsidRPr="00E2779D" w:rsidRDefault="00A55D5F" w:rsidP="00AD4E67">
      <w:pPr>
        <w:pStyle w:val="ParaNoNdepar-AltN"/>
        <w:widowControl w:val="0"/>
        <w:rPr>
          <w:rFonts w:cs="Times New Roman"/>
          <w:szCs w:val="24"/>
        </w:rPr>
      </w:pPr>
      <w:r w:rsidRPr="00E2779D">
        <w:rPr>
          <w:rFonts w:eastAsia="Calibri" w:cs="Times New Roman"/>
          <w:lang w:val="en-US"/>
        </w:rPr>
        <w:t>In line with the above, if PJC Canada and PJC USA had turned their minds to FAPI and had agreed to a transactional scheme that, if recorded and implemented properly, would have accomplished the goal of neutralizing currency fluctuations while also preventing the generation of FAPI, it would be appropriate to permit the written documents related to the transactions to be amended if that common intention was improperly transcribed in them. But this is not what happened.</w:t>
      </w:r>
    </w:p>
    <w:p w:rsidR="00A55D5F" w:rsidRPr="00E2779D" w:rsidRDefault="00A55D5F" w:rsidP="00AD4E67">
      <w:pPr>
        <w:pStyle w:val="ParaNoNdepar-AltN"/>
        <w:widowControl w:val="0"/>
        <w:rPr>
          <w:rFonts w:cs="Times New Roman"/>
          <w:szCs w:val="24"/>
        </w:rPr>
      </w:pPr>
      <w:r w:rsidRPr="00E2779D">
        <w:rPr>
          <w:rFonts w:cs="Times New Roman"/>
          <w:lang w:val="en-US"/>
        </w:rPr>
        <w:t xml:space="preserve">PJC Canada says that it is enough that FAPI was determinable at the time of contract formation, like the ACB of the shares in </w:t>
      </w:r>
      <w:r w:rsidRPr="00E2779D">
        <w:rPr>
          <w:rFonts w:cs="Times New Roman"/>
          <w:i/>
          <w:lang w:val="en-US"/>
        </w:rPr>
        <w:t>AES</w:t>
      </w:r>
      <w:r w:rsidRPr="00E2779D">
        <w:rPr>
          <w:rFonts w:cs="Times New Roman"/>
          <w:lang w:val="en-US"/>
        </w:rPr>
        <w:t>. It is true that prestations do not need to be determined at the moment of the contract’s formation, as long as they are determinable, meaning that the parties agree on predetermined and objective criteria for determining them. See Pineau, Burman and Gaudet, at p. 274; Lluelles and Moore, at paras. 1049.8 to 1049.13. Yet there is a fundamental difference between a contract under which one of a party’s prestations ― necessary for obtaining the intended tax result ― is to issue and deliver a note in an objectively calculable amount equal to the ACB of transferred shares, and a contract under which there is no obligation addressing FAPI, and no prestations agreed on that would prevent its fiscal consequences. Parties to a contract must know their rights and obligations under it.</w:t>
      </w:r>
    </w:p>
    <w:p w:rsidR="00A55D5F" w:rsidRPr="00E2779D" w:rsidRDefault="00A55D5F" w:rsidP="00AD4E67">
      <w:pPr>
        <w:pStyle w:val="ParaNoNdepar-AltN"/>
        <w:widowControl w:val="0"/>
        <w:rPr>
          <w:rFonts w:cs="Times New Roman"/>
          <w:lang w:val="en-US"/>
        </w:rPr>
      </w:pPr>
      <w:r w:rsidRPr="00E2779D">
        <w:rPr>
          <w:rFonts w:eastAsia="Calibri" w:cs="Times New Roman"/>
          <w:lang w:val="en-US"/>
        </w:rPr>
        <w:lastRenderedPageBreak/>
        <w:t>Although I agree with PJC Canada that modifications to written documents expressing parties’ agreement can include the insertion of transactions, this is possible only where doing so would bridge the gap between the contracting parties’ common intention and the written expression thereof. This would be the case if, for instance, PJC Canada and PJC USA had agreed on a transactional scheme that would successfully avoid the generation of FAPI but, for some reason, one or more of the transactions agreed on was mistakenly omitted. There is no such gap in the instant appeal.</w:t>
      </w:r>
    </w:p>
    <w:p w:rsidR="00A55D5F" w:rsidRPr="00E2779D" w:rsidRDefault="00A55D5F" w:rsidP="00AD4E67">
      <w:pPr>
        <w:pStyle w:val="ParaNoNdepar-AltN"/>
        <w:widowControl w:val="0"/>
        <w:rPr>
          <w:rFonts w:cs="Times New Roman"/>
        </w:rPr>
      </w:pPr>
      <w:r w:rsidRPr="00E2779D">
        <w:rPr>
          <w:rFonts w:cs="Times New Roman"/>
        </w:rPr>
        <w:t xml:space="preserve">That being said, the comparison between what was required to do in </w:t>
      </w:r>
      <w:r w:rsidRPr="00E2779D">
        <w:rPr>
          <w:rFonts w:cs="Times New Roman"/>
          <w:i/>
        </w:rPr>
        <w:t xml:space="preserve">AES </w:t>
      </w:r>
      <w:r w:rsidRPr="00E2779D">
        <w:rPr>
          <w:rFonts w:cs="Times New Roman"/>
        </w:rPr>
        <w:t>to implement the correction and what would be required in the present case if the parties’ motion is granted, is irrelevant. It is not the nature of the modifications contemplated by the parties in the present case that</w:t>
      </w:r>
      <w:r w:rsidRPr="00E2779D">
        <w:rPr>
          <w:rFonts w:cs="Times New Roman"/>
          <w:lang w:val="en-GB"/>
        </w:rPr>
        <w:t xml:space="preserve"> </w:t>
      </w:r>
      <w:r w:rsidRPr="00E2779D">
        <w:rPr>
          <w:rStyle w:val="Quote1"/>
          <w:rFonts w:cs="Times New Roman"/>
          <w:lang w:val="en-GB"/>
        </w:rPr>
        <w:t>thwart</w:t>
      </w:r>
      <w:r w:rsidRPr="00E2779D">
        <w:rPr>
          <w:rFonts w:cs="Times New Roman"/>
        </w:rPr>
        <w:t xml:space="preserve"> their request, but the fact that their intention </w:t>
      </w:r>
      <w:r w:rsidRPr="00E2779D">
        <w:rPr>
          <w:rFonts w:cs="Times New Roman"/>
          <w:lang w:val="en-US"/>
        </w:rPr>
        <w:t xml:space="preserve">was not </w:t>
      </w:r>
      <w:r w:rsidRPr="00E2779D">
        <w:rPr>
          <w:rFonts w:cs="Times New Roman"/>
        </w:rPr>
        <w:t xml:space="preserve">initially, </w:t>
      </w:r>
      <w:r w:rsidRPr="00E2779D">
        <w:rPr>
          <w:rFonts w:cs="Times New Roman"/>
          <w:lang w:val="en-US"/>
        </w:rPr>
        <w:t>sufficiently defined and does not relate to obligations whose objects are determinate or determinable</w:t>
      </w:r>
      <w:r w:rsidRPr="00E2779D">
        <w:rPr>
          <w:rFonts w:cs="Times New Roman"/>
        </w:rPr>
        <w:t xml:space="preserve">, as to justify such modifications under art. 1425 </w:t>
      </w:r>
      <w:r w:rsidRPr="00E2779D">
        <w:rPr>
          <w:rFonts w:cs="Times New Roman"/>
          <w:i/>
        </w:rPr>
        <w:t>C.C.Q.</w:t>
      </w:r>
      <w:r w:rsidRPr="00E2779D">
        <w:rPr>
          <w:rFonts w:cs="Times New Roman"/>
        </w:rPr>
        <w:t xml:space="preserve"> </w:t>
      </w:r>
    </w:p>
    <w:p w:rsidR="00A55D5F" w:rsidRPr="00E2779D" w:rsidRDefault="00A55D5F" w:rsidP="00AD4E67">
      <w:pPr>
        <w:pStyle w:val="Title4LevelTitre4Niveau"/>
        <w:widowControl w:val="0"/>
        <w:numPr>
          <w:ilvl w:val="3"/>
          <w:numId w:val="3"/>
        </w:numPr>
        <w:rPr>
          <w:rFonts w:cs="Times New Roman"/>
          <w:lang w:val="en-US"/>
        </w:rPr>
      </w:pPr>
      <w:r w:rsidRPr="00E2779D">
        <w:rPr>
          <w:rFonts w:cs="Times New Roman"/>
          <w:lang w:val="en-US"/>
        </w:rPr>
        <w:t>The Court of Appeal’s Factual Error Is Inconsequential</w:t>
      </w:r>
    </w:p>
    <w:p w:rsidR="00A55D5F" w:rsidRPr="00E2779D" w:rsidRDefault="00A55D5F" w:rsidP="00AD4E67">
      <w:pPr>
        <w:pStyle w:val="ParaNoNdepar-AltN"/>
        <w:widowControl w:val="0"/>
        <w:rPr>
          <w:rFonts w:cs="Times New Roman"/>
          <w:lang w:val="en-US"/>
        </w:rPr>
      </w:pPr>
      <w:r w:rsidRPr="00E2779D">
        <w:rPr>
          <w:rFonts w:cs="Times New Roman"/>
          <w:lang w:val="en-US"/>
        </w:rPr>
        <w:t xml:space="preserve">The Court of Appeal stated that the rectification sought by PJC Canada was to implement the second of the two scenarios that its professional advisors had suggested and that PJC Canada had originally declined to pursue: para. 37. Both parties agree that this statement is incorrect. The scenarios that PJC Canada’s advisors presented did not include the transactions that PJC Canada now seeks to insert </w:t>
      </w:r>
      <w:r w:rsidRPr="00E2779D">
        <w:rPr>
          <w:rFonts w:cs="Times New Roman"/>
          <w:lang w:val="en-US"/>
        </w:rPr>
        <w:lastRenderedPageBreak/>
        <w:t>retroactively.</w:t>
      </w:r>
    </w:p>
    <w:p w:rsidR="00A55D5F" w:rsidRPr="00E2779D" w:rsidRDefault="00A55D5F" w:rsidP="00AD4E67">
      <w:pPr>
        <w:pStyle w:val="ParaNoNdepar-AltN"/>
        <w:widowControl w:val="0"/>
        <w:rPr>
          <w:rFonts w:cs="Times New Roman"/>
          <w:lang w:val="en-US"/>
        </w:rPr>
      </w:pPr>
      <w:r w:rsidRPr="00E2779D">
        <w:rPr>
          <w:rFonts w:cs="Times New Roman"/>
          <w:lang w:val="en-US"/>
        </w:rPr>
        <w:t xml:space="preserve">In my opinion, this erroneous factual conclusion is of no consequence. On my reading of the court’s reasons, it did not base its decision on this factual misconception. Rather, its reasons demonstrate that it determined that PJC Canada and PJC USA had intended to implement the very agreement that was in fact implemented. The court correctly held that the two parties could not seek to rewrite the tax history of their agreement, since a general intention to reduce tax liability was insufficiently determinate to serve as the basis for rectification in accordance with art. 1425 </w:t>
      </w:r>
      <w:r w:rsidRPr="00E2779D">
        <w:rPr>
          <w:rFonts w:cs="Times New Roman"/>
          <w:i/>
          <w:lang w:val="en-US"/>
        </w:rPr>
        <w:t>C.C.Q.</w:t>
      </w:r>
      <w:r w:rsidRPr="00E2779D">
        <w:rPr>
          <w:rFonts w:cs="Times New Roman"/>
          <w:lang w:val="en-US"/>
        </w:rPr>
        <w:t xml:space="preserve"> In any event, </w:t>
      </w:r>
      <w:r w:rsidRPr="00E2779D">
        <w:rPr>
          <w:rFonts w:cs="Times New Roman"/>
          <w:szCs w:val="24"/>
        </w:rPr>
        <w:t>the fact that PJC Canada admits it never initially considered the new transactions it now seeks to implement does not help its position, as the above discussion reveals.</w:t>
      </w:r>
    </w:p>
    <w:p w:rsidR="00A55D5F" w:rsidRPr="00E2779D" w:rsidRDefault="00A55D5F" w:rsidP="00AD4E67">
      <w:pPr>
        <w:pStyle w:val="Title4LevelTitre4Niveau"/>
        <w:widowControl w:val="0"/>
        <w:numPr>
          <w:ilvl w:val="3"/>
          <w:numId w:val="3"/>
        </w:numPr>
        <w:rPr>
          <w:rFonts w:cs="Times New Roman"/>
          <w:lang w:val="en-US"/>
        </w:rPr>
      </w:pPr>
      <w:r w:rsidRPr="00E2779D">
        <w:rPr>
          <w:rFonts w:cs="Times New Roman"/>
          <w:lang w:val="en-US"/>
        </w:rPr>
        <w:t>Other Arguments</w:t>
      </w:r>
    </w:p>
    <w:p w:rsidR="00A55D5F" w:rsidRPr="00E2779D" w:rsidRDefault="00A55D5F" w:rsidP="00AD4E67">
      <w:pPr>
        <w:pStyle w:val="ParaNoNdepar-AltN"/>
        <w:widowControl w:val="0"/>
        <w:rPr>
          <w:rFonts w:cs="Times New Roman"/>
          <w:lang w:val="en-US"/>
        </w:rPr>
      </w:pPr>
      <w:r w:rsidRPr="00E2779D">
        <w:rPr>
          <w:rFonts w:cs="Times New Roman"/>
          <w:lang w:val="en-US"/>
        </w:rPr>
        <w:t>Given my conclusion that the intention of PJC Canada and PJC USA that the agreement be tax-neutral does not allow the documents underlying the transactional scheme to be amended, there is no need to address the respondent’s first, evidentiary argument.</w:t>
      </w:r>
    </w:p>
    <w:p w:rsidR="00A55D5F" w:rsidRPr="00E2779D" w:rsidRDefault="00A55D5F" w:rsidP="00AD4E67">
      <w:pPr>
        <w:pStyle w:val="ParaNoNdepar-AltN"/>
        <w:widowControl w:val="0"/>
        <w:rPr>
          <w:rFonts w:cs="Times New Roman"/>
          <w:lang w:val="en-US"/>
        </w:rPr>
      </w:pPr>
      <w:r w:rsidRPr="00E2779D">
        <w:rPr>
          <w:rFonts w:cs="Times New Roman"/>
          <w:lang w:val="en-US"/>
        </w:rPr>
        <w:t xml:space="preserve">There is also no need for this Court to address or adopt the appellant’s proposed guidelines. In my view, contract principles under Quebec civil law, together with this Court’s reasons in the instant appeal and in </w:t>
      </w:r>
      <w:r w:rsidRPr="00E2779D">
        <w:rPr>
          <w:rFonts w:cs="Times New Roman"/>
          <w:i/>
          <w:lang w:val="en-US"/>
        </w:rPr>
        <w:t>AES</w:t>
      </w:r>
      <w:r w:rsidRPr="00E2779D">
        <w:rPr>
          <w:rFonts w:cs="Times New Roman"/>
          <w:lang w:val="en-US"/>
        </w:rPr>
        <w:t xml:space="preserve">, provide sufficient guidance to taxpayers and lower courts regarding the amendment of written contracts, documents </w:t>
      </w:r>
      <w:r w:rsidRPr="00E2779D">
        <w:rPr>
          <w:rFonts w:cs="Times New Roman"/>
          <w:lang w:val="en-US"/>
        </w:rPr>
        <w:lastRenderedPageBreak/>
        <w:t xml:space="preserve">or instruments in accordance with art. 1425 </w:t>
      </w:r>
      <w:r w:rsidRPr="00E2779D">
        <w:rPr>
          <w:rFonts w:cs="Times New Roman"/>
          <w:i/>
          <w:lang w:val="en-US"/>
        </w:rPr>
        <w:t>C.C.Q.</w:t>
      </w:r>
    </w:p>
    <w:p w:rsidR="00A55D5F" w:rsidRPr="00E2779D" w:rsidRDefault="00A55D5F" w:rsidP="00AD4E67">
      <w:pPr>
        <w:pStyle w:val="Title2LevelTitre2Niveau"/>
        <w:widowControl w:val="0"/>
        <w:numPr>
          <w:ilvl w:val="1"/>
          <w:numId w:val="3"/>
        </w:numPr>
        <w:rPr>
          <w:rFonts w:cs="Times New Roman"/>
          <w:lang w:val="en-US"/>
        </w:rPr>
      </w:pPr>
      <w:r w:rsidRPr="00E2779D">
        <w:rPr>
          <w:rFonts w:cs="Times New Roman"/>
          <w:lang w:val="en-US"/>
        </w:rPr>
        <w:t>Tax Policy Considerations Reinforce the Result in This Appeal</w:t>
      </w:r>
    </w:p>
    <w:p w:rsidR="00A55D5F" w:rsidRPr="00E2779D" w:rsidRDefault="00A55D5F" w:rsidP="00AD4E67">
      <w:pPr>
        <w:pStyle w:val="ParaNoNdepar-AltN"/>
        <w:widowControl w:val="0"/>
        <w:rPr>
          <w:rFonts w:cs="Times New Roman"/>
        </w:rPr>
      </w:pPr>
      <w:r w:rsidRPr="00E2779D">
        <w:rPr>
          <w:rFonts w:cs="Times New Roman"/>
          <w:lang w:val="en-US"/>
        </w:rPr>
        <w:t xml:space="preserve">My conclusion in the instant appeal finds additional support in two significant tax policy concerns. </w:t>
      </w:r>
    </w:p>
    <w:p w:rsidR="00A55D5F" w:rsidRPr="00E2779D" w:rsidRDefault="00A55D5F" w:rsidP="00AD4E67">
      <w:pPr>
        <w:pStyle w:val="ParaNoNdepar-AltN"/>
        <w:widowControl w:val="0"/>
        <w:rPr>
          <w:rFonts w:cs="Times New Roman"/>
        </w:rPr>
      </w:pPr>
      <w:r w:rsidRPr="00E2779D">
        <w:rPr>
          <w:rFonts w:cs="Times New Roman"/>
        </w:rPr>
        <w:t xml:space="preserve">First, accepting PJC Canada’s position would require this Court to ignore the legal relationships that it and PJC USA originally agreed to create, and actually created, in favour of the tax consequences they sought to achieve. It would thus undermine </w:t>
      </w:r>
      <w:r w:rsidRPr="00E2779D">
        <w:rPr>
          <w:rFonts w:cs="Times New Roman"/>
          <w:lang w:val="en-US"/>
        </w:rPr>
        <w:t>one of the fundamental principles of our tax system: that tax consequences flow from the legal relationships or transactions established by taxpayers. See P</w:t>
      </w:r>
      <w:r w:rsidRPr="00E2779D">
        <w:rPr>
          <w:rFonts w:cs="Times New Roman"/>
        </w:rPr>
        <w:t xml:space="preserve">. W. Hogg, J. E. Magee and J. Li, </w:t>
      </w:r>
      <w:r w:rsidRPr="00E2779D">
        <w:rPr>
          <w:rFonts w:cs="Times New Roman"/>
          <w:i/>
        </w:rPr>
        <w:t>Principles of Canadian Income Tax Law</w:t>
      </w:r>
      <w:r w:rsidRPr="00E2779D">
        <w:rPr>
          <w:rFonts w:cs="Times New Roman"/>
        </w:rPr>
        <w:t xml:space="preserve"> (7th ed. 2010), at p. 578; and V. Krishna, </w:t>
      </w:r>
      <w:r w:rsidRPr="00E2779D">
        <w:rPr>
          <w:rFonts w:cs="Times New Roman"/>
          <w:i/>
        </w:rPr>
        <w:t>Income Tax Law</w:t>
      </w:r>
      <w:r w:rsidRPr="00E2779D">
        <w:rPr>
          <w:rFonts w:cs="Times New Roman"/>
        </w:rPr>
        <w:t xml:space="preserve"> (2nd ed. 2012), at pp. 473 and 475. </w:t>
      </w:r>
      <w:r w:rsidRPr="00E2779D">
        <w:rPr>
          <w:rFonts w:cs="Times New Roman"/>
          <w:szCs w:val="24"/>
        </w:rPr>
        <w:t>This tenet is closely related to the Duke of Westminster</w:t>
      </w:r>
      <w:r w:rsidRPr="00E2779D">
        <w:rPr>
          <w:rFonts w:cs="Times New Roman"/>
          <w:i/>
          <w:szCs w:val="24"/>
        </w:rPr>
        <w:t xml:space="preserve"> </w:t>
      </w:r>
      <w:r w:rsidRPr="00E2779D">
        <w:rPr>
          <w:rFonts w:cs="Times New Roman"/>
          <w:szCs w:val="24"/>
        </w:rPr>
        <w:t xml:space="preserve">principle, which is that taxpayers have the right to order their affairs to minimize tax payable: </w:t>
      </w:r>
      <w:r w:rsidRPr="00E2779D">
        <w:rPr>
          <w:rFonts w:cs="Times New Roman"/>
          <w:i/>
          <w:szCs w:val="24"/>
        </w:rPr>
        <w:t xml:space="preserve">Commissioners of </w:t>
      </w:r>
      <w:r w:rsidRPr="00E2779D">
        <w:rPr>
          <w:rFonts w:cs="Times New Roman"/>
          <w:i/>
        </w:rPr>
        <w:t>Inland Revenue v. Duke of Westminster</w:t>
      </w:r>
      <w:r w:rsidRPr="00E2779D">
        <w:rPr>
          <w:rFonts w:cs="Times New Roman"/>
        </w:rPr>
        <w:t xml:space="preserve">, [1936] A.C. 1 (H.L.), at p. 19, per Lord Tomlin. </w:t>
      </w:r>
      <w:r w:rsidRPr="00E2779D">
        <w:rPr>
          <w:rFonts w:cs="Times New Roman"/>
          <w:szCs w:val="24"/>
        </w:rPr>
        <w:t>Both principles have been affirmed by this Court many</w:t>
      </w:r>
      <w:r w:rsidRPr="00E2779D">
        <w:rPr>
          <w:rFonts w:cs="Times New Roman"/>
        </w:rPr>
        <w:t xml:space="preserve"> times. See e.g. </w:t>
      </w:r>
      <w:r w:rsidRPr="00E2779D">
        <w:rPr>
          <w:rFonts w:cs="Times New Roman"/>
          <w:i/>
          <w:lang w:val="en-GB"/>
        </w:rPr>
        <w:t xml:space="preserve">Shell Canada Ltd. </w:t>
      </w:r>
      <w:r w:rsidRPr="00E2779D">
        <w:rPr>
          <w:rFonts w:cs="Times New Roman"/>
          <w:i/>
          <w:iCs/>
          <w:lang w:val="en-GB"/>
        </w:rPr>
        <w:t>v</w:t>
      </w:r>
      <w:r w:rsidRPr="00E2779D">
        <w:rPr>
          <w:rFonts w:cs="Times New Roman"/>
          <w:i/>
          <w:lang w:val="en-GB"/>
        </w:rPr>
        <w:t>. Canada</w:t>
      </w:r>
      <w:r w:rsidRPr="00E2779D">
        <w:rPr>
          <w:rFonts w:cs="Times New Roman"/>
          <w:lang w:val="en-GB"/>
        </w:rPr>
        <w:t xml:space="preserve">, [1999] 3 S.C.R. 622, at paras. 45-46; </w:t>
      </w:r>
      <w:r w:rsidRPr="00E2779D">
        <w:rPr>
          <w:rFonts w:cs="Times New Roman"/>
          <w:i/>
          <w:iCs/>
          <w:lang w:val="en"/>
        </w:rPr>
        <w:t xml:space="preserve">Stubart </w:t>
      </w:r>
      <w:r w:rsidRPr="00E2779D">
        <w:rPr>
          <w:rFonts w:cs="Times New Roman"/>
          <w:i/>
          <w:iCs/>
          <w:lang w:val="en-GB"/>
        </w:rPr>
        <w:t>Investments Ltd. v. The Queen</w:t>
      </w:r>
      <w:r w:rsidRPr="00E2779D">
        <w:rPr>
          <w:rFonts w:cs="Times New Roman"/>
          <w:lang w:val="en"/>
        </w:rPr>
        <w:t xml:space="preserve">, </w:t>
      </w:r>
      <w:r w:rsidRPr="00E2779D">
        <w:rPr>
          <w:rFonts w:cs="Times New Roman"/>
          <w:lang w:val="en-GB"/>
        </w:rPr>
        <w:t>[1984] 1 S.C.R. 536,</w:t>
      </w:r>
      <w:r w:rsidRPr="00E2779D">
        <w:rPr>
          <w:rFonts w:cs="Times New Roman"/>
          <w:lang w:val="en"/>
        </w:rPr>
        <w:t xml:space="preserve"> at p. 540, </w:t>
      </w:r>
      <w:r w:rsidRPr="00E2779D">
        <w:rPr>
          <w:rFonts w:cs="Times New Roman"/>
          <w:iCs/>
          <w:lang w:val="en"/>
        </w:rPr>
        <w:t>per</w:t>
      </w:r>
      <w:r w:rsidRPr="00E2779D">
        <w:rPr>
          <w:rFonts w:cs="Times New Roman"/>
          <w:lang w:val="en"/>
        </w:rPr>
        <w:t xml:space="preserve"> Wilson J., and at p. 557, </w:t>
      </w:r>
      <w:r w:rsidRPr="00E2779D">
        <w:rPr>
          <w:rFonts w:cs="Times New Roman"/>
          <w:iCs/>
          <w:lang w:val="en"/>
        </w:rPr>
        <w:t>per</w:t>
      </w:r>
      <w:r w:rsidRPr="00E2779D">
        <w:rPr>
          <w:rFonts w:cs="Times New Roman"/>
          <w:lang w:val="en"/>
        </w:rPr>
        <w:t xml:space="preserve"> Estey J.; </w:t>
      </w:r>
      <w:r w:rsidRPr="00E2779D">
        <w:rPr>
          <w:rFonts w:cs="Times New Roman"/>
          <w:i/>
          <w:iCs/>
          <w:lang w:val="en-GB"/>
        </w:rPr>
        <w:t>Duha Printers (Western) Ltd. v. Canada</w:t>
      </w:r>
      <w:r w:rsidRPr="00E2779D">
        <w:rPr>
          <w:rFonts w:cs="Times New Roman"/>
          <w:lang w:val="en-GB"/>
        </w:rPr>
        <w:t>, [1998] 1 S.C.R. 795</w:t>
      </w:r>
      <w:r w:rsidRPr="00E2779D">
        <w:rPr>
          <w:rFonts w:cs="Times New Roman"/>
          <w:lang w:val="en"/>
        </w:rPr>
        <w:t xml:space="preserve">, at para. 88. </w:t>
      </w:r>
      <w:r w:rsidRPr="00E2779D">
        <w:rPr>
          <w:rFonts w:cs="Times New Roman"/>
        </w:rPr>
        <w:t xml:space="preserve">For instance, in </w:t>
      </w:r>
      <w:r w:rsidRPr="00E2779D">
        <w:rPr>
          <w:rFonts w:cs="Times New Roman"/>
          <w:i/>
          <w:lang w:val="en-GB"/>
        </w:rPr>
        <w:t>Shell Canada</w:t>
      </w:r>
      <w:r w:rsidRPr="00E2779D">
        <w:rPr>
          <w:rFonts w:cs="Times New Roman"/>
        </w:rPr>
        <w:t>, this Court unanimously stated the following, at para. 45:</w:t>
      </w:r>
    </w:p>
    <w:p w:rsidR="00A55D5F" w:rsidRPr="00E2779D" w:rsidRDefault="00A55D5F" w:rsidP="00AD4E67">
      <w:pPr>
        <w:pStyle w:val="Citation-AltC"/>
        <w:widowControl w:val="0"/>
      </w:pPr>
      <w:r w:rsidRPr="00E2779D">
        <w:rPr>
          <w:lang w:val="en"/>
        </w:rPr>
        <w:t>Unless the Act</w:t>
      </w:r>
      <w:r w:rsidRPr="00E2779D">
        <w:rPr>
          <w:rStyle w:val="decisia-reflex2-icon"/>
          <w:lang w:val="en"/>
        </w:rPr>
        <w:t> </w:t>
      </w:r>
      <w:r w:rsidRPr="00E2779D">
        <w:rPr>
          <w:lang w:val="en"/>
        </w:rPr>
        <w:t xml:space="preserve">provides otherwise, </w:t>
      </w:r>
      <w:r w:rsidRPr="00E2779D">
        <w:rPr>
          <w:u w:val="single"/>
          <w:lang w:val="en"/>
        </w:rPr>
        <w:t xml:space="preserve">a taxpayer is entitled to be taxed based </w:t>
      </w:r>
      <w:r w:rsidRPr="00E2779D">
        <w:rPr>
          <w:u w:val="single"/>
          <w:lang w:val="en"/>
        </w:rPr>
        <w:lastRenderedPageBreak/>
        <w:t>on what it actually did, not based on what it could have done</w:t>
      </w:r>
      <w:r w:rsidRPr="00E2779D">
        <w:rPr>
          <w:lang w:val="en"/>
        </w:rPr>
        <w:t>, and certainly not based on what a less sophisticated taxpayer might have done. [Emphasis added.]</w:t>
      </w:r>
    </w:p>
    <w:p w:rsidR="00A55D5F" w:rsidRPr="00E2779D" w:rsidRDefault="00A55D5F" w:rsidP="00AD4E67">
      <w:pPr>
        <w:pStyle w:val="ContinueParaSuitedupar-AltP"/>
        <w:widowControl w:val="0"/>
        <w:rPr>
          <w:rFonts w:cs="Times New Roman"/>
          <w:lang w:val="en-US"/>
        </w:rPr>
      </w:pPr>
      <w:r w:rsidRPr="00E2779D">
        <w:rPr>
          <w:rFonts w:cs="Times New Roman"/>
        </w:rPr>
        <w:t>Equally, if taxpayers agree to and execute an agreement that produce unintended tax consequences, they must still be taxed on the basis of that agreement and not on the basis of what they “could have done” to achieve their intended tax consequences, had they been better informed. Tax consequences do not flow from contracting parties’ motivations or tax objectives.</w:t>
      </w:r>
    </w:p>
    <w:p w:rsidR="00A55D5F" w:rsidRPr="00E2779D" w:rsidRDefault="00A55D5F" w:rsidP="00AD4E67">
      <w:pPr>
        <w:pStyle w:val="ParaNoNdepar-AltN"/>
        <w:widowControl w:val="0"/>
        <w:rPr>
          <w:rFonts w:cs="Times New Roman"/>
          <w:szCs w:val="24"/>
        </w:rPr>
      </w:pPr>
      <w:r w:rsidRPr="00E2779D">
        <w:rPr>
          <w:rFonts w:eastAsia="Calibri" w:cs="Times New Roman"/>
        </w:rPr>
        <w:t>Second, I believe that a</w:t>
      </w:r>
      <w:r w:rsidRPr="00E2779D">
        <w:rPr>
          <w:rFonts w:eastAsia="Calibri" w:cs="Times New Roman"/>
          <w:lang w:val="en-US"/>
        </w:rPr>
        <w:t xml:space="preserve">llowing the amendment of the written documents in the instant appeal would amount to retroactive tax planning. It would set an undesirable precedent, where taxpayers could point to a common intention to effect their transactions on a tax-neutral basis to immunize themselves from unforeseen tax consequences. Such an intention would be common to many taxpayers and transactions, particularly where the parties are not at arm’s length. Allowing a general intention of tax neutrality to serve as a basis for retroactively modifying contracts would effectively enable many taxpayers to look to art. 1425 </w:t>
      </w:r>
      <w:r w:rsidRPr="00E2779D">
        <w:rPr>
          <w:rFonts w:eastAsia="Calibri" w:cs="Times New Roman"/>
          <w:i/>
          <w:lang w:val="en-US"/>
        </w:rPr>
        <w:t>C.C.Q.</w:t>
      </w:r>
      <w:r w:rsidRPr="00E2779D">
        <w:rPr>
          <w:rFonts w:eastAsia="Calibri" w:cs="Times New Roman"/>
          <w:lang w:val="en-US"/>
        </w:rPr>
        <w:t xml:space="preserve"> as a kind of catch-all insurance for their inadvertence or mistakes, or for those of their tax advisors, in planning transactions. </w:t>
      </w:r>
    </w:p>
    <w:p w:rsidR="00A55D5F" w:rsidRPr="00E2779D" w:rsidRDefault="00A55D5F" w:rsidP="00AD4E67">
      <w:pPr>
        <w:pStyle w:val="ParaNoNdepar-AltN"/>
        <w:widowControl w:val="0"/>
        <w:rPr>
          <w:rFonts w:cs="Times New Roman"/>
          <w:szCs w:val="24"/>
        </w:rPr>
      </w:pPr>
      <w:r w:rsidRPr="00E2779D">
        <w:rPr>
          <w:rFonts w:eastAsia="Calibri" w:cs="Times New Roman"/>
          <w:lang w:val="en-US"/>
        </w:rPr>
        <w:t xml:space="preserve">I recognize that “[i]ncome tax law is notoriously complex and many taxpayers rely on tax advisors to help them comply”: </w:t>
      </w:r>
      <w:r w:rsidRPr="00E2779D">
        <w:rPr>
          <w:rFonts w:cs="Times New Roman"/>
          <w:i/>
        </w:rPr>
        <w:t>Guindon</w:t>
      </w:r>
      <w:r w:rsidRPr="00E2779D">
        <w:rPr>
          <w:rFonts w:cs="Times New Roman"/>
          <w:i/>
          <w:iCs/>
        </w:rPr>
        <w:t xml:space="preserve"> v.</w:t>
      </w:r>
      <w:r w:rsidRPr="00E2779D">
        <w:rPr>
          <w:rFonts w:cs="Times New Roman"/>
          <w:i/>
        </w:rPr>
        <w:t xml:space="preserve"> Canada</w:t>
      </w:r>
      <w:r w:rsidRPr="00E2779D">
        <w:rPr>
          <w:rFonts w:cs="Times New Roman"/>
        </w:rPr>
        <w:t xml:space="preserve">, 2015 SCC 41, [2015] 3 S.C.R. 3, at para. 1. But when taxpayers agree to certain transactions and later claim that their advisors made mistakes by failing to properly advise them that the </w:t>
      </w:r>
      <w:r w:rsidRPr="00E2779D">
        <w:rPr>
          <w:rFonts w:cs="Times New Roman"/>
        </w:rPr>
        <w:lastRenderedPageBreak/>
        <w:t xml:space="preserve">transactions they agreed to would produce unintended tax consequences, </w:t>
      </w:r>
      <w:r w:rsidRPr="00E2779D">
        <w:rPr>
          <w:rFonts w:eastAsia="Calibri" w:cs="Times New Roman"/>
          <w:lang w:val="en-US"/>
        </w:rPr>
        <w:t xml:space="preserve">the appropriate avenue to recoup their ensuing losses is not through the retroactive amendment of their agreement. Rather, if the mistakes are of such a nature as to warrant it, taxpayers can bring a claim against their advisors, who generally have </w:t>
      </w:r>
      <w:r w:rsidRPr="00E2779D">
        <w:rPr>
          <w:rFonts w:cs="Times New Roman"/>
        </w:rPr>
        <w:t>professional liability insurance, and try to prove that claim in the courts.</w:t>
      </w:r>
    </w:p>
    <w:p w:rsidR="00A55D5F" w:rsidRPr="00E2779D" w:rsidRDefault="00A55D5F" w:rsidP="00AD4E67">
      <w:pPr>
        <w:pStyle w:val="Title2LevelTitre2Niveau"/>
        <w:widowControl w:val="0"/>
        <w:numPr>
          <w:ilvl w:val="1"/>
          <w:numId w:val="3"/>
        </w:numPr>
        <w:rPr>
          <w:rFonts w:cs="Times New Roman"/>
          <w:lang w:val="en-US"/>
        </w:rPr>
      </w:pPr>
      <w:r w:rsidRPr="00E2779D">
        <w:rPr>
          <w:rFonts w:cs="Times New Roman"/>
          <w:lang w:val="en-US"/>
        </w:rPr>
        <w:t>The Natural Consistency in Outcomes Under Rectification in Quebec Civil Law and Rectification in Equity Is Desirable</w:t>
      </w:r>
    </w:p>
    <w:p w:rsidR="00A55D5F" w:rsidRPr="00E2779D" w:rsidRDefault="00A55D5F" w:rsidP="00AD4E67">
      <w:pPr>
        <w:pStyle w:val="ParaNoNdepar-AltN"/>
        <w:widowControl w:val="0"/>
        <w:rPr>
          <w:rFonts w:cs="Times New Roman"/>
          <w:lang w:val="en-US"/>
        </w:rPr>
      </w:pPr>
      <w:r w:rsidRPr="00E2779D">
        <w:rPr>
          <w:rFonts w:cs="Times New Roman"/>
          <w:lang w:val="en-US"/>
        </w:rPr>
        <w:t xml:space="preserve">As these reasons and those of my colleague Brown J. in </w:t>
      </w:r>
      <w:r w:rsidRPr="00E2779D">
        <w:rPr>
          <w:rFonts w:cs="Times New Roman"/>
          <w:i/>
          <w:lang w:val="en-US"/>
        </w:rPr>
        <w:t xml:space="preserve">Fairmont </w:t>
      </w:r>
      <w:r w:rsidRPr="00E2779D">
        <w:rPr>
          <w:rFonts w:cs="Times New Roman"/>
          <w:lang w:val="en-US"/>
        </w:rPr>
        <w:t xml:space="preserve">reveal, rectification under Quebec civil law, as the parties and the courts below referred to it, and the equitable remedy of rectification stem from different legal sources but lead to similar results. </w:t>
      </w:r>
      <w:r w:rsidRPr="00E2779D">
        <w:rPr>
          <w:rFonts w:cs="Times New Roman"/>
        </w:rPr>
        <w:t>Both ultimately have the same purpose: to ascertain that the true agreement between the contracting parties is accurately expressed in the written instruments reflecting either the terms of the agreement or the execution of the obligations themselves. The civil law accomplishes this goal through contractual interpretation and retroactive amendment of documents, while equity accomplishes it through the correction of written instruments to reflect the true agreement of the parties.</w:t>
      </w:r>
    </w:p>
    <w:p w:rsidR="00A55D5F" w:rsidRPr="00E2779D" w:rsidRDefault="00A55D5F" w:rsidP="00AD4E67">
      <w:pPr>
        <w:pStyle w:val="ParaNoNdepar-AltN"/>
        <w:widowControl w:val="0"/>
        <w:rPr>
          <w:rFonts w:cs="Times New Roman"/>
          <w:lang w:val="en-US"/>
        </w:rPr>
      </w:pPr>
      <w:r w:rsidRPr="00E2779D">
        <w:rPr>
          <w:rFonts w:cs="Times New Roman"/>
          <w:lang w:val="en-US"/>
        </w:rPr>
        <w:t xml:space="preserve">Rectification under Quebec civil law stems from principles of contract formation and interpretation, as codified in the </w:t>
      </w:r>
      <w:r w:rsidRPr="00E2779D">
        <w:rPr>
          <w:rFonts w:cs="Times New Roman"/>
          <w:i/>
          <w:lang w:val="en-US"/>
        </w:rPr>
        <w:t>C.C.Q.</w:t>
      </w:r>
      <w:r w:rsidRPr="00E2779D">
        <w:rPr>
          <w:rFonts w:cs="Times New Roman"/>
          <w:lang w:val="en-US"/>
        </w:rPr>
        <w:t xml:space="preserve">, particularly art. 1425. A similar provision appeared in its predecessor, the </w:t>
      </w:r>
      <w:r w:rsidRPr="00E2779D">
        <w:rPr>
          <w:rFonts w:cs="Times New Roman"/>
          <w:i/>
          <w:lang w:val="en-US"/>
        </w:rPr>
        <w:t>Civil Code of Lower Canada</w:t>
      </w:r>
      <w:r w:rsidRPr="00E2779D">
        <w:rPr>
          <w:rFonts w:cs="Times New Roman"/>
          <w:lang w:val="en-US"/>
        </w:rPr>
        <w:t xml:space="preserve"> (art. 1013), and in the </w:t>
      </w:r>
      <w:r w:rsidRPr="00E2779D">
        <w:rPr>
          <w:rFonts w:cs="Times New Roman"/>
          <w:i/>
          <w:lang w:val="en-US"/>
        </w:rPr>
        <w:t>Code</w:t>
      </w:r>
      <w:r w:rsidRPr="00E2779D">
        <w:rPr>
          <w:rFonts w:cs="Times New Roman"/>
          <w:lang w:val="en-US"/>
        </w:rPr>
        <w:t xml:space="preserve"> </w:t>
      </w:r>
      <w:r w:rsidRPr="00E2779D">
        <w:rPr>
          <w:rFonts w:cs="Times New Roman"/>
          <w:i/>
          <w:lang w:val="en-US"/>
        </w:rPr>
        <w:t xml:space="preserve">Napoléon </w:t>
      </w:r>
      <w:r w:rsidRPr="00E2779D">
        <w:rPr>
          <w:rFonts w:cs="Times New Roman"/>
          <w:lang w:val="en-US"/>
        </w:rPr>
        <w:t>(art. 1156), on which the latter was partly based.</w:t>
      </w:r>
    </w:p>
    <w:p w:rsidR="00A55D5F" w:rsidRPr="00E2779D" w:rsidRDefault="00A55D5F" w:rsidP="00AD4E67">
      <w:pPr>
        <w:pStyle w:val="ParaNoNdepar-AltN"/>
        <w:widowControl w:val="0"/>
        <w:tabs>
          <w:tab w:val="clear" w:pos="1152"/>
          <w:tab w:val="left" w:pos="1166"/>
        </w:tabs>
        <w:rPr>
          <w:rFonts w:cs="Times New Roman"/>
        </w:rPr>
      </w:pPr>
      <w:r w:rsidRPr="00E2779D">
        <w:rPr>
          <w:rFonts w:cs="Times New Roman"/>
          <w:lang w:val="en-US"/>
        </w:rPr>
        <w:lastRenderedPageBreak/>
        <w:t xml:space="preserve">Rectification under the common law is not based on legislative or statutory power, but on the equitable jurisdiction of judges. Equity, which is concerned with fairness and justice, provides remedies in particular cases where the rigidity of the common law would lead to unconscionable results. One such possible instance is where a written instrument documenting an agreement between contracting parties fails to accurately reflect that agreement. At common law, the terms of the agreement would be identified by strictly interpreting the terms of the written instrument. Judges, however, can exercise their equitable jurisdiction to give relief from that inflexibility by correcting the written instrument to bring it in line with the true agreement between the parties. Rectification is thus an exception to the parol evidence rule, by which oral evidence is not admissible to alter written instruments. See </w:t>
      </w:r>
      <w:r w:rsidRPr="00E2779D">
        <w:rPr>
          <w:rFonts w:cs="Times New Roman"/>
          <w:i/>
        </w:rPr>
        <w:t>Snell’s Equity</w:t>
      </w:r>
      <w:r w:rsidRPr="00E2779D">
        <w:rPr>
          <w:rFonts w:cs="Times New Roman"/>
        </w:rPr>
        <w:t xml:space="preserve"> (31st ed. 2005), by J. McGhee, ed., at pp. 3-5 and 331-32; I. C. F. Spry, </w:t>
      </w:r>
      <w:r w:rsidRPr="00E2779D">
        <w:rPr>
          <w:rFonts w:cs="Times New Roman"/>
          <w:i/>
        </w:rPr>
        <w:t>The Principles of Equitable Remedies</w:t>
      </w:r>
      <w:r w:rsidRPr="00E2779D">
        <w:rPr>
          <w:rFonts w:cs="Times New Roman"/>
        </w:rPr>
        <w:t xml:space="preserve"> (9th ed. 2014), at pp. 630-31; </w:t>
      </w:r>
      <w:r w:rsidRPr="00E2779D">
        <w:rPr>
          <w:rFonts w:cs="Times New Roman"/>
          <w:i/>
        </w:rPr>
        <w:t>Hanbury and Martin</w:t>
      </w:r>
      <w:r w:rsidRPr="00E2779D">
        <w:rPr>
          <w:rFonts w:cs="Times New Roman"/>
        </w:rPr>
        <w:t xml:space="preserve"> </w:t>
      </w:r>
      <w:r w:rsidRPr="00E2779D">
        <w:rPr>
          <w:rFonts w:cs="Times New Roman"/>
          <w:i/>
        </w:rPr>
        <w:t>Modern Equity</w:t>
      </w:r>
      <w:r w:rsidRPr="00E2779D">
        <w:rPr>
          <w:rFonts w:cs="Times New Roman"/>
        </w:rPr>
        <w:t xml:space="preserve"> (20th ed. 2015), by J. Glister and J. Lee, at pp. 3-4 and 846-47.</w:t>
      </w:r>
    </w:p>
    <w:p w:rsidR="00A55D5F" w:rsidRPr="00E2779D" w:rsidRDefault="00A55D5F" w:rsidP="00AD4E67">
      <w:pPr>
        <w:pStyle w:val="ParaNoNdepar-AltN"/>
        <w:widowControl w:val="0"/>
        <w:tabs>
          <w:tab w:val="clear" w:pos="1152"/>
          <w:tab w:val="left" w:pos="1166"/>
        </w:tabs>
        <w:rPr>
          <w:rFonts w:cs="Times New Roman"/>
        </w:rPr>
      </w:pPr>
      <w:r w:rsidRPr="00E2779D">
        <w:rPr>
          <w:rFonts w:cs="Times New Roman"/>
        </w:rPr>
        <w:t xml:space="preserve">Despite their different origins, both rectification under Quebec civil law and rectification in equity are strict, in the sense that only the expression or transcription of contracts can be amended; contracts themselves cannot be reformulated. See </w:t>
      </w:r>
      <w:r w:rsidRPr="00E2779D">
        <w:rPr>
          <w:rFonts w:cs="Times New Roman"/>
          <w:i/>
        </w:rPr>
        <w:t>AES</w:t>
      </w:r>
      <w:r w:rsidRPr="00E2779D">
        <w:rPr>
          <w:rFonts w:cs="Times New Roman"/>
        </w:rPr>
        <w:t xml:space="preserve">; </w:t>
      </w:r>
      <w:r w:rsidRPr="00E2779D">
        <w:rPr>
          <w:rFonts w:cs="Times New Roman"/>
          <w:szCs w:val="24"/>
        </w:rPr>
        <w:t xml:space="preserve">Spry, at pp. 630-32; </w:t>
      </w:r>
      <w:r w:rsidRPr="00E2779D">
        <w:rPr>
          <w:rFonts w:cs="Times New Roman"/>
          <w:i/>
          <w:szCs w:val="24"/>
        </w:rPr>
        <w:t>Snell’s Equity</w:t>
      </w:r>
      <w:r w:rsidRPr="00E2779D">
        <w:rPr>
          <w:rFonts w:cs="Times New Roman"/>
          <w:szCs w:val="24"/>
        </w:rPr>
        <w:t xml:space="preserve"> (33rd ed. 2015), by J. McGhee, at pp. 417-18</w:t>
      </w:r>
      <w:r w:rsidRPr="00E2779D">
        <w:rPr>
          <w:rFonts w:cs="Times New Roman"/>
        </w:rPr>
        <w:t xml:space="preserve">; </w:t>
      </w:r>
      <w:r w:rsidRPr="00E2779D">
        <w:rPr>
          <w:rFonts w:cs="Times New Roman"/>
          <w:i/>
        </w:rPr>
        <w:t xml:space="preserve">Mackenzie v. Coulson </w:t>
      </w:r>
      <w:r w:rsidRPr="00E2779D">
        <w:rPr>
          <w:rFonts w:cs="Times New Roman"/>
        </w:rPr>
        <w:t xml:space="preserve">(1869), L.R. 8 Eq. 368, at p. 375. In both cases, the true agreement is paramount, not its intended consequences or effects. </w:t>
      </w:r>
      <w:r w:rsidRPr="00E2779D">
        <w:rPr>
          <w:rFonts w:cs="Times New Roman"/>
          <w:lang w:val="en-US"/>
        </w:rPr>
        <w:t xml:space="preserve">Given these commonalities, it is not surprising that, when faced with the same facts, courts in both legal systems will generally reach similar results when asked to recognize amendments </w:t>
      </w:r>
      <w:r w:rsidRPr="00E2779D">
        <w:rPr>
          <w:rFonts w:cs="Times New Roman"/>
          <w:lang w:val="en-US"/>
        </w:rPr>
        <w:lastRenderedPageBreak/>
        <w:t xml:space="preserve">to the expression of the parties’ common intention in accordance with art. 1425 </w:t>
      </w:r>
      <w:r w:rsidRPr="00E2779D">
        <w:rPr>
          <w:rFonts w:cs="Times New Roman"/>
          <w:i/>
          <w:lang w:val="en-US"/>
        </w:rPr>
        <w:t>C.C.Q.</w:t>
      </w:r>
      <w:r w:rsidRPr="00E2779D">
        <w:rPr>
          <w:rFonts w:cs="Times New Roman"/>
          <w:lang w:val="en-US"/>
        </w:rPr>
        <w:t xml:space="preserve"> or to rectify written instruments on equitable grounds. I will briefly examine the instant case and </w:t>
      </w:r>
      <w:r w:rsidRPr="00E2779D">
        <w:rPr>
          <w:rFonts w:cs="Times New Roman"/>
          <w:i/>
          <w:lang w:val="en-US"/>
        </w:rPr>
        <w:t xml:space="preserve">Fairmont </w:t>
      </w:r>
      <w:r w:rsidRPr="00E2779D">
        <w:rPr>
          <w:rFonts w:cs="Times New Roman"/>
          <w:lang w:val="en-US"/>
        </w:rPr>
        <w:t xml:space="preserve">to illustrate this consistency in results. </w:t>
      </w:r>
    </w:p>
    <w:p w:rsidR="00A55D5F" w:rsidRPr="00E2779D" w:rsidRDefault="00A55D5F" w:rsidP="00AD4E67">
      <w:pPr>
        <w:pStyle w:val="ParaNoNdepar-AltN"/>
        <w:widowControl w:val="0"/>
        <w:tabs>
          <w:tab w:val="clear" w:pos="1152"/>
          <w:tab w:val="left" w:pos="1166"/>
        </w:tabs>
        <w:rPr>
          <w:rFonts w:cs="Times New Roman"/>
        </w:rPr>
      </w:pPr>
      <w:r w:rsidRPr="00E2779D">
        <w:rPr>
          <w:rFonts w:cs="Times New Roman"/>
          <w:lang w:val="en-US"/>
        </w:rPr>
        <w:t xml:space="preserve">In the instant appeal, the contracting parties agreed to three original transactions, which were accurately expressed in the related written documents. The appellant’s requested amendments ― inserting two transactions the contracting parties had not previously contemplated, so that their general intention of tax neutrality will be achieved ― are not permissible under art. 1425 </w:t>
      </w:r>
      <w:r w:rsidRPr="00E2779D">
        <w:rPr>
          <w:rFonts w:cs="Times New Roman"/>
          <w:i/>
          <w:lang w:val="en-US"/>
        </w:rPr>
        <w:t>C.C.Q.</w:t>
      </w:r>
      <w:r w:rsidRPr="00E2779D">
        <w:rPr>
          <w:rFonts w:cs="Times New Roman"/>
          <w:lang w:val="en-US"/>
        </w:rPr>
        <w:t>, nor would they be in equity. The contracting parties did not reach a prior agreement with definite and ascertainable terms that included these two transactions. As such, courts in the common law provinces would view the parties’ motion as an attempt to reformulate the agreement they had originally reached, something rectification does not do.</w:t>
      </w:r>
    </w:p>
    <w:p w:rsidR="00A55D5F" w:rsidRPr="00E2779D" w:rsidRDefault="00A55D5F" w:rsidP="00AD4E67">
      <w:pPr>
        <w:pStyle w:val="ParaNoNdepar-AltN"/>
        <w:widowControl w:val="0"/>
        <w:tabs>
          <w:tab w:val="clear" w:pos="1152"/>
          <w:tab w:val="left" w:pos="1166"/>
        </w:tabs>
        <w:rPr>
          <w:rFonts w:cs="Times New Roman"/>
        </w:rPr>
      </w:pPr>
      <w:r w:rsidRPr="00E2779D">
        <w:rPr>
          <w:rFonts w:cs="Times New Roman"/>
          <w:lang w:val="en-US"/>
        </w:rPr>
        <w:t xml:space="preserve">In </w:t>
      </w:r>
      <w:r w:rsidRPr="00E2779D">
        <w:rPr>
          <w:rFonts w:cs="Times New Roman"/>
          <w:i/>
          <w:lang w:val="en-US"/>
        </w:rPr>
        <w:t>Fairmont</w:t>
      </w:r>
      <w:r w:rsidRPr="00E2779D">
        <w:rPr>
          <w:rFonts w:cs="Times New Roman"/>
          <w:lang w:val="en-US"/>
        </w:rPr>
        <w:t xml:space="preserve">, </w:t>
      </w:r>
      <w:r w:rsidRPr="00E2779D">
        <w:rPr>
          <w:rFonts w:cs="Times New Roman"/>
        </w:rPr>
        <w:t xml:space="preserve">the respondent Fairmont Hotels Inc. (“Fairmont”) and two subsidiaries entered into a complex financing arrangement with a Canadian real estate investment trust. Because the financing was in U.S. currency, Fairmont’s participation exposed it and its subsidiaries to potential foreign exchange tax liability. The original arrangement fully hedged the exposure of both Fairmont and its subsidiaries to that liability. A few years later, however, Fairmont was acquired by two other companies, causing its goal of foreign exchange tax neutrality to be frustrated. Fairmont and its acquirers thus agreed on a modified plan under which Fairmont, but not its subsidiaries, would be fully hedged against its exposure to foreign exchange tax liability once again. </w:t>
      </w:r>
      <w:r w:rsidRPr="00E2779D">
        <w:rPr>
          <w:rFonts w:cs="Times New Roman"/>
        </w:rPr>
        <w:lastRenderedPageBreak/>
        <w:t xml:space="preserve">Fairmont’s two subsidiaries were not similarly protected under the modified plan. Fairmont intended to resolve this problem in the future, but had no specific plan as to how it would do so. A year after the acquisition and implementation of the modified plan, the financing arrangement with the trust had to be wound up on an urgent basis. To that end, Fairmont redeemed its shares in its subsidiaries, on the incorrect assumption that the subsidiaries’ foreign exchange tax neutrality had been secured. This triggered taxable foreign exchange gains, which were discovered after a CRA audit. To avoid that unintended tax liability, Fairmont requested rectification of the corporate resolutions redeeming the shares, asking the courts to convert the share redemption into a loan. </w:t>
      </w:r>
    </w:p>
    <w:p w:rsidR="00A55D5F" w:rsidRPr="00E2779D" w:rsidRDefault="00A55D5F" w:rsidP="00AD4E67">
      <w:pPr>
        <w:pStyle w:val="ParaNoNdepar-AltN"/>
        <w:widowControl w:val="0"/>
        <w:tabs>
          <w:tab w:val="clear" w:pos="1152"/>
          <w:tab w:val="left" w:pos="1166"/>
        </w:tabs>
        <w:rPr>
          <w:rFonts w:cs="Times New Roman"/>
        </w:rPr>
      </w:pPr>
      <w:r w:rsidRPr="00E2779D">
        <w:rPr>
          <w:rFonts w:cs="Times New Roman"/>
        </w:rPr>
        <w:t xml:space="preserve">As my colleague Brown J.’s reasons explain, the equitable remedy of rectification was unavailable to Fairmont because it could not show that it had reached a prior agreement with definite and ascertainable terms to secure foreign exchange tax neutrality for its subsidiaries after the modified plan had been put in place. If Fairmont’s request had been made under Quebec civil law, in accordance with art. 1425 </w:t>
      </w:r>
      <w:r w:rsidRPr="00E2779D">
        <w:rPr>
          <w:rFonts w:cs="Times New Roman"/>
          <w:i/>
        </w:rPr>
        <w:t>C.C.Q.</w:t>
      </w:r>
      <w:r w:rsidRPr="00E2779D">
        <w:rPr>
          <w:rFonts w:cs="Times New Roman"/>
        </w:rPr>
        <w:t>, it would also have been denied. Although Fairmont</w:t>
      </w:r>
      <w:r w:rsidRPr="00E2779D">
        <w:rPr>
          <w:rFonts w:cs="Times New Roman"/>
          <w:i/>
        </w:rPr>
        <w:t xml:space="preserve"> </w:t>
      </w:r>
      <w:r w:rsidRPr="00E2779D">
        <w:rPr>
          <w:rFonts w:cs="Times New Roman"/>
        </w:rPr>
        <w:t xml:space="preserve">had a particular tax consequence in mind (avoiding taxable foreign exchange gains), it did not have an agreement that would successfully ensure such avoidance for its subsidiaries during the wind up of the financing arrangement. A general intention to avoid a certain tax consequence is, like a general intention of tax neutrality, insufficiently determinate or determinable to constitute an object of an obligation or of a contract under Quebec civil law. The parties did not agree on a set of precise transactions that, if expressed correctly, would have </w:t>
      </w:r>
      <w:r w:rsidRPr="00E2779D">
        <w:rPr>
          <w:rFonts w:cs="Times New Roman"/>
        </w:rPr>
        <w:lastRenderedPageBreak/>
        <w:t xml:space="preserve">avoided triggering the unintended tax liability for Fairmont’s subsidiaries on the wind up of the financing arrangement. </w:t>
      </w:r>
    </w:p>
    <w:p w:rsidR="00A55D5F" w:rsidRPr="00E2779D" w:rsidRDefault="00A55D5F" w:rsidP="00AD4E67">
      <w:pPr>
        <w:pStyle w:val="ParaNoNdepar-AltN"/>
        <w:widowControl w:val="0"/>
        <w:rPr>
          <w:rFonts w:cs="Times New Roman"/>
        </w:rPr>
      </w:pPr>
      <w:r w:rsidRPr="00E2779D">
        <w:rPr>
          <w:rFonts w:cs="Times New Roman"/>
          <w:szCs w:val="24"/>
        </w:rPr>
        <w:t>I acknowledge that rectification under Quebec civil law and rectification in equity will not, however, always lead to the same result. This is because of differences between the principles of contract law specific to the two legal systems and variations in the facts from case to case.</w:t>
      </w:r>
      <w:r w:rsidRPr="00E2779D">
        <w:rPr>
          <w:rFonts w:cs="Times New Roman"/>
        </w:rPr>
        <w:t xml:space="preserve"> </w:t>
      </w:r>
    </w:p>
    <w:p w:rsidR="00A55D5F" w:rsidRPr="00E2779D" w:rsidRDefault="00A55D5F" w:rsidP="00AD4E67">
      <w:pPr>
        <w:pStyle w:val="ParaNoNdepar-AltN"/>
        <w:widowControl w:val="0"/>
        <w:tabs>
          <w:tab w:val="clear" w:pos="1152"/>
          <w:tab w:val="left" w:pos="1166"/>
        </w:tabs>
        <w:rPr>
          <w:rFonts w:cs="Times New Roman"/>
        </w:rPr>
      </w:pPr>
      <w:r w:rsidRPr="00E2779D">
        <w:rPr>
          <w:rFonts w:cs="Times New Roman"/>
          <w:lang w:val="en-US"/>
        </w:rPr>
        <w:t xml:space="preserve">Still, the natural convergence in principles and outcomes I have described above is generally desirable, particularly in the tax context. </w:t>
      </w:r>
      <w:r w:rsidRPr="00E2779D">
        <w:rPr>
          <w:rFonts w:cs="Times New Roman"/>
          <w:szCs w:val="24"/>
        </w:rPr>
        <w:t>Taxpayers in both Quebec and the common law provinces are subject to the same federal taxation system. They could expect to encounter similar results when they seek to amend documents that express their agreement and lead to unintended tax consequences. And, as in the case of good faith under the civil law and the common law of contracts, this is another example of the two legal systems achieving convergence despite their distinct origins and principles.</w:t>
      </w:r>
    </w:p>
    <w:p w:rsidR="00A55D5F" w:rsidRPr="00E2779D" w:rsidRDefault="00A55D5F" w:rsidP="00AD4E67">
      <w:pPr>
        <w:pStyle w:val="Title1LevelTitre1Niveau-AltL"/>
        <w:widowControl w:val="0"/>
        <w:numPr>
          <w:ilvl w:val="0"/>
          <w:numId w:val="3"/>
        </w:numPr>
        <w:rPr>
          <w:rFonts w:cs="Times New Roman"/>
          <w:lang w:val="en-US"/>
        </w:rPr>
      </w:pPr>
      <w:r w:rsidRPr="00E2779D">
        <w:rPr>
          <w:rFonts w:cs="Times New Roman"/>
          <w:lang w:val="en-US"/>
        </w:rPr>
        <w:t>Disposition</w:t>
      </w:r>
    </w:p>
    <w:p w:rsidR="00A55D5F" w:rsidRPr="00E2779D" w:rsidRDefault="00A55D5F" w:rsidP="00AD4E67">
      <w:pPr>
        <w:pStyle w:val="ParaNoNdepar-AltN"/>
        <w:widowControl w:val="0"/>
        <w:rPr>
          <w:rFonts w:cs="Times New Roman"/>
          <w:lang w:val="en-US"/>
        </w:rPr>
      </w:pPr>
      <w:r w:rsidRPr="00E2779D">
        <w:rPr>
          <w:rFonts w:cs="Times New Roman"/>
          <w:lang w:val="en"/>
        </w:rPr>
        <w:t>For these reasons, I would dismiss the appeal, with costs throughout.</w:t>
      </w:r>
    </w:p>
    <w:p w:rsidR="00A55D5F" w:rsidRPr="00BF46B7" w:rsidRDefault="000914D2" w:rsidP="00AD4E67">
      <w:pPr>
        <w:widowControl w:val="0"/>
        <w:tabs>
          <w:tab w:val="left" w:pos="1170"/>
        </w:tabs>
        <w:spacing w:after="480" w:line="480" w:lineRule="auto"/>
      </w:pPr>
      <w:r>
        <w:tab/>
      </w:r>
      <w:r w:rsidR="00A55D5F" w:rsidRPr="00A61588">
        <w:t xml:space="preserve">The reasons of </w:t>
      </w:r>
      <w:proofErr w:type="spellStart"/>
      <w:r w:rsidR="00A55D5F" w:rsidRPr="00A61588">
        <w:t>A</w:t>
      </w:r>
      <w:r w:rsidR="00A55D5F">
        <w:t>bella</w:t>
      </w:r>
      <w:proofErr w:type="spellEnd"/>
      <w:r w:rsidR="00A55D5F" w:rsidRPr="00A61588">
        <w:t xml:space="preserve"> and </w:t>
      </w:r>
      <w:proofErr w:type="spellStart"/>
      <w:r w:rsidR="00A55D5F" w:rsidRPr="00A61588">
        <w:t>C</w:t>
      </w:r>
      <w:r w:rsidR="00A55D5F">
        <w:t>ôté</w:t>
      </w:r>
      <w:proofErr w:type="spellEnd"/>
      <w:r w:rsidR="00A55D5F">
        <w:t> </w:t>
      </w:r>
      <w:r w:rsidR="00A55D5F" w:rsidRPr="00A61588">
        <w:t xml:space="preserve">JJ. </w:t>
      </w:r>
      <w:proofErr w:type="gramStart"/>
      <w:r w:rsidR="00A55D5F" w:rsidRPr="00A61588">
        <w:t>were</w:t>
      </w:r>
      <w:proofErr w:type="gramEnd"/>
      <w:r w:rsidR="00A55D5F" w:rsidRPr="00A61588">
        <w:t xml:space="preserve"> delivered by</w:t>
      </w:r>
    </w:p>
    <w:p w:rsidR="00A55D5F" w:rsidRPr="00BF46B7" w:rsidRDefault="000914D2" w:rsidP="00AD4E67">
      <w:pPr>
        <w:pStyle w:val="ParaNoNdepar-AltN"/>
        <w:widowControl w:val="0"/>
        <w:rPr>
          <w:rFonts w:cs="Times New Roman"/>
        </w:rPr>
      </w:pPr>
      <w:proofErr w:type="spellStart"/>
      <w:r w:rsidRPr="000914D2">
        <w:rPr>
          <w:smallCaps/>
        </w:rPr>
        <w:t>Côté</w:t>
      </w:r>
      <w:proofErr w:type="spellEnd"/>
      <w:r w:rsidRPr="000914D2">
        <w:rPr>
          <w:smallCaps/>
        </w:rPr>
        <w:t xml:space="preserve"> J.</w:t>
      </w:r>
      <w:r w:rsidRPr="00BF46B7">
        <w:t xml:space="preserve"> </w:t>
      </w:r>
      <w:r w:rsidR="00E879D7">
        <w:t xml:space="preserve">(dissenting) </w:t>
      </w:r>
      <w:r w:rsidRPr="00BF46B7">
        <w:t xml:space="preserve">— </w:t>
      </w:r>
      <w:r w:rsidR="00A55D5F" w:rsidRPr="00BF46B7">
        <w:rPr>
          <w:rFonts w:cs="Times New Roman"/>
        </w:rPr>
        <w:t xml:space="preserve">This appeal requires us to interpret and apply the </w:t>
      </w:r>
      <w:r w:rsidR="00A55D5F" w:rsidRPr="00BF46B7">
        <w:rPr>
          <w:rFonts w:cs="Times New Roman"/>
        </w:rPr>
        <w:lastRenderedPageBreak/>
        <w:t xml:space="preserve">guidelines governing the availability of “rectification” in </w:t>
      </w:r>
      <w:r w:rsidR="00A55D5F" w:rsidRPr="00BF46B7">
        <w:rPr>
          <w:rFonts w:cs="Times New Roman"/>
          <w:iCs/>
        </w:rPr>
        <w:t>Quebec</w:t>
      </w:r>
      <w:r w:rsidR="00A55D5F" w:rsidRPr="00BF46B7">
        <w:rPr>
          <w:rFonts w:cs="Times New Roman"/>
        </w:rPr>
        <w:t xml:space="preserve"> civil law as established by this Court in </w:t>
      </w:r>
      <w:r w:rsidR="00A55D5F" w:rsidRPr="00BF46B7">
        <w:rPr>
          <w:rFonts w:cs="Times New Roman"/>
          <w:i/>
        </w:rPr>
        <w:t xml:space="preserve">Quebec (Agence du revenu) </w:t>
      </w:r>
      <w:r w:rsidR="00A55D5F" w:rsidRPr="00BF46B7">
        <w:rPr>
          <w:rFonts w:cs="Times New Roman"/>
          <w:i/>
          <w:iCs/>
        </w:rPr>
        <w:t>v.</w:t>
      </w:r>
      <w:r w:rsidR="00A55D5F" w:rsidRPr="00BF46B7">
        <w:rPr>
          <w:rFonts w:cs="Times New Roman"/>
          <w:i/>
        </w:rPr>
        <w:t xml:space="preserve"> Services Environnementaux AES inc.</w:t>
      </w:r>
      <w:r w:rsidR="00A55D5F" w:rsidRPr="00BF46B7">
        <w:rPr>
          <w:rFonts w:cs="Times New Roman"/>
        </w:rPr>
        <w:t xml:space="preserve">, 2013 SCC 65, </w:t>
      </w:r>
      <w:r w:rsidR="00A55D5F" w:rsidRPr="000914D2">
        <w:rPr>
          <w:rStyle w:val="sccrespondentforindexchar1"/>
          <w:rFonts w:cs="Times New Roman"/>
          <w:b w:val="0"/>
        </w:rPr>
        <w:t>[2013] 3 S.C.R. 838 (“</w:t>
      </w:r>
      <w:r w:rsidR="00A55D5F" w:rsidRPr="000914D2">
        <w:rPr>
          <w:rStyle w:val="sccrespondentforindexchar1"/>
          <w:rFonts w:cs="Times New Roman"/>
          <w:b w:val="0"/>
          <w:i/>
        </w:rPr>
        <w:t>AES</w:t>
      </w:r>
      <w:r w:rsidR="00A55D5F" w:rsidRPr="000914D2">
        <w:rPr>
          <w:rStyle w:val="sccrespondentforindexchar1"/>
          <w:rFonts w:cs="Times New Roman"/>
          <w:b w:val="0"/>
        </w:rPr>
        <w:t>”)</w:t>
      </w:r>
      <w:r w:rsidR="00A55D5F" w:rsidRPr="00BF46B7">
        <w:rPr>
          <w:rFonts w:cs="Times New Roman"/>
          <w:lang w:val="en-US"/>
        </w:rPr>
        <w:t xml:space="preserve">. </w:t>
      </w:r>
      <w:r w:rsidR="00A55D5F" w:rsidRPr="00BF46B7">
        <w:rPr>
          <w:rFonts w:cs="Times New Roman"/>
        </w:rPr>
        <w:t xml:space="preserve">In my view, the proper interpretation of these guidelines and their application to the case before us confirm that the appellant’s motion for rectification is both legitimate and necessary. With respect, I believe that the liberal and generous approach to rectification applied by </w:t>
      </w:r>
      <w:r w:rsidR="00A55D5F">
        <w:rPr>
          <w:rFonts w:cs="Times New Roman"/>
        </w:rPr>
        <w:t>LeBel </w:t>
      </w:r>
      <w:r w:rsidR="00A55D5F" w:rsidRPr="00BF46B7">
        <w:rPr>
          <w:rFonts w:cs="Times New Roman"/>
        </w:rPr>
        <w:t>J. in</w:t>
      </w:r>
      <w:r w:rsidR="00A55D5F" w:rsidRPr="00BF46B7">
        <w:rPr>
          <w:rFonts w:cs="Times New Roman"/>
          <w:i/>
        </w:rPr>
        <w:t xml:space="preserve"> AES</w:t>
      </w:r>
      <w:r w:rsidR="00A55D5F" w:rsidRPr="00BF46B7">
        <w:rPr>
          <w:rFonts w:cs="Times New Roman"/>
        </w:rPr>
        <w:t xml:space="preserve"> </w:t>
      </w:r>
      <w:r w:rsidR="00A55D5F">
        <w:rPr>
          <w:rFonts w:cs="Times New Roman"/>
        </w:rPr>
        <w:t>and endorsed by Abella </w:t>
      </w:r>
      <w:r w:rsidR="00A55D5F" w:rsidRPr="00BF46B7">
        <w:rPr>
          <w:rFonts w:cs="Times New Roman"/>
        </w:rPr>
        <w:t xml:space="preserve">J. in </w:t>
      </w:r>
      <w:r w:rsidR="00A55D5F" w:rsidRPr="00BF46B7">
        <w:rPr>
          <w:rFonts w:cs="Times New Roman"/>
          <w:i/>
        </w:rPr>
        <w:t>Canada (Attorney General) v. Fairmont Hotels Inc.</w:t>
      </w:r>
      <w:r w:rsidR="00A55D5F" w:rsidRPr="00BF46B7">
        <w:rPr>
          <w:rFonts w:cs="Times New Roman"/>
        </w:rPr>
        <w:t>, 2016 SCC 5</w:t>
      </w:r>
      <w:r w:rsidR="00A55D5F">
        <w:rPr>
          <w:rFonts w:cs="Times New Roman"/>
        </w:rPr>
        <w:t>6</w:t>
      </w:r>
      <w:r>
        <w:rPr>
          <w:rFonts w:cs="Times New Roman"/>
        </w:rPr>
        <w:t xml:space="preserve">, [2016] 2 S.C.R. </w:t>
      </w:r>
      <w:r w:rsidR="008C185D">
        <w:rPr>
          <w:rFonts w:cs="Times New Roman"/>
        </w:rPr>
        <w:t>720</w:t>
      </w:r>
      <w:r w:rsidR="00A55D5F" w:rsidRPr="00BF46B7">
        <w:rPr>
          <w:rFonts w:cs="Times New Roman"/>
        </w:rPr>
        <w:t xml:space="preserve"> (“</w:t>
      </w:r>
      <w:r w:rsidR="00A55D5F" w:rsidRPr="00BF46B7">
        <w:rPr>
          <w:rFonts w:cs="Times New Roman"/>
          <w:i/>
        </w:rPr>
        <w:t>Fairmont</w:t>
      </w:r>
      <w:r w:rsidR="00A55D5F" w:rsidRPr="00BF46B7">
        <w:rPr>
          <w:rFonts w:cs="Times New Roman"/>
        </w:rPr>
        <w:t xml:space="preserve">”), should be followed here. Departing from this approach, as the majority has done both in this case and in </w:t>
      </w:r>
      <w:r w:rsidR="00A55D5F" w:rsidRPr="00BF46B7">
        <w:rPr>
          <w:rFonts w:cs="Times New Roman"/>
          <w:i/>
        </w:rPr>
        <w:t>Fairmont</w:t>
      </w:r>
      <w:r w:rsidR="00A55D5F" w:rsidRPr="00BF46B7">
        <w:rPr>
          <w:rFonts w:cs="Times New Roman"/>
        </w:rPr>
        <w:t xml:space="preserve">, limits the availability of an important recourse for taxpayers in the presence of an error made in good faith by them or their tax advisors. A mere intention to avoid taxation can never suffice to ground a legitimate “rectification” request under art. 1425 of the </w:t>
      </w:r>
      <w:r w:rsidR="00A55D5F" w:rsidRPr="00BF46B7">
        <w:rPr>
          <w:rFonts w:cs="Times New Roman"/>
          <w:i/>
        </w:rPr>
        <w:t>Civil Code of Québec</w:t>
      </w:r>
      <w:r w:rsidR="00A55D5F" w:rsidRPr="00BF46B7">
        <w:rPr>
          <w:rFonts w:cs="Times New Roman"/>
        </w:rPr>
        <w:t xml:space="preserve"> (“</w:t>
      </w:r>
      <w:r w:rsidR="00A55D5F" w:rsidRPr="00BF46B7">
        <w:rPr>
          <w:rFonts w:cs="Times New Roman"/>
          <w:i/>
        </w:rPr>
        <w:t>Code</w:t>
      </w:r>
      <w:r w:rsidR="00A55D5F" w:rsidRPr="00BF46B7">
        <w:rPr>
          <w:rFonts w:cs="Times New Roman"/>
        </w:rPr>
        <w:t>” or “</w:t>
      </w:r>
      <w:r w:rsidR="00A55D5F" w:rsidRPr="00BF46B7">
        <w:rPr>
          <w:rFonts w:cs="Times New Roman"/>
          <w:i/>
        </w:rPr>
        <w:t>C.C.Q.</w:t>
      </w:r>
      <w:r w:rsidR="00A55D5F" w:rsidRPr="00BF46B7">
        <w:rPr>
          <w:rFonts w:cs="Times New Roman"/>
        </w:rPr>
        <w:t xml:space="preserve">”). But this important restriction does not limit the availability of rectification on the facts of this case. I would accordingly allow the appeal. </w:t>
      </w:r>
    </w:p>
    <w:p w:rsidR="00A55D5F" w:rsidRPr="00A55D5F" w:rsidRDefault="00A55D5F" w:rsidP="00AD4E67">
      <w:pPr>
        <w:pStyle w:val="Title1LevelTitre1Niveau-AltL"/>
        <w:widowControl w:val="0"/>
        <w:numPr>
          <w:ilvl w:val="0"/>
          <w:numId w:val="6"/>
        </w:numPr>
        <w:outlineLvl w:val="9"/>
        <w:rPr>
          <w:rFonts w:cs="Times New Roman"/>
        </w:rPr>
      </w:pPr>
      <w:r w:rsidRPr="00A55D5F">
        <w:rPr>
          <w:rFonts w:cs="Times New Roman"/>
        </w:rPr>
        <w:t>Context</w:t>
      </w:r>
    </w:p>
    <w:p w:rsidR="00A55D5F" w:rsidRPr="00BF46B7" w:rsidRDefault="00A55D5F" w:rsidP="00AD4E67">
      <w:pPr>
        <w:pStyle w:val="ParaNoNdepar-AltN"/>
        <w:widowControl w:val="0"/>
        <w:rPr>
          <w:rFonts w:cs="Times New Roman"/>
        </w:rPr>
      </w:pPr>
      <w:r w:rsidRPr="00BF46B7">
        <w:rPr>
          <w:rFonts w:cs="Times New Roman"/>
        </w:rPr>
        <w:t xml:space="preserve">In 2004, Jean Coutu Group (PJC) Inc. (“PJC Canada”) acquired 1,800 pharmacies located in the United States on behalf of its subsidiary, Jean Coutu Group (PJC) USA Inc. (“PJC USA”). The value of the investment, as reflected in PJC Canada’s financial statements, varied due to exchange rate fluctuations. These exchange rate fluctuations had to be recorded in PJC Canada’s financial statements as </w:t>
      </w:r>
      <w:r w:rsidRPr="00BF46B7">
        <w:rPr>
          <w:rFonts w:cs="Times New Roman"/>
        </w:rPr>
        <w:lastRenderedPageBreak/>
        <w:t xml:space="preserve">either gains or losses. For example, in November 2004, PJC </w:t>
      </w:r>
      <w:r>
        <w:rPr>
          <w:rFonts w:cs="Times New Roman"/>
        </w:rPr>
        <w:t>Canada recorded a loss of $20.1 </w:t>
      </w:r>
      <w:r w:rsidRPr="00BF46B7">
        <w:rPr>
          <w:rFonts w:cs="Times New Roman"/>
        </w:rPr>
        <w:t xml:space="preserve">million due to currency fluctuations. Although these fluctuations had no tax impact, they did negatively affect investor sentiment. As a result, PJC Canada consulted its auditors with the aim of developing an accounting solution that could neutralize the adverse effects of the exchange rate fluctuations on its financial statements. It was agreed and clear between the parties that any such solution would also have to be tax-neutral, given that the exchange rate fluctuations themselves gave rise to no immediate tax consequences. To make sure that tax neutrality would be achieved, the parties specifically sought out tax advice with respect to their contemplated financing agreement. Beyond merely intending that their agreement would be tax-neutral, the parties then chose the transactional scheme in light of the advice they received. </w:t>
      </w:r>
    </w:p>
    <w:p w:rsidR="00A55D5F" w:rsidRPr="00BF46B7" w:rsidRDefault="00A55D5F" w:rsidP="00AD4E67">
      <w:pPr>
        <w:pStyle w:val="ParaNoNdepar-AltN"/>
        <w:widowControl w:val="0"/>
        <w:rPr>
          <w:rStyle w:val="notranslate"/>
          <w:rFonts w:cs="Times New Roman"/>
        </w:rPr>
      </w:pPr>
      <w:r>
        <w:rPr>
          <w:rStyle w:val="notranslate"/>
          <w:rFonts w:cs="Times New Roman"/>
        </w:rPr>
        <w:t>In February </w:t>
      </w:r>
      <w:r w:rsidRPr="00BF46B7">
        <w:rPr>
          <w:rStyle w:val="notranslate"/>
          <w:rFonts w:cs="Times New Roman"/>
        </w:rPr>
        <w:t>2005, on the advice of their tax advisors, PJC Canada and PJC USA took the following steps provided by the agreed transactional scheme in order to neutralize the effects of the exchange rate fluctuations without triggering any tax consequences:</w:t>
      </w:r>
    </w:p>
    <w:p w:rsidR="00A55D5F" w:rsidRPr="00BF46B7" w:rsidRDefault="00A55D5F" w:rsidP="00AD4E67">
      <w:pPr>
        <w:pStyle w:val="NumberedParas"/>
        <w:widowControl w:val="0"/>
        <w:numPr>
          <w:ilvl w:val="5"/>
          <w:numId w:val="1"/>
        </w:numPr>
        <w:ind w:left="720" w:hanging="720"/>
      </w:pPr>
      <w:r w:rsidRPr="00BF46B7">
        <w:t>on February</w:t>
      </w:r>
      <w:r>
        <w:t> 7, </w:t>
      </w:r>
      <w:r w:rsidRPr="00BF46B7">
        <w:t>2005, PJC Canada loaned US</w:t>
      </w:r>
      <w:r>
        <w:t>$120 </w:t>
      </w:r>
      <w:r w:rsidRPr="00BF46B7">
        <w:t>million to PJC USA, with interest at London Interbank Offered Rate (“LIBOR”) plus 2.5 percent, a loan that was payable only by mutual consent of the parties;</w:t>
      </w:r>
    </w:p>
    <w:p w:rsidR="00A55D5F" w:rsidRPr="00BF46B7" w:rsidRDefault="00A55D5F" w:rsidP="00AD4E67">
      <w:pPr>
        <w:pStyle w:val="NumberedParas"/>
        <w:widowControl w:val="0"/>
        <w:numPr>
          <w:ilvl w:val="0"/>
          <w:numId w:val="0"/>
        </w:numPr>
        <w:ind w:left="1260"/>
      </w:pPr>
    </w:p>
    <w:p w:rsidR="00A55D5F" w:rsidRPr="00BF46B7" w:rsidRDefault="00A55D5F" w:rsidP="00AD4E67">
      <w:pPr>
        <w:pStyle w:val="NumberedParas"/>
        <w:widowControl w:val="0"/>
        <w:numPr>
          <w:ilvl w:val="5"/>
          <w:numId w:val="1"/>
        </w:numPr>
        <w:ind w:left="720" w:hanging="720"/>
      </w:pPr>
      <w:r w:rsidRPr="00BF46B7">
        <w:t>on February</w:t>
      </w:r>
      <w:r>
        <w:t> 25, </w:t>
      </w:r>
      <w:r w:rsidRPr="00BF46B7">
        <w:t>2005, PJC Canada purchased an additional 10 common shares of PJC USA for US</w:t>
      </w:r>
      <w:r>
        <w:t>$70 </w:t>
      </w:r>
      <w:r w:rsidRPr="00BF46B7">
        <w:t>million; and</w:t>
      </w:r>
    </w:p>
    <w:p w:rsidR="00A55D5F" w:rsidRPr="00BF46B7" w:rsidRDefault="00A55D5F" w:rsidP="00AD4E67">
      <w:pPr>
        <w:pStyle w:val="ListParagraph"/>
        <w:widowControl w:val="0"/>
        <w:rPr>
          <w:rFonts w:cs="Times New Roman"/>
        </w:rPr>
      </w:pPr>
    </w:p>
    <w:p w:rsidR="00A55D5F" w:rsidRPr="00BF46B7" w:rsidRDefault="00A55D5F" w:rsidP="00AD4E67">
      <w:pPr>
        <w:pStyle w:val="NumberedParas"/>
        <w:widowControl w:val="0"/>
        <w:numPr>
          <w:ilvl w:val="5"/>
          <w:numId w:val="1"/>
        </w:numPr>
        <w:ind w:left="720" w:hanging="720"/>
      </w:pPr>
      <w:r w:rsidRPr="00BF46B7">
        <w:t>on February</w:t>
      </w:r>
      <w:r>
        <w:t> 25, </w:t>
      </w:r>
      <w:r w:rsidRPr="00BF46B7">
        <w:t>2005, PJC USA loaned US</w:t>
      </w:r>
      <w:r>
        <w:t>$70 </w:t>
      </w:r>
      <w:r w:rsidRPr="00BF46B7">
        <w:t>million to PJC Canada, with interest at LIBOR plus 2.5</w:t>
      </w:r>
      <w:r>
        <w:t> </w:t>
      </w:r>
      <w:r w:rsidRPr="00BF46B7">
        <w:t>percent.</w:t>
      </w:r>
    </w:p>
    <w:p w:rsidR="00A55D5F" w:rsidRPr="00BF46B7" w:rsidRDefault="00A55D5F" w:rsidP="00AD4E67">
      <w:pPr>
        <w:pStyle w:val="ParaNoNdepar-AltN"/>
        <w:widowControl w:val="0"/>
        <w:rPr>
          <w:rFonts w:cs="Times New Roman"/>
        </w:rPr>
      </w:pPr>
      <w:r w:rsidRPr="00BF46B7">
        <w:rPr>
          <w:rFonts w:cs="Times New Roman"/>
        </w:rPr>
        <w:t>In 2010, following an audit of PJC Canada for the 2005, 2006 and 2007 taxation years, the Canada Revenue Agency (“CRA”) concluded that the interest paid by PJC Canada to PJC USA on the US</w:t>
      </w:r>
      <w:r>
        <w:rPr>
          <w:rFonts w:cs="Times New Roman"/>
        </w:rPr>
        <w:t>$70 </w:t>
      </w:r>
      <w:r w:rsidRPr="00BF46B7">
        <w:rPr>
          <w:rFonts w:cs="Times New Roman"/>
        </w:rPr>
        <w:t xml:space="preserve">million loan constituted </w:t>
      </w:r>
      <w:r w:rsidR="00C32098">
        <w:rPr>
          <w:rFonts w:cs="Times New Roman"/>
        </w:rPr>
        <w:t>“</w:t>
      </w:r>
      <w:r w:rsidRPr="00BF46B7">
        <w:rPr>
          <w:rFonts w:cs="Times New Roman"/>
        </w:rPr>
        <w:t>foreign accrual property income</w:t>
      </w:r>
      <w:r w:rsidR="00C32098">
        <w:rPr>
          <w:rFonts w:cs="Times New Roman"/>
        </w:rPr>
        <w:t>”</w:t>
      </w:r>
      <w:r w:rsidRPr="00BF46B7">
        <w:rPr>
          <w:rFonts w:cs="Times New Roman"/>
        </w:rPr>
        <w:t xml:space="preserve"> (“FAPI”) as defined by s. 95(1) of the </w:t>
      </w:r>
      <w:r w:rsidRPr="00BF46B7">
        <w:rPr>
          <w:rFonts w:cs="Times New Roman"/>
          <w:i/>
        </w:rPr>
        <w:t>Income Tax Act</w:t>
      </w:r>
      <w:r w:rsidRPr="00BF46B7">
        <w:rPr>
          <w:rFonts w:cs="Times New Roman"/>
        </w:rPr>
        <w:t xml:space="preserve">, R.S.C. 1985, </w:t>
      </w:r>
      <w:r>
        <w:rPr>
          <w:rFonts w:cs="Times New Roman"/>
        </w:rPr>
        <w:t>c. </w:t>
      </w:r>
      <w:r w:rsidRPr="00BF46B7">
        <w:rPr>
          <w:rFonts w:cs="Times New Roman"/>
        </w:rPr>
        <w:t>1 (5th Supp.) (“</w:t>
      </w:r>
      <w:r w:rsidRPr="00BF46B7">
        <w:rPr>
          <w:rFonts w:cs="Times New Roman"/>
          <w:i/>
        </w:rPr>
        <w:t>ITA</w:t>
      </w:r>
      <w:r w:rsidRPr="00BF46B7">
        <w:rPr>
          <w:rFonts w:cs="Times New Roman"/>
        </w:rPr>
        <w:t xml:space="preserve">”), and was taxable as income of PJC Canada pursuant </w:t>
      </w:r>
      <w:r>
        <w:rPr>
          <w:rFonts w:cs="Times New Roman"/>
        </w:rPr>
        <w:t>to s. </w:t>
      </w:r>
      <w:r w:rsidRPr="00BF46B7">
        <w:rPr>
          <w:rFonts w:cs="Times New Roman"/>
        </w:rPr>
        <w:t xml:space="preserve">91(1) of that Act. This resulted in an </w:t>
      </w:r>
      <w:r>
        <w:rPr>
          <w:rFonts w:cs="Times New Roman"/>
        </w:rPr>
        <w:t>additional $2.2 </w:t>
      </w:r>
      <w:r w:rsidRPr="00BF46B7">
        <w:rPr>
          <w:rFonts w:cs="Times New Roman"/>
        </w:rPr>
        <w:t xml:space="preserve">million in taxes. </w:t>
      </w:r>
    </w:p>
    <w:p w:rsidR="00A55D5F" w:rsidRPr="00BF46B7" w:rsidRDefault="00A55D5F" w:rsidP="00AD4E67">
      <w:pPr>
        <w:pStyle w:val="ParaNoNdepar-AltN"/>
        <w:widowControl w:val="0"/>
        <w:rPr>
          <w:rFonts w:cs="Times New Roman"/>
        </w:rPr>
      </w:pPr>
      <w:r w:rsidRPr="00BF46B7">
        <w:rPr>
          <w:rFonts w:cs="Times New Roman"/>
        </w:rPr>
        <w:t>As the application judge found, although PJC Canada had taken prompt and reasonable measu</w:t>
      </w:r>
      <w:r>
        <w:rPr>
          <w:rFonts w:cs="Times New Roman"/>
        </w:rPr>
        <w:t>res to ensure that its February </w:t>
      </w:r>
      <w:r w:rsidRPr="00BF46B7">
        <w:rPr>
          <w:rFonts w:cs="Times New Roman"/>
        </w:rPr>
        <w:t xml:space="preserve">2005 operation would trigger no tax consequences, the tax advisors had not considered FAPI before advising the parties on the appropriate transactional scheme. The parties were therefore under the mistaken impression that their agreement was tax-neutral in every aspect. Only the CRA audit in 2010 revealed that it was not. </w:t>
      </w:r>
    </w:p>
    <w:p w:rsidR="00A55D5F" w:rsidRPr="00BF46B7" w:rsidRDefault="00A55D5F" w:rsidP="00AD4E67">
      <w:pPr>
        <w:pStyle w:val="ParaNoNdepar-AltN"/>
        <w:widowControl w:val="0"/>
        <w:rPr>
          <w:rFonts w:cs="Times New Roman"/>
        </w:rPr>
      </w:pPr>
      <w:r w:rsidRPr="00BF46B7">
        <w:rPr>
          <w:rFonts w:cs="Times New Roman"/>
        </w:rPr>
        <w:t xml:space="preserve">Given that the unintended tax consequences were inconsistent with the common and continuing intention of the parties, PJC Canada applied for rectification of the agreement through the addition of two intermediate steps in the transactional scheme between PJC Canada and PJC USA: </w:t>
      </w:r>
    </w:p>
    <w:p w:rsidR="00A55D5F" w:rsidRDefault="00A55D5F" w:rsidP="00AD4E67">
      <w:pPr>
        <w:pStyle w:val="NumberedParas"/>
        <w:widowControl w:val="0"/>
        <w:numPr>
          <w:ilvl w:val="5"/>
          <w:numId w:val="1"/>
        </w:numPr>
        <w:spacing w:after="480"/>
        <w:ind w:left="720" w:hanging="720"/>
        <w:contextualSpacing w:val="0"/>
      </w:pPr>
      <w:r w:rsidRPr="00BF46B7">
        <w:t>o</w:t>
      </w:r>
      <w:r>
        <w:t>n February 7, </w:t>
      </w:r>
      <w:r w:rsidRPr="00BF46B7">
        <w:t>2005, PJC Canada loaned US$</w:t>
      </w:r>
      <w:r>
        <w:t>120 </w:t>
      </w:r>
      <w:r w:rsidRPr="00BF46B7">
        <w:t xml:space="preserve">million PJC USA, </w:t>
      </w:r>
      <w:r>
        <w:t xml:space="preserve">with </w:t>
      </w:r>
      <w:r>
        <w:lastRenderedPageBreak/>
        <w:t>interest at LIBOR plus 2.5 </w:t>
      </w:r>
      <w:r w:rsidRPr="00BF46B7">
        <w:t>percent;</w:t>
      </w:r>
    </w:p>
    <w:p w:rsidR="00A55D5F" w:rsidRPr="00BF46B7" w:rsidRDefault="00A55D5F" w:rsidP="00AD4E67">
      <w:pPr>
        <w:pStyle w:val="NumberedParas"/>
        <w:widowControl w:val="0"/>
        <w:numPr>
          <w:ilvl w:val="5"/>
          <w:numId w:val="1"/>
        </w:numPr>
        <w:spacing w:after="480"/>
        <w:ind w:left="720" w:hanging="720"/>
        <w:contextualSpacing w:val="0"/>
      </w:pPr>
      <w:r w:rsidRPr="00BF46B7">
        <w:t>on February</w:t>
      </w:r>
      <w:r>
        <w:t> 25, </w:t>
      </w:r>
      <w:r w:rsidRPr="00BF46B7">
        <w:t>2005, PJC Canada purchased an additional 10 common shares of PJC USA for US$70</w:t>
      </w:r>
      <w:r>
        <w:t> </w:t>
      </w:r>
      <w:r w:rsidRPr="00BF46B7">
        <w:t>million;</w:t>
      </w:r>
    </w:p>
    <w:p w:rsidR="00A55D5F" w:rsidRPr="00BF46B7" w:rsidRDefault="00A55D5F" w:rsidP="00AD4E67">
      <w:pPr>
        <w:pStyle w:val="NumberedParas"/>
        <w:widowControl w:val="0"/>
        <w:numPr>
          <w:ilvl w:val="5"/>
          <w:numId w:val="1"/>
        </w:numPr>
        <w:spacing w:after="480"/>
        <w:ind w:left="720" w:hanging="720"/>
        <w:contextualSpacing w:val="0"/>
        <w:rPr>
          <w:u w:val="single"/>
        </w:rPr>
      </w:pPr>
      <w:r w:rsidRPr="00BF46B7">
        <w:rPr>
          <w:i/>
        </w:rPr>
        <w:t>on February</w:t>
      </w:r>
      <w:r>
        <w:rPr>
          <w:i/>
        </w:rPr>
        <w:t xml:space="preserve"> 25, </w:t>
      </w:r>
      <w:r w:rsidRPr="00BF46B7">
        <w:rPr>
          <w:i/>
        </w:rPr>
        <w:t>2005, PJC USA repaid US</w:t>
      </w:r>
      <w:r>
        <w:rPr>
          <w:i/>
        </w:rPr>
        <w:t xml:space="preserve">$70 </w:t>
      </w:r>
      <w:r w:rsidRPr="00BF46B7">
        <w:rPr>
          <w:i/>
        </w:rPr>
        <w:t>million of the US$120</w:t>
      </w:r>
      <w:r>
        <w:rPr>
          <w:i/>
        </w:rPr>
        <w:t> </w:t>
      </w:r>
      <w:r w:rsidRPr="00BF46B7">
        <w:rPr>
          <w:i/>
        </w:rPr>
        <w:t>million loan to PJC Canada</w:t>
      </w:r>
      <w:r w:rsidRPr="00BF46B7">
        <w:t>;</w:t>
      </w:r>
      <w:r w:rsidRPr="00BF46B7">
        <w:rPr>
          <w:u w:val="single"/>
        </w:rPr>
        <w:t xml:space="preserve"> </w:t>
      </w:r>
    </w:p>
    <w:p w:rsidR="00A55D5F" w:rsidRPr="00BF46B7" w:rsidRDefault="00A55D5F" w:rsidP="00AD4E67">
      <w:pPr>
        <w:pStyle w:val="NumberedParas"/>
        <w:widowControl w:val="0"/>
        <w:numPr>
          <w:ilvl w:val="5"/>
          <w:numId w:val="1"/>
        </w:numPr>
        <w:spacing w:after="480"/>
        <w:ind w:left="720" w:hanging="720"/>
        <w:contextualSpacing w:val="0"/>
        <w:rPr>
          <w:u w:val="single"/>
        </w:rPr>
      </w:pPr>
      <w:r w:rsidRPr="00BF46B7">
        <w:rPr>
          <w:i/>
        </w:rPr>
        <w:t>on February</w:t>
      </w:r>
      <w:r>
        <w:rPr>
          <w:i/>
        </w:rPr>
        <w:t> 25, </w:t>
      </w:r>
      <w:r w:rsidRPr="00BF46B7">
        <w:rPr>
          <w:i/>
        </w:rPr>
        <w:t xml:space="preserve">2005, PJC </w:t>
      </w:r>
      <w:r w:rsidRPr="00CD3A7F">
        <w:rPr>
          <w:i/>
        </w:rPr>
        <w:t>Canada</w:t>
      </w:r>
      <w:r w:rsidRPr="00BF46B7">
        <w:rPr>
          <w:i/>
        </w:rPr>
        <w:t xml:space="preserve"> loaned US</w:t>
      </w:r>
      <w:r>
        <w:rPr>
          <w:i/>
        </w:rPr>
        <w:t>$70 </w:t>
      </w:r>
      <w:r w:rsidRPr="00BF46B7">
        <w:rPr>
          <w:i/>
        </w:rPr>
        <w:t>million to PJC USA</w:t>
      </w:r>
      <w:r w:rsidRPr="00BF46B7">
        <w:t>;</w:t>
      </w:r>
      <w:r w:rsidRPr="00BF46B7">
        <w:rPr>
          <w:u w:val="single"/>
        </w:rPr>
        <w:t xml:space="preserve"> </w:t>
      </w:r>
      <w:r w:rsidRPr="00BF46B7">
        <w:t>and</w:t>
      </w:r>
      <w:r w:rsidRPr="00BF46B7">
        <w:rPr>
          <w:u w:val="single"/>
        </w:rPr>
        <w:t xml:space="preserve"> </w:t>
      </w:r>
    </w:p>
    <w:p w:rsidR="00A55D5F" w:rsidRPr="00BF46B7" w:rsidRDefault="00A55D5F" w:rsidP="00AD4E67">
      <w:pPr>
        <w:pStyle w:val="NumberedParas"/>
        <w:widowControl w:val="0"/>
        <w:numPr>
          <w:ilvl w:val="5"/>
          <w:numId w:val="1"/>
        </w:numPr>
        <w:spacing w:after="480"/>
        <w:ind w:left="720" w:hanging="720"/>
        <w:contextualSpacing w:val="0"/>
      </w:pPr>
      <w:proofErr w:type="gramStart"/>
      <w:r w:rsidRPr="00BF46B7">
        <w:t>on</w:t>
      </w:r>
      <w:proofErr w:type="gramEnd"/>
      <w:r w:rsidRPr="00BF46B7">
        <w:t xml:space="preserve"> February</w:t>
      </w:r>
      <w:r>
        <w:t> 25, </w:t>
      </w:r>
      <w:r w:rsidRPr="00BF46B7">
        <w:t>2005, PJC USA loaned US</w:t>
      </w:r>
      <w:r>
        <w:t>$70 </w:t>
      </w:r>
      <w:r w:rsidRPr="00BF46B7">
        <w:t>million to PJC Canada, with interest at LIBOR plus 2.5</w:t>
      </w:r>
      <w:r>
        <w:t> </w:t>
      </w:r>
      <w:r w:rsidRPr="00BF46B7">
        <w:t>percent.</w:t>
      </w:r>
    </w:p>
    <w:p w:rsidR="00A55D5F" w:rsidRPr="00BF46B7" w:rsidRDefault="00A55D5F" w:rsidP="00AD4E67">
      <w:pPr>
        <w:pStyle w:val="ContinueParaSuitedupar-AltP"/>
        <w:widowControl w:val="0"/>
        <w:rPr>
          <w:rFonts w:cs="Times New Roman"/>
        </w:rPr>
      </w:pPr>
      <w:r w:rsidRPr="00BF46B7">
        <w:rPr>
          <w:rFonts w:cs="Times New Roman"/>
        </w:rPr>
        <w:t xml:space="preserve">As a result of these changes, the interest payable by PJC Canada to PJC USA was offset by the interest payable by PJC USA to PJC Canada, thereby avoiding tax consequences. </w:t>
      </w:r>
    </w:p>
    <w:p w:rsidR="00A55D5F" w:rsidRPr="00BF46B7" w:rsidRDefault="00A55D5F" w:rsidP="00AD4E67">
      <w:pPr>
        <w:pStyle w:val="Title1LevelTitre1Niveau-AltL"/>
        <w:widowControl w:val="0"/>
        <w:numPr>
          <w:ilvl w:val="0"/>
          <w:numId w:val="3"/>
        </w:numPr>
        <w:outlineLvl w:val="9"/>
        <w:rPr>
          <w:rFonts w:cs="Times New Roman"/>
        </w:rPr>
      </w:pPr>
      <w:r w:rsidRPr="00BF46B7">
        <w:rPr>
          <w:rFonts w:cs="Times New Roman"/>
        </w:rPr>
        <w:t xml:space="preserve">Analysis </w:t>
      </w:r>
    </w:p>
    <w:p w:rsidR="00A55D5F" w:rsidRPr="00BF46B7" w:rsidRDefault="00A55D5F" w:rsidP="00AD4E67">
      <w:pPr>
        <w:pStyle w:val="Title2LevelTitre2Niveau"/>
        <w:widowControl w:val="0"/>
        <w:numPr>
          <w:ilvl w:val="1"/>
          <w:numId w:val="3"/>
        </w:numPr>
        <w:outlineLvl w:val="9"/>
        <w:rPr>
          <w:rFonts w:cs="Times New Roman"/>
          <w:lang w:val="fr-CA"/>
        </w:rPr>
      </w:pPr>
      <w:r w:rsidRPr="00BF46B7">
        <w:rPr>
          <w:rFonts w:cs="Times New Roman"/>
          <w:lang w:val="fr-CA"/>
        </w:rPr>
        <w:t xml:space="preserve">This Court’s Decision in AES </w:t>
      </w:r>
    </w:p>
    <w:p w:rsidR="00A55D5F" w:rsidRPr="00BF46B7" w:rsidRDefault="00A55D5F" w:rsidP="00AD4E67">
      <w:pPr>
        <w:pStyle w:val="ParaNoNdepar-AltN"/>
        <w:widowControl w:val="0"/>
        <w:rPr>
          <w:rFonts w:cs="Times New Roman"/>
          <w:u w:val="single"/>
        </w:rPr>
      </w:pPr>
      <w:r w:rsidRPr="00BF46B7">
        <w:rPr>
          <w:rFonts w:cs="Times New Roman"/>
        </w:rPr>
        <w:t>This appeal centres on the interpretation and application of the guidelines established by LeBel</w:t>
      </w:r>
      <w:r>
        <w:rPr>
          <w:rFonts w:cs="Times New Roman"/>
        </w:rPr>
        <w:t> </w:t>
      </w:r>
      <w:r w:rsidRPr="00BF46B7">
        <w:rPr>
          <w:rFonts w:cs="Times New Roman"/>
        </w:rPr>
        <w:t xml:space="preserve">J. in </w:t>
      </w:r>
      <w:r w:rsidRPr="00BF46B7">
        <w:rPr>
          <w:rFonts w:cs="Times New Roman"/>
          <w:i/>
        </w:rPr>
        <w:t>AES</w:t>
      </w:r>
      <w:r w:rsidRPr="00BF46B7">
        <w:rPr>
          <w:rFonts w:cs="Times New Roman"/>
        </w:rPr>
        <w:t xml:space="preserve">, in which this Court considered, for the first time, the principles governing the availability of rectification in </w:t>
      </w:r>
      <w:r w:rsidRPr="00BF46B7">
        <w:rPr>
          <w:rFonts w:cs="Times New Roman"/>
          <w:iCs/>
        </w:rPr>
        <w:t>Quebec</w:t>
      </w:r>
      <w:r w:rsidRPr="00BF46B7">
        <w:rPr>
          <w:rFonts w:cs="Times New Roman"/>
        </w:rPr>
        <w:t xml:space="preserve"> civil law. Although </w:t>
      </w:r>
      <w:r w:rsidRPr="00BF46B7">
        <w:rPr>
          <w:rFonts w:cs="Times New Roman"/>
          <w:i/>
        </w:rPr>
        <w:t>AES</w:t>
      </w:r>
      <w:r w:rsidRPr="00BF46B7">
        <w:rPr>
          <w:rFonts w:cs="Times New Roman"/>
        </w:rPr>
        <w:t xml:space="preserve"> does not provide a complete framework dispositive of all potential rectification requests </w:t>
      </w:r>
      <w:r w:rsidRPr="00BF46B7">
        <w:rPr>
          <w:rFonts w:cs="Times New Roman"/>
        </w:rPr>
        <w:lastRenderedPageBreak/>
        <w:t xml:space="preserve">in </w:t>
      </w:r>
      <w:r w:rsidRPr="00BF46B7">
        <w:rPr>
          <w:rFonts w:cs="Times New Roman"/>
          <w:iCs/>
        </w:rPr>
        <w:t>Quebec</w:t>
      </w:r>
      <w:r w:rsidRPr="00BF46B7">
        <w:rPr>
          <w:rFonts w:cs="Times New Roman"/>
        </w:rPr>
        <w:t>, LeBel</w:t>
      </w:r>
      <w:r>
        <w:rPr>
          <w:rFonts w:cs="Times New Roman"/>
        </w:rPr>
        <w:t> </w:t>
      </w:r>
      <w:r w:rsidRPr="00BF46B7">
        <w:rPr>
          <w:rFonts w:cs="Times New Roman"/>
        </w:rPr>
        <w:t xml:space="preserve">J.’s reasons provide the basic guidelines necessary to dispose of the present case. </w:t>
      </w:r>
    </w:p>
    <w:p w:rsidR="00A55D5F" w:rsidRPr="00BF46B7" w:rsidRDefault="00A55D5F" w:rsidP="00AD4E67">
      <w:pPr>
        <w:pStyle w:val="ParaNoNdepar-AltN"/>
        <w:widowControl w:val="0"/>
        <w:rPr>
          <w:rFonts w:cs="Times New Roman"/>
        </w:rPr>
      </w:pPr>
      <w:r w:rsidRPr="00BF46B7">
        <w:rPr>
          <w:rFonts w:cs="Times New Roman"/>
          <w:lang w:val="fr-FR"/>
        </w:rPr>
        <w:t xml:space="preserve">In </w:t>
      </w:r>
      <w:r w:rsidRPr="00BF46B7">
        <w:rPr>
          <w:rFonts w:cs="Times New Roman"/>
          <w:i/>
          <w:lang w:val="fr-FR"/>
        </w:rPr>
        <w:t>AES</w:t>
      </w:r>
      <w:r w:rsidRPr="00BF46B7">
        <w:rPr>
          <w:rFonts w:cs="Times New Roman"/>
          <w:lang w:val="fr-FR"/>
        </w:rPr>
        <w:t xml:space="preserve">, Services Environnementaux AES inc. </w:t>
      </w:r>
      <w:r w:rsidRPr="00BF46B7">
        <w:rPr>
          <w:rFonts w:cs="Times New Roman"/>
        </w:rPr>
        <w:t>(“AES”) agreed to tr</w:t>
      </w:r>
      <w:r>
        <w:rPr>
          <w:rFonts w:cs="Times New Roman"/>
        </w:rPr>
        <w:t>ansfer 25 </w:t>
      </w:r>
      <w:r w:rsidRPr="00BF46B7">
        <w:rPr>
          <w:rFonts w:cs="Times New Roman"/>
        </w:rPr>
        <w:t xml:space="preserve">percent of its shares in Centre technologique AES inc.’s capital stock to an investor, Groupe Sani-Gestion. In order to facilitate the transaction, AES and Centre technologique entered into a reorganization and tax planning agreement. The parties planned on using rollover provisions set out in </w:t>
      </w:r>
      <w:r>
        <w:rPr>
          <w:rFonts w:cs="Times New Roman"/>
        </w:rPr>
        <w:t>s. </w:t>
      </w:r>
      <w:r w:rsidRPr="00BF46B7">
        <w:rPr>
          <w:rFonts w:cs="Times New Roman"/>
        </w:rPr>
        <w:t xml:space="preserve">86 of the </w:t>
      </w:r>
      <w:r w:rsidRPr="00BF46B7">
        <w:rPr>
          <w:rFonts w:cs="Times New Roman"/>
          <w:i/>
        </w:rPr>
        <w:t>ITA</w:t>
      </w:r>
      <w:r w:rsidRPr="00BF46B7">
        <w:rPr>
          <w:rFonts w:cs="Times New Roman"/>
        </w:rPr>
        <w:t xml:space="preserve">, and </w:t>
      </w:r>
      <w:r>
        <w:rPr>
          <w:rFonts w:cs="Times New Roman"/>
        </w:rPr>
        <w:t>ss. </w:t>
      </w:r>
      <w:r w:rsidRPr="00BF46B7">
        <w:rPr>
          <w:rFonts w:cs="Times New Roman"/>
        </w:rPr>
        <w:t xml:space="preserve">541 to 543 of the </w:t>
      </w:r>
      <w:r w:rsidRPr="00BF46B7">
        <w:rPr>
          <w:rFonts w:cs="Times New Roman"/>
          <w:i/>
        </w:rPr>
        <w:t>Taxation Act</w:t>
      </w:r>
      <w:r w:rsidRPr="00BF46B7">
        <w:rPr>
          <w:rFonts w:cs="Times New Roman"/>
        </w:rPr>
        <w:t>, R.S.Q., c.</w:t>
      </w:r>
      <w:r>
        <w:rPr>
          <w:rFonts w:cs="Times New Roman"/>
        </w:rPr>
        <w:t> </w:t>
      </w:r>
      <w:r w:rsidRPr="00BF46B7">
        <w:rPr>
          <w:rFonts w:cs="Times New Roman"/>
        </w:rPr>
        <w:t xml:space="preserve">I-3, in order to avoid tax consequences. These provisions allow a taxpayer to defer the tax impact of an exchange of shares if, among other things, the consideration other than shares received at the time of transfer does not exceed the adjusted cost base (“ACB”) of the shares. However, AES’s advisors miscalculated the ACB of the shares. In reliance on that miscalculation, AES implemented the transfer and was eventually assessed for a taxable capital gain, contrary to the parties’ original bargain. The parties applied for rectification of their agreement to avoid the unintended tax consequences. </w:t>
      </w:r>
    </w:p>
    <w:p w:rsidR="00A55D5F" w:rsidRPr="00BF46B7" w:rsidRDefault="00A55D5F" w:rsidP="00AD4E67">
      <w:pPr>
        <w:pStyle w:val="ParaNoNdepar-AltN"/>
        <w:widowControl w:val="0"/>
        <w:rPr>
          <w:rFonts w:cs="Times New Roman"/>
        </w:rPr>
      </w:pPr>
      <w:r w:rsidRPr="00BF46B7">
        <w:rPr>
          <w:rFonts w:cs="Times New Roman"/>
        </w:rPr>
        <w:t xml:space="preserve">In </w:t>
      </w:r>
      <w:r w:rsidRPr="00BF46B7">
        <w:rPr>
          <w:rFonts w:cs="Times New Roman"/>
          <w:i/>
        </w:rPr>
        <w:t>AES</w:t>
      </w:r>
      <w:r w:rsidRPr="00BF46B7">
        <w:rPr>
          <w:rFonts w:cs="Times New Roman"/>
        </w:rPr>
        <w:t xml:space="preserve">, the Attorney General of Canada argued in this Court that, to the extent it existed in </w:t>
      </w:r>
      <w:r w:rsidRPr="00BF46B7">
        <w:rPr>
          <w:rFonts w:cs="Times New Roman"/>
          <w:iCs/>
        </w:rPr>
        <w:t>Quebec</w:t>
      </w:r>
      <w:r w:rsidRPr="00BF46B7">
        <w:rPr>
          <w:rFonts w:cs="Times New Roman"/>
        </w:rPr>
        <w:t xml:space="preserve"> civil law, rectification was available only to correct clerical errors. LeBel</w:t>
      </w:r>
      <w:r>
        <w:rPr>
          <w:rFonts w:cs="Times New Roman"/>
        </w:rPr>
        <w:t> </w:t>
      </w:r>
      <w:r w:rsidRPr="00BF46B7">
        <w:rPr>
          <w:rFonts w:cs="Times New Roman"/>
        </w:rPr>
        <w:t xml:space="preserve">J., writing for the Court, rejected that argument. He found that the parties’ requested modifications were both legitimate and necessary. In </w:t>
      </w:r>
      <w:r>
        <w:rPr>
          <w:rFonts w:cs="Times New Roman"/>
        </w:rPr>
        <w:t>doing so, he reasoned that art. </w:t>
      </w:r>
      <w:r w:rsidRPr="00BF46B7">
        <w:rPr>
          <w:rFonts w:cs="Times New Roman"/>
        </w:rPr>
        <w:t xml:space="preserve">1425 </w:t>
      </w:r>
      <w:r w:rsidRPr="00BF46B7">
        <w:rPr>
          <w:rFonts w:cs="Times New Roman"/>
          <w:i/>
        </w:rPr>
        <w:t>C.C.Q.</w:t>
      </w:r>
      <w:r w:rsidRPr="00BF46B7">
        <w:rPr>
          <w:rFonts w:cs="Times New Roman"/>
        </w:rPr>
        <w:t xml:space="preserve"> permits a court to give effect to the common intention of the parties by correcting erroneous expressions of that intention (</w:t>
      </w:r>
      <w:r w:rsidRPr="00BF46B7">
        <w:rPr>
          <w:rFonts w:cs="Times New Roman"/>
          <w:i/>
        </w:rPr>
        <w:t>AES</w:t>
      </w:r>
      <w:r w:rsidRPr="00BF46B7">
        <w:rPr>
          <w:rFonts w:cs="Times New Roman"/>
        </w:rPr>
        <w:t>, at para.</w:t>
      </w:r>
      <w:r>
        <w:rPr>
          <w:rFonts w:cs="Times New Roman"/>
        </w:rPr>
        <w:t> </w:t>
      </w:r>
      <w:r w:rsidRPr="00BF46B7">
        <w:rPr>
          <w:rFonts w:cs="Times New Roman"/>
        </w:rPr>
        <w:t>48</w:t>
      </w:r>
      <w:r>
        <w:rPr>
          <w:rFonts w:cs="Times New Roman"/>
        </w:rPr>
        <w:t xml:space="preserve">). </w:t>
      </w:r>
      <w:r>
        <w:rPr>
          <w:rFonts w:cs="Times New Roman"/>
        </w:rPr>
        <w:lastRenderedPageBreak/>
        <w:t>According to LeBel </w:t>
      </w:r>
      <w:r w:rsidRPr="00BF46B7">
        <w:rPr>
          <w:rFonts w:cs="Times New Roman"/>
        </w:rPr>
        <w:t xml:space="preserve">J., this follows from the civil law’s distinction between the </w:t>
      </w:r>
      <w:r w:rsidRPr="00BF46B7">
        <w:rPr>
          <w:rFonts w:cs="Times New Roman"/>
          <w:i/>
        </w:rPr>
        <w:t>negotium</w:t>
      </w:r>
      <w:r w:rsidRPr="00BF46B7">
        <w:rPr>
          <w:rFonts w:cs="Times New Roman"/>
        </w:rPr>
        <w:t xml:space="preserve">, the common intention of the parties, and the </w:t>
      </w:r>
      <w:r w:rsidRPr="00BF46B7">
        <w:rPr>
          <w:rFonts w:cs="Times New Roman"/>
          <w:i/>
        </w:rPr>
        <w:t>instrumentum</w:t>
      </w:r>
      <w:r w:rsidRPr="00BF46B7">
        <w:rPr>
          <w:rFonts w:cs="Times New Roman"/>
        </w:rPr>
        <w:t xml:space="preserve">, the declared will </w:t>
      </w:r>
      <w:r>
        <w:rPr>
          <w:rFonts w:cs="Times New Roman"/>
        </w:rPr>
        <w:t>of the parties. Under art. </w:t>
      </w:r>
      <w:r w:rsidRPr="00BF46B7">
        <w:rPr>
          <w:rFonts w:cs="Times New Roman"/>
        </w:rPr>
        <w:t xml:space="preserve">1385 </w:t>
      </w:r>
      <w:r w:rsidRPr="00BF46B7">
        <w:rPr>
          <w:rFonts w:cs="Times New Roman"/>
          <w:i/>
        </w:rPr>
        <w:t>C.C.Q.</w:t>
      </w:r>
      <w:r w:rsidRPr="00BF46B7">
        <w:rPr>
          <w:rFonts w:cs="Times New Roman"/>
        </w:rPr>
        <w:t>, the contract lies in the former, not the latter, “despite the importance . . . of the declaration, oral or written” of that common intention (</w:t>
      </w:r>
      <w:r w:rsidRPr="00BF46B7">
        <w:rPr>
          <w:rFonts w:cs="Times New Roman"/>
          <w:i/>
        </w:rPr>
        <w:t>AES</w:t>
      </w:r>
      <w:r w:rsidRPr="00BF46B7">
        <w:rPr>
          <w:rFonts w:cs="Times New Roman"/>
        </w:rPr>
        <w:t>, at para.</w:t>
      </w:r>
      <w:r>
        <w:rPr>
          <w:rFonts w:cs="Times New Roman"/>
        </w:rPr>
        <w:t> </w:t>
      </w:r>
      <w:r w:rsidRPr="00BF46B7">
        <w:rPr>
          <w:rFonts w:cs="Times New Roman"/>
        </w:rPr>
        <w:t xml:space="preserve">32). </w:t>
      </w:r>
    </w:p>
    <w:p w:rsidR="00A55D5F" w:rsidRPr="00BF46B7" w:rsidRDefault="00A55D5F" w:rsidP="00AD4E67">
      <w:pPr>
        <w:pStyle w:val="ParaNoNdepar-AltN"/>
        <w:widowControl w:val="0"/>
        <w:rPr>
          <w:rFonts w:cs="Times New Roman"/>
        </w:rPr>
      </w:pPr>
      <w:r w:rsidRPr="00BF46B7">
        <w:rPr>
          <w:rFonts w:cs="Times New Roman"/>
        </w:rPr>
        <w:t xml:space="preserve">Therefore, </w:t>
      </w:r>
      <w:r w:rsidRPr="00BF46B7">
        <w:rPr>
          <w:rFonts w:cs="Times New Roman"/>
          <w:i/>
        </w:rPr>
        <w:t>AES</w:t>
      </w:r>
      <w:r w:rsidRPr="00BF46B7">
        <w:rPr>
          <w:rFonts w:cs="Times New Roman"/>
        </w:rPr>
        <w:t xml:space="preserve"> established </w:t>
      </w:r>
      <w:r>
        <w:rPr>
          <w:rFonts w:cs="Times New Roman"/>
        </w:rPr>
        <w:t>that art. </w:t>
      </w:r>
      <w:r w:rsidRPr="00BF46B7">
        <w:rPr>
          <w:rFonts w:cs="Times New Roman"/>
        </w:rPr>
        <w:t xml:space="preserve">1425 </w:t>
      </w:r>
      <w:r w:rsidRPr="00BF46B7">
        <w:rPr>
          <w:rFonts w:cs="Times New Roman"/>
          <w:i/>
        </w:rPr>
        <w:t>C.C.Q.</w:t>
      </w:r>
      <w:r w:rsidRPr="00BF46B7">
        <w:rPr>
          <w:rFonts w:cs="Times New Roman"/>
        </w:rPr>
        <w:t xml:space="preserve"> allows courts to give effect to the real agreement between the parties, recognizing the fact that their agreement does not necessarily lie in the written document. According to LeBel</w:t>
      </w:r>
      <w:r>
        <w:rPr>
          <w:rFonts w:cs="Times New Roman"/>
        </w:rPr>
        <w:t> </w:t>
      </w:r>
      <w:r w:rsidRPr="00BF46B7">
        <w:rPr>
          <w:rFonts w:cs="Times New Roman"/>
        </w:rPr>
        <w:t>J., this power extends to the point of filling “gaps in the text” or finding “content in it that can be well hidden” (</w:t>
      </w:r>
      <w:r w:rsidRPr="00BF46B7">
        <w:rPr>
          <w:rFonts w:cs="Times New Roman"/>
          <w:i/>
        </w:rPr>
        <w:t>AES</w:t>
      </w:r>
      <w:r w:rsidRPr="00BF46B7">
        <w:rPr>
          <w:rFonts w:cs="Times New Roman"/>
        </w:rPr>
        <w:t>,</w:t>
      </w:r>
      <w:r>
        <w:rPr>
          <w:rFonts w:cs="Times New Roman"/>
        </w:rPr>
        <w:t xml:space="preserve"> at para. </w:t>
      </w:r>
      <w:r w:rsidRPr="00BF46B7">
        <w:rPr>
          <w:rFonts w:cs="Times New Roman"/>
        </w:rPr>
        <w:t xml:space="preserve">48). </w:t>
      </w:r>
    </w:p>
    <w:p w:rsidR="00A55D5F" w:rsidRPr="00BF46B7" w:rsidRDefault="00A55D5F" w:rsidP="00AD4E67">
      <w:pPr>
        <w:pStyle w:val="ParaNoNdepar-AltN"/>
        <w:widowControl w:val="0"/>
        <w:rPr>
          <w:rFonts w:cs="Times New Roman"/>
        </w:rPr>
      </w:pPr>
      <w:r w:rsidRPr="00BF46B7">
        <w:rPr>
          <w:rFonts w:cs="Times New Roman"/>
        </w:rPr>
        <w:t xml:space="preserve">However, a court’s power to rectify agreements </w:t>
      </w:r>
      <w:r>
        <w:rPr>
          <w:rFonts w:cs="Times New Roman"/>
        </w:rPr>
        <w:t>under art. </w:t>
      </w:r>
      <w:r w:rsidRPr="00BF46B7">
        <w:rPr>
          <w:rFonts w:cs="Times New Roman"/>
        </w:rPr>
        <w:t xml:space="preserve">1425 </w:t>
      </w:r>
      <w:r w:rsidRPr="00BF46B7">
        <w:rPr>
          <w:rFonts w:cs="Times New Roman"/>
          <w:i/>
        </w:rPr>
        <w:t>C.C.Q.</w:t>
      </w:r>
      <w:r w:rsidRPr="00BF46B7">
        <w:rPr>
          <w:rFonts w:cs="Times New Roman"/>
        </w:rPr>
        <w:t xml:space="preserve"> is subject to certain conditions. The corrections being sought must be necessary and legitimate (</w:t>
      </w:r>
      <w:r w:rsidRPr="00BF46B7">
        <w:rPr>
          <w:rFonts w:cs="Times New Roman"/>
          <w:i/>
        </w:rPr>
        <w:t>AES</w:t>
      </w:r>
      <w:r w:rsidRPr="00BF46B7">
        <w:rPr>
          <w:rFonts w:cs="Times New Roman"/>
        </w:rPr>
        <w:t>,</w:t>
      </w:r>
      <w:r>
        <w:rPr>
          <w:rFonts w:cs="Times New Roman"/>
        </w:rPr>
        <w:t xml:space="preserve"> at para. </w:t>
      </w:r>
      <w:r w:rsidRPr="00BF46B7">
        <w:rPr>
          <w:rFonts w:cs="Times New Roman"/>
        </w:rPr>
        <w:t>51). They must reflect the true intentions of the parties and cannot offend the rules of civil evidence (</w:t>
      </w:r>
      <w:r w:rsidRPr="00BF46B7">
        <w:rPr>
          <w:rFonts w:cs="Times New Roman"/>
          <w:i/>
        </w:rPr>
        <w:t>AES</w:t>
      </w:r>
      <w:r w:rsidRPr="00BF46B7">
        <w:rPr>
          <w:rFonts w:cs="Times New Roman"/>
        </w:rPr>
        <w:t>,</w:t>
      </w:r>
      <w:r>
        <w:rPr>
          <w:rFonts w:cs="Times New Roman"/>
        </w:rPr>
        <w:t xml:space="preserve"> at paras. </w:t>
      </w:r>
      <w:r w:rsidRPr="00BF46B7">
        <w:rPr>
          <w:rFonts w:cs="Times New Roman"/>
        </w:rPr>
        <w:t xml:space="preserve">49-51). Finally, they must not compromise the interests of third parties (see </w:t>
      </w:r>
      <w:r w:rsidRPr="00BF46B7">
        <w:rPr>
          <w:rFonts w:cs="Times New Roman"/>
          <w:i/>
        </w:rPr>
        <w:t>AES</w:t>
      </w:r>
      <w:r w:rsidRPr="00BF46B7">
        <w:rPr>
          <w:rFonts w:cs="Times New Roman"/>
        </w:rPr>
        <w:t>,</w:t>
      </w:r>
      <w:r>
        <w:rPr>
          <w:rFonts w:cs="Times New Roman"/>
        </w:rPr>
        <w:t xml:space="preserve"> at paras. </w:t>
      </w:r>
      <w:r w:rsidRPr="00BF46B7">
        <w:rPr>
          <w:rFonts w:cs="Times New Roman"/>
        </w:rPr>
        <w:t xml:space="preserve">33 and 35). </w:t>
      </w:r>
    </w:p>
    <w:p w:rsidR="00A55D5F" w:rsidRPr="00BF46B7" w:rsidRDefault="00A55D5F" w:rsidP="00AD4E67">
      <w:pPr>
        <w:pStyle w:val="ParaNoNdepar-AltN"/>
        <w:widowControl w:val="0"/>
        <w:rPr>
          <w:rFonts w:cs="Times New Roman"/>
        </w:rPr>
      </w:pPr>
      <w:r w:rsidRPr="00BF46B7">
        <w:rPr>
          <w:rFonts w:cs="Times New Roman"/>
        </w:rPr>
        <w:t xml:space="preserve">Where parties seek to rectify an agreement producing unintended tax consequences, </w:t>
      </w:r>
      <w:r w:rsidRPr="00BF46B7">
        <w:rPr>
          <w:rFonts w:cs="Times New Roman"/>
          <w:i/>
        </w:rPr>
        <w:t>AES</w:t>
      </w:r>
      <w:r w:rsidRPr="00BF46B7">
        <w:rPr>
          <w:rFonts w:cs="Times New Roman"/>
        </w:rPr>
        <w:t xml:space="preserve"> clearly established that the “tax authorities do not have an acquired right to benefit from an error made by the parties to a contract after the parties have corrected the error by mutual consent</w:t>
      </w:r>
      <w:r>
        <w:rPr>
          <w:rFonts w:cs="Times New Roman"/>
        </w:rPr>
        <w:t>” (para. </w:t>
      </w:r>
      <w:r w:rsidRPr="00BF46B7">
        <w:rPr>
          <w:rFonts w:cs="Times New Roman"/>
        </w:rPr>
        <w:t>52). As a result, tax authorities cannot “rely on acquired rights to have an erroneous writing continue to apply even though the existence of an error has been established” (</w:t>
      </w:r>
      <w:r w:rsidRPr="00BF46B7">
        <w:rPr>
          <w:rFonts w:cs="Times New Roman"/>
          <w:i/>
        </w:rPr>
        <w:t>AES</w:t>
      </w:r>
      <w:r w:rsidRPr="00BF46B7">
        <w:rPr>
          <w:rFonts w:cs="Times New Roman"/>
        </w:rPr>
        <w:t>,</w:t>
      </w:r>
      <w:r>
        <w:rPr>
          <w:rFonts w:cs="Times New Roman"/>
        </w:rPr>
        <w:t xml:space="preserve"> at para. </w:t>
      </w:r>
      <w:r w:rsidRPr="00BF46B7">
        <w:rPr>
          <w:rFonts w:cs="Times New Roman"/>
        </w:rPr>
        <w:t xml:space="preserve">44). </w:t>
      </w:r>
    </w:p>
    <w:p w:rsidR="00A55D5F" w:rsidRPr="00BF46B7" w:rsidRDefault="00A55D5F" w:rsidP="00AD4E67">
      <w:pPr>
        <w:pStyle w:val="ParaNoNdepar-AltN"/>
        <w:widowControl w:val="0"/>
        <w:rPr>
          <w:rFonts w:cs="Times New Roman"/>
        </w:rPr>
      </w:pPr>
      <w:r w:rsidRPr="00BF46B7">
        <w:rPr>
          <w:rFonts w:cs="Times New Roman"/>
        </w:rPr>
        <w:lastRenderedPageBreak/>
        <w:t>Nevertheless, LeBel</w:t>
      </w:r>
      <w:r>
        <w:rPr>
          <w:rFonts w:cs="Times New Roman"/>
        </w:rPr>
        <w:t> </w:t>
      </w:r>
      <w:r w:rsidRPr="00BF46B7">
        <w:rPr>
          <w:rFonts w:cs="Times New Roman"/>
        </w:rPr>
        <w:t>J. insisted that taxpayers “should not view this recognition of the primacy of the parties’ internal will — or common intention — as an invitation to engage in bold tax planning on the assumption that it will always be possible for them to redo their contracts retroactively should that planning fail” (</w:t>
      </w:r>
      <w:r w:rsidRPr="00BF46B7">
        <w:rPr>
          <w:rFonts w:cs="Times New Roman"/>
          <w:i/>
        </w:rPr>
        <w:t>AES</w:t>
      </w:r>
      <w:r w:rsidRPr="00BF46B7">
        <w:rPr>
          <w:rFonts w:cs="Times New Roman"/>
        </w:rPr>
        <w:t>, at para.</w:t>
      </w:r>
      <w:r>
        <w:rPr>
          <w:rFonts w:cs="Times New Roman"/>
        </w:rPr>
        <w:t> </w:t>
      </w:r>
      <w:r w:rsidRPr="00BF46B7">
        <w:rPr>
          <w:rFonts w:cs="Times New Roman"/>
        </w:rPr>
        <w:t xml:space="preserve">54). He added the following: </w:t>
      </w:r>
    </w:p>
    <w:p w:rsidR="00A55D5F" w:rsidRPr="00BF46B7" w:rsidRDefault="00A55D5F" w:rsidP="00AD4E67">
      <w:pPr>
        <w:pStyle w:val="Citation-AltC"/>
        <w:widowControl w:val="0"/>
      </w:pPr>
      <w:r w:rsidRPr="00BF46B7">
        <w:t xml:space="preserve">A taxpayer’s intention to reduce his or her tax liability would not on its own constitute the object of an obligation within the meaning of art. 1373 </w:t>
      </w:r>
      <w:r w:rsidRPr="00BF46B7">
        <w:rPr>
          <w:i/>
          <w:iCs/>
        </w:rPr>
        <w:t>C.C.Q.</w:t>
      </w:r>
      <w:r w:rsidRPr="00BF46B7">
        <w:t xml:space="preserve">, since it would not be sufficiently determinate or determinable.  Nor would it even constitute the object of a contract within the meaning of art. 1412 </w:t>
      </w:r>
      <w:r w:rsidRPr="00BF46B7">
        <w:rPr>
          <w:i/>
          <w:iCs/>
        </w:rPr>
        <w:t>C.C.Q.</w:t>
      </w:r>
      <w:r w:rsidRPr="00BF46B7">
        <w:t xml:space="preserve"> Absent a more precise and more clearly defined object, no contract would be formed. In such a case, art. 1425 could not be relied on to justify seeking the common intention of the parties in order to give effect to that intention despite the words of the writings prepared to record it. As I mentioned above, the agreements between the parties in both appeals were validly formed in that, according to evidence that the [Agence du revenu du Québec] did not contradict, they provided for obligations whose objects were sufficiently determinable. These agreements provided, for the corporations in question, for the establishment of determinate structures that would, had they been drawn up properly, have made it possible to meet the objectives being pursued by the parties. </w:t>
      </w:r>
      <w:r w:rsidRPr="00BF46B7">
        <w:rPr>
          <w:u w:val="single"/>
        </w:rPr>
        <w:t>The subsequent amendments did not alter the nature of the structures contemplated at the outset.</w:t>
      </w:r>
      <w:r w:rsidRPr="00BF46B7">
        <w:t xml:space="preserve"> All they did was amend writings that were supposed to give effect to the common intention, an intention that had been clearly defined and that related to obligations whose objects were determinate or determinable. [Emphasis added</w:t>
      </w:r>
      <w:r>
        <w:t>; para. </w:t>
      </w:r>
      <w:r w:rsidRPr="00BF46B7">
        <w:t>54.]</w:t>
      </w:r>
    </w:p>
    <w:p w:rsidR="00A55D5F" w:rsidRPr="006E0848" w:rsidRDefault="00A55D5F" w:rsidP="00AD4E67">
      <w:pPr>
        <w:pStyle w:val="ParaNoNdepar-AltN"/>
        <w:widowControl w:val="0"/>
        <w:rPr>
          <w:rFonts w:cs="Times New Roman"/>
          <w:u w:val="single"/>
        </w:rPr>
      </w:pPr>
      <w:r w:rsidRPr="00BF46B7">
        <w:rPr>
          <w:rFonts w:cs="Times New Roman"/>
        </w:rPr>
        <w:t xml:space="preserve">In my view, the conditions laid out in </w:t>
      </w:r>
      <w:r w:rsidRPr="00BF46B7">
        <w:rPr>
          <w:rFonts w:cs="Times New Roman"/>
          <w:i/>
        </w:rPr>
        <w:t>AES</w:t>
      </w:r>
      <w:r w:rsidRPr="00BF46B7">
        <w:rPr>
          <w:rFonts w:cs="Times New Roman"/>
        </w:rPr>
        <w:t xml:space="preserve"> are fulfilled in this case. Given the application judge’s factual findings, the modifications requested by PJC Canada are both necessary and legitimate. </w:t>
      </w:r>
    </w:p>
    <w:p w:rsidR="00A55D5F" w:rsidRPr="00BF46B7" w:rsidRDefault="00A55D5F" w:rsidP="00AD4E67">
      <w:pPr>
        <w:pStyle w:val="Title2LevelTitre2Niveau"/>
        <w:widowControl w:val="0"/>
        <w:numPr>
          <w:ilvl w:val="1"/>
          <w:numId w:val="3"/>
        </w:numPr>
        <w:outlineLvl w:val="9"/>
        <w:rPr>
          <w:rFonts w:cs="Times New Roman"/>
        </w:rPr>
      </w:pPr>
      <w:r w:rsidRPr="00BF46B7">
        <w:rPr>
          <w:rFonts w:cs="Times New Roman"/>
        </w:rPr>
        <w:t>Application to the Facts at Hand</w:t>
      </w:r>
    </w:p>
    <w:p w:rsidR="00A55D5F" w:rsidRPr="00BF46B7" w:rsidRDefault="00A55D5F" w:rsidP="00AD4E67">
      <w:pPr>
        <w:pStyle w:val="Title3LevelTitre3Niveau"/>
        <w:widowControl w:val="0"/>
        <w:numPr>
          <w:ilvl w:val="2"/>
          <w:numId w:val="3"/>
        </w:numPr>
        <w:outlineLvl w:val="9"/>
        <w:rPr>
          <w:rFonts w:cs="Times New Roman"/>
        </w:rPr>
      </w:pPr>
      <w:r w:rsidRPr="00BF46B7">
        <w:rPr>
          <w:rFonts w:cs="Times New Roman"/>
        </w:rPr>
        <w:lastRenderedPageBreak/>
        <w:t xml:space="preserve">Deference Is Owed to the Application Judge </w:t>
      </w:r>
    </w:p>
    <w:p w:rsidR="00A55D5F" w:rsidRPr="00BF46B7" w:rsidRDefault="00A55D5F" w:rsidP="00AD4E67">
      <w:pPr>
        <w:pStyle w:val="ParaNoNdepar-AltN"/>
        <w:widowControl w:val="0"/>
        <w:rPr>
          <w:rFonts w:cs="Times New Roman"/>
        </w:rPr>
      </w:pPr>
      <w:r w:rsidRPr="00BF46B7">
        <w:rPr>
          <w:rFonts w:cs="Times New Roman"/>
        </w:rPr>
        <w:t xml:space="preserve">The application judge found: </w:t>
      </w:r>
    </w:p>
    <w:p w:rsidR="00A55D5F" w:rsidRDefault="00A55D5F" w:rsidP="00AD4E67">
      <w:pPr>
        <w:pStyle w:val="NumberedParas"/>
        <w:widowControl w:val="0"/>
        <w:numPr>
          <w:ilvl w:val="5"/>
          <w:numId w:val="1"/>
        </w:numPr>
        <w:spacing w:after="480"/>
        <w:ind w:left="720" w:hanging="720"/>
        <w:contextualSpacing w:val="0"/>
      </w:pPr>
      <w:r w:rsidRPr="00BF46B7">
        <w:t xml:space="preserve">that the common intention of the parties was, from the start, (1) to resolve the exchange rate problem (2) without tax consequences (2012 QCCS 6917, at </w:t>
      </w:r>
      <w:r>
        <w:t>para. </w:t>
      </w:r>
      <w:r w:rsidRPr="00BF46B7">
        <w:t>21 (</w:t>
      </w:r>
      <w:proofErr w:type="spellStart"/>
      <w:r w:rsidRPr="00BF46B7">
        <w:t>CanLII</w:t>
      </w:r>
      <w:proofErr w:type="spellEnd"/>
      <w:r w:rsidRPr="00BF46B7">
        <w:t xml:space="preserve">)); </w:t>
      </w:r>
    </w:p>
    <w:p w:rsidR="00A55D5F" w:rsidRDefault="00A55D5F" w:rsidP="00AD4E67">
      <w:pPr>
        <w:pStyle w:val="NumberedParas"/>
        <w:widowControl w:val="0"/>
        <w:numPr>
          <w:ilvl w:val="5"/>
          <w:numId w:val="1"/>
        </w:numPr>
        <w:spacing w:after="480"/>
        <w:ind w:left="720" w:hanging="720"/>
        <w:contextualSpacing w:val="0"/>
      </w:pPr>
      <w:r w:rsidRPr="00BF46B7">
        <w:t>that the series of operations that were implemented did not reflect the entirety of this common intention (paras</w:t>
      </w:r>
      <w:r>
        <w:t>. </w:t>
      </w:r>
      <w:r w:rsidRPr="00BF46B7">
        <w:t xml:space="preserve">25-26); </w:t>
      </w:r>
    </w:p>
    <w:p w:rsidR="00A55D5F" w:rsidRDefault="00A55D5F" w:rsidP="00AD4E67">
      <w:pPr>
        <w:pStyle w:val="NumberedParas"/>
        <w:widowControl w:val="0"/>
        <w:numPr>
          <w:ilvl w:val="5"/>
          <w:numId w:val="1"/>
        </w:numPr>
        <w:spacing w:after="480"/>
        <w:ind w:left="720" w:hanging="720"/>
        <w:contextualSpacing w:val="0"/>
      </w:pPr>
      <w:r w:rsidRPr="00BF46B7">
        <w:t>that the rectification being sought was in conformity with the common intention of the parties (paras.</w:t>
      </w:r>
      <w:r>
        <w:t> </w:t>
      </w:r>
      <w:r w:rsidRPr="00BF46B7">
        <w:t xml:space="preserve">25-26); and </w:t>
      </w:r>
    </w:p>
    <w:p w:rsidR="00A55D5F" w:rsidRPr="00BF46B7" w:rsidRDefault="00A55D5F" w:rsidP="00AD4E67">
      <w:pPr>
        <w:pStyle w:val="NumberedParas"/>
        <w:widowControl w:val="0"/>
        <w:numPr>
          <w:ilvl w:val="5"/>
          <w:numId w:val="1"/>
        </w:numPr>
        <w:spacing w:after="480"/>
        <w:ind w:left="720" w:hanging="720"/>
        <w:contextualSpacing w:val="0"/>
      </w:pPr>
      <w:proofErr w:type="gramStart"/>
      <w:r w:rsidRPr="00BF46B7">
        <w:t>that</w:t>
      </w:r>
      <w:proofErr w:type="gramEnd"/>
      <w:r w:rsidRPr="00BF46B7">
        <w:t xml:space="preserve"> the</w:t>
      </w:r>
      <w:r w:rsidRPr="006B127E">
        <w:t xml:space="preserve"> </w:t>
      </w:r>
      <w:r w:rsidRPr="00BF46B7">
        <w:t xml:space="preserve">parties were not trying to rewrite their tax history, but rather, were seeking to correct an unintended tax </w:t>
      </w:r>
      <w:r>
        <w:t>consequence (para. </w:t>
      </w:r>
      <w:r w:rsidRPr="00BF46B7">
        <w:t xml:space="preserve">27). </w:t>
      </w:r>
    </w:p>
    <w:p w:rsidR="00A55D5F" w:rsidRPr="00BF46B7" w:rsidRDefault="00A55D5F" w:rsidP="00AD4E67">
      <w:pPr>
        <w:pStyle w:val="ContinueParaSuitedupar-AltP"/>
        <w:widowControl w:val="0"/>
        <w:rPr>
          <w:rFonts w:cs="Times New Roman"/>
        </w:rPr>
      </w:pPr>
      <w:r w:rsidRPr="00BF46B7">
        <w:rPr>
          <w:rFonts w:cs="Times New Roman"/>
        </w:rPr>
        <w:t>It is trite law that findings of fact cannot be reversed “unless it can be established that the trial judge made a ‘palpable and overriding error’” (</w:t>
      </w:r>
      <w:r w:rsidRPr="00BF46B7">
        <w:rPr>
          <w:rFonts w:cs="Times New Roman"/>
          <w:i/>
          <w:lang w:val="en-GB"/>
        </w:rPr>
        <w:t xml:space="preserve">Housen </w:t>
      </w:r>
      <w:r w:rsidRPr="00BF46B7">
        <w:rPr>
          <w:rFonts w:cs="Times New Roman"/>
          <w:i/>
          <w:iCs/>
          <w:lang w:val="en-GB"/>
        </w:rPr>
        <w:t>v</w:t>
      </w:r>
      <w:r w:rsidRPr="00BF46B7">
        <w:rPr>
          <w:rFonts w:cs="Times New Roman"/>
          <w:i/>
          <w:lang w:val="en-GB"/>
        </w:rPr>
        <w:t>. Nikolaisen</w:t>
      </w:r>
      <w:r w:rsidRPr="00BF46B7">
        <w:rPr>
          <w:rFonts w:cs="Times New Roman"/>
          <w:lang w:val="en-GB"/>
        </w:rPr>
        <w:t>, 2002 SCC 33, [2002] 2 S.C.R. 235,</w:t>
      </w:r>
      <w:r>
        <w:rPr>
          <w:rFonts w:cs="Times New Roman"/>
        </w:rPr>
        <w:t xml:space="preserve"> at para. </w:t>
      </w:r>
      <w:r w:rsidRPr="00BF46B7">
        <w:rPr>
          <w:rFonts w:cs="Times New Roman"/>
        </w:rPr>
        <w:t xml:space="preserve">10). The one such error the Court of Appeal purported to find was in the application judge’s conclusion that the “parties were not seeking to rewrite the tax history of the transaction” ((iv) above) (2015 QCCA 838, [2015] 4 C.T.C. 82, at </w:t>
      </w:r>
      <w:r>
        <w:rPr>
          <w:rFonts w:cs="Times New Roman"/>
        </w:rPr>
        <w:t>para. </w:t>
      </w:r>
      <w:r w:rsidRPr="00BF46B7">
        <w:rPr>
          <w:rFonts w:cs="Times New Roman"/>
        </w:rPr>
        <w:t xml:space="preserve">37). On this point, the Court of Appeal reversed the application judge’s finding. It found, instead, that rewriting the tax history of the </w:t>
      </w:r>
      <w:r w:rsidRPr="00BF46B7">
        <w:rPr>
          <w:rFonts w:cs="Times New Roman"/>
        </w:rPr>
        <w:lastRenderedPageBreak/>
        <w:t>transaction was “precisely what the parties were seeking to do” on the basis that they had considered and discarded the very same intermediate operations they later asked the Superior Court to recognize (</w:t>
      </w:r>
      <w:r w:rsidRPr="00BF46B7">
        <w:rPr>
          <w:rFonts w:cs="Times New Roman"/>
          <w:i/>
        </w:rPr>
        <w:t>ibid.</w:t>
      </w:r>
      <w:r w:rsidRPr="00BF46B7">
        <w:rPr>
          <w:rFonts w:cs="Times New Roman"/>
        </w:rPr>
        <w:t xml:space="preserve">). It was not the application judge, but the Court of Appeal, that erred in making this finding. As the Attorney General of Canada concedes in her factum, PJC Canada and PJC USA never rejected the intermediate operations in question. It follows that the application judge’s findings of fact, summarized above, are unimpugned and accordingly attract deference from this Court in its application of the law to the case at hand. </w:t>
      </w:r>
    </w:p>
    <w:p w:rsidR="00A55D5F" w:rsidRPr="00BF46B7" w:rsidRDefault="00A55D5F" w:rsidP="00AD4E67">
      <w:pPr>
        <w:pStyle w:val="Title3LevelTitre3Niveau"/>
        <w:widowControl w:val="0"/>
        <w:numPr>
          <w:ilvl w:val="2"/>
          <w:numId w:val="3"/>
        </w:numPr>
        <w:outlineLvl w:val="9"/>
        <w:rPr>
          <w:rFonts w:cs="Times New Roman"/>
        </w:rPr>
      </w:pPr>
      <w:r w:rsidRPr="00BF46B7">
        <w:rPr>
          <w:rFonts w:cs="Times New Roman"/>
        </w:rPr>
        <w:t xml:space="preserve">The Requested Changes Are Necessary </w:t>
      </w:r>
    </w:p>
    <w:p w:rsidR="00A55D5F" w:rsidRPr="00BF46B7" w:rsidRDefault="00A55D5F" w:rsidP="00AD4E67">
      <w:pPr>
        <w:pStyle w:val="ParaNoNdepar-AltN"/>
        <w:widowControl w:val="0"/>
        <w:rPr>
          <w:rFonts w:cs="Times New Roman"/>
        </w:rPr>
      </w:pPr>
      <w:r w:rsidRPr="00BF46B7">
        <w:rPr>
          <w:rFonts w:cs="Times New Roman"/>
        </w:rPr>
        <w:t xml:space="preserve">In this case, there was clearly a gap between the common and continuing intention of the parties and the operations implemented to carry out that intention. The evidence shows that there was a common and continuing intention not only as to the object of the contract but also its tax effects. From the start, PJC Canada and PJC USA set out to resolve the exchange rate problem without triggering any tax consequences. They diligently sought advice on how to do so. Having relied on that advice, they executed a series of transactions or prestations aimed at creating net liabilities in U.S. dollars so as to nullify the impact of exchange rate fluctuations in PJC Canada’s financial statements without generating any tax consequences.  </w:t>
      </w:r>
    </w:p>
    <w:p w:rsidR="00A55D5F" w:rsidRPr="00BF46B7" w:rsidRDefault="00A55D5F" w:rsidP="00AD4E67">
      <w:pPr>
        <w:pStyle w:val="ParaNoNdepar-AltN"/>
        <w:widowControl w:val="0"/>
        <w:rPr>
          <w:rFonts w:cs="Times New Roman"/>
        </w:rPr>
      </w:pPr>
      <w:r w:rsidRPr="00BF46B7">
        <w:rPr>
          <w:rFonts w:cs="Times New Roman"/>
        </w:rPr>
        <w:t xml:space="preserve">Tax neutrality was therefore a </w:t>
      </w:r>
      <w:r w:rsidRPr="00BF46B7">
        <w:rPr>
          <w:rFonts w:cs="Times New Roman"/>
          <w:i/>
        </w:rPr>
        <w:t>sine qua non</w:t>
      </w:r>
      <w:r w:rsidRPr="00BF46B7">
        <w:rPr>
          <w:rFonts w:cs="Times New Roman"/>
        </w:rPr>
        <w:t xml:space="preserve"> of the parties’ envisaged transactional scheme. This is confirmed both by the circumstances giving rise to their contemplated transactions and by the parties’ testimony. As the application judge </w:t>
      </w:r>
      <w:r w:rsidRPr="00BF46B7">
        <w:rPr>
          <w:rFonts w:cs="Times New Roman"/>
        </w:rPr>
        <w:lastRenderedPageBreak/>
        <w:t xml:space="preserve">noted, because the exchange rate effects triggered no immediate tax consequences, it was essential that the financing transactions produce no adverse tax effects. Had there not been an error concerning the applicability of FAPI, the parties would have initially undertaken intermediate steps akin to those they later asked the Superior Court to recognize. These steps would have resulted in the execution of their true common intention from the start. </w:t>
      </w:r>
    </w:p>
    <w:p w:rsidR="00A55D5F" w:rsidRPr="00BF46B7" w:rsidRDefault="00A55D5F" w:rsidP="00AD4E67">
      <w:pPr>
        <w:pStyle w:val="ParaNoNdepar-AltN"/>
        <w:widowControl w:val="0"/>
        <w:rPr>
          <w:rFonts w:cs="Times New Roman"/>
        </w:rPr>
      </w:pPr>
      <w:r w:rsidRPr="00BF46B7">
        <w:rPr>
          <w:rFonts w:cs="Times New Roman"/>
        </w:rPr>
        <w:t xml:space="preserve">That the tax advisors’ error in this case was one of omission, insofar as they neglected to consider FAPI, as opposed to one of commission (like miscalculating the ACB of shares), is not a principled ground on which to distinguish this case from </w:t>
      </w:r>
      <w:r w:rsidRPr="00BF46B7">
        <w:rPr>
          <w:rFonts w:cs="Times New Roman"/>
          <w:i/>
        </w:rPr>
        <w:t>AES</w:t>
      </w:r>
      <w:r w:rsidRPr="00BF46B7">
        <w:rPr>
          <w:rFonts w:cs="Times New Roman"/>
        </w:rPr>
        <w:t>. To the contrary, this distinction renders hollow the proposition that, if an expression of common intention contains an error, “particularly one that can, as here, be attributed to the taxpayer’s professional advisor, the court must, once the error is proved . . . ensure that it is remedied” (</w:t>
      </w:r>
      <w:r w:rsidRPr="00BF46B7">
        <w:rPr>
          <w:rFonts w:cs="Times New Roman"/>
          <w:i/>
        </w:rPr>
        <w:t>AES</w:t>
      </w:r>
      <w:r w:rsidRPr="00BF46B7">
        <w:rPr>
          <w:rFonts w:cs="Times New Roman"/>
        </w:rPr>
        <w:t>, at para.</w:t>
      </w:r>
      <w:r>
        <w:rPr>
          <w:rFonts w:cs="Times New Roman"/>
        </w:rPr>
        <w:t> </w:t>
      </w:r>
      <w:r w:rsidRPr="00BF46B7">
        <w:rPr>
          <w:rFonts w:cs="Times New Roman"/>
        </w:rPr>
        <w:t>52). This distinc</w:t>
      </w:r>
      <w:r>
        <w:rPr>
          <w:rFonts w:cs="Times New Roman"/>
        </w:rPr>
        <w:t>tion is also at odds with LeBel </w:t>
      </w:r>
      <w:r w:rsidRPr="00BF46B7">
        <w:rPr>
          <w:rFonts w:cs="Times New Roman"/>
        </w:rPr>
        <w:t>J.’s recognition of a court’s power to “fill gaps in the text” in interpreting the parties’ common intention (</w:t>
      </w:r>
      <w:r w:rsidRPr="00BF46B7">
        <w:rPr>
          <w:rFonts w:cs="Times New Roman"/>
          <w:i/>
        </w:rPr>
        <w:t>AES</w:t>
      </w:r>
      <w:r w:rsidRPr="00BF46B7">
        <w:rPr>
          <w:rFonts w:cs="Times New Roman"/>
        </w:rPr>
        <w:t>,</w:t>
      </w:r>
      <w:r>
        <w:rPr>
          <w:rFonts w:cs="Times New Roman"/>
        </w:rPr>
        <w:t xml:space="preserve"> at para. </w:t>
      </w:r>
      <w:r w:rsidRPr="00BF46B7">
        <w:rPr>
          <w:rFonts w:cs="Times New Roman"/>
        </w:rPr>
        <w:t xml:space="preserve">48). It is precisely in a case such as this one — where the tax advisors have made an omission — that this power is properly engaged. </w:t>
      </w:r>
    </w:p>
    <w:p w:rsidR="00A55D5F" w:rsidRPr="00BF46B7" w:rsidRDefault="00A55D5F" w:rsidP="00AD4E67">
      <w:pPr>
        <w:pStyle w:val="ParaNoNdepar-AltN"/>
        <w:widowControl w:val="0"/>
        <w:rPr>
          <w:rFonts w:cs="Times New Roman"/>
        </w:rPr>
      </w:pPr>
      <w:r w:rsidRPr="00BF46B7">
        <w:rPr>
          <w:rFonts w:cs="Times New Roman"/>
        </w:rPr>
        <w:t>Nor is the concept of the object of the</w:t>
      </w:r>
      <w:r>
        <w:rPr>
          <w:rFonts w:cs="Times New Roman"/>
        </w:rPr>
        <w:t xml:space="preserve"> contract, as contained in art. </w:t>
      </w:r>
      <w:r w:rsidRPr="00BF46B7">
        <w:rPr>
          <w:rFonts w:cs="Times New Roman"/>
        </w:rPr>
        <w:t xml:space="preserve">1412 </w:t>
      </w:r>
      <w:r w:rsidRPr="00BF46B7">
        <w:rPr>
          <w:rFonts w:cs="Times New Roman"/>
          <w:i/>
        </w:rPr>
        <w:t>C.C.Q.</w:t>
      </w:r>
      <w:r w:rsidRPr="00BF46B7">
        <w:rPr>
          <w:rFonts w:cs="Times New Roman"/>
        </w:rPr>
        <w:t>, so narrow as to exclude the juridical operations envisioned by the parties here. T</w:t>
      </w:r>
      <w:r w:rsidRPr="00BF46B7">
        <w:rPr>
          <w:rFonts w:cs="Times New Roman"/>
          <w:lang w:bidi="en-US"/>
        </w:rPr>
        <w:t xml:space="preserve">he object of the contract transcends the particular prestations of the agreement. </w:t>
      </w:r>
      <w:r w:rsidRPr="00BF46B7">
        <w:rPr>
          <w:rFonts w:cs="Times New Roman"/>
          <w:lang w:val="fr-FR" w:bidi="en-US"/>
        </w:rPr>
        <w:t xml:space="preserve">As Professors Lluelles and Moore put it: </w:t>
      </w:r>
    </w:p>
    <w:p w:rsidR="00A55D5F" w:rsidRPr="00BF46B7" w:rsidRDefault="00A55D5F" w:rsidP="00AD4E67">
      <w:pPr>
        <w:pStyle w:val="Citation-AltC"/>
        <w:widowControl w:val="0"/>
        <w:rPr>
          <w:rFonts w:eastAsiaTheme="minorEastAsia"/>
        </w:rPr>
      </w:pPr>
      <w:r w:rsidRPr="00BF46B7">
        <w:rPr>
          <w:rFonts w:eastAsiaTheme="minorEastAsia"/>
        </w:rPr>
        <w:t>[</w:t>
      </w:r>
      <w:r w:rsidRPr="00BF46B7">
        <w:rPr>
          <w:rFonts w:eastAsiaTheme="minorEastAsia"/>
          <w:smallCaps/>
        </w:rPr>
        <w:t>translation</w:t>
      </w:r>
      <w:r w:rsidRPr="00BF46B7">
        <w:rPr>
          <w:rFonts w:eastAsiaTheme="minorEastAsia"/>
        </w:rPr>
        <w:t xml:space="preserve">] To distinguish it from the object of the obligations, </w:t>
      </w:r>
      <w:r w:rsidRPr="00BF46B7">
        <w:rPr>
          <w:rFonts w:eastAsiaTheme="minorEastAsia"/>
          <w:u w:val="single"/>
        </w:rPr>
        <w:t xml:space="preserve">the </w:t>
      </w:r>
      <w:r w:rsidRPr="00BF46B7">
        <w:rPr>
          <w:rFonts w:eastAsiaTheme="minorEastAsia"/>
          <w:u w:val="single"/>
        </w:rPr>
        <w:lastRenderedPageBreak/>
        <w:t>object of a contract could be described as “the juridical operation considered as a whole</w:t>
      </w:r>
      <w:r w:rsidRPr="00BF46B7">
        <w:rPr>
          <w:rFonts w:eastAsiaTheme="minorEastAsia"/>
        </w:rPr>
        <w:t xml:space="preserve"> . . . .” It is thus a comprehensive concept that requires one to understand </w:t>
      </w:r>
      <w:r w:rsidRPr="00BF46B7">
        <w:rPr>
          <w:rFonts w:eastAsiaTheme="minorEastAsia"/>
          <w:i/>
          <w:iCs/>
        </w:rPr>
        <w:t xml:space="preserve">the overall scheme </w:t>
      </w:r>
      <w:r w:rsidRPr="00BF46B7">
        <w:rPr>
          <w:rFonts w:eastAsiaTheme="minorEastAsia"/>
        </w:rPr>
        <w:t xml:space="preserve">of an agreement. . . . </w:t>
      </w:r>
    </w:p>
    <w:p w:rsidR="00A55D5F" w:rsidRPr="00BF46B7" w:rsidRDefault="00A55D5F" w:rsidP="00AD4E67">
      <w:pPr>
        <w:pStyle w:val="Citation-AltC"/>
        <w:widowControl w:val="0"/>
        <w:rPr>
          <w:rFonts w:eastAsiaTheme="minorEastAsia"/>
        </w:rPr>
      </w:pPr>
    </w:p>
    <w:p w:rsidR="00A55D5F" w:rsidRPr="00BF46B7" w:rsidRDefault="00A55D5F" w:rsidP="00AD4E67">
      <w:pPr>
        <w:pStyle w:val="Citation-AltC"/>
        <w:widowControl w:val="0"/>
        <w:ind w:firstLine="274"/>
      </w:pPr>
      <w:r w:rsidRPr="00BF46B7">
        <w:rPr>
          <w:rFonts w:eastAsiaTheme="minorEastAsia"/>
        </w:rPr>
        <w:t xml:space="preserve">. . . Identifying the core prestation — “the principal juridical operation” — is therefore necessary, but it is insufficient for the purpose of characterizing the object of the agreement: </w:t>
      </w:r>
      <w:r w:rsidRPr="00BF46B7">
        <w:rPr>
          <w:rFonts w:eastAsiaTheme="minorEastAsia"/>
          <w:u w:val="single"/>
        </w:rPr>
        <w:t>the overall scheme of the agreement must be taken into account</w:t>
      </w:r>
      <w:r w:rsidRPr="00BF46B7">
        <w:rPr>
          <w:rFonts w:eastAsiaTheme="minorEastAsia"/>
        </w:rPr>
        <w:t xml:space="preserve"> in addition to the core prestation. And that scheme will vary from one agreement to another. [</w:t>
      </w:r>
      <w:r w:rsidR="00E30D5B">
        <w:rPr>
          <w:rFonts w:eastAsiaTheme="minorEastAsia"/>
        </w:rPr>
        <w:t>U</w:t>
      </w:r>
      <w:r w:rsidR="007F53D8">
        <w:rPr>
          <w:rFonts w:eastAsiaTheme="minorEastAsia"/>
        </w:rPr>
        <w:t>nderlining added</w:t>
      </w:r>
      <w:r w:rsidRPr="00BF46B7">
        <w:rPr>
          <w:rFonts w:eastAsiaTheme="minorEastAsia"/>
        </w:rPr>
        <w:t>.]</w:t>
      </w:r>
      <w:r w:rsidRPr="00BF46B7">
        <w:rPr>
          <w:rFonts w:eastAsiaTheme="minorEastAsia"/>
          <w:lang w:bidi="en-US"/>
        </w:rPr>
        <w:t xml:space="preserve"> </w:t>
      </w:r>
    </w:p>
    <w:p w:rsidR="00A55D5F" w:rsidRPr="00BF46B7" w:rsidRDefault="00A55D5F" w:rsidP="00AD4E67">
      <w:pPr>
        <w:pStyle w:val="Citation-AltC"/>
        <w:widowControl w:val="0"/>
        <w:rPr>
          <w:rFonts w:eastAsiaTheme="minorEastAsia"/>
          <w:lang w:val="fr-CA" w:bidi="en-US"/>
        </w:rPr>
      </w:pPr>
    </w:p>
    <w:p w:rsidR="00A55D5F" w:rsidRPr="002949BF" w:rsidRDefault="00A55D5F" w:rsidP="00AD4E67">
      <w:pPr>
        <w:pStyle w:val="Citation-AltC"/>
        <w:widowControl w:val="0"/>
        <w:ind w:left="0"/>
        <w:rPr>
          <w:rFonts w:eastAsiaTheme="minorEastAsia"/>
          <w:lang w:bidi="en-US"/>
        </w:rPr>
      </w:pPr>
      <w:r w:rsidRPr="002949BF">
        <w:rPr>
          <w:rFonts w:eastAsiaTheme="minorEastAsia"/>
          <w:lang w:bidi="en-US"/>
        </w:rPr>
        <w:t>(</w:t>
      </w:r>
      <w:r w:rsidRPr="002949BF">
        <w:rPr>
          <w:rFonts w:eastAsiaTheme="minorEastAsia"/>
          <w:i/>
          <w:lang w:bidi="en-US"/>
        </w:rPr>
        <w:t>Droit des obligations</w:t>
      </w:r>
      <w:r w:rsidRPr="002949BF">
        <w:rPr>
          <w:rFonts w:eastAsiaTheme="minorEastAsia"/>
          <w:lang w:bidi="en-US"/>
        </w:rPr>
        <w:t xml:space="preserve"> (2nd ed. 2012), at paras. 1051-52)</w:t>
      </w:r>
    </w:p>
    <w:p w:rsidR="00A55D5F" w:rsidRPr="00BF46B7" w:rsidRDefault="00A55D5F" w:rsidP="00AD4E67">
      <w:pPr>
        <w:pStyle w:val="ParaNoNdepar-AltN"/>
        <w:widowControl w:val="0"/>
        <w:rPr>
          <w:rFonts w:cs="Times New Roman"/>
        </w:rPr>
      </w:pPr>
      <w:r w:rsidRPr="00BF46B7">
        <w:rPr>
          <w:rFonts w:cs="Times New Roman"/>
        </w:rPr>
        <w:t xml:space="preserve">I do not share the view that rectification is available only where the prestation, as rectified in the written document, was specifically envisaged by the parties from the outset. In practice, this would mean that rectification would be available only to correct clerical errors — an argument that was made and rejected in </w:t>
      </w:r>
      <w:r w:rsidRPr="00BF46B7">
        <w:rPr>
          <w:rFonts w:cs="Times New Roman"/>
          <w:i/>
        </w:rPr>
        <w:t>AES</w:t>
      </w:r>
      <w:r>
        <w:rPr>
          <w:rFonts w:cs="Times New Roman"/>
        </w:rPr>
        <w:t xml:space="preserve"> (para. </w:t>
      </w:r>
      <w:r w:rsidRPr="00BF46B7">
        <w:rPr>
          <w:rFonts w:cs="Times New Roman"/>
        </w:rPr>
        <w:t>23). This view disregards LeBel</w:t>
      </w:r>
      <w:r>
        <w:rPr>
          <w:rFonts w:cs="Times New Roman"/>
        </w:rPr>
        <w:t> </w:t>
      </w:r>
      <w:r w:rsidRPr="00BF46B7">
        <w:rPr>
          <w:rFonts w:cs="Times New Roman"/>
        </w:rPr>
        <w:t>J.’s recognition of the fact that even an oral declaration of the parties’ will can depart from their common intention (</w:t>
      </w:r>
      <w:r w:rsidRPr="00BF46B7">
        <w:rPr>
          <w:rFonts w:cs="Times New Roman"/>
          <w:i/>
        </w:rPr>
        <w:t>ibid.</w:t>
      </w:r>
      <w:r w:rsidRPr="00BF46B7">
        <w:rPr>
          <w:rFonts w:cs="Times New Roman"/>
        </w:rPr>
        <w:t>, at para. 28). Here, the object of the agreement consisted in tax-neutral reciprocal loans creating net liabilities in U.S. dollars. Failing to consider that the loans had to be tax-neutral in order for the agreement to make commercial sense is inimical to the overall scheme</w:t>
      </w:r>
      <w:r w:rsidRPr="00BF46B7">
        <w:rPr>
          <w:rFonts w:cs="Times New Roman"/>
          <w:iCs/>
          <w:lang w:bidi="en-US"/>
        </w:rPr>
        <w:t xml:space="preserve"> of the agreement. Tax neutrality was at the very core of the agreement. There is n</w:t>
      </w:r>
      <w:r w:rsidRPr="00BF46B7">
        <w:rPr>
          <w:rFonts w:cs="Times New Roman"/>
        </w:rPr>
        <w:t xml:space="preserve">othing in </w:t>
      </w:r>
      <w:r>
        <w:rPr>
          <w:rFonts w:cs="Times New Roman"/>
        </w:rPr>
        <w:t>art. </w:t>
      </w:r>
      <w:r w:rsidRPr="00BF46B7">
        <w:rPr>
          <w:rFonts w:cs="Times New Roman"/>
        </w:rPr>
        <w:t xml:space="preserve">1412 </w:t>
      </w:r>
      <w:r w:rsidRPr="00BF46B7">
        <w:rPr>
          <w:rFonts w:cs="Times New Roman"/>
          <w:i/>
        </w:rPr>
        <w:t>C.C.Q.</w:t>
      </w:r>
      <w:r w:rsidRPr="00BF46B7">
        <w:rPr>
          <w:rFonts w:cs="Times New Roman"/>
        </w:rPr>
        <w:t xml:space="preserve"> that prevents a court from giving effect to that agreement. </w:t>
      </w:r>
    </w:p>
    <w:p w:rsidR="00A55D5F" w:rsidRPr="00BF46B7" w:rsidRDefault="00A55D5F" w:rsidP="00AD4E67">
      <w:pPr>
        <w:pStyle w:val="ParaNoNdepar-AltN"/>
        <w:widowControl w:val="0"/>
        <w:rPr>
          <w:rFonts w:cs="Times New Roman"/>
        </w:rPr>
      </w:pPr>
      <w:r w:rsidRPr="00BF46B7">
        <w:rPr>
          <w:rFonts w:cs="Times New Roman"/>
        </w:rPr>
        <w:t>Further, the additional transactions or prestations envisioned by the parties were sufficiently determin</w:t>
      </w:r>
      <w:r>
        <w:rPr>
          <w:rFonts w:cs="Times New Roman"/>
        </w:rPr>
        <w:t>able within the meaning of art. </w:t>
      </w:r>
      <w:r w:rsidRPr="00BF46B7">
        <w:rPr>
          <w:rFonts w:cs="Times New Roman"/>
        </w:rPr>
        <w:t xml:space="preserve">1373 </w:t>
      </w:r>
      <w:r w:rsidRPr="00BF46B7">
        <w:rPr>
          <w:rFonts w:cs="Times New Roman"/>
          <w:i/>
        </w:rPr>
        <w:t>C.C.Q.</w:t>
      </w:r>
      <w:r w:rsidRPr="00BF46B7">
        <w:rPr>
          <w:rFonts w:cs="Times New Roman"/>
        </w:rPr>
        <w:t xml:space="preserve">, as understood by this Court in </w:t>
      </w:r>
      <w:r w:rsidRPr="00BF46B7">
        <w:rPr>
          <w:rFonts w:cs="Times New Roman"/>
          <w:i/>
        </w:rPr>
        <w:t>AES</w:t>
      </w:r>
      <w:r w:rsidRPr="00BF46B7">
        <w:rPr>
          <w:rFonts w:cs="Times New Roman"/>
        </w:rPr>
        <w:t xml:space="preserve">. A closer look at the facts of </w:t>
      </w:r>
      <w:r w:rsidRPr="00BF46B7">
        <w:rPr>
          <w:rFonts w:cs="Times New Roman"/>
          <w:i/>
        </w:rPr>
        <w:t>AES</w:t>
      </w:r>
      <w:r w:rsidRPr="00BF46B7">
        <w:rPr>
          <w:rFonts w:cs="Times New Roman"/>
        </w:rPr>
        <w:t xml:space="preserve"> will prove instructive. Prior to the contemplated reorganization, AES held 1,217,029 Class A shares of Centre </w:t>
      </w:r>
      <w:r w:rsidRPr="00BF46B7">
        <w:rPr>
          <w:rFonts w:cs="Times New Roman"/>
        </w:rPr>
        <w:lastRenderedPageBreak/>
        <w:t>technologique, and wrongfully believed that the ACB of the shares was $1,217,029. AES exchanged all of its Class A shares for 4,500,000 Class B shares of Centre technologique and a demand note for $1,217,028. Between December</w:t>
      </w:r>
      <w:r>
        <w:rPr>
          <w:rFonts w:cs="Times New Roman"/>
        </w:rPr>
        <w:t> </w:t>
      </w:r>
      <w:r w:rsidRPr="00BF46B7">
        <w:rPr>
          <w:rFonts w:cs="Times New Roman"/>
        </w:rPr>
        <w:t>1998 and September</w:t>
      </w:r>
      <w:r>
        <w:rPr>
          <w:rFonts w:cs="Times New Roman"/>
        </w:rPr>
        <w:t> </w:t>
      </w:r>
      <w:r w:rsidRPr="00BF46B7">
        <w:rPr>
          <w:rFonts w:cs="Times New Roman"/>
        </w:rPr>
        <w:t>1999, Centre technologique repaid the demand note in full. In 2000, AES was assessed for a capital gain. The motion for rectification brought by AES and Centre technologique centred on modification of the terms of the demand note. The parties asked that the Superior Court substitute the amount of $95,000 for any reference to $1,217,028, the former being the correct ACB of the transferred shares at the time of the contract. However, to implement the correction, the parties also asked that the transactional documents be modified to include the issuance of 1,122,029 Class C preferred shares (</w:t>
      </w:r>
      <w:r w:rsidRPr="00BF46B7">
        <w:rPr>
          <w:rFonts w:cs="Times New Roman"/>
          <w:i/>
        </w:rPr>
        <w:t>Québec</w:t>
      </w:r>
      <w:r w:rsidRPr="00BF46B7">
        <w:rPr>
          <w:rFonts w:cs="Times New Roman"/>
        </w:rPr>
        <w:t xml:space="preserve"> </w:t>
      </w:r>
      <w:r w:rsidRPr="00BF46B7">
        <w:rPr>
          <w:rFonts w:cs="Times New Roman"/>
          <w:i/>
        </w:rPr>
        <w:t>(Sous-ministre du Revenu) v. Services environnementaux AES inc.</w:t>
      </w:r>
      <w:r w:rsidRPr="00BF46B7">
        <w:rPr>
          <w:rFonts w:cs="Times New Roman"/>
        </w:rPr>
        <w:t>, 2011 QCCA 394, at paras.</w:t>
      </w:r>
      <w:r>
        <w:rPr>
          <w:rFonts w:cs="Times New Roman"/>
        </w:rPr>
        <w:t> </w:t>
      </w:r>
      <w:r w:rsidRPr="00BF46B7">
        <w:rPr>
          <w:rFonts w:cs="Times New Roman"/>
        </w:rPr>
        <w:t>2-3</w:t>
      </w:r>
      <w:r w:rsidR="0015267D">
        <w:rPr>
          <w:rFonts w:cs="Times New Roman"/>
        </w:rPr>
        <w:t xml:space="preserve"> (CanLII)</w:t>
      </w:r>
      <w:r w:rsidRPr="00BF46B7">
        <w:rPr>
          <w:rFonts w:cs="Times New Roman"/>
        </w:rPr>
        <w:t xml:space="preserve">). In short, they changed a component of the transaction that was based entirely on a debt instrument (the demand note) into separate debt and equity components in order to implement their original intention. The added equity component — the issuance of Class C preferred shares — had never previously been considered by the parties. </w:t>
      </w:r>
    </w:p>
    <w:p w:rsidR="00A55D5F" w:rsidRPr="00BF46B7" w:rsidRDefault="00A55D5F" w:rsidP="00AD4E67">
      <w:pPr>
        <w:pStyle w:val="ParaNoNdepar-AltN"/>
        <w:widowControl w:val="0"/>
        <w:rPr>
          <w:rFonts w:cs="Times New Roman"/>
        </w:rPr>
      </w:pPr>
      <w:r w:rsidRPr="00BF46B7">
        <w:rPr>
          <w:rFonts w:cs="Times New Roman"/>
        </w:rPr>
        <w:t xml:space="preserve">For clarity’s sake, the factual matrix of </w:t>
      </w:r>
      <w:r w:rsidRPr="00BF46B7">
        <w:rPr>
          <w:rFonts w:cs="Times New Roman"/>
          <w:i/>
        </w:rPr>
        <w:t xml:space="preserve">AES </w:t>
      </w:r>
      <w:r w:rsidRPr="00BF46B7">
        <w:rPr>
          <w:rFonts w:cs="Times New Roman"/>
        </w:rPr>
        <w:t xml:space="preserve">is reproduced in the chart below in comparison with that of the instant case: </w:t>
      </w:r>
    </w:p>
    <w:tbl>
      <w:tblPr>
        <w:tblStyle w:val="TableGrid"/>
        <w:tblW w:w="8365" w:type="dxa"/>
        <w:tblLayout w:type="fixed"/>
        <w:tblLook w:val="04A0" w:firstRow="1" w:lastRow="0" w:firstColumn="1" w:lastColumn="0" w:noHBand="0" w:noVBand="1"/>
      </w:tblPr>
      <w:tblGrid>
        <w:gridCol w:w="985"/>
        <w:gridCol w:w="3690"/>
        <w:gridCol w:w="3690"/>
      </w:tblGrid>
      <w:tr w:rsidR="00A55D5F" w:rsidRPr="00BF46B7" w:rsidTr="00374C89">
        <w:trPr>
          <w:trHeight w:val="530"/>
        </w:trPr>
        <w:tc>
          <w:tcPr>
            <w:tcW w:w="985" w:type="dxa"/>
            <w:vAlign w:val="center"/>
          </w:tcPr>
          <w:p w:rsidR="00A55D5F" w:rsidRPr="00BF46B7" w:rsidRDefault="00A55D5F" w:rsidP="00AD4E67">
            <w:pPr>
              <w:widowControl w:val="0"/>
            </w:pPr>
          </w:p>
        </w:tc>
        <w:tc>
          <w:tcPr>
            <w:tcW w:w="3690" w:type="dxa"/>
            <w:vAlign w:val="center"/>
          </w:tcPr>
          <w:p w:rsidR="00A55D5F" w:rsidRPr="00BF46B7" w:rsidRDefault="00A55D5F" w:rsidP="00AD4E67">
            <w:pPr>
              <w:widowControl w:val="0"/>
              <w:jc w:val="center"/>
            </w:pPr>
            <w:r w:rsidRPr="00BF46B7">
              <w:t>Original Implementation</w:t>
            </w:r>
          </w:p>
        </w:tc>
        <w:tc>
          <w:tcPr>
            <w:tcW w:w="3690" w:type="dxa"/>
            <w:vAlign w:val="center"/>
          </w:tcPr>
          <w:p w:rsidR="00A55D5F" w:rsidRPr="00BF46B7" w:rsidRDefault="00A55D5F" w:rsidP="00AD4E67">
            <w:pPr>
              <w:widowControl w:val="0"/>
              <w:jc w:val="center"/>
            </w:pPr>
            <w:r w:rsidRPr="00BF46B7">
              <w:t>Requested Rectification (</w:t>
            </w:r>
            <w:r w:rsidRPr="00BF46B7">
              <w:rPr>
                <w:i/>
              </w:rPr>
              <w:t>requested</w:t>
            </w:r>
            <w:r w:rsidRPr="00BF46B7">
              <w:t xml:space="preserve"> </w:t>
            </w:r>
            <w:r w:rsidRPr="00BF46B7">
              <w:rPr>
                <w:i/>
              </w:rPr>
              <w:t>corrections emphasized</w:t>
            </w:r>
            <w:r w:rsidRPr="00BF46B7">
              <w:t xml:space="preserve">) </w:t>
            </w:r>
          </w:p>
        </w:tc>
      </w:tr>
      <w:tr w:rsidR="00A55D5F" w:rsidRPr="00BF46B7" w:rsidTr="00374C89">
        <w:tc>
          <w:tcPr>
            <w:tcW w:w="985" w:type="dxa"/>
            <w:vAlign w:val="center"/>
          </w:tcPr>
          <w:p w:rsidR="00A55D5F" w:rsidRPr="00BF46B7" w:rsidRDefault="00A55D5F" w:rsidP="00AD4E67">
            <w:pPr>
              <w:widowControl w:val="0"/>
              <w:rPr>
                <w:i/>
              </w:rPr>
            </w:pPr>
            <w:r w:rsidRPr="00BF46B7">
              <w:rPr>
                <w:i/>
              </w:rPr>
              <w:t>AES</w:t>
            </w:r>
          </w:p>
        </w:tc>
        <w:tc>
          <w:tcPr>
            <w:tcW w:w="3690" w:type="dxa"/>
            <w:vAlign w:val="center"/>
          </w:tcPr>
          <w:p w:rsidR="00A55D5F" w:rsidRPr="00BF46B7" w:rsidRDefault="00A55D5F" w:rsidP="00AD4E67">
            <w:pPr>
              <w:widowControl w:val="0"/>
              <w:ind w:left="702" w:hanging="360"/>
              <w:contextualSpacing/>
            </w:pPr>
            <w:r w:rsidRPr="00BF46B7">
              <w:t>(a)</w:t>
            </w:r>
            <w:r w:rsidRPr="00BF46B7">
              <w:tab/>
              <w:t xml:space="preserve">AES transfers 1,217,029 Class A shares of Centre technologique to Centre technologique; </w:t>
            </w:r>
          </w:p>
          <w:p w:rsidR="00A55D5F" w:rsidRPr="00BF46B7" w:rsidRDefault="00A55D5F" w:rsidP="00AD4E67">
            <w:pPr>
              <w:widowControl w:val="0"/>
              <w:ind w:left="720"/>
              <w:contextualSpacing/>
            </w:pPr>
          </w:p>
          <w:p w:rsidR="00A55D5F" w:rsidRPr="00BF46B7" w:rsidRDefault="00A55D5F" w:rsidP="00AD4E67">
            <w:pPr>
              <w:widowControl w:val="0"/>
              <w:ind w:left="702" w:hanging="360"/>
              <w:contextualSpacing/>
            </w:pPr>
            <w:r w:rsidRPr="00BF46B7">
              <w:t>(b)</w:t>
            </w:r>
            <w:r w:rsidRPr="00BF46B7">
              <w:tab/>
              <w:t xml:space="preserve">Centre technologique transfers 4,500,000 Class B shares of Centre technologique to AES; </w:t>
            </w:r>
          </w:p>
          <w:p w:rsidR="00A55D5F" w:rsidRPr="00BF46B7" w:rsidRDefault="00A55D5F" w:rsidP="00AD4E67">
            <w:pPr>
              <w:widowControl w:val="0"/>
              <w:ind w:left="720"/>
              <w:contextualSpacing/>
            </w:pPr>
          </w:p>
          <w:p w:rsidR="00A55D5F" w:rsidRDefault="00A55D5F" w:rsidP="00AD4E67">
            <w:pPr>
              <w:widowControl w:val="0"/>
              <w:ind w:left="702" w:hanging="360"/>
              <w:contextualSpacing/>
            </w:pPr>
            <w:r w:rsidRPr="00BF46B7">
              <w:t>(c)</w:t>
            </w:r>
            <w:r w:rsidRPr="00BF46B7">
              <w:tab/>
              <w:t xml:space="preserve">Centre technologique issues a demand note to AES for $1,217,028. </w:t>
            </w:r>
          </w:p>
          <w:p w:rsidR="00A55D5F" w:rsidRDefault="00A55D5F" w:rsidP="00AD4E67">
            <w:pPr>
              <w:widowControl w:val="0"/>
              <w:ind w:left="702" w:hanging="360"/>
              <w:contextualSpacing/>
            </w:pPr>
          </w:p>
          <w:p w:rsidR="00A55D5F" w:rsidRDefault="00A55D5F" w:rsidP="00AD4E67">
            <w:pPr>
              <w:widowControl w:val="0"/>
              <w:ind w:left="702" w:hanging="360"/>
              <w:contextualSpacing/>
            </w:pPr>
          </w:p>
          <w:p w:rsidR="00A55D5F" w:rsidRPr="00BF46B7" w:rsidRDefault="00A55D5F" w:rsidP="00AD4E67">
            <w:pPr>
              <w:widowControl w:val="0"/>
              <w:ind w:left="702" w:hanging="360"/>
              <w:contextualSpacing/>
            </w:pPr>
          </w:p>
          <w:p w:rsidR="00A55D5F" w:rsidRPr="00BF46B7" w:rsidRDefault="00A55D5F" w:rsidP="00AD4E67">
            <w:pPr>
              <w:widowControl w:val="0"/>
              <w:ind w:left="720"/>
              <w:contextualSpacing/>
            </w:pPr>
          </w:p>
        </w:tc>
        <w:tc>
          <w:tcPr>
            <w:tcW w:w="3690" w:type="dxa"/>
            <w:vAlign w:val="center"/>
          </w:tcPr>
          <w:p w:rsidR="00A55D5F" w:rsidRPr="00BF46B7" w:rsidRDefault="00A55D5F" w:rsidP="00AD4E67">
            <w:pPr>
              <w:widowControl w:val="0"/>
              <w:ind w:left="702" w:hanging="360"/>
              <w:contextualSpacing/>
            </w:pPr>
            <w:r w:rsidRPr="00BF46B7">
              <w:lastRenderedPageBreak/>
              <w:t>(a)</w:t>
            </w:r>
            <w:r w:rsidRPr="00BF46B7">
              <w:tab/>
              <w:t xml:space="preserve">AES transfers 1,217,029 Class A shares of Centre technologique to Centre technologique; </w:t>
            </w:r>
          </w:p>
          <w:p w:rsidR="00A55D5F" w:rsidRPr="00BF46B7" w:rsidRDefault="00A55D5F" w:rsidP="00AD4E67">
            <w:pPr>
              <w:widowControl w:val="0"/>
              <w:ind w:left="720"/>
              <w:contextualSpacing/>
            </w:pPr>
          </w:p>
          <w:p w:rsidR="00A55D5F" w:rsidRPr="00BF46B7" w:rsidRDefault="00A55D5F" w:rsidP="00AD4E67">
            <w:pPr>
              <w:widowControl w:val="0"/>
              <w:ind w:left="702" w:hanging="360"/>
              <w:contextualSpacing/>
            </w:pPr>
            <w:r w:rsidRPr="00BF46B7">
              <w:t>(b)</w:t>
            </w:r>
            <w:r w:rsidRPr="00BF46B7">
              <w:tab/>
              <w:t xml:space="preserve">Centre technologique transfers 4,500,000 Class B shares of Centre technologique to AES; </w:t>
            </w:r>
          </w:p>
          <w:p w:rsidR="00A55D5F" w:rsidRPr="00BF46B7" w:rsidRDefault="00A55D5F" w:rsidP="00AD4E67">
            <w:pPr>
              <w:widowControl w:val="0"/>
              <w:ind w:left="720"/>
              <w:contextualSpacing/>
            </w:pPr>
          </w:p>
          <w:p w:rsidR="00A55D5F" w:rsidRPr="00BF46B7" w:rsidRDefault="00A55D5F" w:rsidP="00AD4E67">
            <w:pPr>
              <w:widowControl w:val="0"/>
              <w:ind w:left="702" w:hanging="360"/>
              <w:contextualSpacing/>
              <w:rPr>
                <w:i/>
              </w:rPr>
            </w:pPr>
            <w:r w:rsidRPr="00BF46B7">
              <w:t>(c)</w:t>
            </w:r>
            <w:r w:rsidRPr="00BF46B7">
              <w:tab/>
              <w:t>Centre technologique issues a demand note to AES for</w:t>
            </w:r>
            <w:r w:rsidRPr="00BF46B7">
              <w:rPr>
                <w:i/>
              </w:rPr>
              <w:t xml:space="preserve"> </w:t>
            </w:r>
            <w:r w:rsidRPr="00BF46B7">
              <w:rPr>
                <w:b/>
                <w:i/>
              </w:rPr>
              <w:t>$95,000</w:t>
            </w:r>
            <w:r w:rsidRPr="00BF46B7">
              <w:t>;</w:t>
            </w:r>
          </w:p>
          <w:p w:rsidR="00A55D5F" w:rsidRPr="00BF46B7" w:rsidRDefault="00A55D5F" w:rsidP="00AD4E67">
            <w:pPr>
              <w:widowControl w:val="0"/>
              <w:ind w:left="720"/>
              <w:contextualSpacing/>
              <w:rPr>
                <w:i/>
              </w:rPr>
            </w:pPr>
          </w:p>
          <w:p w:rsidR="00A55D5F" w:rsidRPr="00BF46B7" w:rsidRDefault="00A55D5F" w:rsidP="00AD4E67">
            <w:pPr>
              <w:widowControl w:val="0"/>
              <w:ind w:left="702" w:hanging="360"/>
              <w:contextualSpacing/>
            </w:pPr>
            <w:r w:rsidRPr="00BF46B7">
              <w:t>(d)</w:t>
            </w:r>
            <w:r w:rsidRPr="00BF46B7">
              <w:tab/>
            </w:r>
            <w:r w:rsidRPr="00BF46B7">
              <w:rPr>
                <w:b/>
                <w:i/>
              </w:rPr>
              <w:t>Centre technologique issues 1,122,029 Class C preferred shares to AES.</w:t>
            </w:r>
            <w:r w:rsidRPr="00BF46B7">
              <w:rPr>
                <w:i/>
              </w:rPr>
              <w:t xml:space="preserve"> </w:t>
            </w:r>
          </w:p>
        </w:tc>
      </w:tr>
      <w:tr w:rsidR="00A55D5F" w:rsidRPr="00BF46B7" w:rsidTr="00374C89">
        <w:tc>
          <w:tcPr>
            <w:tcW w:w="985" w:type="dxa"/>
            <w:vAlign w:val="center"/>
          </w:tcPr>
          <w:p w:rsidR="00A55D5F" w:rsidRPr="00BF46B7" w:rsidRDefault="00A55D5F" w:rsidP="00AD4E67">
            <w:pPr>
              <w:widowControl w:val="0"/>
            </w:pPr>
            <w:r w:rsidRPr="00BF46B7">
              <w:lastRenderedPageBreak/>
              <w:t>Instant case</w:t>
            </w:r>
          </w:p>
        </w:tc>
        <w:tc>
          <w:tcPr>
            <w:tcW w:w="3690" w:type="dxa"/>
            <w:vAlign w:val="center"/>
          </w:tcPr>
          <w:p w:rsidR="00A55D5F" w:rsidRPr="00BF46B7" w:rsidRDefault="00A55D5F" w:rsidP="00AD4E67">
            <w:pPr>
              <w:widowControl w:val="0"/>
              <w:ind w:left="702" w:hanging="360"/>
              <w:contextualSpacing/>
            </w:pPr>
            <w:r w:rsidRPr="00BF46B7">
              <w:t>(a)</w:t>
            </w:r>
            <w:r w:rsidRPr="00BF46B7">
              <w:tab/>
              <w:t>On Feb. 7, 2005, PJC Canada loans US$120 million to PJC USA;</w:t>
            </w:r>
          </w:p>
          <w:p w:rsidR="00A55D5F" w:rsidRPr="00BF46B7" w:rsidRDefault="00A55D5F" w:rsidP="00AD4E67">
            <w:pPr>
              <w:widowControl w:val="0"/>
              <w:ind w:left="720"/>
              <w:contextualSpacing/>
            </w:pPr>
          </w:p>
          <w:p w:rsidR="00A55D5F" w:rsidRPr="00BF46B7" w:rsidRDefault="00A55D5F" w:rsidP="00AD4E67">
            <w:pPr>
              <w:widowControl w:val="0"/>
              <w:ind w:left="720"/>
              <w:contextualSpacing/>
            </w:pPr>
          </w:p>
          <w:p w:rsidR="00A55D5F" w:rsidRPr="00BF46B7" w:rsidRDefault="00A55D5F" w:rsidP="00AD4E67">
            <w:pPr>
              <w:widowControl w:val="0"/>
              <w:ind w:left="720"/>
              <w:contextualSpacing/>
            </w:pPr>
          </w:p>
          <w:p w:rsidR="00A55D5F" w:rsidRPr="00BF46B7" w:rsidRDefault="00A55D5F" w:rsidP="00AD4E67">
            <w:pPr>
              <w:widowControl w:val="0"/>
              <w:ind w:left="720"/>
              <w:contextualSpacing/>
            </w:pPr>
          </w:p>
          <w:p w:rsidR="00A55D5F" w:rsidRPr="00BF46B7" w:rsidRDefault="00A55D5F" w:rsidP="00AD4E67">
            <w:pPr>
              <w:widowControl w:val="0"/>
              <w:ind w:left="720"/>
              <w:contextualSpacing/>
            </w:pPr>
          </w:p>
          <w:p w:rsidR="00A55D5F" w:rsidRPr="00BF46B7" w:rsidRDefault="00A55D5F" w:rsidP="00AD4E67">
            <w:pPr>
              <w:widowControl w:val="0"/>
              <w:ind w:left="702" w:hanging="360"/>
              <w:contextualSpacing/>
            </w:pPr>
            <w:r w:rsidRPr="00BF46B7">
              <w:t>(b)</w:t>
            </w:r>
            <w:r w:rsidRPr="00BF46B7">
              <w:tab/>
              <w:t>On Feb. 25, 2005, PJC Canada purchases an additional 10 common shares of PJC USA for US$70 million;</w:t>
            </w:r>
          </w:p>
          <w:p w:rsidR="00A55D5F" w:rsidRPr="00BF46B7" w:rsidRDefault="00A55D5F" w:rsidP="00AD4E67">
            <w:pPr>
              <w:widowControl w:val="0"/>
              <w:ind w:left="702" w:hanging="360"/>
              <w:contextualSpacing/>
            </w:pPr>
          </w:p>
          <w:p w:rsidR="00A55D5F" w:rsidRPr="00BF46B7" w:rsidRDefault="00A55D5F" w:rsidP="00AD4E67">
            <w:pPr>
              <w:widowControl w:val="0"/>
              <w:ind w:left="702" w:hanging="360"/>
              <w:contextualSpacing/>
            </w:pPr>
            <w:r w:rsidRPr="00BF46B7">
              <w:t>(c)</w:t>
            </w:r>
            <w:r w:rsidRPr="00BF46B7">
              <w:tab/>
              <w:t>On Feb. 25, 2005, PJC USA loans US$70 million to PJC Canada.</w:t>
            </w:r>
          </w:p>
          <w:p w:rsidR="00A55D5F" w:rsidRPr="00BF46B7" w:rsidRDefault="00A55D5F" w:rsidP="00AD4E67">
            <w:pPr>
              <w:widowControl w:val="0"/>
              <w:ind w:left="702" w:hanging="360"/>
              <w:contextualSpacing/>
            </w:pPr>
          </w:p>
          <w:p w:rsidR="00A55D5F" w:rsidRPr="00BF46B7" w:rsidRDefault="00A55D5F" w:rsidP="00AD4E67">
            <w:pPr>
              <w:widowControl w:val="0"/>
              <w:ind w:left="702" w:hanging="360"/>
              <w:contextualSpacing/>
            </w:pPr>
          </w:p>
          <w:p w:rsidR="00A55D5F" w:rsidRPr="00BF46B7" w:rsidRDefault="00A55D5F" w:rsidP="00AD4E67">
            <w:pPr>
              <w:widowControl w:val="0"/>
              <w:ind w:left="702" w:hanging="360"/>
              <w:contextualSpacing/>
            </w:pPr>
          </w:p>
          <w:p w:rsidR="00A55D5F" w:rsidRPr="00BF46B7" w:rsidRDefault="00A55D5F" w:rsidP="00AD4E67">
            <w:pPr>
              <w:widowControl w:val="0"/>
              <w:ind w:left="702" w:hanging="360"/>
              <w:contextualSpacing/>
            </w:pPr>
          </w:p>
          <w:p w:rsidR="00A55D5F" w:rsidRPr="00BF46B7" w:rsidRDefault="00A55D5F" w:rsidP="00AD4E67">
            <w:pPr>
              <w:widowControl w:val="0"/>
              <w:ind w:left="702" w:hanging="360"/>
              <w:contextualSpacing/>
            </w:pPr>
          </w:p>
          <w:p w:rsidR="00A55D5F" w:rsidRPr="00BF46B7" w:rsidRDefault="00A55D5F" w:rsidP="00AD4E67">
            <w:pPr>
              <w:widowControl w:val="0"/>
              <w:ind w:left="702" w:hanging="360"/>
              <w:contextualSpacing/>
            </w:pPr>
          </w:p>
          <w:p w:rsidR="00A55D5F" w:rsidRPr="00BF46B7" w:rsidRDefault="00A55D5F" w:rsidP="00AD4E67">
            <w:pPr>
              <w:widowControl w:val="0"/>
              <w:ind w:left="702" w:hanging="360"/>
              <w:contextualSpacing/>
            </w:pPr>
          </w:p>
          <w:p w:rsidR="00A55D5F" w:rsidRPr="00BF46B7" w:rsidRDefault="00A55D5F" w:rsidP="00AD4E67">
            <w:pPr>
              <w:widowControl w:val="0"/>
              <w:ind w:left="702" w:hanging="360"/>
              <w:contextualSpacing/>
            </w:pPr>
          </w:p>
          <w:p w:rsidR="00A55D5F" w:rsidRPr="00BF46B7" w:rsidRDefault="00A55D5F" w:rsidP="00AD4E67">
            <w:pPr>
              <w:widowControl w:val="0"/>
              <w:ind w:left="702" w:hanging="360"/>
              <w:contextualSpacing/>
            </w:pPr>
          </w:p>
          <w:p w:rsidR="00A55D5F" w:rsidRPr="00BF46B7" w:rsidRDefault="00A55D5F" w:rsidP="00AD4E67">
            <w:pPr>
              <w:widowControl w:val="0"/>
            </w:pPr>
          </w:p>
        </w:tc>
        <w:tc>
          <w:tcPr>
            <w:tcW w:w="3690" w:type="dxa"/>
            <w:vAlign w:val="center"/>
          </w:tcPr>
          <w:p w:rsidR="00A55D5F" w:rsidRPr="00BF46B7" w:rsidRDefault="00A55D5F" w:rsidP="00AD4E67">
            <w:pPr>
              <w:widowControl w:val="0"/>
              <w:ind w:left="702" w:hanging="360"/>
              <w:contextualSpacing/>
            </w:pPr>
            <w:r w:rsidRPr="00BF46B7">
              <w:t>(a)</w:t>
            </w:r>
            <w:r w:rsidRPr="00BF46B7">
              <w:tab/>
              <w:t>On Feb. 7, 2005, PJC Canada loans US$120 million to PJC USA, payable only on mutual consent of the parties, with interest at LIBOR plus 2.5 percent;</w:t>
            </w:r>
          </w:p>
          <w:p w:rsidR="00A55D5F" w:rsidRPr="00BF46B7" w:rsidRDefault="00A55D5F" w:rsidP="00AD4E67">
            <w:pPr>
              <w:widowControl w:val="0"/>
              <w:ind w:left="720"/>
              <w:contextualSpacing/>
            </w:pPr>
          </w:p>
          <w:p w:rsidR="00A55D5F" w:rsidRPr="00BF46B7" w:rsidRDefault="00A55D5F" w:rsidP="00AD4E67">
            <w:pPr>
              <w:widowControl w:val="0"/>
              <w:ind w:left="702" w:hanging="360"/>
              <w:contextualSpacing/>
            </w:pPr>
            <w:r w:rsidRPr="00BF46B7">
              <w:t>(b)</w:t>
            </w:r>
            <w:r w:rsidRPr="00BF46B7">
              <w:tab/>
              <w:t>On Feb. 25, 2005, PJC Canada purchases an additional 10 common shares of PJC USA for US$70 million;</w:t>
            </w:r>
          </w:p>
          <w:p w:rsidR="00A55D5F" w:rsidRPr="00BF46B7" w:rsidRDefault="00A55D5F" w:rsidP="00AD4E67">
            <w:pPr>
              <w:widowControl w:val="0"/>
              <w:ind w:left="720"/>
              <w:contextualSpacing/>
            </w:pPr>
          </w:p>
          <w:p w:rsidR="00A55D5F" w:rsidRPr="00BF46B7" w:rsidRDefault="00A55D5F" w:rsidP="00AD4E67">
            <w:pPr>
              <w:widowControl w:val="0"/>
              <w:ind w:left="702" w:hanging="360"/>
              <w:contextualSpacing/>
              <w:rPr>
                <w:i/>
              </w:rPr>
            </w:pPr>
            <w:r w:rsidRPr="00BF46B7">
              <w:t>(c)</w:t>
            </w:r>
            <w:r w:rsidRPr="00BF46B7">
              <w:tab/>
            </w:r>
            <w:r w:rsidRPr="00BF46B7">
              <w:rPr>
                <w:b/>
                <w:i/>
              </w:rPr>
              <w:t>On Feb. 25, 2005,</w:t>
            </w:r>
            <w:r w:rsidRPr="00BF46B7">
              <w:rPr>
                <w:b/>
              </w:rPr>
              <w:t xml:space="preserve"> </w:t>
            </w:r>
            <w:r w:rsidRPr="00BF46B7">
              <w:rPr>
                <w:b/>
                <w:i/>
              </w:rPr>
              <w:t>PJC USA repays US$70 million of the US$120 million loan to PJC Canada;</w:t>
            </w:r>
          </w:p>
          <w:p w:rsidR="00A55D5F" w:rsidRPr="00BF46B7" w:rsidRDefault="00A55D5F" w:rsidP="00AD4E67">
            <w:pPr>
              <w:widowControl w:val="0"/>
              <w:ind w:left="720"/>
              <w:contextualSpacing/>
              <w:rPr>
                <w:i/>
              </w:rPr>
            </w:pPr>
          </w:p>
          <w:p w:rsidR="00A55D5F" w:rsidRPr="00BF46B7" w:rsidRDefault="00A55D5F" w:rsidP="00AD4E67">
            <w:pPr>
              <w:widowControl w:val="0"/>
              <w:ind w:left="702" w:hanging="360"/>
              <w:contextualSpacing/>
              <w:rPr>
                <w:i/>
              </w:rPr>
            </w:pPr>
            <w:r w:rsidRPr="00BF46B7">
              <w:t>(d)</w:t>
            </w:r>
            <w:r w:rsidRPr="00BF46B7">
              <w:tab/>
            </w:r>
            <w:r w:rsidRPr="00BF46B7">
              <w:rPr>
                <w:b/>
                <w:i/>
              </w:rPr>
              <w:t>On Feb. 25, 2005,</w:t>
            </w:r>
            <w:r w:rsidRPr="00BF46B7">
              <w:rPr>
                <w:b/>
              </w:rPr>
              <w:t xml:space="preserve"> </w:t>
            </w:r>
            <w:r w:rsidRPr="00BF46B7">
              <w:rPr>
                <w:b/>
                <w:i/>
              </w:rPr>
              <w:t>PJC Canada loans US$70 million to PJC USA;</w:t>
            </w:r>
          </w:p>
          <w:p w:rsidR="00A55D5F" w:rsidRPr="00BF46B7" w:rsidRDefault="00A55D5F" w:rsidP="00AD4E67">
            <w:pPr>
              <w:widowControl w:val="0"/>
              <w:ind w:left="720"/>
              <w:contextualSpacing/>
            </w:pPr>
          </w:p>
          <w:p w:rsidR="00A55D5F" w:rsidRPr="00BF46B7" w:rsidRDefault="00A55D5F" w:rsidP="00AD4E67">
            <w:pPr>
              <w:widowControl w:val="0"/>
              <w:ind w:left="702" w:hanging="360"/>
              <w:contextualSpacing/>
            </w:pPr>
            <w:r w:rsidRPr="00BF46B7">
              <w:t>(e)</w:t>
            </w:r>
            <w:r w:rsidRPr="00BF46B7">
              <w:tab/>
              <w:t>On Feb. 25, 2005, PJC USA loans US$70 million to PJC Canada, with interest at LIBOR plus 2.5 percent.</w:t>
            </w:r>
          </w:p>
        </w:tc>
      </w:tr>
    </w:tbl>
    <w:p w:rsidR="00A55D5F" w:rsidRPr="00BF46B7" w:rsidRDefault="00A55D5F" w:rsidP="00AD4E67">
      <w:pPr>
        <w:widowControl w:val="0"/>
      </w:pPr>
    </w:p>
    <w:p w:rsidR="00A55D5F" w:rsidRPr="00BF46B7" w:rsidRDefault="00A55D5F" w:rsidP="00AD4E67">
      <w:pPr>
        <w:pStyle w:val="ParaNoNdepar-AltN"/>
        <w:widowControl w:val="0"/>
        <w:rPr>
          <w:rFonts w:cs="Times New Roman"/>
        </w:rPr>
      </w:pPr>
      <w:r w:rsidRPr="00BF46B7">
        <w:rPr>
          <w:rFonts w:cs="Times New Roman"/>
        </w:rPr>
        <w:t xml:space="preserve">Fifteen years after the original agreement in </w:t>
      </w:r>
      <w:r w:rsidRPr="00BF46B7">
        <w:rPr>
          <w:rFonts w:cs="Times New Roman"/>
          <w:i/>
        </w:rPr>
        <w:t>AES</w:t>
      </w:r>
      <w:r w:rsidRPr="00BF46B7">
        <w:rPr>
          <w:rFonts w:cs="Times New Roman"/>
        </w:rPr>
        <w:t xml:space="preserve">, this Court granted AES’s requested rectification. In doing so, it nullified the original demand note, replaced it </w:t>
      </w:r>
      <w:r w:rsidRPr="00BF46B7">
        <w:rPr>
          <w:rFonts w:cs="Times New Roman"/>
        </w:rPr>
        <w:lastRenderedPageBreak/>
        <w:t xml:space="preserve">with one for lesser value, and added an equity component to the agreement. This was all done for one reason: to give effect to the parties’ original intention to maintain tax neutrality. Today, when faced with a similar request from PJC Canada, the majority of this Court denies it. </w:t>
      </w:r>
    </w:p>
    <w:p w:rsidR="00A55D5F" w:rsidRPr="00BF46B7" w:rsidRDefault="00A55D5F" w:rsidP="00AD4E67">
      <w:pPr>
        <w:pStyle w:val="ParaNoNdepar-AltN"/>
        <w:widowControl w:val="0"/>
        <w:rPr>
          <w:rFonts w:cs="Times New Roman"/>
        </w:rPr>
      </w:pPr>
      <w:r>
        <w:rPr>
          <w:rFonts w:cs="Times New Roman"/>
        </w:rPr>
        <w:t>Turning back to art. </w:t>
      </w:r>
      <w:r w:rsidRPr="00BF46B7">
        <w:rPr>
          <w:rFonts w:cs="Times New Roman"/>
        </w:rPr>
        <w:t xml:space="preserve">1373 </w:t>
      </w:r>
      <w:r w:rsidRPr="00BF46B7">
        <w:rPr>
          <w:rFonts w:cs="Times New Roman"/>
          <w:i/>
        </w:rPr>
        <w:t>C.C.Q.</w:t>
      </w:r>
      <w:r w:rsidRPr="00BF46B7">
        <w:rPr>
          <w:rFonts w:cs="Times New Roman"/>
        </w:rPr>
        <w:t xml:space="preserve">, it is difficult to see how the addition of an originally unintended stock issuance in </w:t>
      </w:r>
      <w:r w:rsidRPr="00BF46B7">
        <w:rPr>
          <w:rFonts w:cs="Times New Roman"/>
          <w:i/>
        </w:rPr>
        <w:t>AES</w:t>
      </w:r>
      <w:r w:rsidRPr="00BF46B7">
        <w:rPr>
          <w:rFonts w:cs="Times New Roman"/>
        </w:rPr>
        <w:t xml:space="preserve"> was any more determinate or determinable than the addition of intermediate debt transactions requested in this case. Indeed, in this case, under the terms of the February</w:t>
      </w:r>
      <w:r>
        <w:rPr>
          <w:rFonts w:cs="Times New Roman"/>
        </w:rPr>
        <w:t> 7, </w:t>
      </w:r>
      <w:r w:rsidRPr="00BF46B7">
        <w:rPr>
          <w:rFonts w:cs="Times New Roman"/>
        </w:rPr>
        <w:t>2005 loan agreement between PJC Canada and PJC USA, the principal could be repaid only by “mutual consent” of the parties. The insertion of intermediate steps involving the repayment of a demand loan amounts to little more than judicial recognition of a partial discharge of an obligation that was determinable even on the terms of the parties’ original instrument. The prestations here entailed the provision of reciprocal debt financing, on the one hand, and partial repayment of that debt, on — and only on — mutual agreement of the parties. The prestations were therefore determinate and the corresponding obligation to repay was determinable.</w:t>
      </w:r>
    </w:p>
    <w:p w:rsidR="00A55D5F" w:rsidRPr="00BF46B7" w:rsidRDefault="00A55D5F" w:rsidP="00AD4E67">
      <w:pPr>
        <w:pStyle w:val="ParaNoNdepar-AltN"/>
        <w:widowControl w:val="0"/>
        <w:rPr>
          <w:rFonts w:cs="Times New Roman"/>
        </w:rPr>
      </w:pPr>
      <w:r w:rsidRPr="00BF46B7">
        <w:rPr>
          <w:rFonts w:cs="Times New Roman"/>
        </w:rPr>
        <w:t xml:space="preserve">It is instructive to note that with respect to these intermediate steps, the parties here ask less of the Court than was asked in </w:t>
      </w:r>
      <w:r w:rsidRPr="00BF46B7">
        <w:rPr>
          <w:rFonts w:cs="Times New Roman"/>
          <w:i/>
        </w:rPr>
        <w:t>AES</w:t>
      </w:r>
      <w:r w:rsidRPr="00BF46B7">
        <w:rPr>
          <w:rFonts w:cs="Times New Roman"/>
        </w:rPr>
        <w:t xml:space="preserve">. Neither step alters the capital structure of the financing scheme or of the parties. This Court went further in </w:t>
      </w:r>
      <w:r w:rsidRPr="00BF46B7">
        <w:rPr>
          <w:rFonts w:cs="Times New Roman"/>
          <w:i/>
        </w:rPr>
        <w:t>AES</w:t>
      </w:r>
      <w:r w:rsidRPr="00BF46B7">
        <w:rPr>
          <w:rFonts w:cs="Times New Roman"/>
        </w:rPr>
        <w:t>, where, as explained above, re</w:t>
      </w:r>
      <w:r>
        <w:rPr>
          <w:rFonts w:cs="Times New Roman"/>
        </w:rPr>
        <w:t>ctifying an error concerning s. </w:t>
      </w:r>
      <w:r w:rsidRPr="00BF46B7">
        <w:rPr>
          <w:rFonts w:cs="Times New Roman"/>
        </w:rPr>
        <w:t xml:space="preserve">86 of the </w:t>
      </w:r>
      <w:r w:rsidRPr="00BF46B7">
        <w:rPr>
          <w:rFonts w:cs="Times New Roman"/>
          <w:i/>
        </w:rPr>
        <w:t>ITA</w:t>
      </w:r>
      <w:r w:rsidRPr="00BF46B7">
        <w:rPr>
          <w:rFonts w:cs="Times New Roman"/>
        </w:rPr>
        <w:t xml:space="preserve"> required the addition of a previously unelaborated equity transaction to the parties’ operation. In the </w:t>
      </w:r>
      <w:r w:rsidRPr="00BF46B7">
        <w:rPr>
          <w:rFonts w:cs="Times New Roman"/>
        </w:rPr>
        <w:lastRenderedPageBreak/>
        <w:t>case at bar, re</w:t>
      </w:r>
      <w:r>
        <w:rPr>
          <w:rFonts w:cs="Times New Roman"/>
        </w:rPr>
        <w:t>ctifying an error concerning s. </w:t>
      </w:r>
      <w:r w:rsidRPr="00BF46B7">
        <w:rPr>
          <w:rFonts w:cs="Times New Roman"/>
        </w:rPr>
        <w:t xml:space="preserve">95(1) of the </w:t>
      </w:r>
      <w:r w:rsidRPr="00BF46B7">
        <w:rPr>
          <w:rFonts w:cs="Times New Roman"/>
          <w:i/>
        </w:rPr>
        <w:t xml:space="preserve">ITA </w:t>
      </w:r>
      <w:r w:rsidRPr="00BF46B7">
        <w:rPr>
          <w:rFonts w:cs="Times New Roman"/>
        </w:rPr>
        <w:t xml:space="preserve">requires the addition of intermediate debt financing transactions that were determinable even on the original demand loan agreement. </w:t>
      </w:r>
    </w:p>
    <w:p w:rsidR="00A55D5F" w:rsidRDefault="00A55D5F" w:rsidP="00AD4E67">
      <w:pPr>
        <w:pStyle w:val="ParaNoNdepar-AltN"/>
        <w:widowControl w:val="0"/>
        <w:rPr>
          <w:rFonts w:cs="Times New Roman"/>
        </w:rPr>
      </w:pPr>
      <w:r w:rsidRPr="00BF46B7">
        <w:rPr>
          <w:rFonts w:cs="Times New Roman"/>
        </w:rPr>
        <w:t xml:space="preserve">In my view, it follows from the above that granting PJC Canada’s motion </w:t>
      </w:r>
      <w:r>
        <w:rPr>
          <w:rFonts w:cs="Times New Roman"/>
        </w:rPr>
        <w:t>under art. </w:t>
      </w:r>
      <w:r w:rsidRPr="00BF46B7">
        <w:rPr>
          <w:rFonts w:cs="Times New Roman"/>
        </w:rPr>
        <w:t xml:space="preserve">1425 </w:t>
      </w:r>
      <w:r w:rsidRPr="00BF46B7">
        <w:rPr>
          <w:rFonts w:cs="Times New Roman"/>
          <w:i/>
        </w:rPr>
        <w:t>C.C.Q.</w:t>
      </w:r>
      <w:r w:rsidRPr="00BF46B7">
        <w:rPr>
          <w:rFonts w:cs="Times New Roman"/>
        </w:rPr>
        <w:t xml:space="preserve"> is necessary to remedy the discrepancy between the parties’ common intention and the expression of that intention through the implementation of the transactional scheme. As I explain below, it is also legitimate in light of this Court’s reasons in </w:t>
      </w:r>
      <w:r w:rsidRPr="00BF46B7">
        <w:rPr>
          <w:rFonts w:cs="Times New Roman"/>
          <w:i/>
        </w:rPr>
        <w:t>AES</w:t>
      </w:r>
      <w:r w:rsidRPr="00BF46B7">
        <w:rPr>
          <w:rFonts w:cs="Times New Roman"/>
        </w:rPr>
        <w:t xml:space="preserve">. </w:t>
      </w:r>
    </w:p>
    <w:p w:rsidR="00A55D5F" w:rsidRPr="00BF46B7" w:rsidRDefault="00A55D5F" w:rsidP="00AD4E67">
      <w:pPr>
        <w:pStyle w:val="Title3LevelTitre3Niveau"/>
        <w:widowControl w:val="0"/>
        <w:numPr>
          <w:ilvl w:val="2"/>
          <w:numId w:val="3"/>
        </w:numPr>
        <w:outlineLvl w:val="9"/>
        <w:rPr>
          <w:rFonts w:cs="Times New Roman"/>
        </w:rPr>
      </w:pPr>
      <w:r w:rsidRPr="00BF46B7">
        <w:rPr>
          <w:rFonts w:cs="Times New Roman"/>
        </w:rPr>
        <w:t xml:space="preserve">The Requested Changes Are Legitimate </w:t>
      </w:r>
    </w:p>
    <w:p w:rsidR="00A55D5F" w:rsidRPr="00BF46B7" w:rsidRDefault="00A55D5F" w:rsidP="00AD4E67">
      <w:pPr>
        <w:pStyle w:val="ParaNoNdepar-AltN"/>
        <w:widowControl w:val="0"/>
        <w:rPr>
          <w:rFonts w:cs="Times New Roman"/>
        </w:rPr>
      </w:pPr>
      <w:r w:rsidRPr="00BF46B7">
        <w:rPr>
          <w:rFonts w:cs="Times New Roman"/>
        </w:rPr>
        <w:t>PJC Canada’s request for rectification is not intended to rewrite the tax history of the transactions, but rather to fill in the gaps by adding two intermediate steps which maintain tax neutrality of the agreed upon structural scheme. As the appellant noted, the Court of Appeal’s erroneous finding that the parties initially discarded the intermediate steps they are now requesting polluted the entirety of its reasons inasmuch as it determined that the parties had changed their common intention. They did not. The desired changes do not “alter the nature of the structures contemplated at the outset” (</w:t>
      </w:r>
      <w:r w:rsidRPr="00BF46B7">
        <w:rPr>
          <w:rFonts w:cs="Times New Roman"/>
          <w:i/>
        </w:rPr>
        <w:t>AES</w:t>
      </w:r>
      <w:r w:rsidRPr="00BF46B7">
        <w:rPr>
          <w:rFonts w:cs="Times New Roman"/>
        </w:rPr>
        <w:t xml:space="preserve">, </w:t>
      </w:r>
      <w:r>
        <w:rPr>
          <w:rFonts w:cs="Times New Roman"/>
        </w:rPr>
        <w:t>at para. </w:t>
      </w:r>
      <w:r w:rsidRPr="00BF46B7">
        <w:rPr>
          <w:rFonts w:cs="Times New Roman"/>
        </w:rPr>
        <w:t xml:space="preserve">54). </w:t>
      </w:r>
    </w:p>
    <w:p w:rsidR="00A55D5F" w:rsidRPr="00BF46B7" w:rsidRDefault="00A55D5F" w:rsidP="00AD4E67">
      <w:pPr>
        <w:pStyle w:val="ParaNoNdepar-AltN"/>
        <w:widowControl w:val="0"/>
        <w:rPr>
          <w:rFonts w:cs="Times New Roman"/>
        </w:rPr>
      </w:pPr>
      <w:r w:rsidRPr="00BF46B7">
        <w:rPr>
          <w:rFonts w:cs="Times New Roman"/>
        </w:rPr>
        <w:t>Nor would judicial correction of the gaps in this case invite taxpayers “to engage in bold tax planning” (</w:t>
      </w:r>
      <w:r w:rsidRPr="00BF46B7">
        <w:rPr>
          <w:rFonts w:cs="Times New Roman"/>
          <w:i/>
        </w:rPr>
        <w:t>AES</w:t>
      </w:r>
      <w:r>
        <w:rPr>
          <w:rFonts w:cs="Times New Roman"/>
        </w:rPr>
        <w:t>, at para. </w:t>
      </w:r>
      <w:r w:rsidRPr="00BF46B7">
        <w:rPr>
          <w:rFonts w:cs="Times New Roman"/>
        </w:rPr>
        <w:t xml:space="preserve">54). Unlike </w:t>
      </w:r>
      <w:r w:rsidRPr="00BF46B7">
        <w:rPr>
          <w:rFonts w:cs="Times New Roman"/>
          <w:i/>
        </w:rPr>
        <w:t>AES</w:t>
      </w:r>
      <w:r w:rsidRPr="00BF46B7">
        <w:rPr>
          <w:rFonts w:cs="Times New Roman"/>
        </w:rPr>
        <w:t xml:space="preserve">, in which the parties sought to defer tax through the use of rollover provisions in the </w:t>
      </w:r>
      <w:r w:rsidRPr="00BF46B7">
        <w:rPr>
          <w:rFonts w:cs="Times New Roman"/>
          <w:i/>
        </w:rPr>
        <w:t>ITA</w:t>
      </w:r>
      <w:r w:rsidRPr="00BF46B7">
        <w:rPr>
          <w:rFonts w:cs="Times New Roman"/>
        </w:rPr>
        <w:t xml:space="preserve">, the agreement between </w:t>
      </w:r>
      <w:r w:rsidRPr="00BF46B7">
        <w:rPr>
          <w:rFonts w:cs="Times New Roman"/>
        </w:rPr>
        <w:lastRenderedPageBreak/>
        <w:t xml:space="preserve">PJC Canada and PJC USA was not a tax planning transaction. Neither party sought to reduce or defer taxes payable. Rather, the parties sought to remedy the exchange rate fluctuation problem while maintaining tax neutrality. Judicial correction would therefore merely give effect to their constant common intention while respecting the outlines of their original legal operation. Little has changed: the parties are the same, the amount of money is the same, and the net effect from an accounting standpoint remains the same. </w:t>
      </w:r>
    </w:p>
    <w:p w:rsidR="00A55D5F" w:rsidRPr="00BF46B7" w:rsidRDefault="00A55D5F" w:rsidP="00AD4E67">
      <w:pPr>
        <w:pStyle w:val="ParaNoNdepar-AltN"/>
        <w:widowControl w:val="0"/>
        <w:rPr>
          <w:rFonts w:cs="Times New Roman"/>
        </w:rPr>
      </w:pPr>
      <w:r w:rsidRPr="00BF46B7">
        <w:rPr>
          <w:rFonts w:cs="Times New Roman"/>
        </w:rPr>
        <w:t>Given that the addition of the two intermediate transactions does not modify the original agreed upon structure of the operation, there is nothing here to suggest bad faith or an abuse of right on the part of the appellant. It is well established that a tax motivation does not taint the legitimacy of the parties’ bargain (</w:t>
      </w:r>
      <w:r w:rsidRPr="00BF46B7">
        <w:rPr>
          <w:rFonts w:cs="Times New Roman"/>
          <w:i/>
          <w:iCs/>
          <w:lang w:bidi="en-US"/>
        </w:rPr>
        <w:t>Walls v. Canada</w:t>
      </w:r>
      <w:r w:rsidRPr="00BF46B7">
        <w:rPr>
          <w:rFonts w:cs="Times New Roman"/>
          <w:lang w:bidi="en-US"/>
        </w:rPr>
        <w:t xml:space="preserve">, 2002 SCC 47, [2002] 2 S.C.R. 684; see also </w:t>
      </w:r>
      <w:r w:rsidRPr="00BF46B7">
        <w:rPr>
          <w:rFonts w:cs="Times New Roman"/>
          <w:i/>
          <w:iCs/>
          <w:lang w:val="en-US" w:bidi="en-US"/>
        </w:rPr>
        <w:t>Backman v. Canada</w:t>
      </w:r>
      <w:r w:rsidRPr="00BF46B7">
        <w:rPr>
          <w:rFonts w:cs="Times New Roman"/>
          <w:lang w:val="en-US" w:bidi="en-US"/>
        </w:rPr>
        <w:t>, 2001 SCC 10, [2001] 1 S.C.R. 367, at para.</w:t>
      </w:r>
      <w:r>
        <w:rPr>
          <w:rFonts w:cs="Times New Roman"/>
          <w:lang w:val="en-US" w:bidi="en-US"/>
        </w:rPr>
        <w:t> </w:t>
      </w:r>
      <w:r w:rsidRPr="00BF46B7">
        <w:rPr>
          <w:rFonts w:cs="Times New Roman"/>
          <w:lang w:val="en-US" w:bidi="en-US"/>
        </w:rPr>
        <w:t xml:space="preserve">22). The tax advisors’ fault of omission was committed in good faith following the exercise of reasonable diligence by PJC Canada. No allegations of fraud or even a hint of bold tax planning have been raised in the context of these proceedings. </w:t>
      </w:r>
      <w:r w:rsidRPr="00BF46B7">
        <w:rPr>
          <w:rFonts w:cs="Times New Roman"/>
        </w:rPr>
        <w:t xml:space="preserve">I should note that a tax advisor’s good faith error should not constitute an automatic bar to rectification. </w:t>
      </w:r>
    </w:p>
    <w:p w:rsidR="00A55D5F" w:rsidRPr="00BF46B7" w:rsidRDefault="00A55D5F" w:rsidP="00AD4E67">
      <w:pPr>
        <w:pStyle w:val="ParaNoNdepar-AltN"/>
        <w:widowControl w:val="0"/>
        <w:rPr>
          <w:rFonts w:cs="Times New Roman"/>
        </w:rPr>
      </w:pPr>
      <w:r w:rsidRPr="00BF46B7">
        <w:rPr>
          <w:rFonts w:cs="Times New Roman"/>
        </w:rPr>
        <w:t xml:space="preserve">In these circumstances, rectifying the agreement so that it reflects the parties’ common and continuing intention does not convert art. 1425 </w:t>
      </w:r>
      <w:r w:rsidRPr="00BF46B7">
        <w:rPr>
          <w:rFonts w:cs="Times New Roman"/>
          <w:i/>
        </w:rPr>
        <w:t>C.C.Q.</w:t>
      </w:r>
      <w:r w:rsidRPr="00BF46B7">
        <w:rPr>
          <w:rFonts w:cs="Times New Roman"/>
        </w:rPr>
        <w:t xml:space="preserve"> into a “catch-all insurance” policy for their “inadvertence or mistakes” (majority reasons, at para. 42). In </w:t>
      </w:r>
      <w:r w:rsidRPr="00BF46B7">
        <w:rPr>
          <w:rFonts w:cs="Times New Roman"/>
          <w:iCs/>
        </w:rPr>
        <w:t>Quebec</w:t>
      </w:r>
      <w:r w:rsidRPr="00BF46B7">
        <w:rPr>
          <w:rFonts w:cs="Times New Roman"/>
        </w:rPr>
        <w:t>, “[e]very person is bound to exercise his civil rights in . . .</w:t>
      </w:r>
      <w:r>
        <w:rPr>
          <w:rFonts w:cs="Times New Roman"/>
        </w:rPr>
        <w:t xml:space="preserve"> good </w:t>
      </w:r>
      <w:r>
        <w:rPr>
          <w:rFonts w:cs="Times New Roman"/>
        </w:rPr>
        <w:lastRenderedPageBreak/>
        <w:t>faith” (art. </w:t>
      </w:r>
      <w:r w:rsidRPr="00BF46B7">
        <w:rPr>
          <w:rFonts w:cs="Times New Roman"/>
        </w:rPr>
        <w:t xml:space="preserve">6 </w:t>
      </w:r>
      <w:r w:rsidRPr="00BF46B7">
        <w:rPr>
          <w:rFonts w:cs="Times New Roman"/>
          <w:i/>
        </w:rPr>
        <w:t>C.C.Q.</w:t>
      </w:r>
      <w:r w:rsidRPr="00BF46B7">
        <w:rPr>
          <w:rFonts w:cs="Times New Roman"/>
        </w:rPr>
        <w:t>), and “[n]o right may be exercised . . . in an excessive</w:t>
      </w:r>
      <w:r>
        <w:rPr>
          <w:rFonts w:cs="Times New Roman"/>
        </w:rPr>
        <w:t xml:space="preserve"> and unreasonable manner” (art. </w:t>
      </w:r>
      <w:r w:rsidRPr="00BF46B7">
        <w:rPr>
          <w:rFonts w:cs="Times New Roman"/>
        </w:rPr>
        <w:t xml:space="preserve">7 </w:t>
      </w:r>
      <w:r w:rsidRPr="00BF46B7">
        <w:rPr>
          <w:rFonts w:cs="Times New Roman"/>
          <w:i/>
        </w:rPr>
        <w:t>C.C.Q.</w:t>
      </w:r>
      <w:r w:rsidRPr="00BF46B7">
        <w:rPr>
          <w:rFonts w:cs="Times New Roman"/>
        </w:rPr>
        <w:t>). Further, art.</w:t>
      </w:r>
      <w:r>
        <w:rPr>
          <w:rFonts w:cs="Times New Roman"/>
        </w:rPr>
        <w:t> </w:t>
      </w:r>
      <w:r w:rsidRPr="00BF46B7">
        <w:rPr>
          <w:rFonts w:cs="Times New Roman"/>
        </w:rPr>
        <w:t xml:space="preserve">1375 </w:t>
      </w:r>
      <w:r w:rsidRPr="00BF46B7">
        <w:rPr>
          <w:rFonts w:cs="Times New Roman"/>
          <w:i/>
        </w:rPr>
        <w:t>C.C.Q.</w:t>
      </w:r>
      <w:r w:rsidRPr="00BF46B7">
        <w:rPr>
          <w:rFonts w:cs="Times New Roman"/>
        </w:rPr>
        <w:t xml:space="preserve"> provides that the parties must conduct themselves in good faith throughout the determination, execution and extinguishment of their obligations. In circumstances where an applicant failed to act diligently, or sought the benefit of an earlier mistake with a view to retroactive tax planning, a court would properly reject such a request for lack of good faith and abuse of right. These concerns are often best left to the application judge, who has the benefit of the full factual record. But no such concerns arose in this case. </w:t>
      </w:r>
    </w:p>
    <w:p w:rsidR="00A55D5F" w:rsidRPr="00BF46B7" w:rsidRDefault="00A55D5F" w:rsidP="00AD4E67">
      <w:pPr>
        <w:pStyle w:val="ParaNoNdepar-AltN"/>
        <w:widowControl w:val="0"/>
        <w:rPr>
          <w:rFonts w:cs="Times New Roman"/>
        </w:rPr>
      </w:pPr>
      <w:r w:rsidRPr="00BF46B7">
        <w:rPr>
          <w:rFonts w:cs="Times New Roman"/>
          <w:lang w:val="en-US" w:bidi="en-US"/>
        </w:rPr>
        <w:t>Further, PJC Canada’s request is legitimate under the apposite provisions of its actual governing statute. Indeed, s</w:t>
      </w:r>
      <w:r>
        <w:rPr>
          <w:rFonts w:cs="Times New Roman"/>
          <w:lang w:val="en-US" w:bidi="en-US"/>
        </w:rPr>
        <w:t>. </w:t>
      </w:r>
      <w:r w:rsidRPr="00BF46B7">
        <w:rPr>
          <w:rFonts w:cs="Times New Roman"/>
          <w:lang w:val="en-US" w:bidi="en-US"/>
        </w:rPr>
        <w:t xml:space="preserve">458 of the </w:t>
      </w:r>
      <w:r w:rsidRPr="00BF46B7">
        <w:rPr>
          <w:rFonts w:cs="Times New Roman"/>
          <w:i/>
          <w:iCs/>
          <w:lang w:bidi="en-US"/>
        </w:rPr>
        <w:t>Business Corporations Act</w:t>
      </w:r>
      <w:r w:rsidRPr="00BF46B7">
        <w:rPr>
          <w:rFonts w:cs="Times New Roman"/>
          <w:lang w:bidi="en-US"/>
        </w:rPr>
        <w:t>, CQLR</w:t>
      </w:r>
      <w:r>
        <w:rPr>
          <w:rFonts w:cs="Times New Roman"/>
          <w:lang w:bidi="en-US"/>
        </w:rPr>
        <w:t>, c. </w:t>
      </w:r>
      <w:r w:rsidRPr="00BF46B7">
        <w:rPr>
          <w:rFonts w:cs="Times New Roman"/>
          <w:lang w:bidi="en-US"/>
        </w:rPr>
        <w:t xml:space="preserve">S-31.1, provides, in relevant part, as follows: </w:t>
      </w:r>
    </w:p>
    <w:p w:rsidR="00A55D5F" w:rsidRPr="00BF46B7" w:rsidRDefault="00A55D5F" w:rsidP="00AD4E67">
      <w:pPr>
        <w:pStyle w:val="Citation-AltC"/>
        <w:widowControl w:val="0"/>
      </w:pPr>
      <w:r w:rsidRPr="00A55D5F">
        <w:rPr>
          <w:rStyle w:val="canliisection1"/>
          <w:b/>
          <w:color w:val="auto"/>
        </w:rPr>
        <w:t>458</w:t>
      </w:r>
      <w:r w:rsidRPr="00A55D5F">
        <w:rPr>
          <w:rStyle w:val="label-section"/>
          <w:b/>
        </w:rPr>
        <w:t>.</w:t>
      </w:r>
      <w:r w:rsidRPr="00A55D5F">
        <w:t xml:space="preserve"> </w:t>
      </w:r>
      <w:r w:rsidRPr="00A55D5F">
        <w:rPr>
          <w:rStyle w:val="texte-courant"/>
          <w:u w:val="single"/>
        </w:rPr>
        <w:t xml:space="preserve">On </w:t>
      </w:r>
      <w:r w:rsidRPr="00BF46B7">
        <w:rPr>
          <w:rStyle w:val="texte-courant"/>
          <w:u w:val="single"/>
        </w:rPr>
        <w:t>an application by any interested person, the court may make any order it thinks fit to correct, or modify the consequences in law of, a mistake</w:t>
      </w:r>
      <w:r w:rsidRPr="00BF46B7">
        <w:rPr>
          <w:rStyle w:val="texte-courant"/>
        </w:rPr>
        <w:t>, or to validate any act vitiated as a result of the mistake, and may give any related directions it considers necessary.</w:t>
      </w:r>
      <w:r w:rsidRPr="00BF46B7">
        <w:t xml:space="preserve"> </w:t>
      </w:r>
    </w:p>
    <w:p w:rsidR="00A55D5F" w:rsidRPr="00BF46B7" w:rsidRDefault="00A55D5F" w:rsidP="00AD4E67">
      <w:pPr>
        <w:pStyle w:val="Citation-AltC"/>
        <w:widowControl w:val="0"/>
      </w:pPr>
    </w:p>
    <w:p w:rsidR="00A55D5F" w:rsidRPr="00BF46B7" w:rsidRDefault="00A55D5F" w:rsidP="00AD4E67">
      <w:pPr>
        <w:pStyle w:val="Citation-AltC"/>
        <w:widowControl w:val="0"/>
        <w:ind w:firstLine="274"/>
      </w:pPr>
      <w:r w:rsidRPr="00BF46B7">
        <w:rPr>
          <w:rStyle w:val="texte-courant"/>
        </w:rPr>
        <w:t xml:space="preserve">For the purposes of this subdivision, </w:t>
      </w:r>
      <w:r w:rsidRPr="00BF46B7">
        <w:rPr>
          <w:rStyle w:val="texte-courant"/>
          <w:u w:val="single"/>
        </w:rPr>
        <w:t>“mistake” includes an omission</w:t>
      </w:r>
      <w:r w:rsidRPr="00BF46B7">
        <w:rPr>
          <w:rStyle w:val="texte-courant"/>
        </w:rPr>
        <w:t xml:space="preserve">, defect, </w:t>
      </w:r>
      <w:proofErr w:type="gramStart"/>
      <w:r w:rsidRPr="00BF46B7">
        <w:rPr>
          <w:rStyle w:val="texte-courant"/>
        </w:rPr>
        <w:t>defect</w:t>
      </w:r>
      <w:proofErr w:type="gramEnd"/>
      <w:r w:rsidRPr="00BF46B7">
        <w:rPr>
          <w:rStyle w:val="texte-courant"/>
        </w:rPr>
        <w:t xml:space="preserve"> of form, error or irregularity that has occurred in the conduct of the affairs of the corporation as a result of which</w:t>
      </w:r>
      <w:r w:rsidRPr="00BF46B7">
        <w:t xml:space="preserve"> </w:t>
      </w:r>
    </w:p>
    <w:p w:rsidR="00A55D5F" w:rsidRPr="00BF46B7" w:rsidRDefault="00A55D5F" w:rsidP="00AD4E67">
      <w:pPr>
        <w:pStyle w:val="Citation-AltC"/>
        <w:widowControl w:val="0"/>
      </w:pPr>
    </w:p>
    <w:p w:rsidR="00A55D5F" w:rsidRPr="00BF46B7" w:rsidRDefault="00A55D5F" w:rsidP="00AD4E67">
      <w:pPr>
        <w:pStyle w:val="Citation-AltC"/>
        <w:widowControl w:val="0"/>
        <w:jc w:val="center"/>
      </w:pPr>
      <w:r w:rsidRPr="00BF46B7">
        <w:rPr>
          <w:rStyle w:val="Normal1"/>
        </w:rPr>
        <w:t>. . .</w:t>
      </w:r>
    </w:p>
    <w:p w:rsidR="00A55D5F" w:rsidRPr="00BF46B7" w:rsidRDefault="00A55D5F" w:rsidP="00AD4E67">
      <w:pPr>
        <w:pStyle w:val="Citation-AltC"/>
        <w:widowControl w:val="0"/>
      </w:pPr>
    </w:p>
    <w:p w:rsidR="00A55D5F" w:rsidRPr="00BF46B7" w:rsidRDefault="00A55D5F" w:rsidP="00AD4E67">
      <w:pPr>
        <w:pStyle w:val="Citation-AltC"/>
        <w:widowControl w:val="0"/>
        <w:ind w:firstLine="274"/>
      </w:pPr>
      <w:r w:rsidRPr="00BF46B7">
        <w:rPr>
          <w:rStyle w:val="Normal1"/>
        </w:rPr>
        <w:t>(</w:t>
      </w:r>
      <w:r w:rsidRPr="00BF46B7">
        <w:rPr>
          <w:rStyle w:val="label-z"/>
        </w:rPr>
        <w:t>3</w:t>
      </w:r>
      <w:r w:rsidRPr="00BF46B7">
        <w:rPr>
          <w:rStyle w:val="Normal1"/>
        </w:rPr>
        <w:t xml:space="preserve">) </w:t>
      </w:r>
      <w:r w:rsidRPr="00BF46B7">
        <w:rPr>
          <w:rStyle w:val="widthfixforlabel"/>
        </w:rPr>
        <w:t> </w:t>
      </w:r>
      <w:r w:rsidRPr="00BF46B7">
        <w:t xml:space="preserve"> </w:t>
      </w:r>
      <w:proofErr w:type="gramStart"/>
      <w:r w:rsidRPr="00BF46B7">
        <w:rPr>
          <w:rStyle w:val="texte-courant"/>
          <w:u w:val="single"/>
        </w:rPr>
        <w:t>an</w:t>
      </w:r>
      <w:proofErr w:type="gramEnd"/>
      <w:r w:rsidRPr="00BF46B7">
        <w:rPr>
          <w:rStyle w:val="texte-courant"/>
          <w:u w:val="single"/>
        </w:rPr>
        <w:t xml:space="preserve"> action approved or decision made by the shareholders meeting, the board of directors or one of its committees has been rendered ineffective</w:t>
      </w:r>
      <w:r w:rsidRPr="00BF46B7">
        <w:rPr>
          <w:rStyle w:val="texte-courant"/>
        </w:rPr>
        <w:t>.</w:t>
      </w:r>
      <w:r w:rsidRPr="00BF46B7">
        <w:rPr>
          <w:rStyle w:val="texte-courant"/>
          <w:u w:val="single"/>
        </w:rPr>
        <w:t xml:space="preserve"> </w:t>
      </w:r>
      <w:r w:rsidRPr="00BF46B7">
        <w:t xml:space="preserve"> </w:t>
      </w:r>
    </w:p>
    <w:p w:rsidR="00A55D5F" w:rsidRPr="00BF46B7" w:rsidRDefault="00A55D5F" w:rsidP="00AD4E67">
      <w:pPr>
        <w:pStyle w:val="Citation-AltC"/>
        <w:widowControl w:val="0"/>
      </w:pPr>
    </w:p>
    <w:p w:rsidR="00A55D5F" w:rsidRPr="00BF46B7" w:rsidRDefault="00A55D5F" w:rsidP="00AD4E67">
      <w:pPr>
        <w:pStyle w:val="ContinueParaSuitedupar-AltP"/>
        <w:widowControl w:val="0"/>
        <w:rPr>
          <w:rFonts w:cs="Times New Roman"/>
        </w:rPr>
      </w:pPr>
      <w:r w:rsidRPr="00BF46B7">
        <w:rPr>
          <w:rFonts w:cs="Times New Roman"/>
        </w:rPr>
        <w:t xml:space="preserve">In keeping with the guidance provided in </w:t>
      </w:r>
      <w:r w:rsidRPr="00BF46B7">
        <w:rPr>
          <w:rFonts w:cs="Times New Roman"/>
          <w:i/>
        </w:rPr>
        <w:t>AES</w:t>
      </w:r>
      <w:r w:rsidRPr="00BF46B7">
        <w:rPr>
          <w:rFonts w:cs="Times New Roman"/>
        </w:rPr>
        <w:t>, s</w:t>
      </w:r>
      <w:r>
        <w:rPr>
          <w:rFonts w:cs="Times New Roman"/>
        </w:rPr>
        <w:t>. </w:t>
      </w:r>
      <w:r w:rsidRPr="00BF46B7">
        <w:rPr>
          <w:rFonts w:cs="Times New Roman"/>
        </w:rPr>
        <w:t xml:space="preserve">459 of the same Act acknowledges that, “[u]nless the court decides otherwise, an order [under s. 458] may not prejudice </w:t>
      </w:r>
      <w:r w:rsidRPr="00BF46B7">
        <w:rPr>
          <w:rFonts w:cs="Times New Roman"/>
        </w:rPr>
        <w:lastRenderedPageBreak/>
        <w:t xml:space="preserve">the rights of any third person”. </w:t>
      </w:r>
    </w:p>
    <w:p w:rsidR="00A55D5F" w:rsidRPr="00BF46B7" w:rsidRDefault="00A55D5F" w:rsidP="00AD4E67">
      <w:pPr>
        <w:pStyle w:val="ParaNoNdepar-AltN"/>
        <w:widowControl w:val="0"/>
        <w:rPr>
          <w:rFonts w:cs="Times New Roman"/>
        </w:rPr>
      </w:pPr>
      <w:r w:rsidRPr="00BF46B7">
        <w:rPr>
          <w:rFonts w:cs="Times New Roman"/>
        </w:rPr>
        <w:t>In this case, granting PJC Canada’s request does nothing to affect the rights of third parties. As explained above, the tax authorities are not third party beneficiaries of the parties’ mistake (</w:t>
      </w:r>
      <w:r w:rsidRPr="00BF46B7">
        <w:rPr>
          <w:rFonts w:cs="Times New Roman"/>
          <w:i/>
        </w:rPr>
        <w:t>AES</w:t>
      </w:r>
      <w:r w:rsidRPr="00BF46B7">
        <w:rPr>
          <w:rFonts w:cs="Times New Roman"/>
        </w:rPr>
        <w:t>,</w:t>
      </w:r>
      <w:r>
        <w:rPr>
          <w:rFonts w:cs="Times New Roman"/>
        </w:rPr>
        <w:t xml:space="preserve"> at para. </w:t>
      </w:r>
      <w:r w:rsidRPr="00BF46B7">
        <w:rPr>
          <w:rFonts w:cs="Times New Roman"/>
        </w:rPr>
        <w:t xml:space="preserve">52). It bears mentioning that the tax authorities are not parties to the contract either, and cannot pretend to invoke the same rights as a contracting party. </w:t>
      </w:r>
    </w:p>
    <w:p w:rsidR="00A55D5F" w:rsidRPr="00BF46B7" w:rsidRDefault="00A55D5F" w:rsidP="00AD4E67">
      <w:pPr>
        <w:pStyle w:val="ParaNoNdepar-AltN"/>
        <w:widowControl w:val="0"/>
        <w:spacing w:before="240"/>
        <w:rPr>
          <w:rFonts w:cs="Times New Roman"/>
        </w:rPr>
      </w:pPr>
      <w:r w:rsidRPr="00BF46B7">
        <w:rPr>
          <w:rFonts w:cs="Times New Roman"/>
        </w:rPr>
        <w:t xml:space="preserve">In the absence of third party reliance, granting PJC Canada’s request promotes, rather than undermines, commercial certainty because it advances the contractual expectations of the parties. The fact that PJC Canada and PJC USA are in agreement as to their common intention puts this case in stark contrast with one in which the parties disagree as to the bargain they struck. In the latter case, the potential for an illegitimate </w:t>
      </w:r>
      <w:r w:rsidRPr="00BF46B7">
        <w:rPr>
          <w:rFonts w:cs="Times New Roman"/>
          <w:i/>
        </w:rPr>
        <w:t xml:space="preserve">ex post </w:t>
      </w:r>
      <w:r w:rsidRPr="00BF46B7">
        <w:rPr>
          <w:rFonts w:cs="Times New Roman"/>
        </w:rPr>
        <w:t xml:space="preserve">rewriting of the initial bargain is heightened. But that concern is absent here.  </w:t>
      </w:r>
    </w:p>
    <w:p w:rsidR="00A55D5F" w:rsidRPr="00BF46B7" w:rsidRDefault="00A55D5F" w:rsidP="00AD4E67">
      <w:pPr>
        <w:pStyle w:val="ParaNoNdepar-AltN"/>
        <w:widowControl w:val="0"/>
        <w:spacing w:before="240"/>
        <w:rPr>
          <w:rFonts w:cs="Times New Roman"/>
        </w:rPr>
      </w:pPr>
      <w:r w:rsidRPr="00BF46B7">
        <w:rPr>
          <w:rFonts w:cs="Times New Roman"/>
        </w:rPr>
        <w:t xml:space="preserve">Since </w:t>
      </w:r>
      <w:r w:rsidRPr="00BF46B7">
        <w:rPr>
          <w:rFonts w:cs="Times New Roman"/>
          <w:i/>
        </w:rPr>
        <w:t>AES</w:t>
      </w:r>
      <w:r w:rsidRPr="00BF46B7">
        <w:rPr>
          <w:rFonts w:cs="Times New Roman"/>
        </w:rPr>
        <w:t xml:space="preserve">, courts in Quebec and across Canada have permitted parties who were settled as to their common intention to rectify or otherwise modify their bargain regardless of the impact on the tax authority’s coffers (see, </w:t>
      </w:r>
      <w:r w:rsidRPr="00BF46B7">
        <w:rPr>
          <w:rFonts w:cs="Times New Roman"/>
          <w:i/>
        </w:rPr>
        <w:t>inter alia</w:t>
      </w:r>
      <w:r w:rsidRPr="00BF46B7">
        <w:rPr>
          <w:rFonts w:cs="Times New Roman"/>
        </w:rPr>
        <w:t xml:space="preserve">, </w:t>
      </w:r>
      <w:r w:rsidRPr="00BF46B7">
        <w:rPr>
          <w:rFonts w:cs="Times New Roman"/>
          <w:i/>
          <w:iCs/>
        </w:rPr>
        <w:t>Pallen Trust, Re</w:t>
      </w:r>
      <w:r w:rsidRPr="00BF46B7">
        <w:rPr>
          <w:rFonts w:cs="Times New Roman"/>
        </w:rPr>
        <w:t xml:space="preserve">, 2015 BCCA 222, 385 D.L.R. (4th) 499; </w:t>
      </w:r>
      <w:r w:rsidRPr="00BF46B7">
        <w:rPr>
          <w:rFonts w:cs="Times New Roman"/>
          <w:i/>
          <w:iCs/>
        </w:rPr>
        <w:t>Lemair v. Canada (Procureur général)</w:t>
      </w:r>
      <w:r w:rsidRPr="00BF46B7">
        <w:rPr>
          <w:rFonts w:cs="Times New Roman"/>
        </w:rPr>
        <w:t xml:space="preserve">, 2015 QCCS 1142; </w:t>
      </w:r>
      <w:r w:rsidRPr="00BF46B7">
        <w:rPr>
          <w:rFonts w:cs="Times New Roman"/>
          <w:i/>
          <w:iCs/>
        </w:rPr>
        <w:t xml:space="preserve">Canada (Attorney General) </w:t>
      </w:r>
      <w:r w:rsidRPr="00BF46B7">
        <w:rPr>
          <w:rFonts w:cs="Times New Roman"/>
          <w:i/>
        </w:rPr>
        <w:t>v.</w:t>
      </w:r>
      <w:r w:rsidRPr="00BF46B7">
        <w:rPr>
          <w:rFonts w:cs="Times New Roman"/>
        </w:rPr>
        <w:t xml:space="preserve"> </w:t>
      </w:r>
      <w:r w:rsidRPr="00BF46B7">
        <w:rPr>
          <w:rFonts w:cs="Times New Roman"/>
          <w:i/>
          <w:iCs/>
        </w:rPr>
        <w:t>Brogan Family Trust</w:t>
      </w:r>
      <w:r w:rsidRPr="00BF46B7">
        <w:rPr>
          <w:rFonts w:cs="Times New Roman"/>
        </w:rPr>
        <w:t xml:space="preserve">, 2014 ONSC 6354, 2015 D.T.C. 5008; </w:t>
      </w:r>
      <w:r w:rsidRPr="00BF46B7">
        <w:rPr>
          <w:rFonts w:cs="Times New Roman"/>
          <w:i/>
          <w:iCs/>
        </w:rPr>
        <w:t xml:space="preserve">Philippe Trépanier inc. </w:t>
      </w:r>
      <w:r w:rsidRPr="00BF46B7">
        <w:rPr>
          <w:rFonts w:cs="Times New Roman"/>
          <w:i/>
        </w:rPr>
        <w:t>et</w:t>
      </w:r>
      <w:r w:rsidRPr="00BF46B7">
        <w:rPr>
          <w:rFonts w:cs="Times New Roman"/>
        </w:rPr>
        <w:t xml:space="preserve"> </w:t>
      </w:r>
      <w:r w:rsidRPr="00BF46B7">
        <w:rPr>
          <w:rFonts w:cs="Times New Roman"/>
          <w:i/>
          <w:iCs/>
        </w:rPr>
        <w:t>Deloitte, s.e.n.c.r.l.</w:t>
      </w:r>
      <w:r w:rsidRPr="00BF46B7">
        <w:rPr>
          <w:rFonts w:cs="Times New Roman"/>
        </w:rPr>
        <w:t xml:space="preserve">, 2014 QCCS 2615). These cases, like the instant case and </w:t>
      </w:r>
      <w:r w:rsidRPr="00BF46B7">
        <w:rPr>
          <w:rFonts w:cs="Times New Roman"/>
          <w:i/>
        </w:rPr>
        <w:t>AES</w:t>
      </w:r>
      <w:r w:rsidRPr="00BF46B7">
        <w:rPr>
          <w:rFonts w:cs="Times New Roman"/>
        </w:rPr>
        <w:t xml:space="preserve">, stand in contrast to cases in which one party attempts to impose terms on the other contrary to their original agreement. In </w:t>
      </w:r>
      <w:r w:rsidRPr="00BF46B7">
        <w:rPr>
          <w:rFonts w:cs="Times New Roman"/>
          <w:i/>
        </w:rPr>
        <w:t xml:space="preserve">Shafron </w:t>
      </w:r>
      <w:r w:rsidRPr="00BF46B7">
        <w:rPr>
          <w:rFonts w:cs="Times New Roman"/>
          <w:i/>
        </w:rPr>
        <w:lastRenderedPageBreak/>
        <w:t>v. KRG Insurance Brokers (Western) Inc.</w:t>
      </w:r>
      <w:r w:rsidRPr="00BF46B7">
        <w:rPr>
          <w:rFonts w:cs="Times New Roman"/>
        </w:rPr>
        <w:t>,</w:t>
      </w:r>
      <w:r w:rsidRPr="00BF46B7">
        <w:rPr>
          <w:rFonts w:cs="Times New Roman"/>
          <w:i/>
        </w:rPr>
        <w:t xml:space="preserve"> </w:t>
      </w:r>
      <w:r w:rsidRPr="00BF46B7">
        <w:rPr>
          <w:rFonts w:cs="Times New Roman"/>
        </w:rPr>
        <w:t>2009 SCC 6, [2009] 1 S.C.R. 157,</w:t>
      </w:r>
      <w:r w:rsidRPr="00BF46B7">
        <w:rPr>
          <w:rFonts w:cs="Times New Roman"/>
          <w:i/>
        </w:rPr>
        <w:t xml:space="preserve"> </w:t>
      </w:r>
      <w:r w:rsidRPr="00BF46B7">
        <w:rPr>
          <w:rFonts w:cs="Times New Roman"/>
        </w:rPr>
        <w:t xml:space="preserve">for example, the parties disagreed as to the geographical scope of the term “Metropolitan City of Vancouver”. In the case of a proven disagreement (or an absence of agreement) between the parties, it follows as a matter of course that the request for rectification should be denied. In the language of the </w:t>
      </w:r>
      <w:r w:rsidRPr="00BF46B7">
        <w:rPr>
          <w:rFonts w:cs="Times New Roman"/>
          <w:i/>
        </w:rPr>
        <w:t>Code</w:t>
      </w:r>
      <w:r w:rsidRPr="00BF46B7">
        <w:rPr>
          <w:rFonts w:cs="Times New Roman"/>
        </w:rPr>
        <w:t>, in such a case there was neve</w:t>
      </w:r>
      <w:r>
        <w:rPr>
          <w:rFonts w:cs="Times New Roman"/>
        </w:rPr>
        <w:t>r an “agreement of wills” (art. </w:t>
      </w:r>
      <w:r w:rsidRPr="00BF46B7">
        <w:rPr>
          <w:rFonts w:cs="Times New Roman"/>
        </w:rPr>
        <w:t xml:space="preserve">1378 </w:t>
      </w:r>
      <w:r w:rsidRPr="00BF46B7">
        <w:rPr>
          <w:rFonts w:cs="Times New Roman"/>
          <w:i/>
        </w:rPr>
        <w:t>C.C.Q.</w:t>
      </w:r>
      <w:r w:rsidRPr="00BF46B7">
        <w:rPr>
          <w:rFonts w:cs="Times New Roman"/>
        </w:rPr>
        <w:t xml:space="preserve">).  </w:t>
      </w:r>
    </w:p>
    <w:p w:rsidR="00A55D5F" w:rsidRPr="00BF46B7" w:rsidRDefault="00A55D5F" w:rsidP="00AD4E67">
      <w:pPr>
        <w:pStyle w:val="ParaNoNdepar-AltN"/>
        <w:widowControl w:val="0"/>
        <w:spacing w:before="240"/>
        <w:rPr>
          <w:rFonts w:cs="Times New Roman"/>
        </w:rPr>
      </w:pPr>
      <w:r w:rsidRPr="00BF46B7">
        <w:rPr>
          <w:rFonts w:cs="Times New Roman"/>
        </w:rPr>
        <w:t xml:space="preserve">This case is different. Here, the application judge found that PJC Canada and PJC USA had a clear intention to resolve the exchange rate fluctuation problem without triggering any tax consequences. In stating that the parties were “seeking to rewrite the tax history of the transaction”, the Court of Appeal inappropriately replaced the application judge’s factual finding with its own (para. 37). And, I repeat, it erred in doing so. The intermediate steps forming the subject of the parties’ rectification motion had never been discarded by them. Proper consideration of the circumstances surrounding the parties’ motion for rectification reveals that their request is a legitimate one. </w:t>
      </w:r>
    </w:p>
    <w:p w:rsidR="00A55D5F" w:rsidRPr="00BF46B7" w:rsidRDefault="00A55D5F" w:rsidP="00AD4E67">
      <w:pPr>
        <w:pStyle w:val="Title2LevelTitre2Niveau"/>
        <w:widowControl w:val="0"/>
        <w:numPr>
          <w:ilvl w:val="1"/>
          <w:numId w:val="3"/>
        </w:numPr>
        <w:outlineLvl w:val="9"/>
        <w:rPr>
          <w:rFonts w:cs="Times New Roman"/>
        </w:rPr>
      </w:pPr>
      <w:r w:rsidRPr="00BF46B7">
        <w:rPr>
          <w:rFonts w:cs="Times New Roman"/>
        </w:rPr>
        <w:t xml:space="preserve">Conclusion </w:t>
      </w:r>
    </w:p>
    <w:p w:rsidR="00A55D5F" w:rsidRPr="00BF46B7" w:rsidRDefault="00A55D5F" w:rsidP="00AD4E67">
      <w:pPr>
        <w:pStyle w:val="ParaNoNdepar-AltN"/>
        <w:widowControl w:val="0"/>
        <w:rPr>
          <w:rFonts w:cs="Times New Roman"/>
          <w:szCs w:val="24"/>
        </w:rPr>
      </w:pPr>
      <w:r w:rsidRPr="00BF46B7">
        <w:rPr>
          <w:rFonts w:cs="Times New Roman"/>
          <w:szCs w:val="24"/>
        </w:rPr>
        <w:t xml:space="preserve">For these reasons, PJC Canada’s motion for rectification is both necessary and legitimate. The parties had a constant common intention and demonstrated reasonable diligence by seeking advice to carry it out. They acted in good faith in seeking to remedy their exchange rate fluctuation problem without generating any tax consequences. They asked the application judge to fill in the gaps between the </w:t>
      </w:r>
      <w:r w:rsidRPr="00BF46B7">
        <w:rPr>
          <w:rFonts w:cs="Times New Roman"/>
          <w:szCs w:val="24"/>
        </w:rPr>
        <w:lastRenderedPageBreak/>
        <w:t xml:space="preserve">operations they had implemented insofar as those operations failed to fully reflect their common intention. Nothing about their request engaged the rights of third parties and there was no offense to the rules of evidence involved. In my view, all of this puts their application squarely within the parameters established by </w:t>
      </w:r>
      <w:r w:rsidRPr="00BF46B7">
        <w:rPr>
          <w:rFonts w:cs="Times New Roman"/>
          <w:i/>
          <w:szCs w:val="24"/>
        </w:rPr>
        <w:t>AES</w:t>
      </w:r>
      <w:r w:rsidRPr="00BF46B7">
        <w:rPr>
          <w:rFonts w:cs="Times New Roman"/>
          <w:szCs w:val="24"/>
        </w:rPr>
        <w:t xml:space="preserve"> as one meriting rectification. </w:t>
      </w:r>
    </w:p>
    <w:p w:rsidR="00A55D5F" w:rsidRPr="00BF46B7" w:rsidRDefault="00A55D5F" w:rsidP="00AD4E67">
      <w:pPr>
        <w:pStyle w:val="ParaNoNdepar-AltN"/>
        <w:widowControl w:val="0"/>
        <w:rPr>
          <w:rFonts w:cs="Times New Roman"/>
        </w:rPr>
      </w:pPr>
      <w:r w:rsidRPr="00BF46B7">
        <w:rPr>
          <w:rFonts w:cs="Times New Roman"/>
        </w:rPr>
        <w:t xml:space="preserve">With respect, I believe that constricting LeBel J.’s liberal and generous approach to the availability of rectification under art. 1425 </w:t>
      </w:r>
      <w:r w:rsidRPr="00BF46B7">
        <w:rPr>
          <w:rFonts w:cs="Times New Roman"/>
          <w:i/>
        </w:rPr>
        <w:t>C.C.Q.</w:t>
      </w:r>
      <w:r w:rsidRPr="00BF46B7">
        <w:rPr>
          <w:rFonts w:cs="Times New Roman"/>
        </w:rPr>
        <w:t xml:space="preserve"> is incongruous with the realities of modern commerce. The majority reasons amount to saying that rectification in the civil law is permissible only where (i) each and every juridical act required to achieve a desired taxation outcome has been correctly identified, characterized and therefore rendered determinate, and (ii) each and every potential tax consequence has been accurately predicted. This was not the law before or after </w:t>
      </w:r>
      <w:r w:rsidRPr="00BF46B7">
        <w:rPr>
          <w:rFonts w:cs="Times New Roman"/>
          <w:i/>
        </w:rPr>
        <w:t>AES</w:t>
      </w:r>
      <w:r w:rsidRPr="00BF46B7">
        <w:rPr>
          <w:rFonts w:cs="Times New Roman"/>
        </w:rPr>
        <w:t>. Nor should it become the law now. A complex transactional scheme may comprise a multitude of juridical acts. In advising their clients with respect to such acts, tax professionals are often called upon to resolve complex problems under significant time constraints. Mistakes happen. Depriving taxpayers of the ability to correct those mistakes undermines their right, long recognized in Canadian law, to organize their affairs so as to minimize tax liability (</w:t>
      </w:r>
      <w:r w:rsidRPr="00BF46B7">
        <w:rPr>
          <w:rFonts w:cs="Times New Roman"/>
          <w:i/>
        </w:rPr>
        <w:t>Commissioners of Inland Revenue v. Duke of Westminster</w:t>
      </w:r>
      <w:r w:rsidRPr="00BF46B7">
        <w:rPr>
          <w:rFonts w:cs="Times New Roman"/>
        </w:rPr>
        <w:t xml:space="preserve">, [1936] A.C. 1 (H.L.); </w:t>
      </w:r>
      <w:r w:rsidRPr="00BF46B7">
        <w:rPr>
          <w:rFonts w:cs="Times New Roman"/>
          <w:i/>
        </w:rPr>
        <w:t>Shell Canada Ltd. v</w:t>
      </w:r>
      <w:r w:rsidR="00507304">
        <w:rPr>
          <w:rFonts w:cs="Times New Roman"/>
          <w:i/>
        </w:rPr>
        <w:t>.</w:t>
      </w:r>
      <w:r w:rsidRPr="00BF46B7">
        <w:rPr>
          <w:rFonts w:cs="Times New Roman"/>
          <w:i/>
        </w:rPr>
        <w:t xml:space="preserve"> Canada</w:t>
      </w:r>
      <w:r w:rsidRPr="00BF46B7">
        <w:rPr>
          <w:rFonts w:cs="Times New Roman"/>
        </w:rPr>
        <w:t>,</w:t>
      </w:r>
      <w:r>
        <w:rPr>
          <w:rFonts w:cs="Times New Roman"/>
        </w:rPr>
        <w:t xml:space="preserve"> [1999] 3 S.C.R. 622, at paras. </w:t>
      </w:r>
      <w:r w:rsidRPr="00BF46B7">
        <w:rPr>
          <w:rFonts w:cs="Times New Roman"/>
        </w:rPr>
        <w:t xml:space="preserve">45-46). </w:t>
      </w:r>
    </w:p>
    <w:p w:rsidR="00A55D5F" w:rsidRPr="00BF46B7" w:rsidRDefault="00A55D5F" w:rsidP="00AD4E67">
      <w:pPr>
        <w:pStyle w:val="ParaNoNdepar-AltN"/>
        <w:widowControl w:val="0"/>
        <w:rPr>
          <w:rFonts w:cs="Times New Roman"/>
        </w:rPr>
      </w:pPr>
      <w:r w:rsidRPr="00BF46B7">
        <w:rPr>
          <w:rFonts w:cs="Times New Roman"/>
        </w:rPr>
        <w:t xml:space="preserve">The fact that this deprivation will be consistent across Canada makes it all </w:t>
      </w:r>
      <w:r w:rsidRPr="00BF46B7">
        <w:rPr>
          <w:rFonts w:cs="Times New Roman"/>
        </w:rPr>
        <w:lastRenderedPageBreak/>
        <w:t xml:space="preserve">the more troubling. I agree with my colleague that convergence between Quebec civil law and the common law of the other provinces is desirable from a tax policy perspective (para. 52). Indeed, in this Court, the parties agreed that the common law and the civil law are functionally similar with respect to the availability of rectification. But retreating from the interpretation of </w:t>
      </w:r>
      <w:r>
        <w:rPr>
          <w:rFonts w:cs="Times New Roman"/>
        </w:rPr>
        <w:t>art. </w:t>
      </w:r>
      <w:r w:rsidRPr="00BF46B7">
        <w:rPr>
          <w:rFonts w:cs="Times New Roman"/>
        </w:rPr>
        <w:t xml:space="preserve">1425 </w:t>
      </w:r>
      <w:r w:rsidRPr="00BF46B7">
        <w:rPr>
          <w:rFonts w:cs="Times New Roman"/>
          <w:i/>
        </w:rPr>
        <w:t>C.C.Q.</w:t>
      </w:r>
      <w:r w:rsidRPr="00BF46B7">
        <w:rPr>
          <w:rFonts w:cs="Times New Roman"/>
        </w:rPr>
        <w:t xml:space="preserve"> adopted in </w:t>
      </w:r>
      <w:r w:rsidRPr="00BF46B7">
        <w:rPr>
          <w:rFonts w:cs="Times New Roman"/>
          <w:i/>
        </w:rPr>
        <w:t>AES</w:t>
      </w:r>
      <w:r w:rsidRPr="00BF46B7">
        <w:rPr>
          <w:rFonts w:cs="Times New Roman"/>
        </w:rPr>
        <w:t xml:space="preserve"> in order to achieve harmony with this Court’s contraction of equitable discretion in </w:t>
      </w:r>
      <w:r w:rsidRPr="00BF46B7">
        <w:rPr>
          <w:rFonts w:cs="Times New Roman"/>
          <w:i/>
        </w:rPr>
        <w:t>Fairmont</w:t>
      </w:r>
      <w:r w:rsidRPr="00BF46B7">
        <w:rPr>
          <w:rFonts w:cs="Times New Roman"/>
        </w:rPr>
        <w:t xml:space="preserve"> is inconsistent with the law of contract in Quebec. Under art.</w:t>
      </w:r>
      <w:r>
        <w:rPr>
          <w:rFonts w:cs="Times New Roman"/>
        </w:rPr>
        <w:t> </w:t>
      </w:r>
      <w:r w:rsidRPr="00BF46B7">
        <w:rPr>
          <w:rFonts w:cs="Times New Roman"/>
        </w:rPr>
        <w:t xml:space="preserve">1378 </w:t>
      </w:r>
      <w:r w:rsidRPr="00BF46B7">
        <w:rPr>
          <w:rFonts w:cs="Times New Roman"/>
          <w:i/>
        </w:rPr>
        <w:t>C.C.Q.</w:t>
      </w:r>
      <w:r w:rsidRPr="00BF46B7">
        <w:rPr>
          <w:rFonts w:cs="Times New Roman"/>
        </w:rPr>
        <w:t xml:space="preserve">, a contract consists in an “agreement of wills” formed by the sole exchange of consents. This provision, like every article in the </w:t>
      </w:r>
      <w:r w:rsidRPr="00BF46B7">
        <w:rPr>
          <w:rFonts w:cs="Times New Roman"/>
          <w:i/>
        </w:rPr>
        <w:t>Code</w:t>
      </w:r>
      <w:r w:rsidRPr="00BF46B7">
        <w:rPr>
          <w:rFonts w:cs="Times New Roman"/>
        </w:rPr>
        <w:t>, must be construed “broadly so as to favour its spirit over its letter and enable [its] purpose . . . to be achieved”</w:t>
      </w:r>
      <w:r w:rsidRPr="00BF46B7">
        <w:rPr>
          <w:rFonts w:eastAsia="Times New Roman" w:cs="Times New Roman"/>
          <w:szCs w:val="24"/>
          <w:lang w:eastAsia="en-CA"/>
        </w:rPr>
        <w:t xml:space="preserve"> (</w:t>
      </w:r>
      <w:r w:rsidRPr="00BF46B7">
        <w:rPr>
          <w:rFonts w:cs="Times New Roman"/>
          <w:i/>
        </w:rPr>
        <w:t>Doré v. Verdun (City)</w:t>
      </w:r>
      <w:r w:rsidRPr="00BF46B7">
        <w:rPr>
          <w:rFonts w:cs="Times New Roman"/>
        </w:rPr>
        <w:t xml:space="preserve">, [1997] 2 S.C.R. 862, at para. 15). Given that contracts can be expressed orally without recourse to written instruments, </w:t>
      </w:r>
      <w:r w:rsidRPr="00BF46B7">
        <w:rPr>
          <w:rFonts w:cs="Times New Roman"/>
          <w:i/>
        </w:rPr>
        <w:t>AES</w:t>
      </w:r>
      <w:r w:rsidRPr="00BF46B7">
        <w:rPr>
          <w:rFonts w:cs="Times New Roman"/>
        </w:rPr>
        <w:t xml:space="preserve"> left open the possibility of rectifying errors in </w:t>
      </w:r>
      <w:r>
        <w:rPr>
          <w:rFonts w:cs="Times New Roman"/>
        </w:rPr>
        <w:t>oral expression (paras. </w:t>
      </w:r>
      <w:r w:rsidRPr="00BF46B7">
        <w:rPr>
          <w:rFonts w:cs="Times New Roman"/>
        </w:rPr>
        <w:t>28 and 32). This is consistent with the civil law principle, inherent</w:t>
      </w:r>
      <w:r>
        <w:rPr>
          <w:rFonts w:cs="Times New Roman"/>
        </w:rPr>
        <w:t xml:space="preserve"> in arts. </w:t>
      </w:r>
      <w:r w:rsidRPr="00BF46B7">
        <w:rPr>
          <w:rFonts w:cs="Times New Roman"/>
        </w:rPr>
        <w:t xml:space="preserve">1378 and 1425 </w:t>
      </w:r>
      <w:r w:rsidRPr="00BF46B7">
        <w:rPr>
          <w:rFonts w:cs="Times New Roman"/>
          <w:i/>
        </w:rPr>
        <w:t>C.C.Q.</w:t>
      </w:r>
      <w:r w:rsidRPr="00BF46B7">
        <w:rPr>
          <w:rFonts w:cs="Times New Roman"/>
        </w:rPr>
        <w:t xml:space="preserve">, that a contract is based on the common intention of the parties, not on the expression of that intention. </w:t>
      </w:r>
    </w:p>
    <w:p w:rsidR="00A55D5F" w:rsidRPr="00BF46B7" w:rsidRDefault="00A55D5F" w:rsidP="00AD4E67">
      <w:pPr>
        <w:pStyle w:val="ParaNoNdepar-AltN"/>
        <w:widowControl w:val="0"/>
        <w:rPr>
          <w:rFonts w:cs="Times New Roman"/>
        </w:rPr>
      </w:pPr>
      <w:r w:rsidRPr="00BF46B7">
        <w:rPr>
          <w:rFonts w:cs="Times New Roman"/>
        </w:rPr>
        <w:t xml:space="preserve">The majority’s reasons in </w:t>
      </w:r>
      <w:r w:rsidRPr="00BF46B7">
        <w:rPr>
          <w:rFonts w:cs="Times New Roman"/>
          <w:i/>
        </w:rPr>
        <w:t>Fairmont</w:t>
      </w:r>
      <w:r w:rsidRPr="00BF46B7">
        <w:rPr>
          <w:rFonts w:cs="Times New Roman"/>
        </w:rPr>
        <w:t xml:space="preserve"> are irreconcilable with these articles of the </w:t>
      </w:r>
      <w:r w:rsidRPr="00BF46B7">
        <w:rPr>
          <w:rFonts w:cs="Times New Roman"/>
          <w:i/>
        </w:rPr>
        <w:t>Code</w:t>
      </w:r>
      <w:r w:rsidRPr="00BF46B7">
        <w:rPr>
          <w:rFonts w:cs="Times New Roman"/>
        </w:rPr>
        <w:t>. Rectification in Canadian common law jurisdictions is now “limited to cases where the agreement between the parties was not correctly recorded in the instrument that became the final expression of their agreement” (</w:t>
      </w:r>
      <w:r w:rsidRPr="00BF46B7">
        <w:rPr>
          <w:rFonts w:cs="Times New Roman"/>
          <w:i/>
        </w:rPr>
        <w:t>Fairmont</w:t>
      </w:r>
      <w:r w:rsidRPr="00BF46B7">
        <w:rPr>
          <w:rFonts w:cs="Times New Roman"/>
        </w:rPr>
        <w:t>,</w:t>
      </w:r>
      <w:r>
        <w:rPr>
          <w:rFonts w:cs="Times New Roman"/>
        </w:rPr>
        <w:t xml:space="preserve"> at para. </w:t>
      </w:r>
      <w:r w:rsidRPr="00BF46B7">
        <w:rPr>
          <w:rFonts w:cs="Times New Roman"/>
        </w:rPr>
        <w:t xml:space="preserve">3). There appears to be no scope for rectifying oral agreements. With respect, to the extent that my colleague in this case would import this limitation into the civil law, the “convergence” between the two legal systems is, in my opinion, far from “natural” </w:t>
      </w:r>
      <w:r w:rsidRPr="00BF46B7">
        <w:rPr>
          <w:rFonts w:cs="Times New Roman"/>
        </w:rPr>
        <w:lastRenderedPageBreak/>
        <w:t xml:space="preserve">(majority reasons, at para. 52). </w:t>
      </w:r>
    </w:p>
    <w:p w:rsidR="00A55D5F" w:rsidRPr="00BF46B7" w:rsidRDefault="00A55D5F" w:rsidP="00AD4E67">
      <w:pPr>
        <w:pStyle w:val="ParaNoNdepar-AltN"/>
        <w:widowControl w:val="0"/>
        <w:rPr>
          <w:rFonts w:cs="Times New Roman"/>
        </w:rPr>
      </w:pPr>
      <w:r w:rsidRPr="00BF46B7">
        <w:rPr>
          <w:rFonts w:cs="Times New Roman"/>
        </w:rPr>
        <w:t>In the absence of an adequate recourse in rectification, one might say that in cases like the case at bar, taxpayers may bring a professional negligence action against their advisors. With respect, I would think that rectifying the agreement, in line with the innocent party’s duty to mitigate und</w:t>
      </w:r>
      <w:r>
        <w:rPr>
          <w:rFonts w:cs="Times New Roman"/>
        </w:rPr>
        <w:t>er art. </w:t>
      </w:r>
      <w:r w:rsidRPr="00BF46B7">
        <w:rPr>
          <w:rFonts w:cs="Times New Roman"/>
        </w:rPr>
        <w:t xml:space="preserve">1479 </w:t>
      </w:r>
      <w:r w:rsidRPr="00BF46B7">
        <w:rPr>
          <w:rFonts w:cs="Times New Roman"/>
          <w:i/>
        </w:rPr>
        <w:t>C.C.Q.</w:t>
      </w:r>
      <w:r w:rsidRPr="00BF46B7">
        <w:rPr>
          <w:rFonts w:cs="Times New Roman"/>
        </w:rPr>
        <w:t>, is preferable to the promotion of claims against that party’s advisors. On this front, the majority’s position ignores the important role played by tax professionals in the modern business world, which represents a stark departure from this Court’s recent recognition that “[i]ncome tax law is notoriously complex and many taxpayers rely on tax advisors to help them comply” (</w:t>
      </w:r>
      <w:r w:rsidRPr="00BF46B7">
        <w:rPr>
          <w:rFonts w:cs="Times New Roman"/>
          <w:i/>
        </w:rPr>
        <w:t>Guindon v. Canada</w:t>
      </w:r>
      <w:r w:rsidRPr="00BF46B7">
        <w:rPr>
          <w:rFonts w:cs="Times New Roman"/>
        </w:rPr>
        <w:t xml:space="preserve">, 2015 SCC 41, [2015] 3 S.C.R. 3, </w:t>
      </w:r>
      <w:r>
        <w:rPr>
          <w:rFonts w:cs="Times New Roman"/>
        </w:rPr>
        <w:t>at para. </w:t>
      </w:r>
      <w:r w:rsidRPr="00BF46B7">
        <w:rPr>
          <w:rFonts w:cs="Times New Roman"/>
        </w:rPr>
        <w:t xml:space="preserve">1). </w:t>
      </w:r>
    </w:p>
    <w:p w:rsidR="00A55D5F" w:rsidRPr="00BF46B7" w:rsidRDefault="00A55D5F" w:rsidP="00AD4E67">
      <w:pPr>
        <w:pStyle w:val="ParaNoNdepar-AltN"/>
        <w:widowControl w:val="0"/>
        <w:rPr>
          <w:rFonts w:cs="Times New Roman"/>
        </w:rPr>
      </w:pPr>
      <w:r w:rsidRPr="00BF46B7">
        <w:rPr>
          <w:rFonts w:cs="Times New Roman"/>
        </w:rPr>
        <w:t xml:space="preserve">In my view, a solution that favours the common and consistent intention of the parties and reflects commercial realities is preferable.  </w:t>
      </w:r>
    </w:p>
    <w:p w:rsidR="00A55D5F" w:rsidRPr="00BF46B7" w:rsidRDefault="00A55D5F" w:rsidP="00AD4E67">
      <w:pPr>
        <w:pStyle w:val="Title1LevelTitre1Niveau-AltL"/>
        <w:widowControl w:val="0"/>
        <w:numPr>
          <w:ilvl w:val="0"/>
          <w:numId w:val="3"/>
        </w:numPr>
        <w:outlineLvl w:val="9"/>
        <w:rPr>
          <w:rFonts w:cs="Times New Roman"/>
        </w:rPr>
      </w:pPr>
      <w:r w:rsidRPr="00BF46B7">
        <w:rPr>
          <w:rFonts w:cs="Times New Roman"/>
        </w:rPr>
        <w:t>Disposition</w:t>
      </w:r>
    </w:p>
    <w:p w:rsidR="00A55D5F" w:rsidRPr="00BF46B7" w:rsidRDefault="00A55D5F" w:rsidP="00AD4E67">
      <w:pPr>
        <w:pStyle w:val="ParaNoNdepar-AltN"/>
        <w:widowControl w:val="0"/>
        <w:rPr>
          <w:rFonts w:cs="Times New Roman"/>
        </w:rPr>
      </w:pPr>
      <w:r w:rsidRPr="00BF46B7">
        <w:rPr>
          <w:rFonts w:cs="Times New Roman"/>
        </w:rPr>
        <w:t xml:space="preserve">For these reasons, I would allow the appeal with costs to the appellant.  </w:t>
      </w:r>
    </w:p>
    <w:p w:rsidR="009B57B3" w:rsidRPr="0096599C" w:rsidRDefault="00B96A9D" w:rsidP="00AD4E67">
      <w:pPr>
        <w:pStyle w:val="SCCNormalDoubleSpacing"/>
        <w:widowControl w:val="0"/>
        <w:spacing w:before="480" w:after="480"/>
      </w:pPr>
      <w:r w:rsidRPr="0096599C">
        <w:tab/>
      </w:r>
      <w:r w:rsidR="00656313" w:rsidRPr="0096599C">
        <w:rPr>
          <w:i/>
        </w:rPr>
        <w:t>Appeal</w:t>
      </w:r>
      <w:r w:rsidRPr="0096599C">
        <w:rPr>
          <w:i/>
        </w:rPr>
        <w:t xml:space="preserve"> </w:t>
      </w:r>
      <w:r w:rsidR="0006568C" w:rsidRPr="0096599C">
        <w:rPr>
          <w:i/>
        </w:rPr>
        <w:t>dismissed</w:t>
      </w:r>
      <w:r w:rsidR="003F0A8F" w:rsidRPr="0096599C">
        <w:rPr>
          <w:i/>
        </w:rPr>
        <w:t xml:space="preserve"> with costs, </w:t>
      </w:r>
      <w:r w:rsidR="003F0A8F" w:rsidRPr="0096599C">
        <w:rPr>
          <w:smallCaps/>
        </w:rPr>
        <w:t>Abella</w:t>
      </w:r>
      <w:r w:rsidR="003F0A8F" w:rsidRPr="0096599C">
        <w:rPr>
          <w:i/>
        </w:rPr>
        <w:t xml:space="preserve"> and </w:t>
      </w:r>
      <w:r w:rsidR="0052152C" w:rsidRPr="0096599C">
        <w:rPr>
          <w:smallCaps/>
        </w:rPr>
        <w:t>Côté </w:t>
      </w:r>
      <w:r w:rsidR="003F0A8F" w:rsidRPr="0096599C">
        <w:rPr>
          <w:smallCaps/>
        </w:rPr>
        <w:t>JJ.</w:t>
      </w:r>
      <w:r w:rsidR="003F0A8F" w:rsidRPr="0096599C">
        <w:rPr>
          <w:i/>
        </w:rPr>
        <w:t xml:space="preserve"> dissenting</w:t>
      </w:r>
      <w:r w:rsidRPr="0096599C">
        <w:rPr>
          <w:i/>
        </w:rPr>
        <w:t>.</w:t>
      </w:r>
    </w:p>
    <w:p w:rsidR="0036036B" w:rsidRPr="0096599C" w:rsidRDefault="0036036B" w:rsidP="00AD4E67">
      <w:pPr>
        <w:pStyle w:val="SCCLawFirm"/>
        <w:widowControl w:val="0"/>
        <w:spacing w:before="480" w:after="480"/>
      </w:pPr>
      <w:r w:rsidRPr="0096599C">
        <w:tab/>
        <w:t>Solicitors for the appellant</w:t>
      </w:r>
      <w:r w:rsidR="008E1829" w:rsidRPr="0096599C">
        <w:t>: </w:t>
      </w:r>
      <w:r w:rsidRPr="0096599C">
        <w:t>Norton Rose Fulbright Canada, Montréal.</w:t>
      </w:r>
    </w:p>
    <w:p w:rsidR="0036036B" w:rsidRPr="0096599C" w:rsidRDefault="0036036B" w:rsidP="00AD4E67">
      <w:pPr>
        <w:pStyle w:val="SCCLawFirm"/>
        <w:widowControl w:val="0"/>
        <w:spacing w:before="480" w:after="480"/>
      </w:pPr>
      <w:r w:rsidRPr="0096599C">
        <w:tab/>
        <w:t>Solicitor for the respondent</w:t>
      </w:r>
      <w:r w:rsidR="008E1829" w:rsidRPr="0096599C">
        <w:t>: </w:t>
      </w:r>
      <w:r w:rsidRPr="0096599C">
        <w:t>Attorney General of Canada, Ottawa.</w:t>
      </w:r>
    </w:p>
    <w:p w:rsidR="0036036B" w:rsidRPr="0096599C" w:rsidRDefault="0036036B" w:rsidP="00AD4E67">
      <w:pPr>
        <w:pStyle w:val="SCCLawFirm"/>
        <w:widowControl w:val="0"/>
        <w:spacing w:before="480" w:after="480"/>
      </w:pPr>
      <w:r w:rsidRPr="0096599C">
        <w:lastRenderedPageBreak/>
        <w:tab/>
        <w:t>Solicitors for the intervener</w:t>
      </w:r>
      <w:r w:rsidR="008E1829" w:rsidRPr="0096599C">
        <w:t>: </w:t>
      </w:r>
      <w:r w:rsidRPr="0096599C">
        <w:t xml:space="preserve">Larivière </w:t>
      </w:r>
      <w:proofErr w:type="spellStart"/>
      <w:r w:rsidRPr="0096599C">
        <w:t>Meunier</w:t>
      </w:r>
      <w:proofErr w:type="spellEnd"/>
      <w:r w:rsidRPr="0096599C">
        <w:t>, Montréal.</w:t>
      </w:r>
      <w:r w:rsidR="00B01B58">
        <w:t xml:space="preserve"> </w:t>
      </w:r>
    </w:p>
    <w:sectPr w:rsidR="0036036B" w:rsidRPr="0096599C" w:rsidSect="0036036B">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BB" w:rsidRDefault="0022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225BBB" w:rsidRDefault="00450352" w:rsidP="00225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BB" w:rsidRDefault="00225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F5E1E"/>
    <w:multiLevelType w:val="hybridMultilevel"/>
    <w:tmpl w:val="FBF46670"/>
    <w:lvl w:ilvl="0" w:tplc="E55A2980">
      <w:start w:val="1"/>
      <w:numFmt w:val="decimal"/>
      <w:pStyle w:val="NumberedParas"/>
      <w:lvlText w:val="%1."/>
      <w:lvlJc w:val="left"/>
      <w:pPr>
        <w:ind w:left="4188" w:hanging="360"/>
      </w:pPr>
      <w:rPr>
        <w:b w:val="0"/>
        <w:i w:val="0"/>
      </w:rPr>
    </w:lvl>
    <w:lvl w:ilvl="1" w:tplc="86AAB0E4">
      <w:start w:val="1"/>
      <w:numFmt w:val="lowerRoman"/>
      <w:lvlText w:val="%2."/>
      <w:lvlJc w:val="right"/>
      <w:pPr>
        <w:ind w:left="502" w:hanging="360"/>
      </w:pPr>
      <w:rPr>
        <w:b/>
      </w:rPr>
    </w:lvl>
    <w:lvl w:ilvl="2" w:tplc="0409001B">
      <w:start w:val="1"/>
      <w:numFmt w:val="lowerRoman"/>
      <w:lvlText w:val="%3."/>
      <w:lvlJc w:val="right"/>
      <w:pPr>
        <w:ind w:left="2160" w:hanging="180"/>
      </w:pPr>
    </w:lvl>
    <w:lvl w:ilvl="3" w:tplc="9148F78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A1861DBE"/>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7">
    <w:abstractNumId w:val="0"/>
  </w:num>
  <w:num w:numId="8">
    <w:abstractNumId w:val="0"/>
  </w:num>
  <w:num w:numId="9">
    <w:abstractNumId w:val="0"/>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E23"/>
    <w:rsid w:val="00017DB9"/>
    <w:rsid w:val="00025198"/>
    <w:rsid w:val="00042232"/>
    <w:rsid w:val="000578A3"/>
    <w:rsid w:val="000578FE"/>
    <w:rsid w:val="000648CC"/>
    <w:rsid w:val="0006568C"/>
    <w:rsid w:val="0007779C"/>
    <w:rsid w:val="000871E9"/>
    <w:rsid w:val="00090AA9"/>
    <w:rsid w:val="000914D2"/>
    <w:rsid w:val="000C59B8"/>
    <w:rsid w:val="000C6AF0"/>
    <w:rsid w:val="000D0CD9"/>
    <w:rsid w:val="000E31D8"/>
    <w:rsid w:val="001006AF"/>
    <w:rsid w:val="00104F33"/>
    <w:rsid w:val="00111DE2"/>
    <w:rsid w:val="00116B38"/>
    <w:rsid w:val="00135406"/>
    <w:rsid w:val="00135972"/>
    <w:rsid w:val="001426A9"/>
    <w:rsid w:val="0015267D"/>
    <w:rsid w:val="00154D7C"/>
    <w:rsid w:val="001570B0"/>
    <w:rsid w:val="0015752C"/>
    <w:rsid w:val="00157737"/>
    <w:rsid w:val="001609ED"/>
    <w:rsid w:val="00165277"/>
    <w:rsid w:val="00170592"/>
    <w:rsid w:val="00186351"/>
    <w:rsid w:val="00195D83"/>
    <w:rsid w:val="001A00C1"/>
    <w:rsid w:val="001B33E0"/>
    <w:rsid w:val="001B4573"/>
    <w:rsid w:val="001C779F"/>
    <w:rsid w:val="001D2AC1"/>
    <w:rsid w:val="001D4E88"/>
    <w:rsid w:val="00220FC2"/>
    <w:rsid w:val="002222F4"/>
    <w:rsid w:val="00224FC0"/>
    <w:rsid w:val="00225BBB"/>
    <w:rsid w:val="00225EA4"/>
    <w:rsid w:val="00226EAF"/>
    <w:rsid w:val="00231F3A"/>
    <w:rsid w:val="00234199"/>
    <w:rsid w:val="00236A65"/>
    <w:rsid w:val="002406EE"/>
    <w:rsid w:val="00243EC8"/>
    <w:rsid w:val="0026479D"/>
    <w:rsid w:val="00270D93"/>
    <w:rsid w:val="002745CC"/>
    <w:rsid w:val="002B7924"/>
    <w:rsid w:val="002D28C3"/>
    <w:rsid w:val="002D39A4"/>
    <w:rsid w:val="002D67F6"/>
    <w:rsid w:val="002E5A82"/>
    <w:rsid w:val="002E6705"/>
    <w:rsid w:val="00301D08"/>
    <w:rsid w:val="0030329A"/>
    <w:rsid w:val="0030681B"/>
    <w:rsid w:val="0031086F"/>
    <w:rsid w:val="00311B84"/>
    <w:rsid w:val="0031414C"/>
    <w:rsid w:val="00314E01"/>
    <w:rsid w:val="0032089D"/>
    <w:rsid w:val="003310DE"/>
    <w:rsid w:val="003323B0"/>
    <w:rsid w:val="0035169A"/>
    <w:rsid w:val="0035259D"/>
    <w:rsid w:val="0036036B"/>
    <w:rsid w:val="00364B18"/>
    <w:rsid w:val="003A125D"/>
    <w:rsid w:val="003A4C70"/>
    <w:rsid w:val="003B0FEE"/>
    <w:rsid w:val="003B215F"/>
    <w:rsid w:val="003C799C"/>
    <w:rsid w:val="003D0399"/>
    <w:rsid w:val="003E1C71"/>
    <w:rsid w:val="003F0A8F"/>
    <w:rsid w:val="003F327B"/>
    <w:rsid w:val="00404BC4"/>
    <w:rsid w:val="00406166"/>
    <w:rsid w:val="0040704B"/>
    <w:rsid w:val="00410A55"/>
    <w:rsid w:val="00411300"/>
    <w:rsid w:val="00414FCF"/>
    <w:rsid w:val="00415417"/>
    <w:rsid w:val="004251C3"/>
    <w:rsid w:val="00426659"/>
    <w:rsid w:val="004326D3"/>
    <w:rsid w:val="00450352"/>
    <w:rsid w:val="00454BDB"/>
    <w:rsid w:val="00464800"/>
    <w:rsid w:val="00465132"/>
    <w:rsid w:val="0047726F"/>
    <w:rsid w:val="00480C90"/>
    <w:rsid w:val="00482412"/>
    <w:rsid w:val="0048396F"/>
    <w:rsid w:val="0048420B"/>
    <w:rsid w:val="00493C18"/>
    <w:rsid w:val="00493CDB"/>
    <w:rsid w:val="004A3D42"/>
    <w:rsid w:val="004A600C"/>
    <w:rsid w:val="004A6118"/>
    <w:rsid w:val="004C478D"/>
    <w:rsid w:val="004D3298"/>
    <w:rsid w:val="004E2C26"/>
    <w:rsid w:val="004F36FF"/>
    <w:rsid w:val="00507304"/>
    <w:rsid w:val="005125A8"/>
    <w:rsid w:val="0052152C"/>
    <w:rsid w:val="00521AE8"/>
    <w:rsid w:val="0052622B"/>
    <w:rsid w:val="00527180"/>
    <w:rsid w:val="0054201E"/>
    <w:rsid w:val="00555291"/>
    <w:rsid w:val="00566AD1"/>
    <w:rsid w:val="00583EDE"/>
    <w:rsid w:val="005A6079"/>
    <w:rsid w:val="005C1077"/>
    <w:rsid w:val="005D6CFA"/>
    <w:rsid w:val="005E4698"/>
    <w:rsid w:val="00607757"/>
    <w:rsid w:val="00610539"/>
    <w:rsid w:val="00613969"/>
    <w:rsid w:val="00625C35"/>
    <w:rsid w:val="00642FCF"/>
    <w:rsid w:val="00656313"/>
    <w:rsid w:val="006565F4"/>
    <w:rsid w:val="006626F7"/>
    <w:rsid w:val="00667774"/>
    <w:rsid w:val="00684EEA"/>
    <w:rsid w:val="0069689B"/>
    <w:rsid w:val="006A1551"/>
    <w:rsid w:val="006B127E"/>
    <w:rsid w:val="006B5FF5"/>
    <w:rsid w:val="006F30AF"/>
    <w:rsid w:val="00701355"/>
    <w:rsid w:val="00701759"/>
    <w:rsid w:val="00705C15"/>
    <w:rsid w:val="0071600E"/>
    <w:rsid w:val="007208D1"/>
    <w:rsid w:val="0072097A"/>
    <w:rsid w:val="007327D4"/>
    <w:rsid w:val="00747288"/>
    <w:rsid w:val="00747DD3"/>
    <w:rsid w:val="007549C8"/>
    <w:rsid w:val="00754A0B"/>
    <w:rsid w:val="00766D14"/>
    <w:rsid w:val="00767A0F"/>
    <w:rsid w:val="0078625C"/>
    <w:rsid w:val="007A05F6"/>
    <w:rsid w:val="007A384A"/>
    <w:rsid w:val="007B6F4A"/>
    <w:rsid w:val="007C02A5"/>
    <w:rsid w:val="007D63C0"/>
    <w:rsid w:val="007E1C47"/>
    <w:rsid w:val="007E337A"/>
    <w:rsid w:val="007E5C70"/>
    <w:rsid w:val="007F2FF5"/>
    <w:rsid w:val="007F3B36"/>
    <w:rsid w:val="007F3F08"/>
    <w:rsid w:val="007F53D8"/>
    <w:rsid w:val="00804CC6"/>
    <w:rsid w:val="00817190"/>
    <w:rsid w:val="00820EE5"/>
    <w:rsid w:val="008260E2"/>
    <w:rsid w:val="008322BD"/>
    <w:rsid w:val="00833E0A"/>
    <w:rsid w:val="00834F73"/>
    <w:rsid w:val="00860B52"/>
    <w:rsid w:val="00864CF8"/>
    <w:rsid w:val="00872819"/>
    <w:rsid w:val="00874914"/>
    <w:rsid w:val="00891422"/>
    <w:rsid w:val="00892E1A"/>
    <w:rsid w:val="008A1770"/>
    <w:rsid w:val="008A3F29"/>
    <w:rsid w:val="008B1A28"/>
    <w:rsid w:val="008B660A"/>
    <w:rsid w:val="008C01DA"/>
    <w:rsid w:val="008C185D"/>
    <w:rsid w:val="008C4326"/>
    <w:rsid w:val="008D151F"/>
    <w:rsid w:val="008E1829"/>
    <w:rsid w:val="008F78E9"/>
    <w:rsid w:val="00904212"/>
    <w:rsid w:val="00911989"/>
    <w:rsid w:val="009179F9"/>
    <w:rsid w:val="00933E5E"/>
    <w:rsid w:val="00935218"/>
    <w:rsid w:val="009403F3"/>
    <w:rsid w:val="00945E7F"/>
    <w:rsid w:val="009555B7"/>
    <w:rsid w:val="009567AA"/>
    <w:rsid w:val="009576DA"/>
    <w:rsid w:val="0096599C"/>
    <w:rsid w:val="00967374"/>
    <w:rsid w:val="009731CA"/>
    <w:rsid w:val="00973626"/>
    <w:rsid w:val="0098013E"/>
    <w:rsid w:val="009924C8"/>
    <w:rsid w:val="00993916"/>
    <w:rsid w:val="009A343A"/>
    <w:rsid w:val="009B2F23"/>
    <w:rsid w:val="009B57B3"/>
    <w:rsid w:val="009C1147"/>
    <w:rsid w:val="009C5B92"/>
    <w:rsid w:val="009D2920"/>
    <w:rsid w:val="009D5AEB"/>
    <w:rsid w:val="009E1E4C"/>
    <w:rsid w:val="009F0E33"/>
    <w:rsid w:val="00A030CE"/>
    <w:rsid w:val="00A149DF"/>
    <w:rsid w:val="00A1755C"/>
    <w:rsid w:val="00A21B90"/>
    <w:rsid w:val="00A350E1"/>
    <w:rsid w:val="00A41805"/>
    <w:rsid w:val="00A42DCD"/>
    <w:rsid w:val="00A52AFB"/>
    <w:rsid w:val="00A548CB"/>
    <w:rsid w:val="00A5521C"/>
    <w:rsid w:val="00A55D5F"/>
    <w:rsid w:val="00A643E7"/>
    <w:rsid w:val="00A73C38"/>
    <w:rsid w:val="00AB670D"/>
    <w:rsid w:val="00AD4E67"/>
    <w:rsid w:val="00AE4535"/>
    <w:rsid w:val="00AF03C5"/>
    <w:rsid w:val="00B000D8"/>
    <w:rsid w:val="00B00645"/>
    <w:rsid w:val="00B00F75"/>
    <w:rsid w:val="00B01B58"/>
    <w:rsid w:val="00B13967"/>
    <w:rsid w:val="00B145B6"/>
    <w:rsid w:val="00B279EB"/>
    <w:rsid w:val="00B34F32"/>
    <w:rsid w:val="00B50C81"/>
    <w:rsid w:val="00B54359"/>
    <w:rsid w:val="00B557F8"/>
    <w:rsid w:val="00B815FC"/>
    <w:rsid w:val="00B93FBC"/>
    <w:rsid w:val="00B96A9D"/>
    <w:rsid w:val="00BA4957"/>
    <w:rsid w:val="00BA7DA0"/>
    <w:rsid w:val="00BB2EE4"/>
    <w:rsid w:val="00BC2108"/>
    <w:rsid w:val="00BD0E9E"/>
    <w:rsid w:val="00BD1BEC"/>
    <w:rsid w:val="00BD32FF"/>
    <w:rsid w:val="00BE1139"/>
    <w:rsid w:val="00C02092"/>
    <w:rsid w:val="00C150BA"/>
    <w:rsid w:val="00C24D91"/>
    <w:rsid w:val="00C32098"/>
    <w:rsid w:val="00C53F14"/>
    <w:rsid w:val="00C600CF"/>
    <w:rsid w:val="00C6084F"/>
    <w:rsid w:val="00C62A66"/>
    <w:rsid w:val="00C71458"/>
    <w:rsid w:val="00C7553B"/>
    <w:rsid w:val="00C77613"/>
    <w:rsid w:val="00C828E7"/>
    <w:rsid w:val="00C86719"/>
    <w:rsid w:val="00C921DD"/>
    <w:rsid w:val="00CA6391"/>
    <w:rsid w:val="00CC34BD"/>
    <w:rsid w:val="00CD1571"/>
    <w:rsid w:val="00CD3A7F"/>
    <w:rsid w:val="00CE161A"/>
    <w:rsid w:val="00CE3171"/>
    <w:rsid w:val="00CE6827"/>
    <w:rsid w:val="00CF1601"/>
    <w:rsid w:val="00D0172F"/>
    <w:rsid w:val="00D068A7"/>
    <w:rsid w:val="00D17476"/>
    <w:rsid w:val="00D32086"/>
    <w:rsid w:val="00D37A3F"/>
    <w:rsid w:val="00D4431D"/>
    <w:rsid w:val="00D4667A"/>
    <w:rsid w:val="00D63A1C"/>
    <w:rsid w:val="00D7516F"/>
    <w:rsid w:val="00D75210"/>
    <w:rsid w:val="00D84841"/>
    <w:rsid w:val="00D8579F"/>
    <w:rsid w:val="00D95F8E"/>
    <w:rsid w:val="00DA0590"/>
    <w:rsid w:val="00DB7BEA"/>
    <w:rsid w:val="00DC1739"/>
    <w:rsid w:val="00DC1788"/>
    <w:rsid w:val="00DE319C"/>
    <w:rsid w:val="00DF0CA8"/>
    <w:rsid w:val="00DF2B48"/>
    <w:rsid w:val="00DF49A7"/>
    <w:rsid w:val="00E07EE2"/>
    <w:rsid w:val="00E07FD1"/>
    <w:rsid w:val="00E176D8"/>
    <w:rsid w:val="00E24573"/>
    <w:rsid w:val="00E252E1"/>
    <w:rsid w:val="00E25E1E"/>
    <w:rsid w:val="00E27EE7"/>
    <w:rsid w:val="00E30D5B"/>
    <w:rsid w:val="00E35404"/>
    <w:rsid w:val="00E45109"/>
    <w:rsid w:val="00E47B7A"/>
    <w:rsid w:val="00E56A44"/>
    <w:rsid w:val="00E60269"/>
    <w:rsid w:val="00E6732F"/>
    <w:rsid w:val="00E77932"/>
    <w:rsid w:val="00E87680"/>
    <w:rsid w:val="00E879D7"/>
    <w:rsid w:val="00E97830"/>
    <w:rsid w:val="00EE571C"/>
    <w:rsid w:val="00EE643C"/>
    <w:rsid w:val="00EF0683"/>
    <w:rsid w:val="00EF5F9C"/>
    <w:rsid w:val="00EF69D2"/>
    <w:rsid w:val="00EF766E"/>
    <w:rsid w:val="00F0070C"/>
    <w:rsid w:val="00F00E3D"/>
    <w:rsid w:val="00F00EB7"/>
    <w:rsid w:val="00F146D5"/>
    <w:rsid w:val="00F36AB6"/>
    <w:rsid w:val="00F36D3C"/>
    <w:rsid w:val="00F37A09"/>
    <w:rsid w:val="00F409CE"/>
    <w:rsid w:val="00F4379D"/>
    <w:rsid w:val="00F50D2D"/>
    <w:rsid w:val="00F56C8B"/>
    <w:rsid w:val="00F60B50"/>
    <w:rsid w:val="00F66810"/>
    <w:rsid w:val="00F846D9"/>
    <w:rsid w:val="00F84DF4"/>
    <w:rsid w:val="00F85C97"/>
    <w:rsid w:val="00F8699F"/>
    <w:rsid w:val="00FB37D2"/>
    <w:rsid w:val="00FC4EFB"/>
    <w:rsid w:val="00FD068D"/>
    <w:rsid w:val="00FD4578"/>
    <w:rsid w:val="00FD4F28"/>
    <w:rsid w:val="00FE639D"/>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5D5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A55D5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A55D5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A55D5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A55D5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55D5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A55D5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ccrespondentforindexchar1">
    <w:name w:val="sccrespondentforindexchar1"/>
    <w:basedOn w:val="DefaultParagraphFont"/>
    <w:rsid w:val="005D6CFA"/>
    <w:rPr>
      <w:b/>
      <w:bCs/>
    </w:rPr>
  </w:style>
  <w:style w:type="character" w:customStyle="1" w:styleId="Heading3Char">
    <w:name w:val="Heading 3 Char"/>
    <w:basedOn w:val="DefaultParagraphFont"/>
    <w:link w:val="Heading3"/>
    <w:uiPriority w:val="9"/>
    <w:semiHidden/>
    <w:rsid w:val="00A55D5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A55D5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A55D5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A55D5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A55D5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55D5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55D5F"/>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A55D5F"/>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A55D5F"/>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A55D5F"/>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A55D5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A55D5F"/>
    <w:rPr>
      <w:b/>
      <w:sz w:val="24"/>
    </w:rPr>
  </w:style>
  <w:style w:type="table" w:styleId="TableGrid">
    <w:name w:val="Table Grid"/>
    <w:basedOn w:val="TableNormal"/>
    <w:uiPriority w:val="59"/>
    <w:rsid w:val="00A55D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55D5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55D5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55D5F"/>
    <w:pPr>
      <w:tabs>
        <w:tab w:val="left" w:pos="1260"/>
      </w:tabs>
      <w:spacing w:after="480" w:line="480" w:lineRule="auto"/>
    </w:pPr>
    <w:rPr>
      <w:smallCaps/>
      <w:sz w:val="24"/>
    </w:rPr>
  </w:style>
  <w:style w:type="paragraph" w:customStyle="1" w:styleId="ParaNoNdepar-AltN">
    <w:name w:val="Para. No. / Nº de par. - Alt N"/>
    <w:link w:val="ParaNoNdepar-AltNChar"/>
    <w:qFormat/>
    <w:rsid w:val="00A55D5F"/>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55D5F"/>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55D5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55D5F"/>
    <w:pPr>
      <w:numPr>
        <w:ilvl w:val="2"/>
      </w:numPr>
      <w:outlineLvl w:val="2"/>
    </w:pPr>
  </w:style>
  <w:style w:type="paragraph" w:customStyle="1" w:styleId="Title4LevelTitre4Niveau">
    <w:name w:val="Title 4 Level / Titre 4 Niveau"/>
    <w:basedOn w:val="Title3LevelTitre3Niveau"/>
    <w:next w:val="ParaNoNdepar-AltN"/>
    <w:uiPriority w:val="4"/>
    <w:qFormat/>
    <w:rsid w:val="00A55D5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55D5F"/>
    <w:pPr>
      <w:numPr>
        <w:ilvl w:val="4"/>
      </w:numPr>
      <w:outlineLvl w:val="4"/>
    </w:pPr>
  </w:style>
  <w:style w:type="paragraph" w:styleId="TOC1">
    <w:name w:val="toc 1"/>
    <w:basedOn w:val="Normal"/>
    <w:next w:val="Normal"/>
    <w:autoRedefine/>
    <w:uiPriority w:val="39"/>
    <w:unhideWhenUsed/>
    <w:rsid w:val="00A55D5F"/>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A55D5F"/>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A55D5F"/>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A55D5F"/>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A55D5F"/>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A55D5F"/>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A55D5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55D5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55D5F"/>
    <w:pPr>
      <w:numPr>
        <w:ilvl w:val="5"/>
      </w:numPr>
      <w:outlineLvl w:val="5"/>
    </w:pPr>
    <w:rPr>
      <w:i/>
      <w:u w:val="none"/>
    </w:rPr>
  </w:style>
  <w:style w:type="paragraph" w:styleId="FootnoteText">
    <w:name w:val="footnote text"/>
    <w:basedOn w:val="Normal"/>
    <w:link w:val="FootnoteTextChar"/>
    <w:uiPriority w:val="99"/>
    <w:unhideWhenUsed/>
    <w:rsid w:val="00A55D5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55D5F"/>
  </w:style>
  <w:style w:type="character" w:styleId="FootnoteReference">
    <w:name w:val="footnote reference"/>
    <w:basedOn w:val="DefaultParagraphFont"/>
    <w:uiPriority w:val="99"/>
    <w:semiHidden/>
    <w:unhideWhenUsed/>
    <w:rsid w:val="00A55D5F"/>
    <w:rPr>
      <w:vertAlign w:val="superscript"/>
    </w:rPr>
  </w:style>
  <w:style w:type="character" w:customStyle="1" w:styleId="ParaNoNdepar-AltNChar">
    <w:name w:val="Para. No. / Nº de par. - Alt N Char"/>
    <w:basedOn w:val="DefaultParagraphFont"/>
    <w:link w:val="ParaNoNdepar-AltN"/>
    <w:locked/>
    <w:rsid w:val="00A55D5F"/>
    <w:rPr>
      <w:rFonts w:eastAsiaTheme="minorEastAsia" w:cstheme="minorBidi"/>
      <w:sz w:val="24"/>
      <w:szCs w:val="22"/>
      <w:lang w:eastAsia="en-US"/>
    </w:rPr>
  </w:style>
  <w:style w:type="paragraph" w:styleId="ListParagraph">
    <w:name w:val="List Paragraph"/>
    <w:basedOn w:val="Normal"/>
    <w:uiPriority w:val="34"/>
    <w:qFormat/>
    <w:rsid w:val="00A55D5F"/>
    <w:pPr>
      <w:ind w:left="720"/>
      <w:contextualSpacing/>
    </w:pPr>
    <w:rPr>
      <w:rFonts w:eastAsiaTheme="minorHAnsi" w:cstheme="minorBidi"/>
      <w:szCs w:val="22"/>
      <w:lang w:val="en-US" w:eastAsia="en-US" w:bidi="en-US"/>
    </w:rPr>
  </w:style>
  <w:style w:type="character" w:customStyle="1" w:styleId="texte-courant1">
    <w:name w:val="texte-courant1"/>
    <w:basedOn w:val="DefaultParagraphFont"/>
    <w:rsid w:val="00A55D5F"/>
  </w:style>
  <w:style w:type="character" w:styleId="Hyperlink">
    <w:name w:val="Hyperlink"/>
    <w:basedOn w:val="DefaultParagraphFont"/>
    <w:uiPriority w:val="99"/>
    <w:unhideWhenUsed/>
    <w:rsid w:val="00A55D5F"/>
    <w:rPr>
      <w:color w:val="0000FF" w:themeColor="hyperlink"/>
      <w:u w:val="single"/>
    </w:rPr>
  </w:style>
  <w:style w:type="character" w:customStyle="1" w:styleId="decisia-reflex2-icon">
    <w:name w:val="decisia-reflex2-icon"/>
    <w:basedOn w:val="DefaultParagraphFont"/>
    <w:rsid w:val="00A55D5F"/>
    <w:rPr>
      <w:strike w:val="0"/>
      <w:dstrike w:val="0"/>
      <w:sz w:val="19"/>
      <w:szCs w:val="19"/>
      <w:u w:val="none"/>
      <w:effect w:val="none"/>
    </w:rPr>
  </w:style>
  <w:style w:type="paragraph" w:styleId="Revision">
    <w:name w:val="Revision"/>
    <w:hidden/>
    <w:uiPriority w:val="99"/>
    <w:semiHidden/>
    <w:rsid w:val="00A55D5F"/>
    <w:rPr>
      <w:rFonts w:eastAsiaTheme="minorHAnsi" w:cstheme="minorBidi"/>
      <w:sz w:val="24"/>
      <w:szCs w:val="22"/>
      <w:lang w:val="en-US" w:eastAsia="en-US" w:bidi="en-US"/>
    </w:rPr>
  </w:style>
  <w:style w:type="character" w:styleId="CommentReference">
    <w:name w:val="annotation reference"/>
    <w:basedOn w:val="DefaultParagraphFont"/>
    <w:uiPriority w:val="99"/>
    <w:semiHidden/>
    <w:unhideWhenUsed/>
    <w:rsid w:val="00A55D5F"/>
    <w:rPr>
      <w:sz w:val="16"/>
      <w:szCs w:val="16"/>
    </w:rPr>
  </w:style>
  <w:style w:type="paragraph" w:styleId="CommentText">
    <w:name w:val="annotation text"/>
    <w:basedOn w:val="Normal"/>
    <w:link w:val="CommentTextChar"/>
    <w:uiPriority w:val="99"/>
    <w:semiHidden/>
    <w:unhideWhenUsed/>
    <w:rsid w:val="00A55D5F"/>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A55D5F"/>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A55D5F"/>
    <w:rPr>
      <w:b/>
      <w:bCs/>
    </w:rPr>
  </w:style>
  <w:style w:type="character" w:customStyle="1" w:styleId="CommentSubjectChar">
    <w:name w:val="Comment Subject Char"/>
    <w:basedOn w:val="CommentTextChar"/>
    <w:link w:val="CommentSubject"/>
    <w:uiPriority w:val="99"/>
    <w:semiHidden/>
    <w:rsid w:val="00A55D5F"/>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A55D5F"/>
    <w:rPr>
      <w:smallCaps/>
      <w:sz w:val="24"/>
    </w:rPr>
  </w:style>
  <w:style w:type="paragraph" w:styleId="NoSpacing">
    <w:name w:val="No Spacing"/>
    <w:uiPriority w:val="1"/>
    <w:rsid w:val="00A55D5F"/>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A55D5F"/>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A55D5F"/>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A55D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55D5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55D5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A55D5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A55D5F"/>
    <w:rPr>
      <w:i/>
      <w:iCs/>
    </w:rPr>
  </w:style>
  <w:style w:type="paragraph" w:styleId="Quote">
    <w:name w:val="Quote"/>
    <w:basedOn w:val="Normal"/>
    <w:next w:val="Normal"/>
    <w:link w:val="QuoteChar"/>
    <w:uiPriority w:val="29"/>
    <w:rsid w:val="00A55D5F"/>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A55D5F"/>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A55D5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A55D5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A55D5F"/>
    <w:rPr>
      <w:i/>
      <w:iCs/>
      <w:color w:val="808080" w:themeColor="text1" w:themeTint="7F"/>
    </w:rPr>
  </w:style>
  <w:style w:type="character" w:styleId="IntenseEmphasis">
    <w:name w:val="Intense Emphasis"/>
    <w:basedOn w:val="DefaultParagraphFont"/>
    <w:uiPriority w:val="21"/>
    <w:rsid w:val="00A55D5F"/>
    <w:rPr>
      <w:b/>
      <w:bCs/>
      <w:i/>
      <w:iCs/>
      <w:color w:val="4F81BD" w:themeColor="accent1"/>
    </w:rPr>
  </w:style>
  <w:style w:type="character" w:styleId="SubtleReference">
    <w:name w:val="Subtle Reference"/>
    <w:basedOn w:val="DefaultParagraphFont"/>
    <w:uiPriority w:val="31"/>
    <w:rsid w:val="00A55D5F"/>
    <w:rPr>
      <w:smallCaps/>
      <w:color w:val="C0504D" w:themeColor="accent2"/>
      <w:u w:val="single"/>
    </w:rPr>
  </w:style>
  <w:style w:type="character" w:styleId="IntenseReference">
    <w:name w:val="Intense Reference"/>
    <w:basedOn w:val="DefaultParagraphFont"/>
    <w:uiPriority w:val="32"/>
    <w:rsid w:val="00A55D5F"/>
    <w:rPr>
      <w:b/>
      <w:bCs/>
      <w:smallCaps/>
      <w:color w:val="C0504D" w:themeColor="accent2"/>
      <w:spacing w:val="5"/>
      <w:u w:val="single"/>
    </w:rPr>
  </w:style>
  <w:style w:type="character" w:styleId="BookTitle">
    <w:name w:val="Book Title"/>
    <w:basedOn w:val="DefaultParagraphFont"/>
    <w:uiPriority w:val="33"/>
    <w:rsid w:val="00A55D5F"/>
    <w:rPr>
      <w:b/>
      <w:bCs/>
      <w:smallCaps/>
      <w:spacing w:val="5"/>
    </w:rPr>
  </w:style>
  <w:style w:type="character" w:customStyle="1" w:styleId="Quote1">
    <w:name w:val="Quote1"/>
    <w:basedOn w:val="DefaultParagraphFont"/>
    <w:rsid w:val="00A55D5F"/>
  </w:style>
  <w:style w:type="paragraph" w:customStyle="1" w:styleId="NumberedParas">
    <w:name w:val="Numbered Paras"/>
    <w:basedOn w:val="Normal"/>
    <w:qFormat/>
    <w:rsid w:val="00A55D5F"/>
    <w:pPr>
      <w:numPr>
        <w:numId w:val="5"/>
      </w:numPr>
      <w:spacing w:line="480" w:lineRule="auto"/>
      <w:contextualSpacing/>
      <w:jc w:val="both"/>
    </w:pPr>
    <w:rPr>
      <w:rFonts w:eastAsia="MS Mincho"/>
      <w:szCs w:val="24"/>
      <w:lang w:eastAsia="en-US"/>
    </w:rPr>
  </w:style>
  <w:style w:type="character" w:customStyle="1" w:styleId="notranslate">
    <w:name w:val="notranslate"/>
    <w:basedOn w:val="DefaultParagraphFont"/>
    <w:rsid w:val="00A55D5F"/>
  </w:style>
  <w:style w:type="character" w:customStyle="1" w:styleId="canliisection1">
    <w:name w:val="canlii_section1"/>
    <w:basedOn w:val="DefaultParagraphFont"/>
    <w:rsid w:val="00A55D5F"/>
    <w:rPr>
      <w:strike w:val="0"/>
      <w:dstrike w:val="0"/>
      <w:color w:val="027ABB"/>
      <w:u w:val="none"/>
      <w:effect w:val="none"/>
    </w:rPr>
  </w:style>
  <w:style w:type="character" w:customStyle="1" w:styleId="label-section">
    <w:name w:val="label-section"/>
    <w:basedOn w:val="DefaultParagraphFont"/>
    <w:rsid w:val="00A55D5F"/>
  </w:style>
  <w:style w:type="character" w:customStyle="1" w:styleId="texte-courant">
    <w:name w:val="texte-courant"/>
    <w:basedOn w:val="DefaultParagraphFont"/>
    <w:rsid w:val="00A55D5F"/>
  </w:style>
  <w:style w:type="character" w:customStyle="1" w:styleId="label-z">
    <w:name w:val="label-z"/>
    <w:basedOn w:val="DefaultParagraphFont"/>
    <w:rsid w:val="00A55D5F"/>
  </w:style>
  <w:style w:type="character" w:customStyle="1" w:styleId="Normal1">
    <w:name w:val="Normal1"/>
    <w:basedOn w:val="DefaultParagraphFont"/>
    <w:rsid w:val="00A55D5F"/>
  </w:style>
  <w:style w:type="character" w:customStyle="1" w:styleId="widthfixforlabel">
    <w:name w:val="widthfixforlabel"/>
    <w:basedOn w:val="DefaultParagraphFont"/>
    <w:rsid w:val="00A55D5F"/>
  </w:style>
  <w:style w:type="table" w:customStyle="1" w:styleId="TableGrid2">
    <w:name w:val="Table Grid2"/>
    <w:basedOn w:val="TableNormal"/>
    <w:next w:val="TableGrid"/>
    <w:uiPriority w:val="59"/>
    <w:rsid w:val="00A55D5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45E7F"/>
    <w:rPr>
      <w:lang w:val="en-CA"/>
    </w:rPr>
  </w:style>
  <w:style w:type="paragraph" w:customStyle="1" w:styleId="SCCLsocPrefix">
    <w:name w:val="SCC.Lsoc.Prefix"/>
    <w:basedOn w:val="Normal"/>
    <w:next w:val="Normal"/>
    <w:link w:val="SCCLsocPrefixChar"/>
    <w:rsid w:val="00945E7F"/>
    <w:rPr>
      <w:rFonts w:eastAsiaTheme="minorHAnsi" w:cstheme="minorBidi"/>
      <w:b/>
      <w:smallCaps/>
      <w:szCs w:val="24"/>
      <w:lang w:eastAsia="en-US"/>
    </w:rPr>
  </w:style>
  <w:style w:type="character" w:customStyle="1" w:styleId="SCCLsocPrefixChar">
    <w:name w:val="SCC.Lsoc.Prefix Char"/>
    <w:basedOn w:val="DefaultParagraphFont"/>
    <w:link w:val="SCCLsocPrefix"/>
    <w:rsid w:val="00945E7F"/>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755F-1F07-44E6-BBFE-E343D8F6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15238</Words>
  <Characters>78822</Characters>
  <Application>Microsoft Office Word</Application>
  <DocSecurity>0</DocSecurity>
  <Lines>656</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2016-12-09T12:19:00Z</dcterms:created>
  <dcterms:modified xsi:type="dcterms:W3CDTF">2017-03-07T13:55:00Z</dcterms:modified>
</cp:coreProperties>
</file>