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3D" w:rsidRDefault="0015503D" w:rsidP="0015503D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65pt" o:ole="">
            <v:imagedata r:id="rId7" o:title=""/>
          </v:shape>
          <o:OLEObject Type="Embed" ProgID="Presentations.Drawing.13" ShapeID="_x0000_i1025" DrawAspect="Content" ObjectID="_1569820026" r:id="rId8"/>
        </w:object>
      </w:r>
      <w:r>
        <w:t xml:space="preserve"> </w:t>
      </w:r>
      <w:r>
        <w:ptab w:relativeTo="margin" w:alignment="right" w:leader="none"/>
      </w:r>
    </w:p>
    <w:p w:rsidR="0015503D" w:rsidRDefault="0015503D" w:rsidP="0015503D">
      <w:pPr>
        <w:pStyle w:val="Header"/>
      </w:pPr>
    </w:p>
    <w:p w:rsidR="0015503D" w:rsidRPr="006B210C" w:rsidRDefault="0015503D" w:rsidP="0015503D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15503D" w:rsidRDefault="0015503D" w:rsidP="0015503D"/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670"/>
        <w:gridCol w:w="3960"/>
      </w:tblGrid>
      <w:tr w:rsidR="0015503D" w:rsidRPr="006B210C" w:rsidTr="001335C8">
        <w:trPr>
          <w:cantSplit/>
        </w:trPr>
        <w:tc>
          <w:tcPr>
            <w:tcW w:w="5670" w:type="dxa"/>
          </w:tcPr>
          <w:p w:rsidR="0015503D" w:rsidRPr="000871FC" w:rsidRDefault="0015503D" w:rsidP="001335C8">
            <w:pPr>
              <w:rPr>
                <w:lang w:val="fr-CA"/>
              </w:rPr>
            </w:pPr>
            <w:r w:rsidRPr="000871FC">
              <w:rPr>
                <w:b/>
                <w:smallCaps/>
                <w:lang w:val="fr-CA"/>
              </w:rPr>
              <w:t>Citation:</w:t>
            </w:r>
            <w:r w:rsidRPr="000871FC">
              <w:rPr>
                <w:lang w:val="fr-CA"/>
              </w:rPr>
              <w:t xml:space="preserve"> R. </w:t>
            </w:r>
            <w:r w:rsidRPr="000871FC">
              <w:rPr>
                <w:i/>
                <w:lang w:val="fr-CA"/>
              </w:rPr>
              <w:t>v.</w:t>
            </w:r>
            <w:r w:rsidRPr="000871FC">
              <w:rPr>
                <w:lang w:val="fr-CA"/>
              </w:rPr>
              <w:t xml:space="preserve"> Bédard, 2017 SCC 4, [2017] 1 S.C.R. 8</w:t>
            </w:r>
            <w:r>
              <w:rPr>
                <w:lang w:val="fr-CA"/>
              </w:rPr>
              <w:t>9</w:t>
            </w:r>
          </w:p>
        </w:tc>
        <w:tc>
          <w:tcPr>
            <w:tcW w:w="3960" w:type="dxa"/>
          </w:tcPr>
          <w:p w:rsidR="0015503D" w:rsidRDefault="0015503D" w:rsidP="001335C8">
            <w:r>
              <w:rPr>
                <w:b/>
                <w:smallCaps/>
              </w:rPr>
              <w:t>Appeal heard:</w:t>
            </w:r>
            <w:r w:rsidRPr="006B210C">
              <w:t xml:space="preserve"> </w:t>
            </w:r>
            <w:r>
              <w:t>January 19, 2017</w:t>
            </w:r>
          </w:p>
          <w:p w:rsidR="0015503D" w:rsidRPr="006B210C" w:rsidRDefault="0015503D" w:rsidP="001335C8">
            <w:r>
              <w:rPr>
                <w:b/>
                <w:smallCaps/>
              </w:rPr>
              <w:t>Judgment rendered</w:t>
            </w:r>
            <w:r w:rsidRPr="003E41F2">
              <w:rPr>
                <w:b/>
                <w:smallCaps/>
              </w:rPr>
              <w:t>:</w:t>
            </w:r>
            <w:r>
              <w:t xml:space="preserve"> January 19, 2017</w:t>
            </w:r>
          </w:p>
          <w:p w:rsidR="0015503D" w:rsidRPr="006B210C" w:rsidRDefault="0015503D" w:rsidP="001335C8">
            <w:r w:rsidRPr="005D4B83">
              <w:rPr>
                <w:b/>
                <w:smallCaps/>
              </w:rPr>
              <w:t>Docket:</w:t>
            </w:r>
            <w:r>
              <w:t xml:space="preserve"> 37071</w:t>
            </w:r>
          </w:p>
        </w:tc>
      </w:tr>
    </w:tbl>
    <w:p w:rsidR="0015503D" w:rsidRPr="006B210C" w:rsidRDefault="0015503D" w:rsidP="0015503D"/>
    <w:p w:rsidR="0015503D" w:rsidRDefault="0015503D" w:rsidP="0015503D">
      <w:pPr>
        <w:pStyle w:val="SCCLsocPrefix"/>
      </w:pPr>
      <w:r>
        <w:t>Between:</w:t>
      </w:r>
    </w:p>
    <w:p w:rsidR="0015503D" w:rsidRPr="00461D20" w:rsidRDefault="0015503D" w:rsidP="0015503D">
      <w:pPr>
        <w:pStyle w:val="SCCLsocParty"/>
        <w:widowControl w:val="0"/>
        <w:jc w:val="center"/>
        <w:rPr>
          <w:lang w:val="fr-CA"/>
        </w:rPr>
      </w:pPr>
      <w:r>
        <w:rPr>
          <w:lang w:val="fr-CA"/>
        </w:rPr>
        <w:t>Laurier Bédard and</w:t>
      </w:r>
    </w:p>
    <w:p w:rsidR="0015503D" w:rsidRPr="00446553" w:rsidRDefault="0015503D" w:rsidP="0015503D">
      <w:pPr>
        <w:jc w:val="center"/>
        <w:rPr>
          <w:b/>
        </w:rPr>
      </w:pPr>
      <w:r w:rsidRPr="00446553">
        <w:rPr>
          <w:b/>
          <w:lang w:val="fr-CA"/>
        </w:rPr>
        <w:t>Sylvain Rangers</w:t>
      </w:r>
    </w:p>
    <w:p w:rsidR="0015503D" w:rsidRDefault="0015503D" w:rsidP="0015503D">
      <w:pPr>
        <w:jc w:val="center"/>
      </w:pPr>
      <w:r>
        <w:t>Appellant</w:t>
      </w:r>
    </w:p>
    <w:p w:rsidR="0015503D" w:rsidRPr="005D4B83" w:rsidRDefault="0015503D" w:rsidP="0015503D">
      <w:pPr>
        <w:jc w:val="center"/>
      </w:pPr>
    </w:p>
    <w:p w:rsidR="0015503D" w:rsidRPr="0015503D" w:rsidRDefault="0015503D" w:rsidP="0015503D">
      <w:pPr>
        <w:pStyle w:val="SCCLsocVersus"/>
        <w:spacing w:after="0"/>
        <w:jc w:val="center"/>
        <w:rPr>
          <w:i w:val="0"/>
        </w:rPr>
      </w:pPr>
      <w:proofErr w:type="gramStart"/>
      <w:r w:rsidRPr="0015503D">
        <w:rPr>
          <w:i w:val="0"/>
        </w:rPr>
        <w:t>and</w:t>
      </w:r>
      <w:proofErr w:type="gramEnd"/>
    </w:p>
    <w:p w:rsidR="0015503D" w:rsidRPr="005D4B83" w:rsidRDefault="0015503D" w:rsidP="0015503D">
      <w:pPr>
        <w:jc w:val="center"/>
      </w:pPr>
      <w:bookmarkStart w:id="0" w:name="_GoBack"/>
      <w:bookmarkEnd w:id="0"/>
    </w:p>
    <w:p w:rsidR="0015503D" w:rsidRDefault="0015503D" w:rsidP="0015503D">
      <w:pPr>
        <w:pStyle w:val="SCCLsocParty"/>
        <w:jc w:val="center"/>
      </w:pPr>
      <w:r>
        <w:t xml:space="preserve">Her Majesty </w:t>
      </w:r>
      <w:proofErr w:type="gramStart"/>
      <w:r>
        <w:t>The</w:t>
      </w:r>
      <w:proofErr w:type="gramEnd"/>
      <w:r>
        <w:t xml:space="preserve"> Queen</w:t>
      </w:r>
    </w:p>
    <w:p w:rsidR="0015503D" w:rsidRDefault="0015503D" w:rsidP="0015503D">
      <w:pPr>
        <w:jc w:val="center"/>
      </w:pPr>
      <w:r>
        <w:t>Respondent</w:t>
      </w:r>
    </w:p>
    <w:p w:rsidR="0015503D" w:rsidRDefault="0015503D" w:rsidP="0015503D"/>
    <w:p w:rsidR="0015503D" w:rsidRPr="009E7FC8" w:rsidRDefault="0015503D" w:rsidP="0015503D">
      <w:pPr>
        <w:jc w:val="center"/>
        <w:rPr>
          <w:b/>
          <w:smallCaps/>
        </w:rPr>
      </w:pPr>
      <w:r w:rsidRPr="009E7FC8">
        <w:rPr>
          <w:b/>
          <w:smallCaps/>
        </w:rPr>
        <w:t>Official English Translation</w:t>
      </w:r>
    </w:p>
    <w:p w:rsidR="0015503D" w:rsidRPr="009E7FC8" w:rsidRDefault="0015503D" w:rsidP="0015503D">
      <w:pPr>
        <w:jc w:val="center"/>
        <w:rPr>
          <w:b/>
          <w:smallCaps/>
        </w:rPr>
      </w:pPr>
    </w:p>
    <w:p w:rsidR="0015503D" w:rsidRPr="006B210C" w:rsidRDefault="0015503D" w:rsidP="0015503D">
      <w:r w:rsidRPr="006B210C">
        <w:rPr>
          <w:b/>
          <w:smallCaps/>
        </w:rPr>
        <w:t>Coram</w:t>
      </w:r>
      <w:r>
        <w:rPr>
          <w:b/>
          <w:smallCaps/>
        </w:rPr>
        <w:t xml:space="preserve">:  </w:t>
      </w:r>
      <w:proofErr w:type="spellStart"/>
      <w:r>
        <w:t>McLachlin</w:t>
      </w:r>
      <w:proofErr w:type="spellEnd"/>
      <w:r>
        <w:t xml:space="preserve"> C.J. and </w:t>
      </w:r>
      <w:proofErr w:type="spellStart"/>
      <w:r>
        <w:t>Abella</w:t>
      </w:r>
      <w:proofErr w:type="spellEnd"/>
      <w:r>
        <w:t xml:space="preserve">, </w:t>
      </w:r>
      <w:proofErr w:type="spellStart"/>
      <w:r>
        <w:t>Moldaver</w:t>
      </w:r>
      <w:proofErr w:type="spellEnd"/>
      <w:r>
        <w:t xml:space="preserve">, </w:t>
      </w:r>
      <w:proofErr w:type="spellStart"/>
      <w:r>
        <w:t>Karakatsanis</w:t>
      </w:r>
      <w:proofErr w:type="spellEnd"/>
      <w:r>
        <w:t xml:space="preserve">, Wagner, </w:t>
      </w:r>
      <w:proofErr w:type="spellStart"/>
      <w:r>
        <w:t>Gascon</w:t>
      </w:r>
      <w:proofErr w:type="spellEnd"/>
      <w:r>
        <w:t xml:space="preserve"> and </w:t>
      </w:r>
      <w:proofErr w:type="spellStart"/>
      <w:r>
        <w:t>Côté</w:t>
      </w:r>
      <w:proofErr w:type="spellEnd"/>
      <w:r>
        <w:t> JJ.</w:t>
      </w:r>
    </w:p>
    <w:p w:rsidR="0015503D" w:rsidRPr="006B210C" w:rsidRDefault="0015503D" w:rsidP="0015503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15503D" w:rsidRPr="006B210C" w:rsidTr="001335C8">
        <w:trPr>
          <w:cantSplit/>
        </w:trPr>
        <w:tc>
          <w:tcPr>
            <w:tcW w:w="3618" w:type="dxa"/>
          </w:tcPr>
          <w:p w:rsidR="0015503D" w:rsidRDefault="0015503D" w:rsidP="001335C8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 xml:space="preserve">Reasons for </w:t>
            </w:r>
            <w:r>
              <w:rPr>
                <w:b/>
                <w:smallCaps/>
              </w:rPr>
              <w:t>Judgment:</w:t>
            </w:r>
          </w:p>
          <w:p w:rsidR="0015503D" w:rsidRPr="006B210C" w:rsidRDefault="0015503D" w:rsidP="001335C8">
            <w:r>
              <w:t>(paras. 1 to 4)</w:t>
            </w:r>
          </w:p>
        </w:tc>
        <w:tc>
          <w:tcPr>
            <w:tcW w:w="5958" w:type="dxa"/>
          </w:tcPr>
          <w:p w:rsidR="0015503D" w:rsidRPr="006B210C" w:rsidRDefault="0015503D" w:rsidP="001335C8">
            <w:proofErr w:type="spellStart"/>
            <w:r>
              <w:t>McLachlin</w:t>
            </w:r>
            <w:proofErr w:type="spellEnd"/>
            <w:r>
              <w:t xml:space="preserve"> C.J. (</w:t>
            </w:r>
            <w:proofErr w:type="spellStart"/>
            <w:r>
              <w:t>Abella</w:t>
            </w:r>
            <w:proofErr w:type="spellEnd"/>
            <w:r>
              <w:t xml:space="preserve">, </w:t>
            </w:r>
            <w:proofErr w:type="spellStart"/>
            <w:r>
              <w:t>Moldaver</w:t>
            </w:r>
            <w:proofErr w:type="spellEnd"/>
            <w:r>
              <w:t xml:space="preserve">, </w:t>
            </w:r>
            <w:proofErr w:type="spellStart"/>
            <w:r>
              <w:t>Karakatsanis</w:t>
            </w:r>
            <w:proofErr w:type="spellEnd"/>
            <w:r>
              <w:t xml:space="preserve">, Wagner, </w:t>
            </w:r>
            <w:proofErr w:type="spellStart"/>
            <w:r>
              <w:t>Gascon</w:t>
            </w:r>
            <w:proofErr w:type="spellEnd"/>
            <w:r>
              <w:t xml:space="preserve">, and </w:t>
            </w:r>
            <w:proofErr w:type="spellStart"/>
            <w:r>
              <w:t>Côté</w:t>
            </w:r>
            <w:proofErr w:type="spellEnd"/>
            <w:r>
              <w:t xml:space="preserve"> concurring)</w:t>
            </w:r>
          </w:p>
        </w:tc>
      </w:tr>
    </w:tbl>
    <w:p w:rsidR="0015503D" w:rsidRDefault="0015503D" w:rsidP="0015503D"/>
    <w:p w:rsidR="0015503D" w:rsidRPr="006B210C" w:rsidRDefault="0015503D" w:rsidP="0015503D"/>
    <w:p w:rsidR="0015503D" w:rsidRPr="006B210C" w:rsidRDefault="0015503D" w:rsidP="0015503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ECCFC" wp14:editId="722A8947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97B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15503D" w:rsidRDefault="0015503D" w:rsidP="0015503D"/>
    <w:p w:rsidR="0015503D" w:rsidRDefault="0015503D" w:rsidP="0015503D"/>
    <w:p w:rsidR="0015503D" w:rsidRDefault="0015503D" w:rsidP="0015503D"/>
    <w:p w:rsidR="0015503D" w:rsidRDefault="0015503D" w:rsidP="00C84BC5">
      <w:pPr>
        <w:pStyle w:val="SCCSystemYear"/>
        <w:widowControl w:val="0"/>
        <w:jc w:val="both"/>
        <w:rPr>
          <w:b w:val="0"/>
          <w:lang w:val="fr-CA"/>
        </w:rPr>
      </w:pPr>
    </w:p>
    <w:p w:rsidR="00C84BC5" w:rsidRPr="00C84BC5" w:rsidRDefault="00C84BC5" w:rsidP="00C84BC5">
      <w:pPr>
        <w:pStyle w:val="SCCSystemYear"/>
        <w:widowControl w:val="0"/>
        <w:jc w:val="both"/>
        <w:rPr>
          <w:b w:val="0"/>
        </w:rPr>
      </w:pPr>
      <w:r w:rsidRPr="00C84BC5">
        <w:rPr>
          <w:b w:val="0"/>
          <w:lang w:val="fr-CA"/>
        </w:rPr>
        <w:t>R</w:t>
      </w:r>
      <w:r w:rsidR="00807594" w:rsidRPr="00C84BC5">
        <w:rPr>
          <w:b w:val="0"/>
          <w:lang w:val="fr-CA"/>
        </w:rPr>
        <w:t xml:space="preserve">. </w:t>
      </w:r>
      <w:r w:rsidR="00682DCC" w:rsidRPr="00C84BC5">
        <w:rPr>
          <w:b w:val="0"/>
          <w:i/>
          <w:lang w:val="fr-CA"/>
        </w:rPr>
        <w:t>v</w:t>
      </w:r>
      <w:r w:rsidR="00807594" w:rsidRPr="00C84BC5">
        <w:rPr>
          <w:b w:val="0"/>
          <w:i/>
          <w:lang w:val="fr-CA"/>
        </w:rPr>
        <w:t xml:space="preserve">. </w:t>
      </w:r>
      <w:r w:rsidRPr="00C84BC5">
        <w:rPr>
          <w:b w:val="0"/>
          <w:lang w:val="fr-CA"/>
        </w:rPr>
        <w:t>B</w:t>
      </w:r>
      <w:r w:rsidR="00807594" w:rsidRPr="00C84BC5">
        <w:rPr>
          <w:b w:val="0"/>
          <w:lang w:val="fr-CA"/>
        </w:rPr>
        <w:t>édard</w:t>
      </w:r>
      <w:r w:rsidRPr="00C84BC5">
        <w:rPr>
          <w:b w:val="0"/>
          <w:lang w:val="fr-CA"/>
        </w:rPr>
        <w:t xml:space="preserve">, </w:t>
      </w:r>
      <w:r w:rsidRPr="00C84BC5">
        <w:rPr>
          <w:b w:val="0"/>
        </w:rPr>
        <w:t>2017 SCC 4</w:t>
      </w:r>
      <w:r>
        <w:rPr>
          <w:b w:val="0"/>
        </w:rPr>
        <w:t>, [2017] 1 S.C.R. 89</w:t>
      </w:r>
    </w:p>
    <w:p w:rsidR="00766D14" w:rsidRPr="00C84BC5" w:rsidRDefault="00766D14" w:rsidP="00445A49">
      <w:pPr>
        <w:widowControl w:val="0"/>
        <w:jc w:val="both"/>
        <w:rPr>
          <w:lang w:val="fr-CA"/>
        </w:rPr>
      </w:pPr>
    </w:p>
    <w:p w:rsidR="00807594" w:rsidRPr="00461D20" w:rsidRDefault="00807594" w:rsidP="00445A49">
      <w:pPr>
        <w:widowControl w:val="0"/>
        <w:jc w:val="both"/>
        <w:rPr>
          <w:lang w:val="fr-CA"/>
        </w:rPr>
      </w:pPr>
    </w:p>
    <w:p w:rsidR="00A149DF" w:rsidRPr="00461D20" w:rsidRDefault="00A149DF" w:rsidP="00445A49">
      <w:pPr>
        <w:widowControl w:val="0"/>
        <w:jc w:val="both"/>
        <w:rPr>
          <w:lang w:val="fr-CA"/>
        </w:rPr>
      </w:pPr>
    </w:p>
    <w:p w:rsidR="00A149DF" w:rsidRPr="00461D20" w:rsidRDefault="00A149DF" w:rsidP="00445A49">
      <w:pPr>
        <w:widowControl w:val="0"/>
        <w:jc w:val="both"/>
        <w:rPr>
          <w:lang w:val="fr-CA"/>
        </w:rPr>
      </w:pPr>
    </w:p>
    <w:p w:rsidR="006B54AA" w:rsidRPr="00461D20" w:rsidRDefault="00682DCC" w:rsidP="00445A49">
      <w:pPr>
        <w:pStyle w:val="SCCLsocParty"/>
        <w:widowControl w:val="0"/>
        <w:rPr>
          <w:lang w:val="fr-CA"/>
        </w:rPr>
      </w:pPr>
      <w:r>
        <w:rPr>
          <w:lang w:val="fr-CA"/>
        </w:rPr>
        <w:t>Laurier Bédard and</w:t>
      </w:r>
    </w:p>
    <w:p w:rsidR="006B54AA" w:rsidRPr="00461D20" w:rsidRDefault="00C95A6C" w:rsidP="00445A49">
      <w:pPr>
        <w:pStyle w:val="SCCLsocLastPartyInRole"/>
        <w:widowControl w:val="0"/>
        <w:rPr>
          <w:lang w:val="fr-CA"/>
        </w:rPr>
      </w:pPr>
      <w:r w:rsidRPr="00461D20">
        <w:rPr>
          <w:lang w:val="fr-CA"/>
        </w:rPr>
        <w:t>Sylvain Rangers</w:t>
      </w:r>
      <w:r w:rsidRPr="00461D20">
        <w:rPr>
          <w:rStyle w:val="SCCLsocPartyRole"/>
          <w:lang w:val="fr-CA"/>
        </w:rPr>
        <w:tab/>
        <w:t>Appellants</w:t>
      </w:r>
    </w:p>
    <w:p w:rsidR="006B54AA" w:rsidRPr="00CC2019" w:rsidRDefault="00C95A6C" w:rsidP="00445A49">
      <w:pPr>
        <w:pStyle w:val="SCCLsocVersus"/>
        <w:widowControl w:val="0"/>
        <w:rPr>
          <w:lang w:val="en-US"/>
        </w:rPr>
      </w:pPr>
      <w:proofErr w:type="gramStart"/>
      <w:r w:rsidRPr="00CC2019">
        <w:rPr>
          <w:lang w:val="en-US"/>
        </w:rPr>
        <w:lastRenderedPageBreak/>
        <w:t>v</w:t>
      </w:r>
      <w:proofErr w:type="gramEnd"/>
      <w:r w:rsidRPr="00CC2019">
        <w:rPr>
          <w:lang w:val="en-US"/>
        </w:rPr>
        <w:t>.</w:t>
      </w:r>
    </w:p>
    <w:p w:rsidR="006B54AA" w:rsidRDefault="00682DCC" w:rsidP="00445A49">
      <w:pPr>
        <w:pStyle w:val="SCCLsocLastPartyInRole"/>
        <w:widowControl w:val="0"/>
      </w:pPr>
      <w:r>
        <w:t xml:space="preserve">Her Majesty </w:t>
      </w:r>
      <w:proofErr w:type="gramStart"/>
      <w:r>
        <w:t>T</w:t>
      </w:r>
      <w:r w:rsidR="00C95A6C">
        <w:t>he</w:t>
      </w:r>
      <w:proofErr w:type="gramEnd"/>
      <w:r w:rsidR="00C95A6C">
        <w:t xml:space="preserve"> Queen</w:t>
      </w:r>
      <w:r w:rsidR="00C95A6C">
        <w:rPr>
          <w:rStyle w:val="SCCLsocPartyRole"/>
        </w:rPr>
        <w:tab/>
        <w:t>Respondent</w:t>
      </w:r>
    </w:p>
    <w:p w:rsidR="00766D14" w:rsidRDefault="00766D14" w:rsidP="00445A49">
      <w:pPr>
        <w:widowControl w:val="0"/>
        <w:jc w:val="both"/>
      </w:pPr>
    </w:p>
    <w:p w:rsidR="00A149DF" w:rsidRDefault="00A149DF" w:rsidP="00445A49">
      <w:pPr>
        <w:widowControl w:val="0"/>
        <w:jc w:val="both"/>
      </w:pPr>
    </w:p>
    <w:p w:rsidR="00A149DF" w:rsidRPr="001426A9" w:rsidRDefault="00A149DF" w:rsidP="00445A49">
      <w:pPr>
        <w:widowControl w:val="0"/>
        <w:jc w:val="both"/>
      </w:pPr>
    </w:p>
    <w:p w:rsidR="00426659" w:rsidRPr="00426659" w:rsidRDefault="00426659" w:rsidP="00445A49">
      <w:pPr>
        <w:widowControl w:val="0"/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 w:rsidRPr="00426659">
        <w:rPr>
          <w:b/>
        </w:rPr>
        <w:t xml:space="preserve"> </w:t>
      </w:r>
      <w:r w:rsidR="007B435E">
        <w:rPr>
          <w:b/>
        </w:rPr>
        <w:t>R.</w:t>
      </w:r>
      <w:r w:rsidRPr="00426659">
        <w:rPr>
          <w:b/>
        </w:rPr>
        <w:t xml:space="preserve"> </w:t>
      </w:r>
      <w:r w:rsidRPr="00426659">
        <w:rPr>
          <w:b/>
          <w:i/>
        </w:rPr>
        <w:t>v.</w:t>
      </w:r>
      <w:r w:rsidRPr="00426659">
        <w:rPr>
          <w:b/>
        </w:rPr>
        <w:t xml:space="preserve"> </w:t>
      </w:r>
      <w:r w:rsidR="007B435E">
        <w:rPr>
          <w:b/>
        </w:rPr>
        <w:t>Bédard</w:t>
      </w:r>
    </w:p>
    <w:p w:rsidR="00426659" w:rsidRDefault="00426659" w:rsidP="00445A49">
      <w:pPr>
        <w:widowControl w:val="0"/>
        <w:jc w:val="both"/>
      </w:pPr>
    </w:p>
    <w:p w:rsidR="00A149DF" w:rsidRDefault="00A149DF" w:rsidP="00445A49">
      <w:pPr>
        <w:widowControl w:val="0"/>
        <w:jc w:val="both"/>
      </w:pPr>
    </w:p>
    <w:p w:rsidR="00A149DF" w:rsidRDefault="00A149DF" w:rsidP="00445A49">
      <w:pPr>
        <w:widowControl w:val="0"/>
        <w:jc w:val="both"/>
      </w:pPr>
    </w:p>
    <w:p w:rsidR="00426659" w:rsidRPr="00C02092" w:rsidRDefault="00AE4535" w:rsidP="00445A49">
      <w:pPr>
        <w:pStyle w:val="SCCSystemYear"/>
        <w:widowControl w:val="0"/>
        <w:jc w:val="both"/>
      </w:pPr>
      <w:r>
        <w:t>2017</w:t>
      </w:r>
      <w:r w:rsidR="003D0399">
        <w:t xml:space="preserve"> </w:t>
      </w:r>
      <w:r w:rsidR="00496AED">
        <w:t>SCC 4</w:t>
      </w:r>
    </w:p>
    <w:p w:rsidR="00426659" w:rsidRDefault="00426659" w:rsidP="00445A49">
      <w:pPr>
        <w:widowControl w:val="0"/>
        <w:jc w:val="both"/>
      </w:pPr>
    </w:p>
    <w:p w:rsidR="00A149DF" w:rsidRDefault="00A149DF" w:rsidP="00445A49">
      <w:pPr>
        <w:widowControl w:val="0"/>
        <w:jc w:val="both"/>
      </w:pPr>
    </w:p>
    <w:p w:rsidR="00A149DF" w:rsidRDefault="00A149DF" w:rsidP="00445A49">
      <w:pPr>
        <w:widowControl w:val="0"/>
        <w:jc w:val="both"/>
      </w:pPr>
    </w:p>
    <w:p w:rsidR="008322BD" w:rsidRDefault="009B57B3" w:rsidP="00445A49">
      <w:pPr>
        <w:widowControl w:val="0"/>
        <w:jc w:val="both"/>
      </w:pPr>
      <w:r w:rsidRPr="001426A9">
        <w:t xml:space="preserve">File No.:  </w:t>
      </w:r>
      <w:r>
        <w:t>37071</w:t>
      </w:r>
      <w:r w:rsidRPr="001426A9">
        <w:t>.</w:t>
      </w:r>
    </w:p>
    <w:p w:rsidR="00E97830" w:rsidRDefault="00E97830" w:rsidP="00445A49">
      <w:pPr>
        <w:widowControl w:val="0"/>
        <w:jc w:val="both"/>
      </w:pPr>
    </w:p>
    <w:p w:rsidR="00A149DF" w:rsidRDefault="00A149DF" w:rsidP="00445A49">
      <w:pPr>
        <w:widowControl w:val="0"/>
        <w:jc w:val="both"/>
      </w:pPr>
    </w:p>
    <w:p w:rsidR="00A149DF" w:rsidRDefault="00A149DF" w:rsidP="00445A49">
      <w:pPr>
        <w:widowControl w:val="0"/>
        <w:jc w:val="both"/>
      </w:pPr>
    </w:p>
    <w:p w:rsidR="008322BD" w:rsidRDefault="00AE4535" w:rsidP="00445A49">
      <w:pPr>
        <w:widowControl w:val="0"/>
        <w:jc w:val="both"/>
      </w:pPr>
      <w:r>
        <w:t>2017:  January 19</w:t>
      </w:r>
      <w:r w:rsidR="00496AED">
        <w:t>.</w:t>
      </w:r>
    </w:p>
    <w:p w:rsidR="00E97830" w:rsidRDefault="00E97830" w:rsidP="00445A49">
      <w:pPr>
        <w:widowControl w:val="0"/>
        <w:jc w:val="both"/>
      </w:pPr>
    </w:p>
    <w:p w:rsidR="00A149DF" w:rsidRDefault="00A149DF" w:rsidP="00445A49">
      <w:pPr>
        <w:widowControl w:val="0"/>
        <w:jc w:val="both"/>
      </w:pPr>
    </w:p>
    <w:p w:rsidR="00A149DF" w:rsidRDefault="00A149DF" w:rsidP="00445A49">
      <w:pPr>
        <w:widowControl w:val="0"/>
        <w:jc w:val="both"/>
      </w:pPr>
    </w:p>
    <w:p w:rsidR="008322BD" w:rsidRDefault="009B57B3" w:rsidP="00445A49">
      <w:pPr>
        <w:widowControl w:val="0"/>
        <w:jc w:val="both"/>
      </w:pPr>
      <w:r w:rsidRPr="001426A9">
        <w:t xml:space="preserve">Present:  </w:t>
      </w:r>
      <w:proofErr w:type="spellStart"/>
      <w:r>
        <w:t>McLachlin</w:t>
      </w:r>
      <w:proofErr w:type="spellEnd"/>
      <w:r>
        <w:t xml:space="preserve"> C.J. and </w:t>
      </w:r>
      <w:proofErr w:type="spellStart"/>
      <w:r>
        <w:t>Abella</w:t>
      </w:r>
      <w:proofErr w:type="spellEnd"/>
      <w:r>
        <w:t xml:space="preserve">, </w:t>
      </w:r>
      <w:proofErr w:type="spellStart"/>
      <w:r>
        <w:t>Moldaver</w:t>
      </w:r>
      <w:proofErr w:type="spellEnd"/>
      <w:r>
        <w:t>, Karakatsanis, Wagner, Gascon and Côté JJ.</w:t>
      </w:r>
    </w:p>
    <w:p w:rsidR="00E97830" w:rsidRDefault="00E97830" w:rsidP="00445A49">
      <w:pPr>
        <w:widowControl w:val="0"/>
        <w:jc w:val="both"/>
      </w:pPr>
    </w:p>
    <w:p w:rsidR="006A1551" w:rsidRDefault="006A1551" w:rsidP="00445A49">
      <w:pPr>
        <w:widowControl w:val="0"/>
        <w:jc w:val="both"/>
      </w:pPr>
    </w:p>
    <w:p w:rsidR="006B54AA" w:rsidRDefault="006B54AA" w:rsidP="00445A49">
      <w:pPr>
        <w:widowControl w:val="0"/>
      </w:pPr>
    </w:p>
    <w:p w:rsidR="008322BD" w:rsidRPr="001C779F" w:rsidRDefault="00656313" w:rsidP="00445A49">
      <w:pPr>
        <w:pStyle w:val="SCCLowerCourtNameLowercase"/>
        <w:widowControl w:val="0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the</w:t>
      </w:r>
      <w:r w:rsidR="00224FC0">
        <w:t xml:space="preserve"> </w:t>
      </w:r>
      <w:r w:rsidR="009B57B3">
        <w:t xml:space="preserve">court of appeal </w:t>
      </w:r>
      <w:r w:rsidR="00392E2A">
        <w:t>for</w:t>
      </w:r>
      <w:r w:rsidR="009B57B3">
        <w:t xml:space="preserve"> quebec </w:t>
      </w:r>
    </w:p>
    <w:p w:rsidR="003A4C70" w:rsidRPr="001426A9" w:rsidRDefault="003A4C70" w:rsidP="00445A49">
      <w:pPr>
        <w:pStyle w:val="SCCNormalDoubleSpacing"/>
        <w:widowControl w:val="0"/>
      </w:pPr>
    </w:p>
    <w:p w:rsidR="001E0DBB" w:rsidRPr="001E0DBB" w:rsidRDefault="009B57B3" w:rsidP="00445A49">
      <w:pPr>
        <w:pStyle w:val="SCCNormalDoubleSpacing"/>
        <w:widowControl w:val="0"/>
        <w:rPr>
          <w:i/>
        </w:rPr>
      </w:pPr>
      <w:r w:rsidRPr="00583EDE">
        <w:tab/>
      </w:r>
      <w:r w:rsidR="00F833EF">
        <w:rPr>
          <w:i/>
        </w:rPr>
        <w:t>Criminal law —</w:t>
      </w:r>
      <w:r w:rsidR="00A2621C">
        <w:rPr>
          <w:i/>
        </w:rPr>
        <w:t xml:space="preserve"> Defenc</w:t>
      </w:r>
      <w:r w:rsidR="00F833EF">
        <w:rPr>
          <w:i/>
        </w:rPr>
        <w:t>es — Officially induced error —</w:t>
      </w:r>
      <w:r w:rsidR="001E0DBB" w:rsidRPr="001E0DBB">
        <w:rPr>
          <w:i/>
        </w:rPr>
        <w:t xml:space="preserve"> Wildlife and fisheries officers charged with assault causing bodily harm after warrantless arrest </w:t>
      </w:r>
      <w:r w:rsidR="00F833EF">
        <w:rPr>
          <w:i/>
        </w:rPr>
        <w:t>attempt —</w:t>
      </w:r>
      <w:r w:rsidR="001E0DBB" w:rsidRPr="001E0DBB">
        <w:rPr>
          <w:i/>
        </w:rPr>
        <w:t xml:space="preserve"> Stay of proceedings ordered at trial on basis that officers’ acts were based on o</w:t>
      </w:r>
      <w:r w:rsidR="00F833EF">
        <w:rPr>
          <w:i/>
        </w:rPr>
        <w:t>fficially induced error of law —</w:t>
      </w:r>
      <w:r w:rsidR="001E0DBB" w:rsidRPr="001E0DBB">
        <w:rPr>
          <w:i/>
        </w:rPr>
        <w:t xml:space="preserve"> Stay of proceedings set aside by Court of Ap</w:t>
      </w:r>
      <w:r w:rsidR="00F833EF">
        <w:rPr>
          <w:i/>
        </w:rPr>
        <w:t>peal and officers found guilty —</w:t>
      </w:r>
      <w:r w:rsidR="001E0DBB" w:rsidRPr="001E0DBB">
        <w:rPr>
          <w:i/>
        </w:rPr>
        <w:t xml:space="preserve"> Convictions upheld.</w:t>
      </w:r>
    </w:p>
    <w:p w:rsidR="00A149DF" w:rsidRDefault="00A149DF" w:rsidP="00445A49">
      <w:pPr>
        <w:pStyle w:val="SCCNormalDoubleSpacing"/>
        <w:widowControl w:val="0"/>
      </w:pPr>
    </w:p>
    <w:p w:rsidR="007E1C47" w:rsidRDefault="002E6705" w:rsidP="00445A49">
      <w:pPr>
        <w:pStyle w:val="SCCNormalDoubleSpacing"/>
        <w:widowControl w:val="0"/>
        <w:rPr>
          <w:b/>
        </w:rPr>
      </w:pPr>
      <w:r w:rsidRPr="00314E01">
        <w:rPr>
          <w:b/>
        </w:rPr>
        <w:lastRenderedPageBreak/>
        <w:t>Cases Cited</w:t>
      </w:r>
    </w:p>
    <w:p w:rsidR="00A149DF" w:rsidRPr="00613969" w:rsidRDefault="00A149DF" w:rsidP="00445A49">
      <w:pPr>
        <w:pStyle w:val="SCCNormalDoubleSpacing"/>
        <w:widowControl w:val="0"/>
      </w:pPr>
    </w:p>
    <w:p w:rsidR="004E2C26" w:rsidRPr="007E1C47" w:rsidRDefault="002E6705" w:rsidP="00445A49">
      <w:pPr>
        <w:pStyle w:val="SCCNormalDoubleSpacing"/>
        <w:widowControl w:val="0"/>
      </w:pPr>
      <w:r>
        <w:tab/>
      </w:r>
      <w:r w:rsidRPr="00314E01">
        <w:rPr>
          <w:b/>
        </w:rPr>
        <w:t>Referred to:</w:t>
      </w:r>
      <w:r w:rsidR="00BD0E9E" w:rsidRPr="00BD0E9E">
        <w:t xml:space="preserve"> </w:t>
      </w:r>
      <w:r w:rsidR="00026D09" w:rsidRPr="00482437">
        <w:rPr>
          <w:i/>
        </w:rPr>
        <w:t>Lévis</w:t>
      </w:r>
      <w:r w:rsidR="00026D09">
        <w:rPr>
          <w:i/>
        </w:rPr>
        <w:t xml:space="preserve"> (City) v. Tétreault</w:t>
      </w:r>
      <w:r w:rsidR="00026D09">
        <w:t xml:space="preserve">, </w:t>
      </w:r>
      <w:r w:rsidR="00026D09" w:rsidRPr="0066603D">
        <w:t>2006 SCC 12</w:t>
      </w:r>
      <w:r w:rsidR="00026D09">
        <w:t>, [2006] 1 S.C.R. 420.</w:t>
      </w:r>
    </w:p>
    <w:p w:rsidR="00A149DF" w:rsidRDefault="00A149DF" w:rsidP="00445A49">
      <w:pPr>
        <w:pStyle w:val="SCCNormalDoubleSpacing"/>
        <w:widowControl w:val="0"/>
      </w:pPr>
    </w:p>
    <w:p w:rsidR="00A149DF" w:rsidRDefault="00A149DF" w:rsidP="00445A49">
      <w:pPr>
        <w:pStyle w:val="SCCNormalDoubleSpacing"/>
        <w:widowControl w:val="0"/>
        <w:spacing w:line="240" w:lineRule="auto"/>
        <w:ind w:left="540" w:hanging="540"/>
      </w:pPr>
    </w:p>
    <w:p w:rsidR="00656313" w:rsidRDefault="009B57B3" w:rsidP="00445A49">
      <w:pPr>
        <w:pStyle w:val="SCCNormalDoubleSpacing"/>
        <w:widowControl w:val="0"/>
      </w:pPr>
      <w:r w:rsidRPr="001426A9">
        <w:tab/>
        <w:t xml:space="preserve">APPEAL from a judgment of the </w:t>
      </w:r>
      <w:r w:rsidR="001313FE">
        <w:t xml:space="preserve">Quebec </w:t>
      </w:r>
      <w:r>
        <w:t>Court of Appeal (</w:t>
      </w:r>
      <w:r w:rsidR="00C95A6C">
        <w:t>Doyon, Kasirer and Parent JJ.A.</w:t>
      </w:r>
      <w:r>
        <w:t>)</w:t>
      </w:r>
      <w:r w:rsidR="00C95A6C">
        <w:t xml:space="preserve">, </w:t>
      </w:r>
      <w:r w:rsidR="00CC2019" w:rsidRPr="00CC2019">
        <w:rPr>
          <w:lang w:val="en-US"/>
        </w:rPr>
        <w:t>2016 QCCA 807, [2016] AZ-51286691, [2016] J.Q. n</w:t>
      </w:r>
      <w:r w:rsidR="00CC2019" w:rsidRPr="00CC2019">
        <w:rPr>
          <w:vertAlign w:val="superscript"/>
          <w:lang w:val="en-US"/>
        </w:rPr>
        <w:t>o</w:t>
      </w:r>
      <w:r w:rsidR="00CC2019" w:rsidRPr="00CC2019">
        <w:rPr>
          <w:lang w:val="en-US"/>
        </w:rPr>
        <w:t xml:space="preserve"> 4649 (QL), 2016 CarswellQue 4216 (WL Can.), </w:t>
      </w:r>
      <w:r w:rsidR="00201D49" w:rsidRPr="00A2621C">
        <w:t>setting aside</w:t>
      </w:r>
      <w:r w:rsidR="00C95A6C" w:rsidRPr="00A2621C">
        <w:rPr>
          <w:lang w:val="en-GB"/>
        </w:rPr>
        <w:t xml:space="preserve"> </w:t>
      </w:r>
      <w:r w:rsidR="00417910" w:rsidRPr="00A2621C">
        <w:rPr>
          <w:lang w:val="en-GB"/>
        </w:rPr>
        <w:t xml:space="preserve">the </w:t>
      </w:r>
      <w:r w:rsidR="00C95A6C" w:rsidRPr="00A2621C">
        <w:rPr>
          <w:lang w:val="en-GB"/>
        </w:rPr>
        <w:t>stay of proceedings entered by Hudon J.</w:t>
      </w:r>
      <w:r w:rsidR="00CC2019">
        <w:rPr>
          <w:lang w:val="en-GB"/>
        </w:rPr>
        <w:t xml:space="preserve">, 2014 QCCQ 12416, </w:t>
      </w:r>
      <w:r w:rsidR="00CF2159">
        <w:rPr>
          <w:lang w:val="en-GB"/>
        </w:rPr>
        <w:t xml:space="preserve">[2014] AZ-51136704, </w:t>
      </w:r>
      <w:r w:rsidR="0078002D">
        <w:rPr>
          <w:lang w:val="en-GB"/>
        </w:rPr>
        <w:t>[2014] J.Q. n</w:t>
      </w:r>
      <w:r w:rsidR="0078002D" w:rsidRPr="0078002D">
        <w:rPr>
          <w:vertAlign w:val="superscript"/>
          <w:lang w:val="en-GB"/>
        </w:rPr>
        <w:t>o</w:t>
      </w:r>
      <w:r w:rsidR="0078002D">
        <w:rPr>
          <w:vertAlign w:val="superscript"/>
          <w:lang w:val="en-GB"/>
        </w:rPr>
        <w:t xml:space="preserve"> </w:t>
      </w:r>
      <w:r w:rsidR="0078002D">
        <w:rPr>
          <w:lang w:val="en-GB"/>
        </w:rPr>
        <w:t xml:space="preserve">14596 (QL), </w:t>
      </w:r>
      <w:r w:rsidR="00CF2159">
        <w:rPr>
          <w:lang w:val="en-GB"/>
        </w:rPr>
        <w:t>2014 CarswellQue 13566 (WL Can.)</w:t>
      </w:r>
      <w:r w:rsidR="0010750E">
        <w:rPr>
          <w:lang w:val="en-GB"/>
        </w:rPr>
        <w:t>,</w:t>
      </w:r>
      <w:r w:rsidR="00417910">
        <w:rPr>
          <w:lang w:val="en-GB"/>
        </w:rPr>
        <w:t xml:space="preserve"> </w:t>
      </w:r>
      <w:r w:rsidR="00417910" w:rsidRPr="00A2621C">
        <w:rPr>
          <w:lang w:val="en-GB"/>
        </w:rPr>
        <w:t xml:space="preserve">and </w:t>
      </w:r>
      <w:r w:rsidR="002843A0" w:rsidRPr="00A2621C">
        <w:rPr>
          <w:lang w:val="en-GB"/>
        </w:rPr>
        <w:t>finding</w:t>
      </w:r>
      <w:r w:rsidR="00417910" w:rsidRPr="00A2621C">
        <w:rPr>
          <w:lang w:val="en-GB"/>
        </w:rPr>
        <w:t xml:space="preserve"> the </w:t>
      </w:r>
      <w:r w:rsidR="00817724" w:rsidRPr="00A2621C">
        <w:rPr>
          <w:lang w:val="en-GB"/>
        </w:rPr>
        <w:t>accused</w:t>
      </w:r>
      <w:r w:rsidR="00417910" w:rsidRPr="00A2621C">
        <w:rPr>
          <w:lang w:val="en-GB"/>
        </w:rPr>
        <w:t xml:space="preserve"> guilty of assault causing bodily harm</w:t>
      </w:r>
      <w:r w:rsidR="00CF2159" w:rsidRPr="00A2621C">
        <w:rPr>
          <w:lang w:val="en-GB"/>
        </w:rPr>
        <w:t>.</w:t>
      </w:r>
      <w:r w:rsidR="00CF2159">
        <w:rPr>
          <w:lang w:val="en-GB"/>
        </w:rPr>
        <w:t xml:space="preserve"> Appeal</w:t>
      </w:r>
      <w:r w:rsidR="000920F7">
        <w:rPr>
          <w:lang w:val="en-GB"/>
        </w:rPr>
        <w:t xml:space="preserve"> dismissed.</w:t>
      </w:r>
    </w:p>
    <w:p w:rsidR="00656313" w:rsidRDefault="00656313" w:rsidP="00445A49">
      <w:pPr>
        <w:pStyle w:val="SCCNormalDoubleSpacing"/>
        <w:widowControl w:val="0"/>
      </w:pPr>
    </w:p>
    <w:p w:rsidR="006B54AA" w:rsidRDefault="00C95A6C" w:rsidP="00445A49">
      <w:pPr>
        <w:pStyle w:val="SCCNormalDoubleSpacing"/>
        <w:widowControl w:val="0"/>
      </w:pPr>
      <w:r>
        <w:rPr>
          <w:rStyle w:val="SCCCounselNameChar"/>
        </w:rPr>
        <w:tab/>
        <w:t>Jean-Marc Fradette</w:t>
      </w:r>
      <w:r>
        <w:rPr>
          <w:rStyle w:val="SCCCounselSeparatorChar"/>
        </w:rPr>
        <w:t xml:space="preserve"> and </w:t>
      </w:r>
      <w:r>
        <w:rPr>
          <w:rStyle w:val="SCCCounselNameChar"/>
        </w:rPr>
        <w:t>Roseline Bouchard-Zee</w:t>
      </w:r>
      <w:r>
        <w:rPr>
          <w:rStyle w:val="SCCCounselPartyRoleChar"/>
        </w:rPr>
        <w:t>, for the appellant</w:t>
      </w:r>
      <w:r w:rsidR="00373E6F">
        <w:rPr>
          <w:rStyle w:val="SCCCounselPartyRoleChar"/>
        </w:rPr>
        <w:t>s</w:t>
      </w:r>
      <w:r>
        <w:rPr>
          <w:rStyle w:val="SCCCounselPartyRoleChar"/>
        </w:rPr>
        <w:t>.</w:t>
      </w:r>
    </w:p>
    <w:p w:rsidR="006B54AA" w:rsidRDefault="006B54AA" w:rsidP="00445A49">
      <w:pPr>
        <w:pStyle w:val="SCCNormalDoubleSpacing"/>
        <w:widowControl w:val="0"/>
      </w:pPr>
    </w:p>
    <w:p w:rsidR="006B54AA" w:rsidRPr="00417910" w:rsidRDefault="00C95A6C" w:rsidP="00445A49">
      <w:pPr>
        <w:pStyle w:val="SCCNormalDoubleSpacing"/>
        <w:widowControl w:val="0"/>
        <w:rPr>
          <w:lang w:val="en-US"/>
        </w:rPr>
      </w:pPr>
      <w:r>
        <w:rPr>
          <w:rStyle w:val="SCCCounselNameChar"/>
        </w:rPr>
        <w:tab/>
      </w:r>
      <w:r w:rsidRPr="00417910">
        <w:rPr>
          <w:rStyle w:val="SCCCounselNameChar"/>
          <w:lang w:val="en-US"/>
        </w:rPr>
        <w:t>Régis Boisvert</w:t>
      </w:r>
      <w:r w:rsidR="00417910">
        <w:rPr>
          <w:rStyle w:val="SCCCounselNameChar"/>
          <w:i w:val="0"/>
          <w:lang w:val="en-US"/>
        </w:rPr>
        <w:t xml:space="preserve">, </w:t>
      </w:r>
      <w:r w:rsidR="00E73249" w:rsidRPr="00417910">
        <w:rPr>
          <w:rStyle w:val="SCCCounselNameChar"/>
          <w:lang w:val="en-US"/>
        </w:rPr>
        <w:t>Jean-Philippe Robitaille</w:t>
      </w:r>
      <w:r w:rsidR="00417910">
        <w:rPr>
          <w:rStyle w:val="SCCCounselNameChar"/>
          <w:i w:val="0"/>
          <w:lang w:val="en-US"/>
        </w:rPr>
        <w:t xml:space="preserve"> and </w:t>
      </w:r>
      <w:r w:rsidR="00417910">
        <w:rPr>
          <w:rStyle w:val="SCCCounselNameChar"/>
          <w:lang w:val="en-US"/>
        </w:rPr>
        <w:t>S</w:t>
      </w:r>
      <w:r w:rsidR="00417910" w:rsidRPr="00817724">
        <w:rPr>
          <w:rStyle w:val="SCCCounselNameChar"/>
          <w:lang w:val="en-US"/>
        </w:rPr>
        <w:t>ébastien Bergeron-Guyard</w:t>
      </w:r>
      <w:r w:rsidRPr="00417910">
        <w:rPr>
          <w:rStyle w:val="SCCCounselPartyRoleChar"/>
          <w:lang w:val="en-US"/>
        </w:rPr>
        <w:t>, for the respondent.</w:t>
      </w:r>
    </w:p>
    <w:p w:rsidR="006B54AA" w:rsidRPr="00417910" w:rsidRDefault="006B54AA" w:rsidP="00445A49">
      <w:pPr>
        <w:pStyle w:val="SCCNormalDoubleSpacing"/>
        <w:widowControl w:val="0"/>
        <w:rPr>
          <w:lang w:val="en-US"/>
        </w:rPr>
      </w:pPr>
    </w:p>
    <w:p w:rsidR="00373E6F" w:rsidRPr="00E73249" w:rsidRDefault="00E73249" w:rsidP="00445A49">
      <w:pPr>
        <w:pStyle w:val="SCCNormalDoubleSpacing"/>
        <w:widowControl w:val="0"/>
        <w:rPr>
          <w:lang w:val="en-US"/>
        </w:rPr>
      </w:pPr>
      <w:r w:rsidRPr="00417910">
        <w:rPr>
          <w:lang w:val="en-US"/>
        </w:rPr>
        <w:tab/>
      </w:r>
      <w:r w:rsidRPr="00E73249">
        <w:rPr>
          <w:lang w:val="en-US"/>
        </w:rPr>
        <w:t>English ver</w:t>
      </w:r>
      <w:r>
        <w:rPr>
          <w:lang w:val="en-US"/>
        </w:rPr>
        <w:t>s</w:t>
      </w:r>
      <w:r w:rsidRPr="00E73249">
        <w:rPr>
          <w:lang w:val="en-US"/>
        </w:rPr>
        <w:t xml:space="preserve">ion of </w:t>
      </w:r>
      <w:r>
        <w:rPr>
          <w:lang w:val="en-US"/>
        </w:rPr>
        <w:t>t</w:t>
      </w:r>
      <w:r w:rsidRPr="00E73249">
        <w:rPr>
          <w:lang w:val="en-US"/>
        </w:rPr>
        <w:t>he judgmen</w:t>
      </w:r>
      <w:r>
        <w:rPr>
          <w:lang w:val="en-US"/>
        </w:rPr>
        <w:t>t of the Court delivered</w:t>
      </w:r>
      <w:r w:rsidRPr="00E73249">
        <w:rPr>
          <w:lang w:val="en-US"/>
        </w:rPr>
        <w:t xml:space="preserve"> orally by</w:t>
      </w:r>
    </w:p>
    <w:p w:rsidR="00E73249" w:rsidRPr="00482437" w:rsidRDefault="00E73249" w:rsidP="00445A49">
      <w:pPr>
        <w:pStyle w:val="ParaNoNdepar-AltN"/>
        <w:widowControl w:val="0"/>
        <w:numPr>
          <w:ilvl w:val="0"/>
          <w:numId w:val="2"/>
        </w:numPr>
        <w:tabs>
          <w:tab w:val="num" w:pos="1152"/>
        </w:tabs>
        <w:ind w:left="0" w:firstLine="0"/>
      </w:pPr>
      <w:r w:rsidRPr="00355675">
        <w:rPr>
          <w:smallCaps/>
        </w:rPr>
        <w:t>The Chief Justice</w:t>
      </w:r>
      <w:r w:rsidRPr="00937379">
        <w:t xml:space="preserve"> —</w:t>
      </w:r>
      <w:r>
        <w:t xml:space="preserve"> </w:t>
      </w:r>
      <w:r w:rsidRPr="00482437">
        <w:t xml:space="preserve">The </w:t>
      </w:r>
      <w:r w:rsidRPr="00355675">
        <w:rPr>
          <w:lang w:val="en-US"/>
        </w:rPr>
        <w:t>defence</w:t>
      </w:r>
      <w:r w:rsidRPr="00482437">
        <w:t xml:space="preserve"> of officially induced error of law is intended to protect a diligent person who first questions a government authority about the interpretation of legislation so as to be sure to comply with it and then is pr</w:t>
      </w:r>
      <w:r>
        <w:t xml:space="preserve">osecuted by the same government </w:t>
      </w:r>
      <w:r w:rsidRPr="00482437">
        <w:t>for acting in accordance with the interpretation the authority gave him or her.</w:t>
      </w:r>
    </w:p>
    <w:p w:rsidR="00E73249" w:rsidRPr="00482437" w:rsidRDefault="00E73249" w:rsidP="00445A49">
      <w:pPr>
        <w:pStyle w:val="ParaNoNdepar-AltN"/>
        <w:widowControl w:val="0"/>
        <w:numPr>
          <w:ilvl w:val="0"/>
          <w:numId w:val="2"/>
        </w:numPr>
        <w:tabs>
          <w:tab w:val="num" w:pos="1152"/>
        </w:tabs>
        <w:ind w:left="0" w:firstLine="0"/>
        <w:rPr>
          <w:rFonts w:cs="Times New Roman"/>
        </w:rPr>
      </w:pPr>
      <w:r w:rsidRPr="00482437">
        <w:rPr>
          <w:rFonts w:cs="Times New Roman"/>
        </w:rPr>
        <w:lastRenderedPageBreak/>
        <w:t xml:space="preserve">We have </w:t>
      </w:r>
      <w:r w:rsidRPr="00355675">
        <w:t>serious</w:t>
      </w:r>
      <w:r w:rsidRPr="00482437">
        <w:rPr>
          <w:rFonts w:cs="Times New Roman"/>
        </w:rPr>
        <w:t xml:space="preserve"> reservations about the very possibility of a government official raising the defence of officially induced error of law in relation to the performance of his or her duties.</w:t>
      </w:r>
    </w:p>
    <w:p w:rsidR="00E73249" w:rsidRPr="00482437" w:rsidRDefault="00E73249" w:rsidP="00445A49">
      <w:pPr>
        <w:pStyle w:val="ParaNoNdepar-AltN"/>
        <w:widowControl w:val="0"/>
        <w:numPr>
          <w:ilvl w:val="0"/>
          <w:numId w:val="2"/>
        </w:numPr>
        <w:tabs>
          <w:tab w:val="num" w:pos="1152"/>
        </w:tabs>
        <w:ind w:left="0" w:firstLine="0"/>
        <w:rPr>
          <w:rFonts w:cs="Times New Roman"/>
        </w:rPr>
      </w:pPr>
      <w:r w:rsidRPr="00355675">
        <w:rPr>
          <w:smallCaps/>
        </w:rPr>
        <w:t>T</w:t>
      </w:r>
      <w:r w:rsidRPr="00355675">
        <w:t>his</w:t>
      </w:r>
      <w:r w:rsidRPr="00482437">
        <w:rPr>
          <w:rFonts w:cs="Times New Roman"/>
        </w:rPr>
        <w:t xml:space="preserve"> being said, we all agree that the </w:t>
      </w:r>
      <w:r w:rsidRPr="00417910">
        <w:rPr>
          <w:lang w:val="en-US"/>
        </w:rPr>
        <w:t>conditions</w:t>
      </w:r>
      <w:r w:rsidRPr="00482437">
        <w:rPr>
          <w:rFonts w:cs="Times New Roman"/>
        </w:rPr>
        <w:t xml:space="preserve"> under which this defence is available are not met here: see </w:t>
      </w:r>
      <w:r w:rsidRPr="00482437">
        <w:rPr>
          <w:rFonts w:cs="Times New Roman"/>
          <w:i/>
        </w:rPr>
        <w:t>Lévis</w:t>
      </w:r>
      <w:r>
        <w:rPr>
          <w:rFonts w:cs="Times New Roman"/>
          <w:i/>
        </w:rPr>
        <w:t xml:space="preserve"> (City) v. Tétreault</w:t>
      </w:r>
      <w:r>
        <w:rPr>
          <w:rFonts w:cs="Times New Roman"/>
        </w:rPr>
        <w:t xml:space="preserve">, </w:t>
      </w:r>
      <w:r w:rsidRPr="0066603D">
        <w:rPr>
          <w:rFonts w:cs="Times New Roman"/>
        </w:rPr>
        <w:t>2006 SCC 12</w:t>
      </w:r>
      <w:r>
        <w:rPr>
          <w:rFonts w:cs="Times New Roman"/>
        </w:rPr>
        <w:t>, [2006] 1 S.C.R. 420</w:t>
      </w:r>
      <w:r w:rsidRPr="0066603D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482437">
        <w:rPr>
          <w:rFonts w:cs="Times New Roman"/>
        </w:rPr>
        <w:t>In particular, considered objectively, the third and fourth conditions — that the advice obtained came from an appropriate official and that the advice was reasonable — are not satisfied.</w:t>
      </w:r>
    </w:p>
    <w:p w:rsidR="00E73249" w:rsidRPr="00937379" w:rsidRDefault="00E73249" w:rsidP="00445A49">
      <w:pPr>
        <w:pStyle w:val="ParaNoNdepar-AltN"/>
        <w:widowControl w:val="0"/>
        <w:numPr>
          <w:ilvl w:val="0"/>
          <w:numId w:val="2"/>
        </w:numPr>
        <w:tabs>
          <w:tab w:val="num" w:pos="1152"/>
        </w:tabs>
        <w:ind w:left="0" w:firstLine="0"/>
      </w:pPr>
      <w:r w:rsidRPr="00355675">
        <w:rPr>
          <w:smallCaps/>
        </w:rPr>
        <w:t>F</w:t>
      </w:r>
      <w:r w:rsidRPr="00355675">
        <w:t>or</w:t>
      </w:r>
      <w:r w:rsidRPr="00355675">
        <w:rPr>
          <w:rFonts w:cs="Times New Roman"/>
        </w:rPr>
        <w:t xml:space="preserve"> </w:t>
      </w:r>
      <w:r w:rsidRPr="00482437">
        <w:rPr>
          <w:rFonts w:cs="Times New Roman"/>
        </w:rPr>
        <w:t xml:space="preserve">these reasons, the appeal is </w:t>
      </w:r>
      <w:r w:rsidRPr="00417910">
        <w:rPr>
          <w:lang w:val="en-US"/>
        </w:rPr>
        <w:t>dismissed</w:t>
      </w:r>
      <w:r w:rsidRPr="00482437">
        <w:rPr>
          <w:rFonts w:cs="Times New Roman"/>
        </w:rPr>
        <w:t>.</w:t>
      </w:r>
    </w:p>
    <w:p w:rsidR="009B57B3" w:rsidRPr="00417910" w:rsidRDefault="009B57B3" w:rsidP="00445A49">
      <w:pPr>
        <w:pStyle w:val="SCCNormalDoubleSpacing"/>
        <w:widowControl w:val="0"/>
        <w:rPr>
          <w:i/>
          <w:lang w:val="en-US"/>
        </w:rPr>
      </w:pPr>
      <w:r w:rsidRPr="00E73249">
        <w:rPr>
          <w:lang w:val="en-US"/>
        </w:rPr>
        <w:tab/>
      </w:r>
      <w:r w:rsidR="00E73249" w:rsidRPr="00417910">
        <w:rPr>
          <w:i/>
          <w:lang w:val="en-US"/>
        </w:rPr>
        <w:t>Judgment accordingly.</w:t>
      </w:r>
    </w:p>
    <w:p w:rsidR="00A149DF" w:rsidRPr="00417910" w:rsidRDefault="00A149DF" w:rsidP="00445A49">
      <w:pPr>
        <w:pStyle w:val="SCCNormalDoubleSpacing"/>
        <w:widowControl w:val="0"/>
        <w:rPr>
          <w:lang w:val="en-US"/>
        </w:rPr>
      </w:pPr>
    </w:p>
    <w:p w:rsidR="006B54AA" w:rsidRDefault="00C95A6C" w:rsidP="00445A49">
      <w:pPr>
        <w:pStyle w:val="SCCLawFirm"/>
        <w:widowControl w:val="0"/>
      </w:pPr>
      <w:r w:rsidRPr="00417910">
        <w:rPr>
          <w:lang w:val="en-US"/>
        </w:rPr>
        <w:tab/>
      </w:r>
      <w:r>
        <w:t>Solicitor</w:t>
      </w:r>
      <w:r w:rsidR="00355675">
        <w:t>s</w:t>
      </w:r>
      <w:r>
        <w:t xml:space="preserve"> for the appellant</w:t>
      </w:r>
      <w:r w:rsidR="00355675">
        <w:t>s</w:t>
      </w:r>
      <w:r>
        <w:t>:  Fradette &amp; Le Bel, Chicoutimi.</w:t>
      </w:r>
    </w:p>
    <w:p w:rsidR="006B54AA" w:rsidRDefault="006B54AA" w:rsidP="00445A49">
      <w:pPr>
        <w:pStyle w:val="SCCLawFirm"/>
        <w:widowControl w:val="0"/>
      </w:pPr>
    </w:p>
    <w:p w:rsidR="006B54AA" w:rsidRPr="00355675" w:rsidRDefault="00C95A6C" w:rsidP="00445A49">
      <w:pPr>
        <w:pStyle w:val="SCCLawFirm"/>
        <w:widowControl w:val="0"/>
        <w:rPr>
          <w:lang w:val="en-US"/>
        </w:rPr>
      </w:pPr>
      <w:r>
        <w:tab/>
      </w:r>
      <w:r w:rsidRPr="00355675">
        <w:rPr>
          <w:lang w:val="en-US"/>
        </w:rPr>
        <w:t>Solicitor</w:t>
      </w:r>
      <w:r w:rsidR="00355675" w:rsidRPr="00355675">
        <w:rPr>
          <w:lang w:val="en-US"/>
        </w:rPr>
        <w:t xml:space="preserve"> </w:t>
      </w:r>
      <w:r w:rsidRPr="00355675">
        <w:rPr>
          <w:lang w:val="en-US"/>
        </w:rPr>
        <w:t xml:space="preserve">for the respondent:  </w:t>
      </w:r>
      <w:r w:rsidR="00417910">
        <w:rPr>
          <w:lang w:val="en-US"/>
        </w:rPr>
        <w:t>Director of Criminal and Penal Prosecutions</w:t>
      </w:r>
      <w:r w:rsidRPr="00355675">
        <w:rPr>
          <w:lang w:val="en-US"/>
        </w:rPr>
        <w:t>, Québec.</w:t>
      </w:r>
    </w:p>
    <w:sectPr w:rsidR="006B54AA" w:rsidRPr="00355675" w:rsidSect="000648CC">
      <w:headerReference w:type="default" r:id="rId9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35" w:rsidRDefault="00AE4535">
      <w:r>
        <w:separator/>
      </w:r>
    </w:p>
  </w:endnote>
  <w:endnote w:type="continuationSeparator" w:id="0">
    <w:p w:rsidR="00AE4535" w:rsidRDefault="00AE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35" w:rsidRDefault="00AE4535">
      <w:r>
        <w:separator/>
      </w:r>
    </w:p>
  </w:footnote>
  <w:footnote w:type="continuationSeparator" w:id="0">
    <w:p w:rsidR="00AE4535" w:rsidRDefault="00AE4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FCE"/>
    <w:multiLevelType w:val="hybridMultilevel"/>
    <w:tmpl w:val="F3AEE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D7C87"/>
    <w:multiLevelType w:val="hybridMultilevel"/>
    <w:tmpl w:val="F538F486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5198"/>
    <w:rsid w:val="00026D09"/>
    <w:rsid w:val="000578A3"/>
    <w:rsid w:val="000648CC"/>
    <w:rsid w:val="000920F7"/>
    <w:rsid w:val="000C59B8"/>
    <w:rsid w:val="000C6AF0"/>
    <w:rsid w:val="00104F33"/>
    <w:rsid w:val="0010750E"/>
    <w:rsid w:val="00111DE2"/>
    <w:rsid w:val="00116B38"/>
    <w:rsid w:val="001313FE"/>
    <w:rsid w:val="00135406"/>
    <w:rsid w:val="00135972"/>
    <w:rsid w:val="001426A9"/>
    <w:rsid w:val="00154D7C"/>
    <w:rsid w:val="0015503D"/>
    <w:rsid w:val="001570B0"/>
    <w:rsid w:val="0015752C"/>
    <w:rsid w:val="00157737"/>
    <w:rsid w:val="00165277"/>
    <w:rsid w:val="00170592"/>
    <w:rsid w:val="00186351"/>
    <w:rsid w:val="00195D83"/>
    <w:rsid w:val="001A00C1"/>
    <w:rsid w:val="001B33E0"/>
    <w:rsid w:val="001B4573"/>
    <w:rsid w:val="001C779F"/>
    <w:rsid w:val="001D2AC1"/>
    <w:rsid w:val="001D4E88"/>
    <w:rsid w:val="001E0DBB"/>
    <w:rsid w:val="00201D49"/>
    <w:rsid w:val="00220FC2"/>
    <w:rsid w:val="002222F4"/>
    <w:rsid w:val="00224FC0"/>
    <w:rsid w:val="00225EA4"/>
    <w:rsid w:val="00226EAF"/>
    <w:rsid w:val="00231F3A"/>
    <w:rsid w:val="00234199"/>
    <w:rsid w:val="002406EE"/>
    <w:rsid w:val="00243EC8"/>
    <w:rsid w:val="00270D93"/>
    <w:rsid w:val="002745CC"/>
    <w:rsid w:val="002843A0"/>
    <w:rsid w:val="002B7924"/>
    <w:rsid w:val="002D28C3"/>
    <w:rsid w:val="002D39A4"/>
    <w:rsid w:val="002E6705"/>
    <w:rsid w:val="00301D08"/>
    <w:rsid w:val="0030329A"/>
    <w:rsid w:val="0031086F"/>
    <w:rsid w:val="0031414C"/>
    <w:rsid w:val="00314E01"/>
    <w:rsid w:val="0032089D"/>
    <w:rsid w:val="003310DE"/>
    <w:rsid w:val="003323B0"/>
    <w:rsid w:val="0035169A"/>
    <w:rsid w:val="0035259D"/>
    <w:rsid w:val="00355675"/>
    <w:rsid w:val="00364B18"/>
    <w:rsid w:val="00373E6F"/>
    <w:rsid w:val="00392E2A"/>
    <w:rsid w:val="003A125D"/>
    <w:rsid w:val="003A4C70"/>
    <w:rsid w:val="003B215F"/>
    <w:rsid w:val="003C799C"/>
    <w:rsid w:val="003D0399"/>
    <w:rsid w:val="003E1C71"/>
    <w:rsid w:val="003F327B"/>
    <w:rsid w:val="00406166"/>
    <w:rsid w:val="0040704B"/>
    <w:rsid w:val="00410A55"/>
    <w:rsid w:val="00411300"/>
    <w:rsid w:val="00415417"/>
    <w:rsid w:val="00417910"/>
    <w:rsid w:val="00426659"/>
    <w:rsid w:val="00445A49"/>
    <w:rsid w:val="00450352"/>
    <w:rsid w:val="00454BDB"/>
    <w:rsid w:val="00461D20"/>
    <w:rsid w:val="00464800"/>
    <w:rsid w:val="00465132"/>
    <w:rsid w:val="00480C90"/>
    <w:rsid w:val="0048396F"/>
    <w:rsid w:val="00493C18"/>
    <w:rsid w:val="00496AED"/>
    <w:rsid w:val="004A600C"/>
    <w:rsid w:val="004A6118"/>
    <w:rsid w:val="004C478D"/>
    <w:rsid w:val="004E2C26"/>
    <w:rsid w:val="004F36FF"/>
    <w:rsid w:val="005125A8"/>
    <w:rsid w:val="00521AE8"/>
    <w:rsid w:val="00527180"/>
    <w:rsid w:val="0054201E"/>
    <w:rsid w:val="00555291"/>
    <w:rsid w:val="00566AD1"/>
    <w:rsid w:val="00583EDE"/>
    <w:rsid w:val="005A6079"/>
    <w:rsid w:val="005E4698"/>
    <w:rsid w:val="00610539"/>
    <w:rsid w:val="00613969"/>
    <w:rsid w:val="00625C35"/>
    <w:rsid w:val="00656313"/>
    <w:rsid w:val="006565F4"/>
    <w:rsid w:val="00682DCC"/>
    <w:rsid w:val="00684EEA"/>
    <w:rsid w:val="0069689B"/>
    <w:rsid w:val="006A1551"/>
    <w:rsid w:val="006B54AA"/>
    <w:rsid w:val="006B5FF5"/>
    <w:rsid w:val="006F30AF"/>
    <w:rsid w:val="00701759"/>
    <w:rsid w:val="00705C15"/>
    <w:rsid w:val="0071600E"/>
    <w:rsid w:val="007208D1"/>
    <w:rsid w:val="00747288"/>
    <w:rsid w:val="00747DD3"/>
    <w:rsid w:val="007549C8"/>
    <w:rsid w:val="00754A0B"/>
    <w:rsid w:val="00766D14"/>
    <w:rsid w:val="00767A0F"/>
    <w:rsid w:val="0078002D"/>
    <w:rsid w:val="007A05F6"/>
    <w:rsid w:val="007B435E"/>
    <w:rsid w:val="007B6F4A"/>
    <w:rsid w:val="007E1C47"/>
    <w:rsid w:val="007E337A"/>
    <w:rsid w:val="007E59A3"/>
    <w:rsid w:val="007E5C70"/>
    <w:rsid w:val="007F2FF5"/>
    <w:rsid w:val="007F3F08"/>
    <w:rsid w:val="00804CC6"/>
    <w:rsid w:val="00807594"/>
    <w:rsid w:val="00817190"/>
    <w:rsid w:val="00817724"/>
    <w:rsid w:val="00820EE5"/>
    <w:rsid w:val="008260E2"/>
    <w:rsid w:val="008322BD"/>
    <w:rsid w:val="00833E0A"/>
    <w:rsid w:val="00834F73"/>
    <w:rsid w:val="00864CF8"/>
    <w:rsid w:val="00872819"/>
    <w:rsid w:val="00874914"/>
    <w:rsid w:val="00891422"/>
    <w:rsid w:val="00892E1A"/>
    <w:rsid w:val="008A3F29"/>
    <w:rsid w:val="008B660A"/>
    <w:rsid w:val="008C01DA"/>
    <w:rsid w:val="008F78E9"/>
    <w:rsid w:val="00911989"/>
    <w:rsid w:val="009179F9"/>
    <w:rsid w:val="00933E5E"/>
    <w:rsid w:val="00935218"/>
    <w:rsid w:val="009403F3"/>
    <w:rsid w:val="009555B7"/>
    <w:rsid w:val="009567AA"/>
    <w:rsid w:val="00967374"/>
    <w:rsid w:val="009A343A"/>
    <w:rsid w:val="009B2F23"/>
    <w:rsid w:val="009B57B3"/>
    <w:rsid w:val="009C5B92"/>
    <w:rsid w:val="009D2920"/>
    <w:rsid w:val="009D5AEB"/>
    <w:rsid w:val="009F0E33"/>
    <w:rsid w:val="00A030CE"/>
    <w:rsid w:val="00A149DF"/>
    <w:rsid w:val="00A1755C"/>
    <w:rsid w:val="00A21B90"/>
    <w:rsid w:val="00A2621C"/>
    <w:rsid w:val="00A41805"/>
    <w:rsid w:val="00A42DCD"/>
    <w:rsid w:val="00A52AFB"/>
    <w:rsid w:val="00A548CB"/>
    <w:rsid w:val="00A5521C"/>
    <w:rsid w:val="00A643E7"/>
    <w:rsid w:val="00A73C38"/>
    <w:rsid w:val="00AB670D"/>
    <w:rsid w:val="00AE4535"/>
    <w:rsid w:val="00AF03C5"/>
    <w:rsid w:val="00B000D8"/>
    <w:rsid w:val="00B00F75"/>
    <w:rsid w:val="00B145B6"/>
    <w:rsid w:val="00B279EB"/>
    <w:rsid w:val="00B50C81"/>
    <w:rsid w:val="00B557F8"/>
    <w:rsid w:val="00B815FC"/>
    <w:rsid w:val="00B93FBC"/>
    <w:rsid w:val="00BA7DA0"/>
    <w:rsid w:val="00BB2EE4"/>
    <w:rsid w:val="00BC2108"/>
    <w:rsid w:val="00BD0E9E"/>
    <w:rsid w:val="00BD1BEC"/>
    <w:rsid w:val="00BD32FF"/>
    <w:rsid w:val="00C02092"/>
    <w:rsid w:val="00C24D91"/>
    <w:rsid w:val="00C53F14"/>
    <w:rsid w:val="00C600CF"/>
    <w:rsid w:val="00C6084F"/>
    <w:rsid w:val="00C62A66"/>
    <w:rsid w:val="00C71458"/>
    <w:rsid w:val="00C77613"/>
    <w:rsid w:val="00C828E7"/>
    <w:rsid w:val="00C84BC5"/>
    <w:rsid w:val="00C86719"/>
    <w:rsid w:val="00C921DD"/>
    <w:rsid w:val="00C95A6C"/>
    <w:rsid w:val="00CA6391"/>
    <w:rsid w:val="00CC2019"/>
    <w:rsid w:val="00CC34BD"/>
    <w:rsid w:val="00CC3621"/>
    <w:rsid w:val="00CE161A"/>
    <w:rsid w:val="00CE3171"/>
    <w:rsid w:val="00CF1601"/>
    <w:rsid w:val="00CF2159"/>
    <w:rsid w:val="00D0172F"/>
    <w:rsid w:val="00D068A7"/>
    <w:rsid w:val="00D17476"/>
    <w:rsid w:val="00D32086"/>
    <w:rsid w:val="00D37A3F"/>
    <w:rsid w:val="00D4431D"/>
    <w:rsid w:val="00D4667A"/>
    <w:rsid w:val="00D63A1C"/>
    <w:rsid w:val="00D7516F"/>
    <w:rsid w:val="00D8579F"/>
    <w:rsid w:val="00D95F8E"/>
    <w:rsid w:val="00DA0590"/>
    <w:rsid w:val="00DB7BEA"/>
    <w:rsid w:val="00DC1739"/>
    <w:rsid w:val="00DC1788"/>
    <w:rsid w:val="00DE319C"/>
    <w:rsid w:val="00DF0CA8"/>
    <w:rsid w:val="00DF2B48"/>
    <w:rsid w:val="00DF49A7"/>
    <w:rsid w:val="00E07EE2"/>
    <w:rsid w:val="00E07FD1"/>
    <w:rsid w:val="00E176D8"/>
    <w:rsid w:val="00E24573"/>
    <w:rsid w:val="00E25E1E"/>
    <w:rsid w:val="00E27EE7"/>
    <w:rsid w:val="00E35404"/>
    <w:rsid w:val="00E45109"/>
    <w:rsid w:val="00E47B7A"/>
    <w:rsid w:val="00E56A44"/>
    <w:rsid w:val="00E60269"/>
    <w:rsid w:val="00E73249"/>
    <w:rsid w:val="00E77932"/>
    <w:rsid w:val="00E97830"/>
    <w:rsid w:val="00EE643C"/>
    <w:rsid w:val="00EF0683"/>
    <w:rsid w:val="00EF69D2"/>
    <w:rsid w:val="00EF766E"/>
    <w:rsid w:val="00F0070C"/>
    <w:rsid w:val="00F00EB7"/>
    <w:rsid w:val="00F36AB6"/>
    <w:rsid w:val="00F37A09"/>
    <w:rsid w:val="00F409CE"/>
    <w:rsid w:val="00F4379D"/>
    <w:rsid w:val="00F50D2D"/>
    <w:rsid w:val="00F56C8B"/>
    <w:rsid w:val="00F66810"/>
    <w:rsid w:val="00F833EF"/>
    <w:rsid w:val="00F846D9"/>
    <w:rsid w:val="00F84DF4"/>
    <w:rsid w:val="00F85C97"/>
    <w:rsid w:val="00FB37D2"/>
    <w:rsid w:val="00FC4EFB"/>
    <w:rsid w:val="00FD068D"/>
    <w:rsid w:val="00FD4F28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paragraph" w:styleId="ListParagraph">
    <w:name w:val="List Paragraph"/>
    <w:basedOn w:val="Normal"/>
    <w:uiPriority w:val="34"/>
    <w:qFormat/>
    <w:rsid w:val="00355675"/>
    <w:pPr>
      <w:ind w:left="720"/>
      <w:contextualSpacing/>
    </w:pPr>
  </w:style>
  <w:style w:type="paragraph" w:customStyle="1" w:styleId="ParaNoNdepar-AltN">
    <w:name w:val="Para. No. / Nº de par. - Alt N"/>
    <w:link w:val="ParaNoNdepar-AltNChar"/>
    <w:qFormat/>
    <w:rsid w:val="00355675"/>
    <w:p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character" w:customStyle="1" w:styleId="ParaNoNdepar-AltNChar">
    <w:name w:val="Para. No. / Nº de par. - Alt N Char"/>
    <w:basedOn w:val="DefaultParagraphFont"/>
    <w:link w:val="ParaNoNdepar-AltN"/>
    <w:locked/>
    <w:rsid w:val="00355675"/>
    <w:rPr>
      <w:rFonts w:eastAsiaTheme="minorEastAsia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15503D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15503D"/>
    <w:rPr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15503D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15503D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2017-01-24T16:13:00Z</dcterms:created>
  <dcterms:modified xsi:type="dcterms:W3CDTF">2017-10-18T12:21:00Z</dcterms:modified>
</cp:coreProperties>
</file>