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D6" w:rsidRDefault="00C06CD6" w:rsidP="00C06CD6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8" o:title=""/>
          </v:shape>
          <o:OLEObject Type="Embed" ProgID="Presentations.Drawing.13" ShapeID="_x0000_i1025" DrawAspect="Content" ObjectID="_1569826457" r:id="rId9"/>
        </w:object>
      </w:r>
      <w:r>
        <w:t xml:space="preserve"> </w:t>
      </w:r>
      <w:r>
        <w:ptab w:relativeTo="margin" w:alignment="right" w:leader="none"/>
      </w:r>
    </w:p>
    <w:p w:rsidR="00C06CD6" w:rsidRDefault="00C06CD6" w:rsidP="00C06CD6">
      <w:pPr>
        <w:pStyle w:val="Header"/>
      </w:pPr>
    </w:p>
    <w:p w:rsidR="00C06CD6" w:rsidRPr="006B210C" w:rsidRDefault="00C06CD6" w:rsidP="00C06CD6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C06CD6" w:rsidRDefault="00C06CD6" w:rsidP="00C06CD6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C06CD6" w:rsidRPr="006B210C" w:rsidTr="00420D28">
        <w:trPr>
          <w:cantSplit/>
        </w:trPr>
        <w:tc>
          <w:tcPr>
            <w:tcW w:w="5670" w:type="dxa"/>
          </w:tcPr>
          <w:p w:rsidR="00C06CD6" w:rsidRPr="006B210C" w:rsidRDefault="00C06CD6" w:rsidP="00420D28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Pr="005D4B83">
              <w:t xml:space="preserve">R. </w:t>
            </w:r>
            <w:r w:rsidRPr="005D4B83">
              <w:rPr>
                <w:i/>
              </w:rPr>
              <w:t>v.</w:t>
            </w:r>
            <w:r w:rsidRPr="005D4B83">
              <w:t xml:space="preserve"> </w:t>
            </w:r>
            <w:r>
              <w:t xml:space="preserve">Clifford, 2017 </w:t>
            </w:r>
            <w:r w:rsidRPr="00C02092">
              <w:t>SCC</w:t>
            </w:r>
            <w:r>
              <w:t xml:space="preserve"> 9, [2017] 1 S.C.R. 164</w:t>
            </w:r>
          </w:p>
        </w:tc>
        <w:tc>
          <w:tcPr>
            <w:tcW w:w="3960" w:type="dxa"/>
          </w:tcPr>
          <w:p w:rsidR="00C06CD6" w:rsidRDefault="00C06CD6" w:rsidP="00420D28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17, 2017</w:t>
            </w:r>
          </w:p>
          <w:p w:rsidR="00C06CD6" w:rsidRPr="006B210C" w:rsidRDefault="00C06CD6" w:rsidP="00420D28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February 17, 2017</w:t>
            </w:r>
          </w:p>
          <w:p w:rsidR="00C06CD6" w:rsidRPr="006B210C" w:rsidRDefault="00C06CD6" w:rsidP="00420D28">
            <w:r w:rsidRPr="005D4B83">
              <w:rPr>
                <w:b/>
                <w:smallCaps/>
              </w:rPr>
              <w:t>Docket:</w:t>
            </w:r>
            <w:r>
              <w:t xml:space="preserve"> 37140</w:t>
            </w:r>
          </w:p>
        </w:tc>
      </w:tr>
    </w:tbl>
    <w:p w:rsidR="00C06CD6" w:rsidRPr="006B210C" w:rsidRDefault="00C06CD6" w:rsidP="00C06CD6"/>
    <w:p w:rsidR="00C06CD6" w:rsidRDefault="00C06CD6" w:rsidP="00C06CD6">
      <w:pPr>
        <w:pStyle w:val="SCCLsocPrefix"/>
      </w:pPr>
      <w:r>
        <w:t>Between:</w:t>
      </w:r>
    </w:p>
    <w:p w:rsidR="00C06CD6" w:rsidRPr="00D27C4B" w:rsidRDefault="00C06CD6" w:rsidP="00C06CD6">
      <w:pPr>
        <w:jc w:val="center"/>
        <w:rPr>
          <w:b/>
        </w:rPr>
      </w:pPr>
      <w:r w:rsidRPr="00D27C4B">
        <w:rPr>
          <w:b/>
        </w:rPr>
        <w:t>William Scott Clifford</w:t>
      </w:r>
    </w:p>
    <w:p w:rsidR="00C06CD6" w:rsidRDefault="00C06CD6" w:rsidP="00C06CD6">
      <w:pPr>
        <w:jc w:val="center"/>
      </w:pPr>
      <w:r>
        <w:t>Appellant</w:t>
      </w:r>
    </w:p>
    <w:p w:rsidR="00C06CD6" w:rsidRPr="00C06CD6" w:rsidRDefault="00C06CD6" w:rsidP="00C06CD6">
      <w:pPr>
        <w:jc w:val="center"/>
      </w:pPr>
    </w:p>
    <w:p w:rsidR="00C06CD6" w:rsidRPr="00C06CD6" w:rsidRDefault="00C06CD6" w:rsidP="00C06CD6">
      <w:pPr>
        <w:pStyle w:val="SCCLsocVersus"/>
        <w:spacing w:after="0"/>
        <w:jc w:val="center"/>
        <w:rPr>
          <w:i w:val="0"/>
        </w:rPr>
      </w:pPr>
      <w:r w:rsidRPr="00C06CD6">
        <w:rPr>
          <w:i w:val="0"/>
        </w:rPr>
        <w:t>and</w:t>
      </w:r>
    </w:p>
    <w:p w:rsidR="00C06CD6" w:rsidRPr="005D4B83" w:rsidRDefault="00C06CD6" w:rsidP="00C06CD6">
      <w:pPr>
        <w:jc w:val="center"/>
      </w:pPr>
    </w:p>
    <w:p w:rsidR="00C06CD6" w:rsidRDefault="00C06CD6" w:rsidP="00C06CD6">
      <w:pPr>
        <w:pStyle w:val="SCCLsocParty"/>
        <w:jc w:val="center"/>
      </w:pPr>
      <w:r>
        <w:t>Her Majesty The Queen</w:t>
      </w:r>
    </w:p>
    <w:p w:rsidR="00C06CD6" w:rsidRDefault="00C06CD6" w:rsidP="00C06CD6">
      <w:pPr>
        <w:jc w:val="center"/>
      </w:pPr>
      <w:r>
        <w:t>Respondent</w:t>
      </w:r>
    </w:p>
    <w:p w:rsidR="00C06CD6" w:rsidRDefault="00C06CD6" w:rsidP="00C06CD6">
      <w:pPr>
        <w:jc w:val="center"/>
      </w:pPr>
    </w:p>
    <w:p w:rsidR="00C06CD6" w:rsidRDefault="00C06CD6" w:rsidP="00C06CD6">
      <w:pPr>
        <w:jc w:val="center"/>
      </w:pPr>
      <w:r>
        <w:t>and</w:t>
      </w:r>
    </w:p>
    <w:p w:rsidR="00C06CD6" w:rsidRDefault="00C06CD6" w:rsidP="00C06CD6">
      <w:pPr>
        <w:jc w:val="center"/>
      </w:pPr>
    </w:p>
    <w:p w:rsidR="00C06CD6" w:rsidRDefault="00C06CD6" w:rsidP="00C06CD6">
      <w:pPr>
        <w:pStyle w:val="SCCLsocParty"/>
        <w:widowControl w:val="0"/>
        <w:jc w:val="center"/>
      </w:pPr>
      <w:r>
        <w:t>Criminal Lawyers’ Association of Ontario and</w:t>
      </w:r>
    </w:p>
    <w:p w:rsidR="00C06CD6" w:rsidRPr="00D27C4B" w:rsidRDefault="00C06CD6" w:rsidP="00C06CD6">
      <w:pPr>
        <w:jc w:val="center"/>
        <w:rPr>
          <w:b/>
        </w:rPr>
      </w:pPr>
      <w:r w:rsidRPr="00D27C4B">
        <w:rPr>
          <w:b/>
        </w:rPr>
        <w:t>Director of Public Prosecutions of Canada</w:t>
      </w:r>
    </w:p>
    <w:p w:rsidR="00C06CD6" w:rsidRPr="007470F5" w:rsidRDefault="00C06CD6" w:rsidP="00C06CD6">
      <w:pPr>
        <w:jc w:val="center"/>
      </w:pPr>
      <w:r>
        <w:t>Interveners</w:t>
      </w:r>
    </w:p>
    <w:p w:rsidR="00C06CD6" w:rsidRPr="007470F5" w:rsidRDefault="00C06CD6" w:rsidP="00C06CD6"/>
    <w:p w:rsidR="00C06CD6" w:rsidRPr="006B210C" w:rsidRDefault="00C06CD6" w:rsidP="00C06CD6"/>
    <w:p w:rsidR="00C06CD6" w:rsidRPr="006B210C" w:rsidRDefault="00C06CD6" w:rsidP="00C06CD6"/>
    <w:p w:rsidR="00C06CD6" w:rsidRPr="006B210C" w:rsidRDefault="00C06CD6" w:rsidP="00C06CD6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Abella, Moldaver, Karakatsanis, Wagner, Côté, Brown and Rowe JJ.</w:t>
      </w:r>
    </w:p>
    <w:p w:rsidR="00C06CD6" w:rsidRPr="006B210C" w:rsidRDefault="00C06CD6" w:rsidP="00C06C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C06CD6" w:rsidRPr="006B210C" w:rsidTr="00420D28">
        <w:trPr>
          <w:cantSplit/>
        </w:trPr>
        <w:tc>
          <w:tcPr>
            <w:tcW w:w="3618" w:type="dxa"/>
          </w:tcPr>
          <w:p w:rsidR="00C06CD6" w:rsidRDefault="00C06CD6" w:rsidP="00420D28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C06CD6" w:rsidRPr="006B210C" w:rsidRDefault="00C06CD6" w:rsidP="00420D28">
            <w:r>
              <w:t>(paras. 1 to 2)</w:t>
            </w:r>
          </w:p>
        </w:tc>
        <w:tc>
          <w:tcPr>
            <w:tcW w:w="5958" w:type="dxa"/>
          </w:tcPr>
          <w:p w:rsidR="00C06CD6" w:rsidRPr="006B210C" w:rsidRDefault="00C06CD6" w:rsidP="00420D28">
            <w:r>
              <w:t>Abella .J. (Moldaver, Karakatsanis, Wagner, Côté, Brown and Rowe JJ. concurring)</w:t>
            </w:r>
          </w:p>
        </w:tc>
      </w:tr>
    </w:tbl>
    <w:p w:rsidR="00C06CD6" w:rsidRDefault="00C06CD6" w:rsidP="00C06CD6"/>
    <w:p w:rsidR="00C06CD6" w:rsidRPr="006B210C" w:rsidRDefault="00C06CD6" w:rsidP="00C06CD6"/>
    <w:p w:rsidR="00C06CD6" w:rsidRPr="006B210C" w:rsidRDefault="00C06CD6" w:rsidP="00C06C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BDDE6" wp14:editId="1D1CB91E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1B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C06CD6" w:rsidRDefault="00C06CD6" w:rsidP="00C06CD6"/>
    <w:p w:rsidR="00C06CD6" w:rsidRDefault="00C06CD6" w:rsidP="000116FE">
      <w:pPr>
        <w:widowControl w:val="0"/>
        <w:spacing w:line="480" w:lineRule="auto"/>
        <w:jc w:val="both"/>
      </w:pPr>
    </w:p>
    <w:p w:rsidR="008322BD" w:rsidRPr="00CF3192" w:rsidRDefault="00CF3192" w:rsidP="000116FE">
      <w:pPr>
        <w:widowControl w:val="0"/>
        <w:spacing w:line="480" w:lineRule="auto"/>
        <w:jc w:val="both"/>
      </w:pPr>
      <w:bookmarkStart w:id="0" w:name="_GoBack"/>
      <w:bookmarkEnd w:id="0"/>
      <w:r>
        <w:t>R</w:t>
      </w:r>
      <w:r w:rsidR="00BA5A0B" w:rsidRPr="00CF3192">
        <w:t>.</w:t>
      </w:r>
      <w:r w:rsidR="00BA5A0B" w:rsidRPr="00CF3192">
        <w:rPr>
          <w:i/>
        </w:rPr>
        <w:t xml:space="preserve"> </w:t>
      </w:r>
      <w:r w:rsidR="009B57B3" w:rsidRPr="00CF3192">
        <w:rPr>
          <w:i/>
        </w:rPr>
        <w:t>v.</w:t>
      </w:r>
      <w:r w:rsidR="00B000D8" w:rsidRPr="00CF3192">
        <w:t xml:space="preserve"> </w:t>
      </w:r>
      <w:r>
        <w:rPr>
          <w:rStyle w:val="SCCRespondentForRunningHeadChar"/>
          <w:smallCaps w:val="0"/>
        </w:rPr>
        <w:t>C</w:t>
      </w:r>
      <w:r w:rsidR="00BA5A0B" w:rsidRPr="00CF3192">
        <w:rPr>
          <w:rStyle w:val="SCCRespondentForRunningHeadChar"/>
          <w:smallCaps w:val="0"/>
        </w:rPr>
        <w:t>lifford</w:t>
      </w:r>
      <w:r>
        <w:rPr>
          <w:rStyle w:val="SCCRespondentForRunningHeadChar"/>
          <w:smallCaps w:val="0"/>
        </w:rPr>
        <w:t xml:space="preserve">, </w:t>
      </w:r>
      <w:r>
        <w:t xml:space="preserve">2017 </w:t>
      </w:r>
      <w:r w:rsidRPr="00C02092">
        <w:t>SCC </w:t>
      </w:r>
      <w:r>
        <w:t>9, [2017] 1 S.C.R. 164</w:t>
      </w:r>
    </w:p>
    <w:p w:rsidR="00766D14" w:rsidRDefault="00766D14" w:rsidP="000116FE">
      <w:pPr>
        <w:widowControl w:val="0"/>
        <w:jc w:val="both"/>
      </w:pPr>
    </w:p>
    <w:p w:rsidR="00A149DF" w:rsidRDefault="00A149DF" w:rsidP="000116FE">
      <w:pPr>
        <w:widowControl w:val="0"/>
        <w:jc w:val="both"/>
      </w:pPr>
    </w:p>
    <w:p w:rsidR="00A149DF" w:rsidRPr="001426A9" w:rsidRDefault="00A149DF" w:rsidP="000116FE">
      <w:pPr>
        <w:widowControl w:val="0"/>
        <w:jc w:val="both"/>
      </w:pPr>
    </w:p>
    <w:p w:rsidR="0099019B" w:rsidRDefault="006731DB" w:rsidP="000116FE">
      <w:pPr>
        <w:pStyle w:val="SCCLsocLastPartyInRole"/>
        <w:widowControl w:val="0"/>
      </w:pPr>
      <w:r>
        <w:t>William Scott Clifford</w:t>
      </w:r>
      <w:r>
        <w:rPr>
          <w:rStyle w:val="SCCLsocPartyRole"/>
        </w:rPr>
        <w:tab/>
        <w:t>Appellant</w:t>
      </w:r>
    </w:p>
    <w:p w:rsidR="0099019B" w:rsidRDefault="006731DB" w:rsidP="000116FE">
      <w:pPr>
        <w:pStyle w:val="SCCLsocVersus"/>
        <w:widowControl w:val="0"/>
      </w:pPr>
      <w:r>
        <w:t>v.</w:t>
      </w:r>
    </w:p>
    <w:p w:rsidR="0099019B" w:rsidRDefault="00971F96" w:rsidP="000116FE">
      <w:pPr>
        <w:pStyle w:val="SCCLsocLastPartyInRole"/>
        <w:widowControl w:val="0"/>
      </w:pPr>
      <w:r>
        <w:lastRenderedPageBreak/>
        <w:t>Her Majesty T</w:t>
      </w:r>
      <w:r w:rsidR="006731DB">
        <w:t>he Queen</w:t>
      </w:r>
      <w:r w:rsidR="006731DB">
        <w:rPr>
          <w:rStyle w:val="SCCLsocPartyRole"/>
        </w:rPr>
        <w:tab/>
        <w:t>Respondent</w:t>
      </w:r>
    </w:p>
    <w:p w:rsidR="0099019B" w:rsidRDefault="006731DB" w:rsidP="000116FE">
      <w:pPr>
        <w:pStyle w:val="SCCLsocOtherPartySeparator"/>
        <w:widowControl w:val="0"/>
      </w:pPr>
      <w:r>
        <w:t>and</w:t>
      </w:r>
    </w:p>
    <w:p w:rsidR="0099019B" w:rsidRDefault="00971F96" w:rsidP="000116FE">
      <w:pPr>
        <w:pStyle w:val="SCCLsocParty"/>
        <w:widowControl w:val="0"/>
      </w:pPr>
      <w:r>
        <w:t>Criminal Lawyers’</w:t>
      </w:r>
      <w:r w:rsidR="006731DB">
        <w:t xml:space="preserve"> Association </w:t>
      </w:r>
      <w:r w:rsidR="00BB5DA6">
        <w:t>of Ontario</w:t>
      </w:r>
      <w:r w:rsidR="00CA3F9E">
        <w:t xml:space="preserve"> and</w:t>
      </w:r>
    </w:p>
    <w:p w:rsidR="0099019B" w:rsidRDefault="006731DB" w:rsidP="000116FE">
      <w:pPr>
        <w:pStyle w:val="SCCLsocLastPartyInRole"/>
        <w:widowControl w:val="0"/>
      </w:pPr>
      <w:r>
        <w:t>Director of Public Prosecutions of Canada</w:t>
      </w:r>
      <w:r>
        <w:rPr>
          <w:rStyle w:val="SCCLsocPartyRole"/>
        </w:rPr>
        <w:tab/>
        <w:t>Interveners</w:t>
      </w:r>
    </w:p>
    <w:p w:rsidR="00A149DF" w:rsidRPr="001426A9" w:rsidRDefault="00A149DF" w:rsidP="000116FE">
      <w:pPr>
        <w:widowControl w:val="0"/>
        <w:jc w:val="both"/>
      </w:pPr>
    </w:p>
    <w:p w:rsidR="00426659" w:rsidRPr="00426659" w:rsidRDefault="00426659" w:rsidP="000116FE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CA3F9E">
        <w:rPr>
          <w:b/>
        </w:rPr>
        <w:t xml:space="preserve">R. </w:t>
      </w:r>
      <w:r w:rsidR="00CA3F9E" w:rsidRPr="00CA3F9E">
        <w:rPr>
          <w:b/>
          <w:i/>
        </w:rPr>
        <w:t>v.</w:t>
      </w:r>
      <w:r w:rsidR="00CA3F9E">
        <w:rPr>
          <w:b/>
        </w:rPr>
        <w:t xml:space="preserve"> Clifford</w:t>
      </w:r>
    </w:p>
    <w:p w:rsidR="00426659" w:rsidRDefault="00426659" w:rsidP="000116FE">
      <w:pPr>
        <w:widowControl w:val="0"/>
        <w:jc w:val="both"/>
      </w:pPr>
    </w:p>
    <w:p w:rsidR="00A149DF" w:rsidRDefault="00A149DF" w:rsidP="000116FE">
      <w:pPr>
        <w:widowControl w:val="0"/>
        <w:jc w:val="both"/>
      </w:pPr>
    </w:p>
    <w:p w:rsidR="00A149DF" w:rsidRDefault="00A149DF" w:rsidP="000116FE">
      <w:pPr>
        <w:widowControl w:val="0"/>
        <w:jc w:val="both"/>
      </w:pPr>
    </w:p>
    <w:p w:rsidR="00426659" w:rsidRPr="00C02092" w:rsidRDefault="00AE4535" w:rsidP="000116FE">
      <w:pPr>
        <w:pStyle w:val="SCCSystemYear"/>
        <w:widowControl w:val="0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CA3F9E">
        <w:t>9</w:t>
      </w:r>
    </w:p>
    <w:p w:rsidR="00426659" w:rsidRDefault="00426659" w:rsidP="000116FE">
      <w:pPr>
        <w:widowControl w:val="0"/>
        <w:jc w:val="both"/>
      </w:pPr>
    </w:p>
    <w:p w:rsidR="00A149DF" w:rsidRDefault="00A149DF" w:rsidP="000116FE">
      <w:pPr>
        <w:widowControl w:val="0"/>
        <w:jc w:val="both"/>
      </w:pPr>
    </w:p>
    <w:p w:rsidR="00A149DF" w:rsidRDefault="00A149DF" w:rsidP="000116FE">
      <w:pPr>
        <w:widowControl w:val="0"/>
        <w:jc w:val="both"/>
      </w:pPr>
    </w:p>
    <w:p w:rsidR="008322BD" w:rsidRDefault="009B57B3" w:rsidP="000116FE">
      <w:pPr>
        <w:widowControl w:val="0"/>
        <w:jc w:val="both"/>
      </w:pPr>
      <w:r w:rsidRPr="001426A9">
        <w:t xml:space="preserve">File No.:  </w:t>
      </w:r>
      <w:r>
        <w:t>37140</w:t>
      </w:r>
      <w:r w:rsidRPr="001426A9">
        <w:t>.</w:t>
      </w:r>
    </w:p>
    <w:p w:rsidR="00E97830" w:rsidRDefault="00E97830" w:rsidP="000116FE">
      <w:pPr>
        <w:widowControl w:val="0"/>
        <w:jc w:val="both"/>
      </w:pPr>
    </w:p>
    <w:p w:rsidR="00A149DF" w:rsidRDefault="00A149DF" w:rsidP="000116FE">
      <w:pPr>
        <w:widowControl w:val="0"/>
        <w:jc w:val="both"/>
      </w:pPr>
    </w:p>
    <w:p w:rsidR="00A149DF" w:rsidRDefault="00A149DF" w:rsidP="000116FE">
      <w:pPr>
        <w:widowControl w:val="0"/>
        <w:jc w:val="both"/>
      </w:pPr>
    </w:p>
    <w:p w:rsidR="008322BD" w:rsidRDefault="00AE4535" w:rsidP="000116FE">
      <w:pPr>
        <w:widowControl w:val="0"/>
        <w:jc w:val="both"/>
      </w:pPr>
      <w:r>
        <w:t>2017:  February 17</w:t>
      </w:r>
      <w:r w:rsidR="009B57B3" w:rsidRPr="001426A9">
        <w:t>.</w:t>
      </w:r>
    </w:p>
    <w:p w:rsidR="00E97830" w:rsidRDefault="00E97830" w:rsidP="000116FE">
      <w:pPr>
        <w:widowControl w:val="0"/>
        <w:jc w:val="both"/>
      </w:pPr>
    </w:p>
    <w:p w:rsidR="00A149DF" w:rsidRDefault="00A149DF" w:rsidP="000116FE">
      <w:pPr>
        <w:widowControl w:val="0"/>
        <w:jc w:val="both"/>
      </w:pPr>
    </w:p>
    <w:p w:rsidR="00A149DF" w:rsidRDefault="00A149DF" w:rsidP="000116FE">
      <w:pPr>
        <w:widowControl w:val="0"/>
        <w:jc w:val="both"/>
      </w:pPr>
    </w:p>
    <w:p w:rsidR="008322BD" w:rsidRDefault="009B57B3" w:rsidP="000116FE">
      <w:pPr>
        <w:widowControl w:val="0"/>
        <w:jc w:val="both"/>
      </w:pPr>
      <w:r w:rsidRPr="001426A9">
        <w:t xml:space="preserve">Present:  </w:t>
      </w:r>
      <w:r>
        <w:t>Abella, Moldaver, Karakatsanis, Wagner, Côté, Brown and Rowe JJ.</w:t>
      </w:r>
    </w:p>
    <w:p w:rsidR="00E97830" w:rsidRDefault="00E97830" w:rsidP="000116FE">
      <w:pPr>
        <w:widowControl w:val="0"/>
        <w:jc w:val="both"/>
      </w:pPr>
    </w:p>
    <w:p w:rsidR="006A1551" w:rsidRDefault="006A1551" w:rsidP="000116FE">
      <w:pPr>
        <w:widowControl w:val="0"/>
        <w:jc w:val="both"/>
      </w:pPr>
    </w:p>
    <w:p w:rsidR="006A1551" w:rsidRDefault="006A1551" w:rsidP="000116FE">
      <w:pPr>
        <w:widowControl w:val="0"/>
        <w:jc w:val="both"/>
      </w:pPr>
    </w:p>
    <w:p w:rsidR="00BA7DA0" w:rsidRDefault="00BA7DA0" w:rsidP="000116FE">
      <w:pPr>
        <w:widowControl w:val="0"/>
        <w:jc w:val="both"/>
      </w:pPr>
    </w:p>
    <w:p w:rsidR="00EF766E" w:rsidRDefault="00EF766E" w:rsidP="000116FE">
      <w:pPr>
        <w:widowControl w:val="0"/>
        <w:jc w:val="both"/>
      </w:pPr>
    </w:p>
    <w:p w:rsidR="00EF766E" w:rsidRDefault="00EF766E" w:rsidP="000116FE">
      <w:pPr>
        <w:widowControl w:val="0"/>
        <w:jc w:val="both"/>
      </w:pPr>
    </w:p>
    <w:p w:rsidR="0099019B" w:rsidRDefault="0099019B" w:rsidP="000116FE">
      <w:pPr>
        <w:widowControl w:val="0"/>
      </w:pPr>
    </w:p>
    <w:p w:rsidR="008322BD" w:rsidRPr="001C779F" w:rsidRDefault="00656313" w:rsidP="000116FE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for british columbia </w:t>
      </w:r>
    </w:p>
    <w:p w:rsidR="003A4C70" w:rsidRPr="001426A9" w:rsidRDefault="003A4C70" w:rsidP="000116FE">
      <w:pPr>
        <w:pStyle w:val="SCCNormalDoubleSpacing"/>
        <w:widowControl w:val="0"/>
      </w:pPr>
    </w:p>
    <w:p w:rsidR="008322BD" w:rsidRPr="0077205C" w:rsidRDefault="0077205C" w:rsidP="000116FE">
      <w:pPr>
        <w:pStyle w:val="SCCNormalDoubleSpacing"/>
        <w:widowControl w:val="0"/>
        <w:rPr>
          <w:i/>
        </w:rPr>
      </w:pPr>
      <w:r>
        <w:tab/>
      </w:r>
      <w:r w:rsidR="001443E2">
        <w:rPr>
          <w:i/>
        </w:rPr>
        <w:t>Criminal law — Evidence —</w:t>
      </w:r>
      <w:r>
        <w:rPr>
          <w:i/>
        </w:rPr>
        <w:t xml:space="preserve"> </w:t>
      </w:r>
      <w:r w:rsidR="00D95DAD">
        <w:rPr>
          <w:i/>
        </w:rPr>
        <w:t>A</w:t>
      </w:r>
      <w:r>
        <w:rPr>
          <w:i/>
        </w:rPr>
        <w:t>libi</w:t>
      </w:r>
      <w:r w:rsidR="00744C99">
        <w:rPr>
          <w:i/>
        </w:rPr>
        <w:t xml:space="preserve"> </w:t>
      </w:r>
      <w:r w:rsidR="001443E2">
        <w:rPr>
          <w:i/>
        </w:rPr>
        <w:t>—</w:t>
      </w:r>
      <w:r w:rsidR="00FF5332">
        <w:rPr>
          <w:i/>
        </w:rPr>
        <w:t xml:space="preserve"> </w:t>
      </w:r>
      <w:r>
        <w:rPr>
          <w:i/>
        </w:rPr>
        <w:t xml:space="preserve">Similar fact evidence </w:t>
      </w:r>
      <w:r w:rsidR="001443E2">
        <w:rPr>
          <w:i/>
        </w:rPr>
        <w:t>—</w:t>
      </w:r>
      <w:r>
        <w:rPr>
          <w:i/>
        </w:rPr>
        <w:t xml:space="preserve"> </w:t>
      </w:r>
      <w:r w:rsidR="00693914">
        <w:rPr>
          <w:i/>
        </w:rPr>
        <w:t xml:space="preserve">Fire set to garage and trees </w:t>
      </w:r>
      <w:r w:rsidR="001443E2">
        <w:rPr>
          <w:i/>
        </w:rPr>
        <w:t>destroyed on victims’ property —</w:t>
      </w:r>
      <w:r w:rsidR="00693914">
        <w:rPr>
          <w:i/>
        </w:rPr>
        <w:t xml:space="preserve"> Trial </w:t>
      </w:r>
      <w:r w:rsidR="0039769B">
        <w:rPr>
          <w:i/>
        </w:rPr>
        <w:t xml:space="preserve">judge </w:t>
      </w:r>
      <w:r w:rsidR="00A4107C">
        <w:rPr>
          <w:i/>
        </w:rPr>
        <w:t xml:space="preserve">finding that </w:t>
      </w:r>
      <w:r w:rsidR="00AB3B57">
        <w:rPr>
          <w:i/>
        </w:rPr>
        <w:t>accused</w:t>
      </w:r>
      <w:r w:rsidR="00D142EC">
        <w:rPr>
          <w:i/>
        </w:rPr>
        <w:t xml:space="preserve"> deliberately provided false</w:t>
      </w:r>
      <w:r w:rsidR="00AB3B57">
        <w:rPr>
          <w:i/>
        </w:rPr>
        <w:t xml:space="preserve"> alibi</w:t>
      </w:r>
      <w:r w:rsidR="00D142EC">
        <w:rPr>
          <w:i/>
        </w:rPr>
        <w:t xml:space="preserve"> </w:t>
      </w:r>
      <w:r w:rsidR="001443E2">
        <w:rPr>
          <w:i/>
        </w:rPr>
        <w:t>—</w:t>
      </w:r>
      <w:r w:rsidR="00D95DAD">
        <w:rPr>
          <w:i/>
        </w:rPr>
        <w:t xml:space="preserve"> Trial judge </w:t>
      </w:r>
      <w:r w:rsidR="00D142EC">
        <w:rPr>
          <w:i/>
        </w:rPr>
        <w:t>assessing defence theory that someone other than accused was responsible for prior acts of vandalism against victims</w:t>
      </w:r>
      <w:r w:rsidR="00AB3B57">
        <w:rPr>
          <w:i/>
        </w:rPr>
        <w:t xml:space="preserve"> </w:t>
      </w:r>
      <w:r w:rsidR="001443E2">
        <w:rPr>
          <w:i/>
        </w:rPr>
        <w:t>—</w:t>
      </w:r>
      <w:r w:rsidR="00744C99">
        <w:rPr>
          <w:i/>
        </w:rPr>
        <w:t xml:space="preserve"> </w:t>
      </w:r>
      <w:r w:rsidR="00225CA1">
        <w:rPr>
          <w:i/>
        </w:rPr>
        <w:t xml:space="preserve">Court of Appeal </w:t>
      </w:r>
      <w:r w:rsidR="0059043C">
        <w:rPr>
          <w:i/>
        </w:rPr>
        <w:t>finding that deliberate</w:t>
      </w:r>
      <w:r w:rsidR="00693914">
        <w:rPr>
          <w:i/>
        </w:rPr>
        <w:t>ly false alibi</w:t>
      </w:r>
      <w:r w:rsidR="0059043C">
        <w:rPr>
          <w:i/>
        </w:rPr>
        <w:t xml:space="preserve"> could properly be relied upon by trial </w:t>
      </w:r>
      <w:r w:rsidR="0059043C">
        <w:rPr>
          <w:i/>
        </w:rPr>
        <w:lastRenderedPageBreak/>
        <w:t>judge as evidence of guilt</w:t>
      </w:r>
      <w:r w:rsidR="00225CA1">
        <w:rPr>
          <w:i/>
        </w:rPr>
        <w:t xml:space="preserve"> </w:t>
      </w:r>
      <w:r w:rsidR="001443E2">
        <w:rPr>
          <w:i/>
        </w:rPr>
        <w:t>—</w:t>
      </w:r>
      <w:r w:rsidR="0059043C">
        <w:rPr>
          <w:i/>
        </w:rPr>
        <w:t xml:space="preserve"> </w:t>
      </w:r>
      <w:r w:rsidR="00AB3B57">
        <w:rPr>
          <w:i/>
        </w:rPr>
        <w:t xml:space="preserve">Court of Appeal concluding that trial judge did </w:t>
      </w:r>
      <w:r w:rsidR="00D142EC">
        <w:rPr>
          <w:i/>
        </w:rPr>
        <w:t>not make improper use of prior vandalism</w:t>
      </w:r>
      <w:r w:rsidR="00AB3B57">
        <w:rPr>
          <w:i/>
        </w:rPr>
        <w:t xml:space="preserve"> evidence as similar fact </w:t>
      </w:r>
      <w:r w:rsidR="001443E2">
        <w:rPr>
          <w:i/>
        </w:rPr>
        <w:t>evidence supporting conviction —</w:t>
      </w:r>
      <w:r w:rsidR="00AB3B57">
        <w:rPr>
          <w:i/>
        </w:rPr>
        <w:t xml:space="preserve"> </w:t>
      </w:r>
      <w:r w:rsidR="00225CA1">
        <w:rPr>
          <w:i/>
        </w:rPr>
        <w:t>Convictions upheld.</w:t>
      </w:r>
    </w:p>
    <w:p w:rsidR="00A149DF" w:rsidRDefault="00A149DF" w:rsidP="000116FE">
      <w:pPr>
        <w:pStyle w:val="SCCNormalDoubleSpacing"/>
        <w:widowControl w:val="0"/>
      </w:pPr>
    </w:p>
    <w:p w:rsidR="007F59B1" w:rsidRDefault="009B57B3" w:rsidP="000116FE">
      <w:pPr>
        <w:pStyle w:val="SCCNormalDoubleSpacing"/>
        <w:widowControl w:val="0"/>
      </w:pPr>
      <w:r w:rsidRPr="001426A9">
        <w:tab/>
        <w:t>APPEAL from a judgment of the</w:t>
      </w:r>
      <w:r w:rsidR="007F59B1">
        <w:t xml:space="preserve"> British Columbia</w:t>
      </w:r>
      <w:r w:rsidRPr="001426A9">
        <w:t xml:space="preserve"> </w:t>
      </w:r>
      <w:r>
        <w:t xml:space="preserve">Court of Appeal </w:t>
      </w:r>
      <w:r w:rsidR="00E123D3">
        <w:t>(Newbury, Wil</w:t>
      </w:r>
      <w:r w:rsidR="00963A9D">
        <w:t>l</w:t>
      </w:r>
      <w:r w:rsidR="00E123D3">
        <w:t>cock and Fenlon JJ.A.), 2016 BCCA 336, 339 C.C.C. (3d) 276, [2016] B.C.J. No. 1644 (QL), 2016 CarswellBC 2150 (</w:t>
      </w:r>
      <w:r w:rsidR="001956C0">
        <w:t>WL Can.</w:t>
      </w:r>
      <w:r w:rsidR="00E123D3">
        <w:t>), upholding the accused’s conviction</w:t>
      </w:r>
      <w:r w:rsidR="00963A9D">
        <w:t>s</w:t>
      </w:r>
      <w:r w:rsidR="00E123D3">
        <w:t xml:space="preserve"> </w:t>
      </w:r>
      <w:r w:rsidR="00577548">
        <w:t>for</w:t>
      </w:r>
      <w:r w:rsidR="00E123D3">
        <w:t xml:space="preserve"> arson and mischief</w:t>
      </w:r>
      <w:r w:rsidR="00577548">
        <w:t xml:space="preserve"> entered by Maci</w:t>
      </w:r>
      <w:r w:rsidR="00E123D3">
        <w:t>ntosh J.</w:t>
      </w:r>
      <w:r w:rsidR="00963A9D">
        <w:t>, 2015 BCSC 435, [2015] B.C.J. No. 535 (QL), 2015 CarswellBC 745</w:t>
      </w:r>
      <w:r w:rsidR="00222414">
        <w:t xml:space="preserve"> (WL Can.)</w:t>
      </w:r>
      <w:r w:rsidR="00963A9D">
        <w:t>.</w:t>
      </w:r>
      <w:r w:rsidR="00E123D3">
        <w:t xml:space="preserve"> </w:t>
      </w:r>
      <w:r w:rsidR="00BB5DA6">
        <w:t>Appeal dismissed, Rowe J. dissenting</w:t>
      </w:r>
      <w:r w:rsidR="00E123D3">
        <w:t>.</w:t>
      </w:r>
    </w:p>
    <w:p w:rsidR="007F59B1" w:rsidRDefault="007F59B1" w:rsidP="000116FE">
      <w:pPr>
        <w:pStyle w:val="SCCNormalDoubleSpacing"/>
        <w:widowControl w:val="0"/>
      </w:pPr>
    </w:p>
    <w:p w:rsidR="0099019B" w:rsidRDefault="006731DB" w:rsidP="000116FE">
      <w:pPr>
        <w:pStyle w:val="SCCNormalDoubleSpacing"/>
        <w:widowControl w:val="0"/>
      </w:pPr>
      <w:r>
        <w:rPr>
          <w:rStyle w:val="SCCCounselNameChar"/>
        </w:rPr>
        <w:tab/>
        <w:t>Dane F. Bullerwell</w:t>
      </w:r>
      <w:r w:rsidR="00EF4276">
        <w:rPr>
          <w:rStyle w:val="SCCCounselNameChar"/>
        </w:rPr>
        <w:t xml:space="preserve"> </w:t>
      </w:r>
      <w:r w:rsidR="00EF4276" w:rsidRPr="00EF4276">
        <w:rPr>
          <w:rStyle w:val="SCCCounselNameChar"/>
          <w:i w:val="0"/>
        </w:rPr>
        <w:t xml:space="preserve">and </w:t>
      </w:r>
      <w:r w:rsidR="00963A9D">
        <w:rPr>
          <w:rStyle w:val="SCCCounselNameChar"/>
        </w:rPr>
        <w:t>Jeffrey W. Bee</w:t>
      </w:r>
      <w:r w:rsidR="00EF4276">
        <w:rPr>
          <w:rStyle w:val="SCCCounselNameChar"/>
        </w:rPr>
        <w:t>dell</w:t>
      </w:r>
      <w:r>
        <w:rPr>
          <w:rStyle w:val="SCCCounselPartyRoleChar"/>
        </w:rPr>
        <w:t>, for the appellant.</w:t>
      </w:r>
    </w:p>
    <w:p w:rsidR="0099019B" w:rsidRDefault="0099019B" w:rsidP="000116FE">
      <w:pPr>
        <w:pStyle w:val="SCCNormalDoubleSpacing"/>
        <w:widowControl w:val="0"/>
      </w:pPr>
    </w:p>
    <w:p w:rsidR="0099019B" w:rsidRDefault="006731DB" w:rsidP="000116FE">
      <w:pPr>
        <w:pStyle w:val="SCCNormalDoubleSpacing"/>
        <w:widowControl w:val="0"/>
      </w:pPr>
      <w:r>
        <w:rPr>
          <w:rStyle w:val="SCCCounselNameChar"/>
        </w:rPr>
        <w:tab/>
        <w:t>John M. Gordon</w:t>
      </w:r>
      <w:r w:rsidRPr="00F74D7A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PartyRoleChar"/>
        </w:rPr>
        <w:t>, for the respondent.</w:t>
      </w:r>
    </w:p>
    <w:p w:rsidR="0099019B" w:rsidRDefault="0099019B" w:rsidP="000116FE">
      <w:pPr>
        <w:pStyle w:val="SCCNormalDoubleSpacing"/>
        <w:widowControl w:val="0"/>
      </w:pPr>
    </w:p>
    <w:p w:rsidR="0099019B" w:rsidRDefault="006731DB" w:rsidP="000116FE">
      <w:pPr>
        <w:pStyle w:val="SCCNormalDoubleSpacing"/>
        <w:widowControl w:val="0"/>
      </w:pPr>
      <w:r>
        <w:rPr>
          <w:rStyle w:val="SCCCounselNameChar"/>
        </w:rPr>
        <w:tab/>
        <w:t>Michael Dineen</w:t>
      </w:r>
      <w:r w:rsidR="00EF4276">
        <w:rPr>
          <w:rStyle w:val="SCCCounselPartyRoleChar"/>
        </w:rPr>
        <w:t xml:space="preserve"> and </w:t>
      </w:r>
      <w:r w:rsidR="00EF4276" w:rsidRPr="00EF4276">
        <w:rPr>
          <w:rStyle w:val="SCCCounselPartyRoleChar"/>
          <w:i/>
        </w:rPr>
        <w:t>Jonathan Dawe</w:t>
      </w:r>
      <w:r w:rsidR="00EF4276">
        <w:rPr>
          <w:rStyle w:val="SCCCounselPartyRoleChar"/>
        </w:rPr>
        <w:t>,</w:t>
      </w:r>
      <w:r>
        <w:rPr>
          <w:rStyle w:val="SCCCounselPartyRoleChar"/>
        </w:rPr>
        <w:t xml:space="preserve"> for </w:t>
      </w:r>
      <w:r w:rsidR="00711820">
        <w:rPr>
          <w:rStyle w:val="SCCCounselPartyRoleChar"/>
        </w:rPr>
        <w:t>the intervener the Criminal Lawyers’</w:t>
      </w:r>
      <w:r>
        <w:rPr>
          <w:rStyle w:val="SCCCounselPartyRoleChar"/>
        </w:rPr>
        <w:t xml:space="preserve"> Association of Ontario.</w:t>
      </w:r>
    </w:p>
    <w:p w:rsidR="0099019B" w:rsidRDefault="0099019B" w:rsidP="000116FE">
      <w:pPr>
        <w:pStyle w:val="SCCNormalDoubleSpacing"/>
        <w:widowControl w:val="0"/>
      </w:pPr>
    </w:p>
    <w:p w:rsidR="0099019B" w:rsidRDefault="006731DB" w:rsidP="000116FE">
      <w:pPr>
        <w:pStyle w:val="SCCNormalDoubleSpacing"/>
        <w:widowControl w:val="0"/>
      </w:pPr>
      <w:r>
        <w:rPr>
          <w:rStyle w:val="SCCCounselNameChar"/>
        </w:rPr>
        <w:tab/>
        <w:t>Janna A. Hyman</w:t>
      </w:r>
      <w:r w:rsidR="00EF4276">
        <w:rPr>
          <w:rStyle w:val="SCCCounselPartyRoleChar"/>
        </w:rPr>
        <w:t xml:space="preserve"> and </w:t>
      </w:r>
      <w:r w:rsidR="00EF4276" w:rsidRPr="00EF4276">
        <w:rPr>
          <w:rStyle w:val="SCCCounselPartyRoleChar"/>
          <w:i/>
        </w:rPr>
        <w:t>François Lacasse</w:t>
      </w:r>
      <w:r w:rsidR="00EF4276">
        <w:rPr>
          <w:rStyle w:val="SCCCounselPartyRoleChar"/>
        </w:rPr>
        <w:t>,</w:t>
      </w:r>
      <w:r>
        <w:rPr>
          <w:rStyle w:val="SCCCounselPartyRoleChar"/>
        </w:rPr>
        <w:t xml:space="preserve"> for the intervener</w:t>
      </w:r>
      <w:r w:rsidR="00711820">
        <w:rPr>
          <w:rStyle w:val="SCCCounselPartyRoleChar"/>
        </w:rPr>
        <w:t xml:space="preserve"> the</w:t>
      </w:r>
      <w:r>
        <w:rPr>
          <w:rStyle w:val="SCCCounselPartyRoleChar"/>
        </w:rPr>
        <w:t xml:space="preserve"> Director of Public Prosecutions of Canada.</w:t>
      </w:r>
    </w:p>
    <w:p w:rsidR="0099019B" w:rsidRDefault="0099019B" w:rsidP="000116FE">
      <w:pPr>
        <w:pStyle w:val="SCCNormalDoubleSpacing"/>
        <w:widowControl w:val="0"/>
      </w:pPr>
    </w:p>
    <w:p w:rsidR="00BD1954" w:rsidRDefault="00BD1954" w:rsidP="000116FE">
      <w:pPr>
        <w:pStyle w:val="SCCNormalDoubleSpacing"/>
        <w:widowControl w:val="0"/>
      </w:pPr>
      <w:r>
        <w:tab/>
        <w:t>The judgment of the Court was delivered orally by</w:t>
      </w:r>
    </w:p>
    <w:p w:rsidR="00EF4276" w:rsidRDefault="00EF4276" w:rsidP="000116FE">
      <w:pPr>
        <w:pStyle w:val="ParaNoNdepar-AltN"/>
        <w:widowControl w:val="0"/>
        <w:numPr>
          <w:ilvl w:val="0"/>
          <w:numId w:val="3"/>
        </w:numPr>
        <w:tabs>
          <w:tab w:val="num" w:pos="1152"/>
        </w:tabs>
        <w:ind w:left="0" w:firstLine="0"/>
      </w:pPr>
      <w:r w:rsidRPr="00BD77D5">
        <w:rPr>
          <w:smallCaps/>
        </w:rPr>
        <w:t>Abella J.</w:t>
      </w:r>
      <w:r w:rsidRPr="00081528">
        <w:t xml:space="preserve"> —</w:t>
      </w:r>
      <w:r>
        <w:t xml:space="preserve"> </w:t>
      </w:r>
      <w:r w:rsidRPr="00081528">
        <w:t xml:space="preserve">A majority of this Court would dismiss the appeal, substantially for the reasons of Willcock J.A. While we appreciate the suggestions of </w:t>
      </w:r>
      <w:r w:rsidRPr="00081528">
        <w:lastRenderedPageBreak/>
        <w:t xml:space="preserve">the </w:t>
      </w:r>
      <w:r w:rsidR="00D95DAD">
        <w:t>i</w:t>
      </w:r>
      <w:r w:rsidRPr="00081528">
        <w:t>ntervenors that the law be re-examined, we are not satisfied that such re-examination is warranted in this case, particularly where neither party has asked us to depart from the jurisprudence of this Court.</w:t>
      </w:r>
    </w:p>
    <w:p w:rsidR="00EF4276" w:rsidRDefault="00EF4276" w:rsidP="000116FE">
      <w:pPr>
        <w:pStyle w:val="ParaNoNdepar-AltN"/>
        <w:widowControl w:val="0"/>
        <w:numPr>
          <w:ilvl w:val="0"/>
          <w:numId w:val="3"/>
        </w:numPr>
        <w:tabs>
          <w:tab w:val="num" w:pos="1152"/>
        </w:tabs>
        <w:ind w:left="0" w:firstLine="0"/>
      </w:pPr>
      <w:r w:rsidRPr="00081528">
        <w:rPr>
          <w:rFonts w:cs="Times New Roman"/>
        </w:rPr>
        <w:t xml:space="preserve">Justice Rowe would </w:t>
      </w:r>
      <w:r w:rsidRPr="00BD77D5">
        <w:rPr>
          <w:lang w:val="en-US"/>
        </w:rPr>
        <w:t>have</w:t>
      </w:r>
      <w:r w:rsidRPr="00081528">
        <w:rPr>
          <w:rFonts w:cs="Times New Roman"/>
        </w:rPr>
        <w:t xml:space="preserve"> allowed the appeal, based on the dissenting reasons of Newbury J.A., as set out in paras. 22-26 of her reasons.</w:t>
      </w:r>
    </w:p>
    <w:p w:rsidR="009B57B3" w:rsidRPr="00EF4276" w:rsidRDefault="009B57B3" w:rsidP="000116FE">
      <w:pPr>
        <w:pStyle w:val="SCCNormalDoubleSpacing"/>
        <w:widowControl w:val="0"/>
        <w:rPr>
          <w:i/>
        </w:rPr>
      </w:pPr>
      <w:r w:rsidRPr="001426A9">
        <w:tab/>
      </w:r>
      <w:r w:rsidR="00EF4276" w:rsidRPr="00EF4276">
        <w:rPr>
          <w:i/>
        </w:rPr>
        <w:t>Judgment accordingly.</w:t>
      </w:r>
    </w:p>
    <w:p w:rsidR="00A149DF" w:rsidRPr="001426A9" w:rsidRDefault="00A149DF" w:rsidP="000116FE">
      <w:pPr>
        <w:pStyle w:val="SCCNormalDoubleSpacing"/>
        <w:widowControl w:val="0"/>
      </w:pPr>
    </w:p>
    <w:p w:rsidR="0099019B" w:rsidRDefault="006731DB" w:rsidP="000116FE">
      <w:pPr>
        <w:pStyle w:val="SCCLawFirm"/>
        <w:widowControl w:val="0"/>
      </w:pPr>
      <w:r>
        <w:tab/>
        <w:t>Solicitor</w:t>
      </w:r>
      <w:r w:rsidR="002F77F9">
        <w:t>s</w:t>
      </w:r>
      <w:r>
        <w:t xml:space="preserve"> for the appellant:  Pringle, Ch</w:t>
      </w:r>
      <w:r w:rsidR="00BD580A">
        <w:t>ivers, Sparks, Teskey, Edmonton; Gowling WLG, Ottawa.</w:t>
      </w:r>
    </w:p>
    <w:p w:rsidR="0099019B" w:rsidRDefault="0099019B" w:rsidP="000116FE">
      <w:pPr>
        <w:pStyle w:val="SCCLawFirm"/>
        <w:widowControl w:val="0"/>
      </w:pPr>
    </w:p>
    <w:p w:rsidR="0099019B" w:rsidRDefault="005C0F70" w:rsidP="000116FE">
      <w:pPr>
        <w:pStyle w:val="SCCLawFirm"/>
        <w:widowControl w:val="0"/>
      </w:pPr>
      <w:r>
        <w:tab/>
        <w:t>Solicitor</w:t>
      </w:r>
      <w:r w:rsidR="006731DB">
        <w:t xml:space="preserve"> for the respondent:  Attorney General of British Columbia, Vancouver.</w:t>
      </w:r>
    </w:p>
    <w:p w:rsidR="0099019B" w:rsidRDefault="0099019B" w:rsidP="000116FE">
      <w:pPr>
        <w:pStyle w:val="SCCLawFirm"/>
        <w:widowControl w:val="0"/>
      </w:pPr>
    </w:p>
    <w:p w:rsidR="0099019B" w:rsidRDefault="00244105" w:rsidP="000116FE">
      <w:pPr>
        <w:pStyle w:val="SCCLawFirm"/>
        <w:widowControl w:val="0"/>
      </w:pPr>
      <w:r>
        <w:tab/>
        <w:t>Solicitors</w:t>
      </w:r>
      <w:r w:rsidR="006731DB">
        <w:t xml:space="preserve"> for </w:t>
      </w:r>
      <w:r>
        <w:t>the intervener the Criminal Lawyers’</w:t>
      </w:r>
      <w:r w:rsidR="006731DB">
        <w:t xml:space="preserve"> Association of Ontario:  Dawe &amp; Dineen, Toronto.</w:t>
      </w:r>
    </w:p>
    <w:p w:rsidR="0099019B" w:rsidRDefault="0099019B" w:rsidP="000116FE">
      <w:pPr>
        <w:pStyle w:val="SCCLawFirm"/>
        <w:widowControl w:val="0"/>
      </w:pPr>
    </w:p>
    <w:p w:rsidR="0099019B" w:rsidRDefault="00244105" w:rsidP="000116FE">
      <w:pPr>
        <w:pStyle w:val="SCCLawFirm"/>
        <w:widowControl w:val="0"/>
      </w:pPr>
      <w:r>
        <w:tab/>
        <w:t>Solicitor</w:t>
      </w:r>
      <w:r w:rsidR="006731DB">
        <w:t xml:space="preserve"> for the intervener </w:t>
      </w:r>
      <w:r>
        <w:t xml:space="preserve">the </w:t>
      </w:r>
      <w:r w:rsidR="006731DB">
        <w:t>Director of Public Prosecutions of Canada:  Public Prosecution Service of Canada, Winnipeg</w:t>
      </w:r>
      <w:r>
        <w:t xml:space="preserve"> and Ottawa</w:t>
      </w:r>
      <w:r w:rsidR="006731DB">
        <w:t>.</w:t>
      </w:r>
    </w:p>
    <w:sectPr w:rsidR="0099019B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90D"/>
    <w:multiLevelType w:val="hybridMultilevel"/>
    <w:tmpl w:val="3CBAFD8A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127"/>
    <w:multiLevelType w:val="hybridMultilevel"/>
    <w:tmpl w:val="242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55DCF"/>
    <w:multiLevelType w:val="hybridMultilevel"/>
    <w:tmpl w:val="3E38346A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1B09"/>
    <w:rsid w:val="000116FE"/>
    <w:rsid w:val="00025198"/>
    <w:rsid w:val="000578A3"/>
    <w:rsid w:val="000648CC"/>
    <w:rsid w:val="000C4A68"/>
    <w:rsid w:val="000C59B8"/>
    <w:rsid w:val="000C6AF0"/>
    <w:rsid w:val="00104F33"/>
    <w:rsid w:val="00111DE2"/>
    <w:rsid w:val="00116B38"/>
    <w:rsid w:val="00135406"/>
    <w:rsid w:val="00135972"/>
    <w:rsid w:val="001426A9"/>
    <w:rsid w:val="001443E2"/>
    <w:rsid w:val="00154D7C"/>
    <w:rsid w:val="001570B0"/>
    <w:rsid w:val="0015752C"/>
    <w:rsid w:val="00157737"/>
    <w:rsid w:val="00165277"/>
    <w:rsid w:val="00170592"/>
    <w:rsid w:val="00186351"/>
    <w:rsid w:val="001956C0"/>
    <w:rsid w:val="00195901"/>
    <w:rsid w:val="00195D83"/>
    <w:rsid w:val="001A00C1"/>
    <w:rsid w:val="001B33E0"/>
    <w:rsid w:val="001B4573"/>
    <w:rsid w:val="001C779F"/>
    <w:rsid w:val="001D2AC1"/>
    <w:rsid w:val="001D4E88"/>
    <w:rsid w:val="00200682"/>
    <w:rsid w:val="00220FC2"/>
    <w:rsid w:val="002222F4"/>
    <w:rsid w:val="00222414"/>
    <w:rsid w:val="00224FC0"/>
    <w:rsid w:val="00225CA1"/>
    <w:rsid w:val="00225EA4"/>
    <w:rsid w:val="00226EAF"/>
    <w:rsid w:val="00231F3A"/>
    <w:rsid w:val="00234199"/>
    <w:rsid w:val="002406EE"/>
    <w:rsid w:val="00243EC8"/>
    <w:rsid w:val="00244105"/>
    <w:rsid w:val="00270D93"/>
    <w:rsid w:val="002745CC"/>
    <w:rsid w:val="002B7924"/>
    <w:rsid w:val="002D28C3"/>
    <w:rsid w:val="002D39A4"/>
    <w:rsid w:val="002E6705"/>
    <w:rsid w:val="002F77F9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9769B"/>
    <w:rsid w:val="003A125D"/>
    <w:rsid w:val="003A4C70"/>
    <w:rsid w:val="003A7A1E"/>
    <w:rsid w:val="003B215F"/>
    <w:rsid w:val="003C799C"/>
    <w:rsid w:val="003D0399"/>
    <w:rsid w:val="003E1C71"/>
    <w:rsid w:val="003E3769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77548"/>
    <w:rsid w:val="00583EDE"/>
    <w:rsid w:val="0059043C"/>
    <w:rsid w:val="005A6079"/>
    <w:rsid w:val="005C0F70"/>
    <w:rsid w:val="005E4698"/>
    <w:rsid w:val="00610539"/>
    <w:rsid w:val="00613969"/>
    <w:rsid w:val="00625C35"/>
    <w:rsid w:val="00656313"/>
    <w:rsid w:val="006565F4"/>
    <w:rsid w:val="006731DB"/>
    <w:rsid w:val="00684EEA"/>
    <w:rsid w:val="00693914"/>
    <w:rsid w:val="0069689B"/>
    <w:rsid w:val="006A1551"/>
    <w:rsid w:val="006B5FF5"/>
    <w:rsid w:val="006F30AF"/>
    <w:rsid w:val="00701759"/>
    <w:rsid w:val="00705C15"/>
    <w:rsid w:val="00711820"/>
    <w:rsid w:val="0071600E"/>
    <w:rsid w:val="007208D1"/>
    <w:rsid w:val="00744C99"/>
    <w:rsid w:val="00747288"/>
    <w:rsid w:val="00747DD3"/>
    <w:rsid w:val="007549C8"/>
    <w:rsid w:val="00754A0B"/>
    <w:rsid w:val="00766D14"/>
    <w:rsid w:val="00767A0F"/>
    <w:rsid w:val="0077205C"/>
    <w:rsid w:val="007A05F6"/>
    <w:rsid w:val="007B6F4A"/>
    <w:rsid w:val="007E1C47"/>
    <w:rsid w:val="007E337A"/>
    <w:rsid w:val="007E5C70"/>
    <w:rsid w:val="007F08F2"/>
    <w:rsid w:val="007F2FF5"/>
    <w:rsid w:val="007F3F08"/>
    <w:rsid w:val="007F59B1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3A9D"/>
    <w:rsid w:val="00967374"/>
    <w:rsid w:val="00971F96"/>
    <w:rsid w:val="0099019B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07C"/>
    <w:rsid w:val="00A41805"/>
    <w:rsid w:val="00A42DCD"/>
    <w:rsid w:val="00A52AFB"/>
    <w:rsid w:val="00A548CB"/>
    <w:rsid w:val="00A5521C"/>
    <w:rsid w:val="00A643E7"/>
    <w:rsid w:val="00A73C38"/>
    <w:rsid w:val="00AB3B57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5A0B"/>
    <w:rsid w:val="00BA7DA0"/>
    <w:rsid w:val="00BB2EE4"/>
    <w:rsid w:val="00BB5DA6"/>
    <w:rsid w:val="00BC2108"/>
    <w:rsid w:val="00BD0E9E"/>
    <w:rsid w:val="00BD1954"/>
    <w:rsid w:val="00BD1BEC"/>
    <w:rsid w:val="00BD32FF"/>
    <w:rsid w:val="00BD580A"/>
    <w:rsid w:val="00BD77D5"/>
    <w:rsid w:val="00BE7574"/>
    <w:rsid w:val="00C01405"/>
    <w:rsid w:val="00C02092"/>
    <w:rsid w:val="00C06CD6"/>
    <w:rsid w:val="00C24D91"/>
    <w:rsid w:val="00C53F14"/>
    <w:rsid w:val="00C5494B"/>
    <w:rsid w:val="00C600CF"/>
    <w:rsid w:val="00C6084F"/>
    <w:rsid w:val="00C62A66"/>
    <w:rsid w:val="00C71458"/>
    <w:rsid w:val="00C77613"/>
    <w:rsid w:val="00C828E7"/>
    <w:rsid w:val="00C86719"/>
    <w:rsid w:val="00C921DD"/>
    <w:rsid w:val="00CA3F9E"/>
    <w:rsid w:val="00CA6391"/>
    <w:rsid w:val="00CC34BD"/>
    <w:rsid w:val="00CE161A"/>
    <w:rsid w:val="00CE3171"/>
    <w:rsid w:val="00CF1601"/>
    <w:rsid w:val="00CF3192"/>
    <w:rsid w:val="00D0172F"/>
    <w:rsid w:val="00D068A7"/>
    <w:rsid w:val="00D142EC"/>
    <w:rsid w:val="00D17476"/>
    <w:rsid w:val="00D32086"/>
    <w:rsid w:val="00D37A3F"/>
    <w:rsid w:val="00D4431D"/>
    <w:rsid w:val="00D4667A"/>
    <w:rsid w:val="00D63A1C"/>
    <w:rsid w:val="00D7516F"/>
    <w:rsid w:val="00D8579F"/>
    <w:rsid w:val="00D95DAD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23D3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E643C"/>
    <w:rsid w:val="00EF0683"/>
    <w:rsid w:val="00EF4276"/>
    <w:rsid w:val="00EF69D2"/>
    <w:rsid w:val="00EF766E"/>
    <w:rsid w:val="00EF7C75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74D7A"/>
    <w:rsid w:val="00F846D9"/>
    <w:rsid w:val="00F84DF4"/>
    <w:rsid w:val="00F85C97"/>
    <w:rsid w:val="00FB37D2"/>
    <w:rsid w:val="00FC4EFB"/>
    <w:rsid w:val="00FD068D"/>
    <w:rsid w:val="00FD4F28"/>
    <w:rsid w:val="00FE6784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ListParagraph">
    <w:name w:val="List Paragraph"/>
    <w:basedOn w:val="Normal"/>
    <w:uiPriority w:val="34"/>
    <w:qFormat/>
    <w:rsid w:val="00BD77D5"/>
    <w:pPr>
      <w:ind w:left="720"/>
      <w:contextualSpacing/>
    </w:pPr>
  </w:style>
  <w:style w:type="paragraph" w:customStyle="1" w:styleId="ParaNoNdepar-AltN">
    <w:name w:val="Para. No. / Nº de par. - Alt N"/>
    <w:link w:val="ParaNoNdepar-AltNChar"/>
    <w:qFormat/>
    <w:rsid w:val="00BD77D5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BD77D5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06CD6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C06CD6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C06CD6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C06CD6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DCD0-33E6-45BF-8F8A-2AA49EF1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2017-02-21T15:54:00Z</dcterms:created>
  <dcterms:modified xsi:type="dcterms:W3CDTF">2017-10-18T14:08:00Z</dcterms:modified>
</cp:coreProperties>
</file>