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23" w:rsidRDefault="00037E23" w:rsidP="00037E23">
      <w:pPr>
        <w:pStyle w:val="En-tte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8" o:title=""/>
          </v:shape>
          <o:OLEObject Type="Embed" ProgID="Presentations.Drawing.13" ShapeID="_x0000_i1025" DrawAspect="Content" ObjectID="_1569837915" r:id="rId9"/>
        </w:object>
      </w:r>
      <w:r>
        <w:t xml:space="preserve"> </w:t>
      </w:r>
      <w:r>
        <w:ptab w:relativeTo="margin" w:alignment="right" w:leader="none"/>
      </w:r>
    </w:p>
    <w:p w:rsidR="00037E23" w:rsidRDefault="00037E23" w:rsidP="00037E23">
      <w:pPr>
        <w:pStyle w:val="En-tte"/>
      </w:pPr>
    </w:p>
    <w:p w:rsidR="00037E23" w:rsidRPr="006B210C" w:rsidRDefault="00037E23" w:rsidP="00037E23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037E23" w:rsidRDefault="00037E23" w:rsidP="00037E23"/>
    <w:tbl>
      <w:tblPr>
        <w:tblStyle w:val="Grilledutableau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037E23" w:rsidRPr="006B210C" w:rsidTr="001D6433">
        <w:trPr>
          <w:cantSplit/>
        </w:trPr>
        <w:tc>
          <w:tcPr>
            <w:tcW w:w="5130" w:type="dxa"/>
          </w:tcPr>
          <w:p w:rsidR="00037E23" w:rsidRPr="006B210C" w:rsidRDefault="00037E23" w:rsidP="001D6433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Pr="00FD422A">
              <w:t xml:space="preserve">Desjardins Financial Security Life Assurance Co. </w:t>
            </w:r>
            <w:r w:rsidRPr="00FD422A">
              <w:rPr>
                <w:i/>
              </w:rPr>
              <w:t>v.</w:t>
            </w:r>
            <w:r w:rsidRPr="00FD422A">
              <w:t xml:space="preserve"> </w:t>
            </w:r>
            <w:proofErr w:type="spellStart"/>
            <w:r w:rsidRPr="00FD422A">
              <w:t>Émond</w:t>
            </w:r>
            <w:proofErr w:type="spellEnd"/>
            <w:r w:rsidRPr="00FD422A">
              <w:t>, 2017 SCC 19, [2017] 1 S.C.R. 358</w:t>
            </w:r>
          </w:p>
        </w:tc>
        <w:tc>
          <w:tcPr>
            <w:tcW w:w="4446" w:type="dxa"/>
          </w:tcPr>
          <w:p w:rsidR="00037E23" w:rsidRPr="006B210C" w:rsidRDefault="00037E23" w:rsidP="001D6433">
            <w:pPr>
              <w:ind w:left="302"/>
            </w:pPr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March 29, 2017</w:t>
            </w:r>
          </w:p>
          <w:p w:rsidR="00037E23" w:rsidRDefault="00037E23" w:rsidP="001D6433">
            <w:pPr>
              <w:ind w:left="392" w:hanging="90"/>
            </w:pPr>
            <w:r>
              <w:rPr>
                <w:b/>
                <w:smallCaps/>
              </w:rPr>
              <w:t>Judgment rendered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March 29</w:t>
            </w:r>
            <w:r w:rsidRPr="00991DB3">
              <w:t xml:space="preserve">, </w:t>
            </w:r>
            <w:r>
              <w:t>2017</w:t>
            </w:r>
          </w:p>
          <w:p w:rsidR="00037E23" w:rsidRPr="006B210C" w:rsidRDefault="00037E23" w:rsidP="001D6433">
            <w:pPr>
              <w:ind w:left="302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36919</w:t>
            </w:r>
          </w:p>
        </w:tc>
      </w:tr>
    </w:tbl>
    <w:p w:rsidR="00037E23" w:rsidRDefault="00037E23" w:rsidP="00037E23">
      <w:pPr>
        <w:pStyle w:val="SCCLsocPrefix"/>
      </w:pPr>
    </w:p>
    <w:p w:rsidR="00037E23" w:rsidRDefault="00037E23" w:rsidP="00037E23">
      <w:pPr>
        <w:pStyle w:val="SCCLsocPrefix"/>
      </w:pPr>
    </w:p>
    <w:p w:rsidR="00037E23" w:rsidRDefault="00037E23" w:rsidP="00037E23">
      <w:pPr>
        <w:pStyle w:val="SCCLsocPrefix"/>
      </w:pPr>
    </w:p>
    <w:p w:rsidR="00037E23" w:rsidRDefault="00037E23" w:rsidP="00037E23">
      <w:pPr>
        <w:pStyle w:val="SCCLsocPrefix"/>
      </w:pPr>
      <w:r>
        <w:t>Between:</w:t>
      </w:r>
    </w:p>
    <w:p w:rsidR="00037E23" w:rsidRDefault="00037E23" w:rsidP="00037E23">
      <w:pPr>
        <w:jc w:val="center"/>
        <w:rPr>
          <w:b/>
        </w:rPr>
      </w:pPr>
      <w:r w:rsidRPr="00FD422A">
        <w:rPr>
          <w:b/>
        </w:rPr>
        <w:t>Desjardins Financial Security Life Assurance Company</w:t>
      </w:r>
    </w:p>
    <w:p w:rsidR="00037E23" w:rsidRDefault="00037E23" w:rsidP="00037E23">
      <w:pPr>
        <w:jc w:val="center"/>
      </w:pPr>
      <w:r>
        <w:t>Appellant</w:t>
      </w:r>
    </w:p>
    <w:p w:rsidR="00037E23" w:rsidRPr="00797AC3" w:rsidRDefault="00037E23" w:rsidP="00037E23">
      <w:pPr>
        <w:jc w:val="center"/>
      </w:pPr>
    </w:p>
    <w:p w:rsidR="00037E23" w:rsidRPr="00037E23" w:rsidRDefault="00037E23" w:rsidP="00037E23">
      <w:pPr>
        <w:pStyle w:val="SCCLsocVersus"/>
        <w:spacing w:after="0"/>
        <w:jc w:val="center"/>
        <w:rPr>
          <w:i w:val="0"/>
        </w:rPr>
      </w:pPr>
      <w:proofErr w:type="gramStart"/>
      <w:r w:rsidRPr="00037E23">
        <w:rPr>
          <w:i w:val="0"/>
        </w:rPr>
        <w:t>and</w:t>
      </w:r>
      <w:proofErr w:type="gramEnd"/>
    </w:p>
    <w:p w:rsidR="00037E23" w:rsidRPr="00797AC3" w:rsidRDefault="00037E23" w:rsidP="00037E23">
      <w:pPr>
        <w:jc w:val="center"/>
      </w:pPr>
    </w:p>
    <w:p w:rsidR="00A22FCF" w:rsidRDefault="00037E23" w:rsidP="00037E23">
      <w:pPr>
        <w:pStyle w:val="SCCLsocParty"/>
        <w:widowControl w:val="0"/>
        <w:jc w:val="center"/>
      </w:pPr>
      <w:r>
        <w:t xml:space="preserve">Mariette </w:t>
      </w:r>
      <w:proofErr w:type="spellStart"/>
      <w:r>
        <w:t>Émond</w:t>
      </w:r>
      <w:proofErr w:type="spellEnd"/>
      <w:r>
        <w:t xml:space="preserve">, Victor </w:t>
      </w:r>
      <w:proofErr w:type="spellStart"/>
      <w:r>
        <w:t>Foisy</w:t>
      </w:r>
      <w:proofErr w:type="spellEnd"/>
      <w:r>
        <w:t xml:space="preserve"> and </w:t>
      </w:r>
    </w:p>
    <w:p w:rsidR="00037E23" w:rsidRDefault="00037E23" w:rsidP="00037E23">
      <w:pPr>
        <w:pStyle w:val="SCCLsocParty"/>
        <w:widowControl w:val="0"/>
        <w:jc w:val="center"/>
      </w:pPr>
      <w:r>
        <w:t xml:space="preserve">Sabrina </w:t>
      </w:r>
      <w:proofErr w:type="spellStart"/>
      <w:r>
        <w:t>Foisy</w:t>
      </w:r>
      <w:proofErr w:type="spellEnd"/>
    </w:p>
    <w:p w:rsidR="00037E23" w:rsidRDefault="00037E23" w:rsidP="00037E23">
      <w:pPr>
        <w:jc w:val="center"/>
      </w:pPr>
      <w:r>
        <w:t>Respondents</w:t>
      </w:r>
    </w:p>
    <w:p w:rsidR="00037E23" w:rsidRDefault="00037E23" w:rsidP="00037E23"/>
    <w:p w:rsidR="00037E23" w:rsidRPr="00A22FCF" w:rsidRDefault="00A22FCF" w:rsidP="00A22FCF">
      <w:pPr>
        <w:jc w:val="center"/>
        <w:rPr>
          <w:b/>
          <w:smallCaps/>
        </w:rPr>
      </w:pPr>
      <w:r w:rsidRPr="006B210C">
        <w:rPr>
          <w:b/>
          <w:smallCaps/>
        </w:rPr>
        <w:t>Official English Translation</w:t>
      </w:r>
    </w:p>
    <w:p w:rsidR="00A22FCF" w:rsidRPr="006B210C" w:rsidRDefault="00A22FCF" w:rsidP="00037E23"/>
    <w:p w:rsidR="00037E23" w:rsidRPr="006B210C" w:rsidRDefault="00037E23" w:rsidP="00037E23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 xml:space="preserve"> and Brown JJ.</w:t>
      </w:r>
    </w:p>
    <w:p w:rsidR="00037E23" w:rsidRPr="006B210C" w:rsidRDefault="00037E23" w:rsidP="00037E2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37E23" w:rsidRPr="006B210C" w:rsidTr="001D6433">
        <w:trPr>
          <w:cantSplit/>
        </w:trPr>
        <w:tc>
          <w:tcPr>
            <w:tcW w:w="3618" w:type="dxa"/>
          </w:tcPr>
          <w:p w:rsidR="00037E23" w:rsidRDefault="00037E23" w:rsidP="001D6433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037E23" w:rsidRPr="006B210C" w:rsidRDefault="00037E23" w:rsidP="001D6433">
            <w:r w:rsidRPr="00623FDD">
              <w:t xml:space="preserve">(paras. 1 to </w:t>
            </w:r>
            <w:r>
              <w:t>5</w:t>
            </w:r>
            <w:r w:rsidRPr="00623FDD">
              <w:t>)</w:t>
            </w:r>
          </w:p>
        </w:tc>
        <w:tc>
          <w:tcPr>
            <w:tcW w:w="5958" w:type="dxa"/>
          </w:tcPr>
          <w:p w:rsidR="00037E23" w:rsidRPr="006B210C" w:rsidRDefault="00037E23" w:rsidP="001D6433">
            <w:r>
              <w:t>Wagner J. (</w:t>
            </w:r>
            <w:proofErr w:type="spellStart"/>
            <w:r>
              <w:t>Abella</w:t>
            </w:r>
            <w:proofErr w:type="spellEnd"/>
            <w:r>
              <w:t xml:space="preserve">, 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Karakatsanis</w:t>
            </w:r>
            <w:proofErr w:type="spellEnd"/>
            <w:r>
              <w:t xml:space="preserve">, </w:t>
            </w:r>
            <w:proofErr w:type="spellStart"/>
            <w:r>
              <w:t>Gascon</w:t>
            </w:r>
            <w:proofErr w:type="spellEnd"/>
            <w:r>
              <w:t xml:space="preserve">, </w:t>
            </w:r>
            <w:proofErr w:type="spellStart"/>
            <w:r>
              <w:t>Côté</w:t>
            </w:r>
            <w:proofErr w:type="spellEnd"/>
            <w:r>
              <w:t xml:space="preserve"> and Brown JJ. concurring)</w:t>
            </w:r>
          </w:p>
        </w:tc>
      </w:tr>
    </w:tbl>
    <w:p w:rsidR="00037E23" w:rsidRPr="006B210C" w:rsidRDefault="00037E23" w:rsidP="00037E23"/>
    <w:p w:rsidR="00037E23" w:rsidRPr="006B210C" w:rsidRDefault="00037E23" w:rsidP="00037E2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B233" wp14:editId="500EF557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BF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037E23" w:rsidRDefault="00037E23" w:rsidP="00422043">
      <w:pPr>
        <w:widowControl w:val="0"/>
        <w:spacing w:line="480" w:lineRule="auto"/>
        <w:jc w:val="both"/>
        <w:rPr>
          <w:rStyle w:val="SCCAppellantForRunningHeadChar"/>
          <w:smallCaps w:val="0"/>
        </w:rPr>
      </w:pPr>
    </w:p>
    <w:p w:rsidR="008322BD" w:rsidRPr="00A9276F" w:rsidRDefault="00A9276F" w:rsidP="00A910B3">
      <w:pPr>
        <w:widowControl w:val="0"/>
        <w:jc w:val="both"/>
        <w:rPr>
          <w:smallCaps/>
          <w:lang w:val="en-US"/>
        </w:rPr>
      </w:pPr>
      <w:r>
        <w:rPr>
          <w:rStyle w:val="SCCAppellantForRunningHeadChar"/>
          <w:smallCaps w:val="0"/>
          <w:lang w:val="en-US"/>
        </w:rPr>
        <w:t>D</w:t>
      </w:r>
      <w:r w:rsidR="00BB1E16" w:rsidRPr="00A9276F">
        <w:rPr>
          <w:rStyle w:val="SCCAppellantForRunningHeadChar"/>
          <w:smallCaps w:val="0"/>
          <w:lang w:val="en-US"/>
        </w:rPr>
        <w:t xml:space="preserve">esjardins </w:t>
      </w:r>
      <w:r>
        <w:rPr>
          <w:rStyle w:val="SCCAppellantForRunningHeadChar"/>
          <w:smallCaps w:val="0"/>
          <w:lang w:val="en-US"/>
        </w:rPr>
        <w:t>F</w:t>
      </w:r>
      <w:r w:rsidR="00BB1E16" w:rsidRPr="00A9276F">
        <w:rPr>
          <w:rStyle w:val="SCCAppellantForRunningHeadChar"/>
          <w:smallCaps w:val="0"/>
          <w:lang w:val="en-US"/>
        </w:rPr>
        <w:t xml:space="preserve">inancial </w:t>
      </w:r>
      <w:r>
        <w:rPr>
          <w:rStyle w:val="SCCAppellantForRunningHeadChar"/>
          <w:smallCaps w:val="0"/>
          <w:lang w:val="en-US"/>
        </w:rPr>
        <w:t>S</w:t>
      </w:r>
      <w:r w:rsidR="008F78E9" w:rsidRPr="00A9276F">
        <w:rPr>
          <w:rStyle w:val="SCCAppellantForRunningHeadChar"/>
          <w:smallCaps w:val="0"/>
          <w:lang w:val="en-US"/>
        </w:rPr>
        <w:t>ecu</w:t>
      </w:r>
      <w:r>
        <w:rPr>
          <w:rStyle w:val="SCCAppellantForRunningHeadChar"/>
          <w:smallCaps w:val="0"/>
          <w:lang w:val="en-US"/>
        </w:rPr>
        <w:t>rity</w:t>
      </w:r>
      <w:r w:rsidR="007C74B7">
        <w:rPr>
          <w:rStyle w:val="SCCAppellantForRunningHeadChar"/>
          <w:smallCaps w:val="0"/>
          <w:lang w:val="en-US"/>
        </w:rPr>
        <w:t xml:space="preserve"> Life Assurance Co.</w:t>
      </w:r>
      <w:r>
        <w:rPr>
          <w:rStyle w:val="SCCAppellantForRunningHeadChar"/>
          <w:smallCaps w:val="0"/>
          <w:lang w:val="en-US"/>
        </w:rPr>
        <w:t xml:space="preserve"> </w:t>
      </w:r>
      <w:r w:rsidRPr="00A9276F">
        <w:rPr>
          <w:rStyle w:val="SCCAppellantForRunningHeadChar"/>
          <w:i/>
          <w:smallCaps w:val="0"/>
          <w:lang w:val="en-US"/>
        </w:rPr>
        <w:t>v.</w:t>
      </w:r>
      <w:r>
        <w:rPr>
          <w:rStyle w:val="SCCAppellantForRunningHeadChar"/>
          <w:smallCaps w:val="0"/>
          <w:lang w:val="en-US"/>
        </w:rPr>
        <w:t xml:space="preserve"> </w:t>
      </w:r>
      <w:proofErr w:type="spellStart"/>
      <w:r>
        <w:rPr>
          <w:rStyle w:val="SCCRespondentForRunningHeadChar"/>
          <w:smallCaps w:val="0"/>
          <w:lang w:val="en-US"/>
        </w:rPr>
        <w:t>Émond</w:t>
      </w:r>
      <w:proofErr w:type="spellEnd"/>
      <w:r>
        <w:rPr>
          <w:rStyle w:val="SCCRespondentForRunningHeadChar"/>
          <w:smallCaps w:val="0"/>
          <w:lang w:val="en-US"/>
        </w:rPr>
        <w:t xml:space="preserve">, </w:t>
      </w:r>
      <w:r>
        <w:t>2017 SCC 19, [2017] 1 S.C.R. 358</w:t>
      </w:r>
    </w:p>
    <w:p w:rsidR="00766D14" w:rsidRPr="001F0E32" w:rsidRDefault="00766D14" w:rsidP="00422043">
      <w:pPr>
        <w:widowControl w:val="0"/>
        <w:jc w:val="both"/>
        <w:rPr>
          <w:lang w:val="en-US"/>
        </w:rPr>
      </w:pPr>
    </w:p>
    <w:p w:rsidR="00A149DF" w:rsidRPr="001F0E32" w:rsidRDefault="00A149DF" w:rsidP="00422043">
      <w:pPr>
        <w:widowControl w:val="0"/>
        <w:jc w:val="both"/>
        <w:rPr>
          <w:lang w:val="en-US"/>
        </w:rPr>
      </w:pPr>
    </w:p>
    <w:p w:rsidR="00A149DF" w:rsidRPr="001F0E32" w:rsidRDefault="00A149DF" w:rsidP="00422043">
      <w:pPr>
        <w:widowControl w:val="0"/>
        <w:jc w:val="both"/>
        <w:rPr>
          <w:lang w:val="en-US"/>
        </w:rPr>
      </w:pPr>
      <w:bookmarkStart w:id="0" w:name="_GoBack"/>
      <w:bookmarkEnd w:id="0"/>
    </w:p>
    <w:p w:rsidR="00E945AF" w:rsidRDefault="00A83512" w:rsidP="00422043">
      <w:pPr>
        <w:pStyle w:val="SCCLsocLastPartyInRole"/>
        <w:widowControl w:val="0"/>
      </w:pPr>
      <w:r>
        <w:t>Desjardins Financial Security Life Assurance Company</w:t>
      </w:r>
      <w:r>
        <w:rPr>
          <w:rStyle w:val="SCCLsocPartyRole"/>
        </w:rPr>
        <w:tab/>
        <w:t>Appellant</w:t>
      </w:r>
    </w:p>
    <w:p w:rsidR="00E945AF" w:rsidRDefault="00A83512" w:rsidP="00422043">
      <w:pPr>
        <w:pStyle w:val="SCCLsocVersus"/>
        <w:widowControl w:val="0"/>
      </w:pPr>
      <w:proofErr w:type="gramStart"/>
      <w:r>
        <w:t>v</w:t>
      </w:r>
      <w:proofErr w:type="gramEnd"/>
      <w:r>
        <w:t>.</w:t>
      </w:r>
    </w:p>
    <w:p w:rsidR="00E945AF" w:rsidRDefault="00F651D4" w:rsidP="00422043">
      <w:pPr>
        <w:pStyle w:val="SCCLsocParty"/>
        <w:widowControl w:val="0"/>
      </w:pPr>
      <w:r>
        <w:lastRenderedPageBreak/>
        <w:t>Mariette Émond, Victor Foisy and</w:t>
      </w:r>
    </w:p>
    <w:p w:rsidR="00A149DF" w:rsidRDefault="00A83512" w:rsidP="00422043">
      <w:pPr>
        <w:pStyle w:val="SCCLsocLastPartyInRole"/>
        <w:widowControl w:val="0"/>
      </w:pPr>
      <w:r>
        <w:t>Sabrina Foisy</w:t>
      </w:r>
      <w:r>
        <w:rPr>
          <w:rStyle w:val="SCCLsocPartyRole"/>
        </w:rPr>
        <w:tab/>
        <w:t>Respondents</w:t>
      </w:r>
    </w:p>
    <w:p w:rsidR="00A149DF" w:rsidRPr="001426A9" w:rsidRDefault="00A149DF" w:rsidP="00422043">
      <w:pPr>
        <w:widowControl w:val="0"/>
        <w:jc w:val="both"/>
      </w:pPr>
    </w:p>
    <w:p w:rsidR="00426659" w:rsidRDefault="00426659" w:rsidP="00422043">
      <w:pPr>
        <w:widowControl w:val="0"/>
        <w:jc w:val="both"/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F651D4">
        <w:rPr>
          <w:b/>
        </w:rPr>
        <w:t xml:space="preserve"> </w:t>
      </w:r>
      <w:r w:rsidR="00F651D4">
        <w:rPr>
          <w:rStyle w:val="SCCAppellantForIndexChar"/>
        </w:rPr>
        <w:t>Desjardins Financial</w:t>
      </w:r>
      <w:r w:rsidR="006E46A4">
        <w:rPr>
          <w:rStyle w:val="SCCAppellantForIndexChar"/>
        </w:rPr>
        <w:t xml:space="preserve"> Security Life Assurance Co.</w:t>
      </w:r>
      <w:r w:rsidR="00F651D4">
        <w:rPr>
          <w:rStyle w:val="SCCAppellantForIndexChar"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</w:rPr>
        <w:t xml:space="preserve">Émond </w:t>
      </w:r>
    </w:p>
    <w:p w:rsidR="00A149DF" w:rsidRDefault="00A149DF" w:rsidP="00422043">
      <w:pPr>
        <w:widowControl w:val="0"/>
        <w:jc w:val="both"/>
      </w:pPr>
    </w:p>
    <w:p w:rsidR="00C56BC2" w:rsidRDefault="00C56BC2" w:rsidP="00422043">
      <w:pPr>
        <w:widowControl w:val="0"/>
        <w:jc w:val="both"/>
      </w:pPr>
    </w:p>
    <w:p w:rsidR="00A149DF" w:rsidRDefault="00A149DF" w:rsidP="00422043">
      <w:pPr>
        <w:widowControl w:val="0"/>
        <w:jc w:val="both"/>
      </w:pPr>
    </w:p>
    <w:p w:rsidR="00426659" w:rsidRPr="00C02092" w:rsidRDefault="00AE4535" w:rsidP="00422043">
      <w:pPr>
        <w:pStyle w:val="SCCSystemYear"/>
        <w:widowControl w:val="0"/>
        <w:jc w:val="both"/>
      </w:pPr>
      <w:r>
        <w:t>2017</w:t>
      </w:r>
      <w:r w:rsidR="003D0399">
        <w:t xml:space="preserve"> </w:t>
      </w:r>
      <w:r w:rsidR="00F651D4">
        <w:t>SCC 19</w:t>
      </w:r>
    </w:p>
    <w:p w:rsidR="00426659" w:rsidRDefault="00426659" w:rsidP="00422043">
      <w:pPr>
        <w:widowControl w:val="0"/>
        <w:jc w:val="both"/>
      </w:pPr>
    </w:p>
    <w:p w:rsidR="00A149DF" w:rsidRDefault="00A149DF" w:rsidP="00422043">
      <w:pPr>
        <w:widowControl w:val="0"/>
        <w:jc w:val="both"/>
      </w:pPr>
    </w:p>
    <w:p w:rsidR="00A149DF" w:rsidRDefault="00A149DF" w:rsidP="00422043">
      <w:pPr>
        <w:widowControl w:val="0"/>
        <w:jc w:val="both"/>
      </w:pPr>
    </w:p>
    <w:p w:rsidR="008322BD" w:rsidRDefault="009B57B3" w:rsidP="00422043">
      <w:pPr>
        <w:widowControl w:val="0"/>
        <w:jc w:val="both"/>
      </w:pPr>
      <w:r w:rsidRPr="001426A9">
        <w:t xml:space="preserve">File No.:  </w:t>
      </w:r>
      <w:r>
        <w:t>36919</w:t>
      </w:r>
      <w:r w:rsidRPr="001426A9">
        <w:t>.</w:t>
      </w:r>
    </w:p>
    <w:p w:rsidR="00E97830" w:rsidRDefault="00E97830" w:rsidP="00422043">
      <w:pPr>
        <w:widowControl w:val="0"/>
        <w:jc w:val="both"/>
      </w:pPr>
    </w:p>
    <w:p w:rsidR="00A149DF" w:rsidRDefault="00A149DF" w:rsidP="00422043">
      <w:pPr>
        <w:widowControl w:val="0"/>
        <w:jc w:val="both"/>
      </w:pPr>
    </w:p>
    <w:p w:rsidR="00A149DF" w:rsidRDefault="00A149DF" w:rsidP="00422043">
      <w:pPr>
        <w:widowControl w:val="0"/>
        <w:jc w:val="both"/>
      </w:pPr>
    </w:p>
    <w:p w:rsidR="008322BD" w:rsidRDefault="00AE4535" w:rsidP="00422043">
      <w:pPr>
        <w:widowControl w:val="0"/>
        <w:jc w:val="both"/>
      </w:pPr>
      <w:r>
        <w:t>2017:  March 29</w:t>
      </w:r>
      <w:r w:rsidR="00F651D4">
        <w:t>.</w:t>
      </w:r>
    </w:p>
    <w:p w:rsidR="00E97830" w:rsidRDefault="00E97830" w:rsidP="00422043">
      <w:pPr>
        <w:widowControl w:val="0"/>
        <w:jc w:val="both"/>
      </w:pPr>
    </w:p>
    <w:p w:rsidR="00A149DF" w:rsidRDefault="00A149DF" w:rsidP="00422043">
      <w:pPr>
        <w:widowControl w:val="0"/>
        <w:jc w:val="both"/>
      </w:pPr>
    </w:p>
    <w:p w:rsidR="00A149DF" w:rsidRDefault="00A149DF" w:rsidP="00422043">
      <w:pPr>
        <w:widowControl w:val="0"/>
        <w:jc w:val="both"/>
      </w:pPr>
    </w:p>
    <w:p w:rsidR="008322BD" w:rsidRDefault="009B57B3" w:rsidP="00422043">
      <w:pPr>
        <w:widowControl w:val="0"/>
        <w:jc w:val="both"/>
      </w:pPr>
      <w:r w:rsidRPr="001426A9">
        <w:t xml:space="preserve">Present:  </w:t>
      </w:r>
      <w:r>
        <w:t>Abella, Moldaver, Karakatsanis, Wagner, Gascon, Côté and Brown JJ.</w:t>
      </w:r>
    </w:p>
    <w:p w:rsidR="00E97830" w:rsidRDefault="00E97830" w:rsidP="00422043">
      <w:pPr>
        <w:widowControl w:val="0"/>
        <w:jc w:val="both"/>
      </w:pPr>
    </w:p>
    <w:p w:rsidR="006A1551" w:rsidRDefault="006A1551" w:rsidP="00422043">
      <w:pPr>
        <w:widowControl w:val="0"/>
        <w:jc w:val="both"/>
      </w:pPr>
    </w:p>
    <w:p w:rsidR="00E945AF" w:rsidRDefault="00E945AF" w:rsidP="00422043">
      <w:pPr>
        <w:widowControl w:val="0"/>
      </w:pPr>
    </w:p>
    <w:p w:rsidR="008322BD" w:rsidRPr="001C779F" w:rsidRDefault="003A4157" w:rsidP="00422043">
      <w:pPr>
        <w:pStyle w:val="SCCLowerCourtNameLowercase"/>
        <w:widowControl w:val="0"/>
      </w:pPr>
      <w:r>
        <w:t>on appeal from the court of appeal for quebec</w:t>
      </w:r>
    </w:p>
    <w:p w:rsidR="003A4C70" w:rsidRPr="001426A9" w:rsidRDefault="003A4C70" w:rsidP="00422043">
      <w:pPr>
        <w:pStyle w:val="SCCNormalDoubleSpacing"/>
        <w:widowControl w:val="0"/>
      </w:pPr>
    </w:p>
    <w:p w:rsidR="008E56FB" w:rsidRPr="008E56FB" w:rsidRDefault="008E56FB" w:rsidP="00422043">
      <w:pPr>
        <w:pStyle w:val="SCCNormalDoubleSpacing"/>
        <w:widowControl w:val="0"/>
        <w:rPr>
          <w:b/>
        </w:rPr>
      </w:pPr>
      <w:r w:rsidRPr="008E56FB">
        <w:tab/>
      </w:r>
      <w:r w:rsidR="00860FC3">
        <w:rPr>
          <w:i/>
        </w:rPr>
        <w:t>Insurance — Personal insurance — Exclusion —</w:t>
      </w:r>
      <w:r w:rsidRPr="008E56FB">
        <w:rPr>
          <w:i/>
        </w:rPr>
        <w:t xml:space="preserve"> Insurance contract providing for benefits to heirs of insured </w:t>
      </w:r>
      <w:r>
        <w:rPr>
          <w:i/>
        </w:rPr>
        <w:t>if he</w:t>
      </w:r>
      <w:r w:rsidRPr="008E56FB">
        <w:rPr>
          <w:i/>
        </w:rPr>
        <w:t xml:space="preserve"> died </w:t>
      </w:r>
      <w:r>
        <w:rPr>
          <w:i/>
        </w:rPr>
        <w:t xml:space="preserve">as result of </w:t>
      </w:r>
      <w:r w:rsidR="00860FC3">
        <w:rPr>
          <w:i/>
        </w:rPr>
        <w:t>accident —</w:t>
      </w:r>
      <w:r w:rsidRPr="008E56FB">
        <w:rPr>
          <w:i/>
        </w:rPr>
        <w:t xml:space="preserve"> Exclusion clause to effect that there </w:t>
      </w:r>
      <w:r w:rsidR="00562A46">
        <w:rPr>
          <w:i/>
        </w:rPr>
        <w:t xml:space="preserve">is </w:t>
      </w:r>
      <w:r w:rsidRPr="008E56FB">
        <w:rPr>
          <w:i/>
        </w:rPr>
        <w:t>no entitlement to benefits</w:t>
      </w:r>
      <w:r w:rsidR="00A13F2B">
        <w:rPr>
          <w:i/>
        </w:rPr>
        <w:t xml:space="preserve"> under contract</w:t>
      </w:r>
      <w:r>
        <w:rPr>
          <w:i/>
        </w:rPr>
        <w:t xml:space="preserve"> “if the accident occur</w:t>
      </w:r>
      <w:r w:rsidR="00AF5CE1">
        <w:rPr>
          <w:i/>
        </w:rPr>
        <w:t>red</w:t>
      </w:r>
      <w:r>
        <w:rPr>
          <w:i/>
        </w:rPr>
        <w:t xml:space="preserve"> while the insured </w:t>
      </w:r>
      <w:r w:rsidR="00AF5CE1">
        <w:rPr>
          <w:i/>
        </w:rPr>
        <w:t>was</w:t>
      </w:r>
      <w:r>
        <w:rPr>
          <w:i/>
        </w:rPr>
        <w:t xml:space="preserve"> participating in an indictable offence”</w:t>
      </w:r>
      <w:r w:rsidR="00860FC3">
        <w:rPr>
          <w:i/>
        </w:rPr>
        <w:t xml:space="preserve"> —</w:t>
      </w:r>
      <w:r w:rsidRPr="008E56FB">
        <w:rPr>
          <w:i/>
        </w:rPr>
        <w:t xml:space="preserve"> </w:t>
      </w:r>
      <w:r>
        <w:rPr>
          <w:i/>
        </w:rPr>
        <w:t xml:space="preserve">Insured dying in motorcycle </w:t>
      </w:r>
      <w:r w:rsidRPr="008E56FB">
        <w:rPr>
          <w:i/>
        </w:rPr>
        <w:t xml:space="preserve">accident </w:t>
      </w:r>
      <w:r w:rsidR="00744270">
        <w:rPr>
          <w:i/>
        </w:rPr>
        <w:t xml:space="preserve">while being chased by police </w:t>
      </w:r>
      <w:r w:rsidR="00860FC3">
        <w:rPr>
          <w:i/>
        </w:rPr>
        <w:t>—</w:t>
      </w:r>
      <w:r w:rsidRPr="008E56FB">
        <w:rPr>
          <w:i/>
        </w:rPr>
        <w:t xml:space="preserve"> </w:t>
      </w:r>
      <w:r w:rsidR="00744270">
        <w:rPr>
          <w:i/>
        </w:rPr>
        <w:t xml:space="preserve">Offences for which insured could have been prosecuted had he not died are hybrid offences </w:t>
      </w:r>
      <w:r w:rsidR="00860FC3">
        <w:rPr>
          <w:i/>
        </w:rPr>
        <w:t>—</w:t>
      </w:r>
      <w:r w:rsidRPr="008E56FB">
        <w:rPr>
          <w:i/>
        </w:rPr>
        <w:t xml:space="preserve"> </w:t>
      </w:r>
      <w:r w:rsidR="00744270">
        <w:rPr>
          <w:i/>
        </w:rPr>
        <w:t>E</w:t>
      </w:r>
      <w:r w:rsidRPr="008E56FB">
        <w:rPr>
          <w:i/>
        </w:rPr>
        <w:t xml:space="preserve">xclusion </w:t>
      </w:r>
      <w:r w:rsidR="00744270">
        <w:rPr>
          <w:i/>
        </w:rPr>
        <w:t xml:space="preserve">from insurance policy may not be set up against heirs of insured, as </w:t>
      </w:r>
      <w:r w:rsidRPr="008E56FB">
        <w:rPr>
          <w:i/>
        </w:rPr>
        <w:t xml:space="preserve">art. 2402 </w:t>
      </w:r>
      <w:r w:rsidR="00744270">
        <w:rPr>
          <w:i/>
        </w:rPr>
        <w:t>of Civil Code of</w:t>
      </w:r>
      <w:r w:rsidRPr="008E56FB">
        <w:rPr>
          <w:i/>
        </w:rPr>
        <w:t xml:space="preserve"> Québec, </w:t>
      </w:r>
      <w:r w:rsidR="00744270">
        <w:rPr>
          <w:i/>
        </w:rPr>
        <w:t xml:space="preserve">on which </w:t>
      </w:r>
      <w:r w:rsidRPr="008E56FB">
        <w:rPr>
          <w:i/>
        </w:rPr>
        <w:t xml:space="preserve">exclusion </w:t>
      </w:r>
      <w:r w:rsidR="00744270">
        <w:rPr>
          <w:i/>
        </w:rPr>
        <w:t>was based</w:t>
      </w:r>
      <w:r w:rsidRPr="008E56FB">
        <w:rPr>
          <w:i/>
        </w:rPr>
        <w:t xml:space="preserve">, </w:t>
      </w:r>
      <w:r w:rsidR="00744270">
        <w:rPr>
          <w:i/>
        </w:rPr>
        <w:t xml:space="preserve">concerns only indictable offences, those that are punishable exclusively by way of indictment, and not hybrid offences </w:t>
      </w:r>
      <w:r w:rsidR="00860FC3">
        <w:rPr>
          <w:i/>
        </w:rPr>
        <w:t>—</w:t>
      </w:r>
      <w:r w:rsidRPr="008E56FB">
        <w:rPr>
          <w:i/>
        </w:rPr>
        <w:t xml:space="preserve"> </w:t>
      </w:r>
      <w:r w:rsidR="00744270">
        <w:rPr>
          <w:i/>
        </w:rPr>
        <w:t xml:space="preserve">Civil Code </w:t>
      </w:r>
      <w:r w:rsidR="00744270">
        <w:rPr>
          <w:i/>
        </w:rPr>
        <w:lastRenderedPageBreak/>
        <w:t>of</w:t>
      </w:r>
      <w:r w:rsidRPr="008E56FB">
        <w:rPr>
          <w:i/>
        </w:rPr>
        <w:t xml:space="preserve"> Québec, art. 2402.</w:t>
      </w:r>
    </w:p>
    <w:p w:rsidR="00A149DF" w:rsidRDefault="00A149DF" w:rsidP="00422043">
      <w:pPr>
        <w:pStyle w:val="SCCNormalDoubleSpacing"/>
        <w:widowControl w:val="0"/>
      </w:pPr>
    </w:p>
    <w:p w:rsidR="003B215F" w:rsidRDefault="002E6705" w:rsidP="00422043">
      <w:pPr>
        <w:pStyle w:val="SCCNormalDoubleSpacing"/>
        <w:widowControl w:val="0"/>
        <w:spacing w:line="240" w:lineRule="auto"/>
      </w:pPr>
      <w:r w:rsidRPr="00314E01">
        <w:rPr>
          <w:b/>
        </w:rPr>
        <w:t>Statutes and Regulations Cite</w:t>
      </w:r>
      <w:r w:rsidR="00A41805">
        <w:rPr>
          <w:b/>
        </w:rPr>
        <w:t>d</w:t>
      </w:r>
    </w:p>
    <w:p w:rsidR="00A149DF" w:rsidRDefault="00A149DF" w:rsidP="00422043">
      <w:pPr>
        <w:pStyle w:val="SCCNormalDoubleSpacing"/>
        <w:widowControl w:val="0"/>
        <w:spacing w:after="240" w:line="240" w:lineRule="auto"/>
      </w:pPr>
    </w:p>
    <w:p w:rsidR="000A5738" w:rsidRDefault="00456769" w:rsidP="00422043">
      <w:pPr>
        <w:pStyle w:val="SCCNormalDoubleSpacing"/>
        <w:widowControl w:val="0"/>
        <w:spacing w:line="240" w:lineRule="auto"/>
        <w:ind w:left="540" w:hanging="540"/>
      </w:pPr>
      <w:r w:rsidRPr="006B20C7">
        <w:rPr>
          <w:i/>
        </w:rPr>
        <w:t>Civil Code of Qu</w:t>
      </w:r>
      <w:r w:rsidR="00BB1E16">
        <w:rPr>
          <w:i/>
        </w:rPr>
        <w:t>é</w:t>
      </w:r>
      <w:r w:rsidRPr="006B20C7">
        <w:rPr>
          <w:i/>
        </w:rPr>
        <w:t>bec</w:t>
      </w:r>
      <w:r>
        <w:t xml:space="preserve">, </w:t>
      </w:r>
      <w:r w:rsidR="006B20C7">
        <w:t>art. 2402.</w:t>
      </w:r>
    </w:p>
    <w:p w:rsidR="000A5738" w:rsidRDefault="000A5738" w:rsidP="00422043">
      <w:pPr>
        <w:pStyle w:val="SCCNormalDoubleSpacing"/>
        <w:widowControl w:val="0"/>
        <w:spacing w:line="240" w:lineRule="auto"/>
        <w:ind w:left="540" w:hanging="540"/>
      </w:pPr>
    </w:p>
    <w:p w:rsidR="00A149DF" w:rsidRDefault="00356F57" w:rsidP="00422043">
      <w:pPr>
        <w:pStyle w:val="SCCNormalDoubleSpacing"/>
        <w:widowControl w:val="0"/>
      </w:pPr>
      <w:r w:rsidRPr="009816CF">
        <w:rPr>
          <w:i/>
        </w:rPr>
        <w:t>Interpretation Act</w:t>
      </w:r>
      <w:r w:rsidRPr="009816CF">
        <w:t>,</w:t>
      </w:r>
      <w:r w:rsidRPr="00E824FA">
        <w:rPr>
          <w:lang w:val="en-US"/>
        </w:rPr>
        <w:t xml:space="preserve"> R.S.C. 1985, c. I-21</w:t>
      </w:r>
      <w:r>
        <w:rPr>
          <w:lang w:val="en-US"/>
        </w:rPr>
        <w:t>, s. 34(1).</w:t>
      </w:r>
    </w:p>
    <w:p w:rsidR="00C56BC2" w:rsidRDefault="00C56BC2" w:rsidP="00422043">
      <w:pPr>
        <w:pStyle w:val="SCCNormalDoubleSpacing"/>
        <w:widowControl w:val="0"/>
      </w:pPr>
    </w:p>
    <w:p w:rsidR="00656313" w:rsidRDefault="009B57B3" w:rsidP="00422043">
      <w:pPr>
        <w:pStyle w:val="SCCNormalDoubleSpacing"/>
        <w:widowControl w:val="0"/>
      </w:pPr>
      <w:r w:rsidRPr="001426A9">
        <w:tab/>
        <w:t xml:space="preserve">APPEAL from a judgment of the </w:t>
      </w:r>
      <w:r w:rsidR="00A83512">
        <w:t xml:space="preserve">Quebec </w:t>
      </w:r>
      <w:r>
        <w:t xml:space="preserve">Court of Appeal </w:t>
      </w:r>
      <w:r w:rsidR="001F0E32">
        <w:t xml:space="preserve">(St-Pierre, Vauclair and Mainville JJ.A.), </w:t>
      </w:r>
      <w:r w:rsidR="00192518">
        <w:t xml:space="preserve">2016 QCCA 161, </w:t>
      </w:r>
      <w:r w:rsidR="00BB1E16">
        <w:rPr>
          <w:lang w:val="en-US"/>
        </w:rPr>
        <w:t xml:space="preserve">[2016] AZ-51250639, </w:t>
      </w:r>
      <w:r w:rsidR="00192518">
        <w:t>[2016] J.Q. n</w:t>
      </w:r>
      <w:r w:rsidR="00192518" w:rsidRPr="00192518">
        <w:rPr>
          <w:vertAlign w:val="superscript"/>
        </w:rPr>
        <w:t>o</w:t>
      </w:r>
      <w:r w:rsidR="00192518">
        <w:t xml:space="preserve"> 631 (QL), 2016 CarswellQue 573 (WL Can</w:t>
      </w:r>
      <w:r w:rsidR="0082376C">
        <w:t>.</w:t>
      </w:r>
      <w:r w:rsidR="00192518">
        <w:t>),</w:t>
      </w:r>
      <w:r w:rsidR="001F0E32">
        <w:t xml:space="preserve"> </w:t>
      </w:r>
      <w:r w:rsidR="001F0E32" w:rsidRPr="00E6149D">
        <w:t>affirming a decision of Gervais J.,</w:t>
      </w:r>
      <w:r w:rsidR="0082376C">
        <w:t xml:space="preserve"> </w:t>
      </w:r>
      <w:r w:rsidR="0082376C" w:rsidRPr="0082376C">
        <w:rPr>
          <w:lang w:val="en-US"/>
        </w:rPr>
        <w:t>2014 QCCQ 2565,</w:t>
      </w:r>
      <w:r w:rsidR="00BB1E16">
        <w:rPr>
          <w:lang w:val="en-US"/>
        </w:rPr>
        <w:t xml:space="preserve"> [2014] AZ-51063428,</w:t>
      </w:r>
      <w:r w:rsidR="0082376C" w:rsidRPr="0082376C">
        <w:rPr>
          <w:lang w:val="en-US"/>
        </w:rPr>
        <w:t xml:space="preserve"> [2014] J.Q. n</w:t>
      </w:r>
      <w:r w:rsidR="0082376C" w:rsidRPr="0082376C">
        <w:rPr>
          <w:vertAlign w:val="superscript"/>
          <w:lang w:val="en-US"/>
        </w:rPr>
        <w:t>o</w:t>
      </w:r>
      <w:r w:rsidR="0082376C" w:rsidRPr="0082376C">
        <w:rPr>
          <w:lang w:val="en-US"/>
        </w:rPr>
        <w:t xml:space="preserve"> 3112 (QL), 2014 CarswellQue 3132 (WL Can</w:t>
      </w:r>
      <w:r w:rsidR="0082376C">
        <w:rPr>
          <w:lang w:val="en-US"/>
        </w:rPr>
        <w:t>.</w:t>
      </w:r>
      <w:r w:rsidR="0082376C" w:rsidRPr="0082376C">
        <w:rPr>
          <w:lang w:val="en-US"/>
        </w:rPr>
        <w:t xml:space="preserve">). </w:t>
      </w:r>
      <w:r w:rsidR="00356F57">
        <w:rPr>
          <w:lang w:val="en-US"/>
        </w:rPr>
        <w:t>Appeal dismissed.</w:t>
      </w:r>
    </w:p>
    <w:p w:rsidR="00656313" w:rsidRDefault="00656313" w:rsidP="00422043">
      <w:pPr>
        <w:pStyle w:val="SCCNormalDoubleSpacing"/>
        <w:widowControl w:val="0"/>
      </w:pPr>
    </w:p>
    <w:p w:rsidR="00E945AF" w:rsidRDefault="00A83512" w:rsidP="00422043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tab/>
        <w:t>Maria Isabel Garcia</w:t>
      </w:r>
      <w:r>
        <w:rPr>
          <w:rStyle w:val="SCCCounselPartyRoleChar"/>
        </w:rPr>
        <w:t>, for the appellant.</w:t>
      </w:r>
    </w:p>
    <w:p w:rsidR="0009606D" w:rsidRDefault="0009606D" w:rsidP="00422043">
      <w:pPr>
        <w:pStyle w:val="SCCNormalDoubleSpacing"/>
        <w:widowControl w:val="0"/>
        <w:rPr>
          <w:rStyle w:val="SCCCounselPartyRoleChar"/>
        </w:rPr>
      </w:pPr>
    </w:p>
    <w:p w:rsidR="0009606D" w:rsidRDefault="0009606D" w:rsidP="00422043">
      <w:pPr>
        <w:pStyle w:val="SCCNormalDoubleSpacing"/>
        <w:widowControl w:val="0"/>
        <w:rPr>
          <w:rStyle w:val="SCCCounselPartyRoleChar"/>
        </w:rPr>
      </w:pPr>
      <w:r>
        <w:rPr>
          <w:rStyle w:val="SCCCounselPartyRoleChar"/>
        </w:rPr>
        <w:tab/>
        <w:t>No one appeared for the respondents.</w:t>
      </w:r>
    </w:p>
    <w:p w:rsidR="0009606D" w:rsidRDefault="0009606D" w:rsidP="00422043">
      <w:pPr>
        <w:pStyle w:val="SCCNormalDoubleSpacing"/>
        <w:widowControl w:val="0"/>
        <w:rPr>
          <w:rStyle w:val="SCCCounselPartyRoleChar"/>
        </w:rPr>
      </w:pPr>
    </w:p>
    <w:p w:rsidR="009A5EC0" w:rsidRDefault="009A5EC0" w:rsidP="00422043">
      <w:pPr>
        <w:pStyle w:val="SCCNormalDoubleSpacing"/>
        <w:widowControl w:val="0"/>
        <w:rPr>
          <w:rStyle w:val="SCCCounselPartyRoleChar"/>
        </w:rPr>
      </w:pPr>
      <w:r>
        <w:rPr>
          <w:rStyle w:val="SCCCounselPartyRoleChar"/>
        </w:rPr>
        <w:tab/>
      </w:r>
      <w:r w:rsidRPr="009A5EC0">
        <w:rPr>
          <w:rStyle w:val="SCCCounselPartyRoleChar"/>
          <w:i/>
        </w:rPr>
        <w:t>Léon H. Moubayed</w:t>
      </w:r>
      <w:r>
        <w:rPr>
          <w:rStyle w:val="SCCCounselPartyRoleChar"/>
        </w:rPr>
        <w:t xml:space="preserve">, </w:t>
      </w:r>
      <w:r w:rsidR="00E6149D">
        <w:rPr>
          <w:rStyle w:val="SCCCounselPartyRoleChar"/>
        </w:rPr>
        <w:t>as</w:t>
      </w:r>
      <w:r>
        <w:rPr>
          <w:rStyle w:val="SCCCounselPartyRoleChar"/>
        </w:rPr>
        <w:t xml:space="preserve"> </w:t>
      </w:r>
      <w:r w:rsidRPr="009A5EC0">
        <w:rPr>
          <w:rStyle w:val="SCCCounselPartyRoleChar"/>
          <w:i/>
        </w:rPr>
        <w:t>amicus curiae</w:t>
      </w:r>
      <w:r>
        <w:rPr>
          <w:rStyle w:val="SCCCounselPartyRoleChar"/>
        </w:rPr>
        <w:t>.</w:t>
      </w:r>
    </w:p>
    <w:p w:rsidR="0009606D" w:rsidRDefault="0009606D" w:rsidP="00422043">
      <w:pPr>
        <w:pStyle w:val="SCCNormalDoubleSpacing"/>
        <w:widowControl w:val="0"/>
        <w:rPr>
          <w:rStyle w:val="SCCCounselPartyRoleChar"/>
        </w:rPr>
      </w:pPr>
    </w:p>
    <w:p w:rsidR="00BC7E54" w:rsidRPr="00E73249" w:rsidRDefault="00BC7E54" w:rsidP="00422043">
      <w:pPr>
        <w:pStyle w:val="SCCNormalDoubleSpacing"/>
        <w:widowControl w:val="0"/>
        <w:spacing w:line="240" w:lineRule="auto"/>
        <w:rPr>
          <w:lang w:val="en-US"/>
        </w:rPr>
      </w:pPr>
      <w:r w:rsidRPr="00417910">
        <w:rPr>
          <w:lang w:val="en-US"/>
        </w:rPr>
        <w:tab/>
      </w:r>
      <w:r w:rsidRPr="00E73249">
        <w:rPr>
          <w:lang w:val="en-US"/>
        </w:rPr>
        <w:t>English ver</w:t>
      </w:r>
      <w:r>
        <w:rPr>
          <w:lang w:val="en-US"/>
        </w:rPr>
        <w:t>s</w:t>
      </w:r>
      <w:r w:rsidRPr="00E73249">
        <w:rPr>
          <w:lang w:val="en-US"/>
        </w:rPr>
        <w:t xml:space="preserve">ion of </w:t>
      </w:r>
      <w:r>
        <w:rPr>
          <w:lang w:val="en-US"/>
        </w:rPr>
        <w:t>t</w:t>
      </w:r>
      <w:r w:rsidRPr="00E73249">
        <w:rPr>
          <w:lang w:val="en-US"/>
        </w:rPr>
        <w:t>he judgmen</w:t>
      </w:r>
      <w:r>
        <w:rPr>
          <w:lang w:val="en-US"/>
        </w:rPr>
        <w:t>t of the Court delivered</w:t>
      </w:r>
      <w:r w:rsidRPr="00E73249">
        <w:rPr>
          <w:lang w:val="en-US"/>
        </w:rPr>
        <w:t xml:space="preserve"> orally by</w:t>
      </w:r>
    </w:p>
    <w:p w:rsidR="00BC7E54" w:rsidRDefault="00BC7E54" w:rsidP="00422043">
      <w:pPr>
        <w:pStyle w:val="SCCNormalDoubleSpacing"/>
        <w:widowControl w:val="0"/>
        <w:spacing w:line="240" w:lineRule="auto"/>
        <w:rPr>
          <w:rStyle w:val="SCCCounselPartyRoleChar"/>
          <w:lang w:val="en-US"/>
        </w:rPr>
      </w:pPr>
    </w:p>
    <w:p w:rsidR="00A23590" w:rsidRPr="00BA394C" w:rsidRDefault="00A23590" w:rsidP="00422043">
      <w:pPr>
        <w:pStyle w:val="ParaNoNdepar-AltN"/>
        <w:widowControl w:val="0"/>
        <w:numPr>
          <w:ilvl w:val="0"/>
          <w:numId w:val="3"/>
        </w:numPr>
        <w:tabs>
          <w:tab w:val="num" w:pos="1152"/>
        </w:tabs>
        <w:ind w:left="0" w:firstLine="0"/>
        <w:rPr>
          <w:rFonts w:cs="Times New Roman"/>
        </w:rPr>
      </w:pPr>
      <w:r w:rsidRPr="00BA394C">
        <w:rPr>
          <w:rFonts w:cs="Times New Roman"/>
          <w:smallCaps/>
        </w:rPr>
        <w:t>Wagner J.</w:t>
      </w:r>
      <w:r w:rsidRPr="00BA394C">
        <w:rPr>
          <w:rFonts w:cs="Times New Roman"/>
        </w:rPr>
        <w:t xml:space="preserve"> — </w:t>
      </w:r>
      <w:proofErr w:type="gramStart"/>
      <w:r w:rsidRPr="00BA394C">
        <w:rPr>
          <w:rFonts w:cs="Times New Roman"/>
        </w:rPr>
        <w:t>The</w:t>
      </w:r>
      <w:proofErr w:type="gramEnd"/>
      <w:r w:rsidRPr="00BA394C">
        <w:rPr>
          <w:rFonts w:cs="Times New Roman"/>
        </w:rPr>
        <w:t xml:space="preserve"> appellant argues that the broad exclusion clause in the accident insurance contract to the effect that the insurer </w:t>
      </w:r>
      <w:r w:rsidRPr="00A23590">
        <w:rPr>
          <w:rStyle w:val="SCCCounselPartyRoleChar"/>
        </w:rPr>
        <w:t>will</w:t>
      </w:r>
      <w:r w:rsidRPr="00BA394C">
        <w:rPr>
          <w:rFonts w:cs="Times New Roman"/>
        </w:rPr>
        <w:t xml:space="preserve"> pay no benefits if an accident occurred while the insured was participating in an indictable offence may be </w:t>
      </w:r>
      <w:r w:rsidRPr="00BA394C">
        <w:rPr>
          <w:rFonts w:cs="Times New Roman"/>
        </w:rPr>
        <w:lastRenderedPageBreak/>
        <w:t>set up against the heirs of the insured.</w:t>
      </w:r>
    </w:p>
    <w:p w:rsidR="00A23590" w:rsidRDefault="00A23590" w:rsidP="00422043">
      <w:pPr>
        <w:pStyle w:val="ParaNoNdepar-AltN"/>
        <w:widowControl w:val="0"/>
        <w:numPr>
          <w:ilvl w:val="0"/>
          <w:numId w:val="3"/>
        </w:numPr>
        <w:tabs>
          <w:tab w:val="num" w:pos="1152"/>
        </w:tabs>
        <w:ind w:left="0" w:firstLine="0"/>
      </w:pPr>
      <w:r w:rsidRPr="00BA394C">
        <w:rPr>
          <w:rFonts w:cs="Times New Roman"/>
        </w:rPr>
        <w:t xml:space="preserve">In this case, the offences of which the </w:t>
      </w:r>
      <w:r w:rsidRPr="00A23590">
        <w:rPr>
          <w:rStyle w:val="SCCCounselPartyRoleChar"/>
        </w:rPr>
        <w:t>insured</w:t>
      </w:r>
      <w:r w:rsidRPr="00BA394C">
        <w:rPr>
          <w:rFonts w:cs="Times New Roman"/>
        </w:rPr>
        <w:t xml:space="preserve"> could have been convicted had he not died are hybrid offences that the Crown may choose to prosecute either as summary conviction offences or as indictable offences.</w:t>
      </w:r>
    </w:p>
    <w:p w:rsidR="00A23590" w:rsidRPr="00BA394C" w:rsidRDefault="00A23590" w:rsidP="00422043">
      <w:pPr>
        <w:pStyle w:val="ParaNoNdepar-AltN"/>
        <w:widowControl w:val="0"/>
        <w:numPr>
          <w:ilvl w:val="0"/>
          <w:numId w:val="3"/>
        </w:numPr>
        <w:tabs>
          <w:tab w:val="num" w:pos="1152"/>
        </w:tabs>
        <w:ind w:left="0" w:firstLine="0"/>
        <w:rPr>
          <w:rFonts w:cs="Times New Roman"/>
        </w:rPr>
      </w:pPr>
      <w:r w:rsidRPr="00BA394C">
        <w:rPr>
          <w:rFonts w:cs="Times New Roman"/>
        </w:rPr>
        <w:t xml:space="preserve">For the reasons given by the Court of Appeal, we are all of the opinion that the exclusion from the insurance policy based on art. 2402 of the </w:t>
      </w:r>
      <w:r w:rsidRPr="00BA394C">
        <w:rPr>
          <w:rFonts w:cs="Times New Roman"/>
          <w:i/>
        </w:rPr>
        <w:t>Civil Code of Québec</w:t>
      </w:r>
      <w:r w:rsidRPr="00BA394C">
        <w:rPr>
          <w:rFonts w:cs="Times New Roman"/>
        </w:rPr>
        <w:t xml:space="preserve"> may not be set up against the heirs of the insured, as that article must, even in light of s. 34(1) of the federal </w:t>
      </w:r>
      <w:r w:rsidRPr="00BA394C">
        <w:rPr>
          <w:rFonts w:cs="Times New Roman"/>
          <w:i/>
        </w:rPr>
        <w:t>Interpretation Act</w:t>
      </w:r>
      <w:r w:rsidRPr="00BA394C">
        <w:rPr>
          <w:rFonts w:cs="Times New Roman"/>
        </w:rPr>
        <w:t xml:space="preserve">, R.S.C. 1985, c. I-21, be interpreted having regard to the principles of interpretation that apply in the area of insurance law so as to favour the precision and certainty of the grounds for exclusion in </w:t>
      </w:r>
      <w:r w:rsidRPr="00A23590">
        <w:rPr>
          <w:rStyle w:val="SCCCounselPartyRoleChar"/>
        </w:rPr>
        <w:t>such</w:t>
      </w:r>
      <w:r w:rsidRPr="00BA394C">
        <w:rPr>
          <w:rFonts w:cs="Times New Roman"/>
        </w:rPr>
        <w:t xml:space="preserve"> matters.</w:t>
      </w:r>
    </w:p>
    <w:p w:rsidR="00B9284A" w:rsidRPr="00715345" w:rsidRDefault="00A23590" w:rsidP="00422043">
      <w:pPr>
        <w:pStyle w:val="SCCNormalDoubleSpacing"/>
        <w:widowControl w:val="0"/>
        <w:numPr>
          <w:ilvl w:val="0"/>
          <w:numId w:val="3"/>
        </w:numPr>
        <w:spacing w:after="480"/>
        <w:ind w:left="0" w:firstLine="0"/>
        <w:rPr>
          <w:i/>
        </w:rPr>
      </w:pPr>
      <w:r w:rsidRPr="00BA394C">
        <w:t xml:space="preserve">On this basis, art. 2402 of the </w:t>
      </w:r>
      <w:r w:rsidRPr="00B9284A">
        <w:rPr>
          <w:i/>
        </w:rPr>
        <w:t>Civil Code of Québec</w:t>
      </w:r>
      <w:r w:rsidRPr="00BA394C">
        <w:t xml:space="preserve"> concerns only indictable offences, those that are punishable exclusively by way of indictment, and not, as in this case, hybrid offences.</w:t>
      </w:r>
    </w:p>
    <w:p w:rsidR="00715345" w:rsidRPr="00B9284A" w:rsidRDefault="00715345" w:rsidP="00422043">
      <w:pPr>
        <w:pStyle w:val="SCCNormalDoubleSpacing"/>
        <w:widowControl w:val="0"/>
        <w:numPr>
          <w:ilvl w:val="0"/>
          <w:numId w:val="3"/>
        </w:numPr>
        <w:spacing w:after="480"/>
        <w:ind w:left="0" w:firstLine="0"/>
        <w:rPr>
          <w:i/>
        </w:rPr>
      </w:pPr>
      <w:r w:rsidRPr="00BA394C">
        <w:t>For these reasons, the appeal is dismissed with costs</w:t>
      </w:r>
      <w:r>
        <w:t>.</w:t>
      </w:r>
    </w:p>
    <w:p w:rsidR="009B57B3" w:rsidRPr="0009606D" w:rsidRDefault="00B9284A" w:rsidP="00422043">
      <w:pPr>
        <w:pStyle w:val="SCCNormalDoubleSpacing"/>
        <w:widowControl w:val="0"/>
        <w:spacing w:after="480"/>
        <w:rPr>
          <w:i/>
        </w:rPr>
      </w:pPr>
      <w:r>
        <w:rPr>
          <w:i/>
        </w:rPr>
        <w:tab/>
      </w:r>
      <w:r w:rsidR="0009606D" w:rsidRPr="0009606D">
        <w:rPr>
          <w:i/>
        </w:rPr>
        <w:t>Judgment accordingly.</w:t>
      </w:r>
    </w:p>
    <w:p w:rsidR="009A5EC0" w:rsidRDefault="00A83512" w:rsidP="00422043">
      <w:pPr>
        <w:pStyle w:val="SCCNormalDoubleSpacing"/>
        <w:widowControl w:val="0"/>
        <w:rPr>
          <w:i/>
        </w:rPr>
      </w:pPr>
      <w:r>
        <w:tab/>
      </w:r>
      <w:r w:rsidRPr="00E50442">
        <w:rPr>
          <w:i/>
        </w:rPr>
        <w:t>Solicitor</w:t>
      </w:r>
      <w:r w:rsidR="0009606D" w:rsidRPr="00E50442">
        <w:rPr>
          <w:i/>
        </w:rPr>
        <w:t>s</w:t>
      </w:r>
      <w:r w:rsidR="00121740">
        <w:rPr>
          <w:i/>
        </w:rPr>
        <w:t xml:space="preserve"> for the appellant:  </w:t>
      </w:r>
      <w:proofErr w:type="spellStart"/>
      <w:r w:rsidR="00121740">
        <w:rPr>
          <w:i/>
        </w:rPr>
        <w:t>Cholette</w:t>
      </w:r>
      <w:proofErr w:type="spellEnd"/>
      <w:r w:rsidRPr="00E50442">
        <w:rPr>
          <w:i/>
        </w:rPr>
        <w:t xml:space="preserve"> Houle, </w:t>
      </w:r>
      <w:proofErr w:type="spellStart"/>
      <w:r w:rsidRPr="00E50442">
        <w:rPr>
          <w:i/>
        </w:rPr>
        <w:t>Lévis</w:t>
      </w:r>
      <w:proofErr w:type="spellEnd"/>
      <w:r w:rsidRPr="00E50442">
        <w:rPr>
          <w:i/>
        </w:rPr>
        <w:t>.</w:t>
      </w:r>
    </w:p>
    <w:sectPr w:rsidR="009A5EC0" w:rsidSect="000648CC">
      <w:headerReference w:type="default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BEC"/>
    <w:multiLevelType w:val="hybridMultilevel"/>
    <w:tmpl w:val="ACA0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39CF"/>
    <w:multiLevelType w:val="hybridMultilevel"/>
    <w:tmpl w:val="B2920420"/>
    <w:lvl w:ilvl="0" w:tplc="98883104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7F32"/>
    <w:multiLevelType w:val="hybridMultilevel"/>
    <w:tmpl w:val="CB9A642C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2151"/>
    <w:rsid w:val="00025198"/>
    <w:rsid w:val="00037E23"/>
    <w:rsid w:val="000578A3"/>
    <w:rsid w:val="000648CC"/>
    <w:rsid w:val="0009606D"/>
    <w:rsid w:val="000A5738"/>
    <w:rsid w:val="000C59B8"/>
    <w:rsid w:val="000C6AF0"/>
    <w:rsid w:val="00104F33"/>
    <w:rsid w:val="00111DE2"/>
    <w:rsid w:val="00116B38"/>
    <w:rsid w:val="00121740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2518"/>
    <w:rsid w:val="00195D83"/>
    <w:rsid w:val="001A00C1"/>
    <w:rsid w:val="001B33E0"/>
    <w:rsid w:val="001B4573"/>
    <w:rsid w:val="001C779F"/>
    <w:rsid w:val="001D2AC1"/>
    <w:rsid w:val="001D4E88"/>
    <w:rsid w:val="001F0E32"/>
    <w:rsid w:val="00220FC2"/>
    <w:rsid w:val="002222F4"/>
    <w:rsid w:val="00224FC0"/>
    <w:rsid w:val="00225EA4"/>
    <w:rsid w:val="00226EAF"/>
    <w:rsid w:val="00231F3A"/>
    <w:rsid w:val="00234199"/>
    <w:rsid w:val="002406EE"/>
    <w:rsid w:val="00243787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56F57"/>
    <w:rsid w:val="00361F03"/>
    <w:rsid w:val="00364B18"/>
    <w:rsid w:val="003A125D"/>
    <w:rsid w:val="003A4157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2043"/>
    <w:rsid w:val="00426659"/>
    <w:rsid w:val="0043753D"/>
    <w:rsid w:val="00450352"/>
    <w:rsid w:val="00454BDB"/>
    <w:rsid w:val="00456769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2A46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20C7"/>
    <w:rsid w:val="006B5FF5"/>
    <w:rsid w:val="006E46A4"/>
    <w:rsid w:val="006F30AF"/>
    <w:rsid w:val="00701759"/>
    <w:rsid w:val="00705C15"/>
    <w:rsid w:val="00715345"/>
    <w:rsid w:val="0071600E"/>
    <w:rsid w:val="007208D1"/>
    <w:rsid w:val="00744270"/>
    <w:rsid w:val="00747288"/>
    <w:rsid w:val="00747DD3"/>
    <w:rsid w:val="007549C8"/>
    <w:rsid w:val="00754A0B"/>
    <w:rsid w:val="00766D14"/>
    <w:rsid w:val="00767A0F"/>
    <w:rsid w:val="007A05F6"/>
    <w:rsid w:val="007B6F4A"/>
    <w:rsid w:val="007C74B7"/>
    <w:rsid w:val="007E1C47"/>
    <w:rsid w:val="007E337A"/>
    <w:rsid w:val="007E5C70"/>
    <w:rsid w:val="007F2FF5"/>
    <w:rsid w:val="007F3F08"/>
    <w:rsid w:val="00804CC6"/>
    <w:rsid w:val="00817190"/>
    <w:rsid w:val="00820EE5"/>
    <w:rsid w:val="0082376C"/>
    <w:rsid w:val="008260E2"/>
    <w:rsid w:val="008322BD"/>
    <w:rsid w:val="00833E0A"/>
    <w:rsid w:val="00834F73"/>
    <w:rsid w:val="00860FC3"/>
    <w:rsid w:val="00864CF8"/>
    <w:rsid w:val="00872819"/>
    <w:rsid w:val="00874914"/>
    <w:rsid w:val="00891422"/>
    <w:rsid w:val="00892E1A"/>
    <w:rsid w:val="008A3F29"/>
    <w:rsid w:val="008B660A"/>
    <w:rsid w:val="008C01DA"/>
    <w:rsid w:val="008E56FB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A5EC0"/>
    <w:rsid w:val="009B2F23"/>
    <w:rsid w:val="009B57B3"/>
    <w:rsid w:val="009C5B92"/>
    <w:rsid w:val="009D2920"/>
    <w:rsid w:val="009D5AEB"/>
    <w:rsid w:val="009F0E33"/>
    <w:rsid w:val="00A030CE"/>
    <w:rsid w:val="00A13F2B"/>
    <w:rsid w:val="00A149DF"/>
    <w:rsid w:val="00A1755C"/>
    <w:rsid w:val="00A21B90"/>
    <w:rsid w:val="00A22FCF"/>
    <w:rsid w:val="00A23590"/>
    <w:rsid w:val="00A41805"/>
    <w:rsid w:val="00A42DCD"/>
    <w:rsid w:val="00A52AFB"/>
    <w:rsid w:val="00A548CB"/>
    <w:rsid w:val="00A5521C"/>
    <w:rsid w:val="00A643E7"/>
    <w:rsid w:val="00A73C38"/>
    <w:rsid w:val="00A83512"/>
    <w:rsid w:val="00A910B3"/>
    <w:rsid w:val="00A9276F"/>
    <w:rsid w:val="00AB670D"/>
    <w:rsid w:val="00AE4535"/>
    <w:rsid w:val="00AF03C5"/>
    <w:rsid w:val="00AF5CE1"/>
    <w:rsid w:val="00B000D8"/>
    <w:rsid w:val="00B00F75"/>
    <w:rsid w:val="00B145B6"/>
    <w:rsid w:val="00B279EB"/>
    <w:rsid w:val="00B50C81"/>
    <w:rsid w:val="00B557F8"/>
    <w:rsid w:val="00B815FC"/>
    <w:rsid w:val="00B9284A"/>
    <w:rsid w:val="00B93FBC"/>
    <w:rsid w:val="00BA7DA0"/>
    <w:rsid w:val="00BB1E16"/>
    <w:rsid w:val="00BB2EE4"/>
    <w:rsid w:val="00BC2108"/>
    <w:rsid w:val="00BC7E54"/>
    <w:rsid w:val="00BD0E9E"/>
    <w:rsid w:val="00BD1BEC"/>
    <w:rsid w:val="00BD32FF"/>
    <w:rsid w:val="00C02092"/>
    <w:rsid w:val="00C24D91"/>
    <w:rsid w:val="00C53F14"/>
    <w:rsid w:val="00C56BC2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0442"/>
    <w:rsid w:val="00E56A44"/>
    <w:rsid w:val="00E60269"/>
    <w:rsid w:val="00E6149D"/>
    <w:rsid w:val="00E77932"/>
    <w:rsid w:val="00E945AF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51D4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  <w:rsid w:val="00FF4D0B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Policepardfaut"/>
    <w:link w:val="SCCNormalDoubleSpacing"/>
    <w:rsid w:val="00104F33"/>
    <w:rPr>
      <w:sz w:val="24"/>
    </w:rPr>
  </w:style>
  <w:style w:type="character" w:styleId="lev">
    <w:name w:val="Strong"/>
    <w:basedOn w:val="Policepardfaut"/>
    <w:uiPriority w:val="22"/>
    <w:qFormat/>
    <w:rsid w:val="00C53F14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548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CE31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59B8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Policepardfau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Policepardfau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Policepardfau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Policepardfaut"/>
    <w:link w:val="SCCLsocOtherPartySeparator"/>
    <w:rsid w:val="003323B0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Policepardfau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Policepardfau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Policepardfau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Policepardfau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Policepardfau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Policepardfau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Policepardfau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customStyle="1" w:styleId="solext01">
    <w:name w:val="solext01"/>
    <w:basedOn w:val="Policepardfaut"/>
    <w:rsid w:val="00E50442"/>
    <w:rPr>
      <w:shd w:val="clear" w:color="auto" w:fill="BFE8FD"/>
    </w:rPr>
  </w:style>
  <w:style w:type="character" w:customStyle="1" w:styleId="solext110">
    <w:name w:val="solext110"/>
    <w:basedOn w:val="Policepardfaut"/>
    <w:rsid w:val="00E50442"/>
    <w:rPr>
      <w:shd w:val="clear" w:color="auto" w:fill="F3BFFD"/>
    </w:rPr>
  </w:style>
  <w:style w:type="paragraph" w:customStyle="1" w:styleId="ParaNoNdepar-AltN">
    <w:name w:val="Para. No. / Nº de par. - Alt N"/>
    <w:link w:val="ParaNoNdepar-AltNChar"/>
    <w:qFormat/>
    <w:rsid w:val="00243787"/>
    <w:pPr>
      <w:tabs>
        <w:tab w:val="num" w:pos="1152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Policepardfaut"/>
    <w:link w:val="ParaNoNdepar-AltN"/>
    <w:locked/>
    <w:rsid w:val="00243787"/>
    <w:rPr>
      <w:rFonts w:eastAsiaTheme="minorEastAsia" w:cstheme="minorBidi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928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7E23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Policepardfaut"/>
    <w:rsid w:val="00037E23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037E23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Policepardfaut"/>
    <w:link w:val="SCCLsocPrefix"/>
    <w:rsid w:val="00037E23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ABAB-0620-42F0-BF7A-85DA2F28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2017-03-29T19:27:00Z</dcterms:created>
  <dcterms:modified xsi:type="dcterms:W3CDTF">2017-10-18T17:19:00Z</dcterms:modified>
</cp:coreProperties>
</file>